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EC2D00">
        <w:rPr>
          <w:rFonts w:ascii="Times New Roman" w:hAnsi="Times New Roman" w:cs="Times New Roman"/>
          <w:sz w:val="28"/>
          <w:szCs w:val="28"/>
        </w:rPr>
        <w:t>INTRODUCTIO</w:t>
      </w:r>
      <w:r>
        <w:rPr>
          <w:rFonts w:ascii="Times New Roman" w:hAnsi="Times New Roman" w:cs="Times New Roman"/>
          <w:sz w:val="28"/>
          <w:szCs w:val="28"/>
        </w:rPr>
        <w:t>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as a kingdom of eukaryotic organisms, occupy a distinctive position in biological classification, set apart from plants, animals, and bacteria by their cellular composition and modes of reproduction. Characterized by their </w:t>
      </w:r>
      <w:proofErr w:type="gramStart"/>
      <w:r>
        <w:rPr>
          <w:rFonts w:ascii="Times New Roman" w:hAnsi="Times New Roman" w:cs="Times New Roman"/>
          <w:sz w:val="28"/>
          <w:szCs w:val="28"/>
        </w:rPr>
        <w:t>heterotrophic</w:t>
      </w:r>
      <w:proofErr w:type="gramEnd"/>
      <w:r>
        <w:rPr>
          <w:rFonts w:ascii="Times New Roman" w:hAnsi="Times New Roman" w:cs="Times New Roman"/>
          <w:sz w:val="28"/>
          <w:szCs w:val="28"/>
        </w:rPr>
        <w:t xml:space="preserve"> nature, fungi absorb nutrients through the enzymatic degradation of organic matter, playing a crucial role in decomposition and nutrient cycling in ecosystems (Kumar et al., 2021). While some fungi are beneficial used in food production, pharmaceuticals, and biotechnology others are known for their pathogenic and </w:t>
      </w:r>
      <w:proofErr w:type="spellStart"/>
      <w:r>
        <w:rPr>
          <w:rFonts w:ascii="Times New Roman" w:hAnsi="Times New Roman" w:cs="Times New Roman"/>
          <w:sz w:val="28"/>
          <w:szCs w:val="28"/>
        </w:rPr>
        <w:t>toxigenic</w:t>
      </w:r>
      <w:proofErr w:type="spellEnd"/>
      <w:r>
        <w:rPr>
          <w:rFonts w:ascii="Times New Roman" w:hAnsi="Times New Roman" w:cs="Times New Roman"/>
          <w:sz w:val="28"/>
          <w:szCs w:val="28"/>
        </w:rPr>
        <w:t xml:space="preserve"> potentials. This dichotomy highlights the importance of studying fungi not only for their utility but also for the risks they pose, particularly in the form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secondary metabolites produced by certain fungal species, particularly those belonging to the genera </w:t>
      </w:r>
      <w:proofErr w:type="spellStart"/>
      <w:r w:rsidRPr="00F16258">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w:t>
      </w:r>
      <w:proofErr w:type="spellStart"/>
      <w:r w:rsidRPr="00F16258">
        <w:rPr>
          <w:rFonts w:ascii="Times New Roman" w:hAnsi="Times New Roman" w:cs="Times New Roman"/>
          <w:i/>
          <w:iCs/>
          <w:sz w:val="28"/>
          <w:szCs w:val="28"/>
        </w:rPr>
        <w:t>Fusarium</w:t>
      </w:r>
      <w:proofErr w:type="spellEnd"/>
      <w:r>
        <w:rPr>
          <w:rFonts w:ascii="Times New Roman" w:hAnsi="Times New Roman" w:cs="Times New Roman"/>
          <w:sz w:val="28"/>
          <w:szCs w:val="28"/>
        </w:rPr>
        <w:t xml:space="preserve">, and </w:t>
      </w:r>
      <w:proofErr w:type="spellStart"/>
      <w:r w:rsidRPr="00F1625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Among these, </w:t>
      </w:r>
      <w:proofErr w:type="spellStart"/>
      <w:r w:rsidRPr="00F1625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especially significant in the context of food spoilage and toxin production. While the genus is historically celebrated for </w:t>
      </w:r>
      <w:proofErr w:type="spellStart"/>
      <w:r w:rsidRPr="00F16258">
        <w:rPr>
          <w:rFonts w:ascii="Times New Roman" w:hAnsi="Times New Roman" w:cs="Times New Roman"/>
          <w:i/>
          <w:iCs/>
          <w:sz w:val="28"/>
          <w:szCs w:val="28"/>
        </w:rPr>
        <w:t>Penicilliumchrysogenum</w:t>
      </w:r>
      <w:proofErr w:type="spellEnd"/>
      <w:r>
        <w:rPr>
          <w:rFonts w:ascii="Times New Roman" w:hAnsi="Times New Roman" w:cs="Times New Roman"/>
          <w:sz w:val="28"/>
          <w:szCs w:val="28"/>
        </w:rPr>
        <w:t xml:space="preserve">, the source of </w:t>
      </w:r>
      <w:r>
        <w:rPr>
          <w:rFonts w:ascii="Times New Roman" w:hAnsi="Times New Roman" w:cs="Times New Roman"/>
          <w:sz w:val="28"/>
          <w:szCs w:val="28"/>
        </w:rPr>
        <w:lastRenderedPageBreak/>
        <w:t xml:space="preserve">the antibiotic penicillin, it also includes </w:t>
      </w:r>
      <w:proofErr w:type="spellStart"/>
      <w:r>
        <w:rPr>
          <w:rFonts w:ascii="Times New Roman" w:hAnsi="Times New Roman" w:cs="Times New Roman"/>
          <w:sz w:val="28"/>
          <w:szCs w:val="28"/>
        </w:rPr>
        <w:t>toxigenic</w:t>
      </w:r>
      <w:proofErr w:type="spellEnd"/>
      <w:r>
        <w:rPr>
          <w:rFonts w:ascii="Times New Roman" w:hAnsi="Times New Roman" w:cs="Times New Roman"/>
          <w:sz w:val="28"/>
          <w:szCs w:val="28"/>
        </w:rPr>
        <w:t xml:space="preserve"> species such as </w:t>
      </w:r>
      <w:proofErr w:type="spellStart"/>
      <w:r w:rsidRPr="00F16258">
        <w:rPr>
          <w:rFonts w:ascii="Times New Roman" w:hAnsi="Times New Roman" w:cs="Times New Roman"/>
          <w:i/>
          <w:iCs/>
          <w:sz w:val="28"/>
          <w:szCs w:val="28"/>
        </w:rPr>
        <w:t>Penicilliumexpansum</w:t>
      </w:r>
      <w:proofErr w:type="spellEnd"/>
      <w:r>
        <w:rPr>
          <w:rFonts w:ascii="Times New Roman" w:hAnsi="Times New Roman" w:cs="Times New Roman"/>
          <w:sz w:val="28"/>
          <w:szCs w:val="28"/>
        </w:rPr>
        <w:t xml:space="preserve">, which produces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of considerable concern in food safety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w:t>
      </w:r>
    </w:p>
    <w:p w:rsidR="00BE21A0" w:rsidRDefault="00BE21A0" w:rsidP="00BE21A0">
      <w:pPr>
        <w:spacing w:line="480" w:lineRule="auto"/>
        <w:jc w:val="both"/>
        <w:rPr>
          <w:rFonts w:ascii="Times New Roman" w:hAnsi="Times New Roman" w:cs="Times New Roman"/>
          <w:sz w:val="28"/>
          <w:szCs w:val="28"/>
        </w:rPr>
      </w:pPr>
      <w:proofErr w:type="spellStart"/>
      <w:r w:rsidRPr="00077C7B">
        <w:rPr>
          <w:rFonts w:ascii="Times New Roman" w:hAnsi="Times New Roman" w:cs="Times New Roman"/>
          <w:i/>
          <w:iCs/>
          <w:sz w:val="28"/>
          <w:szCs w:val="28"/>
        </w:rPr>
        <w:t>Penicillium</w:t>
      </w:r>
      <w:proofErr w:type="spellEnd"/>
      <w:r w:rsidRPr="00077C7B">
        <w:rPr>
          <w:rFonts w:ascii="Times New Roman" w:hAnsi="Times New Roman" w:cs="Times New Roman"/>
          <w:i/>
          <w:iCs/>
          <w:sz w:val="28"/>
          <w:szCs w:val="28"/>
        </w:rPr>
        <w:t xml:space="preserve"> </w:t>
      </w:r>
      <w:proofErr w:type="spellStart"/>
      <w:r w:rsidRPr="00077C7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 filamentous fungus, is commonly found on decaying fruits, especially apples and pears. Its ability to thrive in post-harvest storage environments allows it to infiltrate fruit-processing chains, leading to widespread contamination of fruit products. The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its principal metabolite of concern.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compound with a characteristic </w:t>
      </w:r>
      <w:proofErr w:type="spellStart"/>
      <w:r>
        <w:rPr>
          <w:rFonts w:ascii="Times New Roman" w:hAnsi="Times New Roman" w:cs="Times New Roman"/>
          <w:sz w:val="28"/>
          <w:szCs w:val="28"/>
        </w:rPr>
        <w:t>lactone</w:t>
      </w:r>
      <w:proofErr w:type="spellEnd"/>
      <w:r>
        <w:rPr>
          <w:rFonts w:ascii="Times New Roman" w:hAnsi="Times New Roman" w:cs="Times New Roman"/>
          <w:sz w:val="28"/>
          <w:szCs w:val="28"/>
        </w:rPr>
        <w:t xml:space="preserve"> ring that imparts biological activity and toxicity. Structurally, it is a small molecule that remains stable under mild heat and pH conditions, making it resistant to conventional food-processing methods like pasteurization (</w:t>
      </w:r>
      <w:proofErr w:type="spellStart"/>
      <w:r>
        <w:rPr>
          <w:rFonts w:ascii="Times New Roman" w:hAnsi="Times New Roman" w:cs="Times New Roman"/>
          <w:sz w:val="28"/>
          <w:szCs w:val="28"/>
        </w:rPr>
        <w:t>Drusch</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Ragab</w:t>
      </w:r>
      <w:proofErr w:type="spellEnd"/>
      <w:r>
        <w:rPr>
          <w:rFonts w:ascii="Times New Roman" w:hAnsi="Times New Roman" w:cs="Times New Roman"/>
          <w:sz w:val="28"/>
          <w:szCs w:val="28"/>
        </w:rPr>
        <w:t xml:space="preserve">, 2021).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not the only toxin associated with </w:t>
      </w:r>
      <w:proofErr w:type="spellStart"/>
      <w:r w:rsidRPr="00077C7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Several other secondary metabolites of toxicological interest include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roquefortine</w:t>
      </w:r>
      <w:proofErr w:type="spellEnd"/>
      <w:r>
        <w:rPr>
          <w:rFonts w:ascii="Times New Roman" w:hAnsi="Times New Roman" w:cs="Times New Roman"/>
          <w:sz w:val="28"/>
          <w:szCs w:val="28"/>
        </w:rPr>
        <w:t xml:space="preserve"> C, and </w:t>
      </w:r>
      <w:proofErr w:type="spellStart"/>
      <w:r>
        <w:rPr>
          <w:rFonts w:ascii="Times New Roman" w:hAnsi="Times New Roman" w:cs="Times New Roman"/>
          <w:sz w:val="28"/>
          <w:szCs w:val="28"/>
        </w:rPr>
        <w:t>mycophenolic</w:t>
      </w:r>
      <w:proofErr w:type="spellEnd"/>
      <w:r>
        <w:rPr>
          <w:rFonts w:ascii="Times New Roman" w:hAnsi="Times New Roman" w:cs="Times New Roman"/>
          <w:sz w:val="28"/>
          <w:szCs w:val="28"/>
        </w:rPr>
        <w:t xml:space="preserve"> acid, produced by various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strains (Pitt &amp; Hocking, 2009). For example:</w:t>
      </w:r>
    </w:p>
    <w:p w:rsidR="00BE21A0" w:rsidRDefault="00BE21A0" w:rsidP="00BE21A0">
      <w:pPr>
        <w:spacing w:line="480" w:lineRule="auto"/>
        <w:jc w:val="both"/>
        <w:rPr>
          <w:rFonts w:ascii="Times New Roman" w:hAnsi="Times New Roman" w:cs="Times New Roman"/>
          <w:sz w:val="28"/>
          <w:szCs w:val="28"/>
        </w:rPr>
      </w:pPr>
      <w:proofErr w:type="spellStart"/>
      <w:r w:rsidRPr="00286C68">
        <w:rPr>
          <w:rFonts w:ascii="Times New Roman" w:hAnsi="Times New Roman" w:cs="Times New Roman"/>
          <w:b/>
          <w:bCs/>
          <w:sz w:val="28"/>
          <w:szCs w:val="28"/>
        </w:rPr>
        <w:lastRenderedPageBreak/>
        <w:t>Citrinin</w:t>
      </w:r>
      <w:proofErr w:type="spellEnd"/>
      <w:r>
        <w:rPr>
          <w:rFonts w:ascii="Times New Roman" w:hAnsi="Times New Roman" w:cs="Times New Roman"/>
          <w:sz w:val="28"/>
          <w:szCs w:val="28"/>
        </w:rPr>
        <w:t xml:space="preserve">: Produced by </w:t>
      </w:r>
      <w:proofErr w:type="spellStart"/>
      <w:r w:rsidRPr="00077C7B">
        <w:rPr>
          <w:rFonts w:ascii="Times New Roman" w:hAnsi="Times New Roman" w:cs="Times New Roman"/>
          <w:i/>
          <w:iCs/>
          <w:sz w:val="28"/>
          <w:szCs w:val="28"/>
        </w:rPr>
        <w:t>Penicilliumcitrinum</w:t>
      </w:r>
      <w:proofErr w:type="spellEnd"/>
      <w:r>
        <w:rPr>
          <w:rFonts w:ascii="Times New Roman" w:hAnsi="Times New Roman" w:cs="Times New Roman"/>
          <w:sz w:val="28"/>
          <w:szCs w:val="28"/>
        </w:rPr>
        <w:t xml:space="preserve"> and occasionally by </w:t>
      </w:r>
      <w:proofErr w:type="spellStart"/>
      <w:r w:rsidRPr="00286C68">
        <w:rPr>
          <w:rFonts w:ascii="Times New Roman" w:hAnsi="Times New Roman" w:cs="Times New Roman"/>
          <w:i/>
          <w:iCs/>
          <w:sz w:val="28"/>
          <w:szCs w:val="28"/>
        </w:rPr>
        <w:t>Penicillium</w:t>
      </w:r>
      <w:proofErr w:type="spellEnd"/>
      <w:r w:rsidRPr="00286C68">
        <w:rPr>
          <w:rFonts w:ascii="Times New Roman" w:hAnsi="Times New Roman" w:cs="Times New Roman"/>
          <w:i/>
          <w:iCs/>
          <w:sz w:val="28"/>
          <w:szCs w:val="28"/>
        </w:rPr>
        <w:t xml:space="preserve"> </w:t>
      </w:r>
      <w:proofErr w:type="spellStart"/>
      <w:r w:rsidRPr="00286C68">
        <w:rPr>
          <w:rFonts w:ascii="Times New Roman" w:hAnsi="Times New Roman" w:cs="Times New Roman"/>
          <w:i/>
          <w:iCs/>
          <w:sz w:val="28"/>
          <w:szCs w:val="28"/>
        </w:rPr>
        <w:t>expansum</w:t>
      </w:r>
      <w:proofErr w:type="spellEnd"/>
      <w:r>
        <w:rPr>
          <w:rFonts w:ascii="Times New Roman" w:hAnsi="Times New Roman" w:cs="Times New Roman"/>
          <w:sz w:val="28"/>
          <w:szCs w:val="28"/>
        </w:rPr>
        <w:t>, this toxin primarily affects kidney function and has been implicated in nephropathy in humans and animals (</w:t>
      </w:r>
      <w:proofErr w:type="spellStart"/>
      <w:r>
        <w:rPr>
          <w:rFonts w:ascii="Times New Roman" w:hAnsi="Times New Roman" w:cs="Times New Roman"/>
          <w:sz w:val="28"/>
          <w:szCs w:val="28"/>
        </w:rPr>
        <w:t>Flajs</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Peraica</w:t>
      </w:r>
      <w:proofErr w:type="spellEnd"/>
      <w:r>
        <w:rPr>
          <w:rFonts w:ascii="Times New Roman" w:hAnsi="Times New Roman" w:cs="Times New Roman"/>
          <w:sz w:val="28"/>
          <w:szCs w:val="28"/>
        </w:rPr>
        <w:t>, 2009).</w:t>
      </w:r>
    </w:p>
    <w:p w:rsidR="00BE21A0" w:rsidRDefault="00BE21A0" w:rsidP="00BE21A0">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Ochratoxin</w:t>
      </w:r>
      <w:proofErr w:type="spellEnd"/>
      <w:r w:rsidRPr="00BE78A0">
        <w:rPr>
          <w:rFonts w:ascii="Times New Roman" w:hAnsi="Times New Roman" w:cs="Times New Roman"/>
          <w:b/>
          <w:bCs/>
          <w:sz w:val="28"/>
          <w:szCs w:val="28"/>
        </w:rPr>
        <w:t xml:space="preserve"> A (OTA):</w:t>
      </w:r>
      <w:r>
        <w:rPr>
          <w:rFonts w:ascii="Times New Roman" w:hAnsi="Times New Roman" w:cs="Times New Roman"/>
          <w:sz w:val="28"/>
          <w:szCs w:val="28"/>
        </w:rPr>
        <w:t xml:space="preserve"> Though primarily produced by </w:t>
      </w:r>
      <w:proofErr w:type="spellStart"/>
      <w:r w:rsidRPr="00286C68">
        <w:rPr>
          <w:rFonts w:ascii="Times New Roman" w:hAnsi="Times New Roman" w:cs="Times New Roman"/>
          <w:i/>
          <w:iCs/>
          <w:sz w:val="28"/>
          <w:szCs w:val="28"/>
        </w:rPr>
        <w:t>Aspergillusochraceus</w:t>
      </w:r>
      <w:proofErr w:type="spellEnd"/>
      <w:r>
        <w:rPr>
          <w:rFonts w:ascii="Times New Roman" w:hAnsi="Times New Roman" w:cs="Times New Roman"/>
          <w:sz w:val="28"/>
          <w:szCs w:val="28"/>
        </w:rPr>
        <w:t xml:space="preserve">, some </w:t>
      </w:r>
      <w:proofErr w:type="spellStart"/>
      <w:r w:rsidRPr="00286C6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also produce OTA, which is </w:t>
      </w:r>
      <w:proofErr w:type="spellStart"/>
      <w:r>
        <w:rPr>
          <w:rFonts w:ascii="Times New Roman" w:hAnsi="Times New Roman" w:cs="Times New Roman"/>
          <w:sz w:val="28"/>
          <w:szCs w:val="28"/>
        </w:rPr>
        <w:t>nephrotoxic</w:t>
      </w:r>
      <w:proofErr w:type="spellEnd"/>
      <w:r>
        <w:rPr>
          <w:rFonts w:ascii="Times New Roman" w:hAnsi="Times New Roman" w:cs="Times New Roman"/>
          <w:sz w:val="28"/>
          <w:szCs w:val="28"/>
        </w:rPr>
        <w:t xml:space="preserve">, carcinogenic, and </w:t>
      </w:r>
      <w:proofErr w:type="spellStart"/>
      <w:r>
        <w:rPr>
          <w:rFonts w:ascii="Times New Roman" w:hAnsi="Times New Roman" w:cs="Times New Roman"/>
          <w:sz w:val="28"/>
          <w:szCs w:val="28"/>
        </w:rPr>
        <w:t>teratogenic</w:t>
      </w:r>
      <w:proofErr w:type="spellEnd"/>
      <w:r>
        <w:rPr>
          <w:rFonts w:ascii="Times New Roman" w:hAnsi="Times New Roman" w:cs="Times New Roman"/>
          <w:sz w:val="28"/>
          <w:szCs w:val="28"/>
        </w:rPr>
        <w:t>. It contaminates cereals, coffee, and dried fruits (</w:t>
      </w:r>
      <w:proofErr w:type="spellStart"/>
      <w:r>
        <w:rPr>
          <w:rFonts w:ascii="Times New Roman" w:hAnsi="Times New Roman" w:cs="Times New Roman"/>
          <w:sz w:val="28"/>
          <w:szCs w:val="28"/>
        </w:rPr>
        <w:t>Petzinger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Weidenbach</w:t>
      </w:r>
      <w:proofErr w:type="spellEnd"/>
      <w:r>
        <w:rPr>
          <w:rFonts w:ascii="Times New Roman" w:hAnsi="Times New Roman" w:cs="Times New Roman"/>
          <w:sz w:val="28"/>
          <w:szCs w:val="28"/>
        </w:rPr>
        <w:t>, 2021).</w:t>
      </w:r>
    </w:p>
    <w:p w:rsidR="00BE21A0" w:rsidRDefault="00BE21A0" w:rsidP="00BE21A0">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Roquefortine</w:t>
      </w:r>
      <w:proofErr w:type="spellEnd"/>
      <w:r w:rsidRPr="00BE78A0">
        <w:rPr>
          <w:rFonts w:ascii="Times New Roman" w:hAnsi="Times New Roman" w:cs="Times New Roman"/>
          <w:b/>
          <w:bCs/>
          <w:sz w:val="28"/>
          <w:szCs w:val="28"/>
        </w:rPr>
        <w:t xml:space="preserve"> C:</w:t>
      </w:r>
      <w:r>
        <w:rPr>
          <w:rFonts w:ascii="Times New Roman" w:hAnsi="Times New Roman" w:cs="Times New Roman"/>
          <w:sz w:val="28"/>
          <w:szCs w:val="28"/>
        </w:rPr>
        <w:t xml:space="preserve"> Found in blue cheese-producing species such as </w:t>
      </w:r>
      <w:proofErr w:type="spellStart"/>
      <w:r w:rsidRPr="00286C68">
        <w:rPr>
          <w:rFonts w:ascii="Times New Roman" w:hAnsi="Times New Roman" w:cs="Times New Roman"/>
          <w:i/>
          <w:iCs/>
          <w:sz w:val="28"/>
          <w:szCs w:val="28"/>
        </w:rPr>
        <w:t>Penicilliumroqueforti</w:t>
      </w:r>
      <w:proofErr w:type="spellEnd"/>
      <w:r>
        <w:rPr>
          <w:rFonts w:ascii="Times New Roman" w:hAnsi="Times New Roman" w:cs="Times New Roman"/>
          <w:sz w:val="28"/>
          <w:szCs w:val="28"/>
        </w:rPr>
        <w:t xml:space="preserve">, it has </w:t>
      </w:r>
      <w:proofErr w:type="spellStart"/>
      <w:r>
        <w:rPr>
          <w:rFonts w:ascii="Times New Roman" w:hAnsi="Times New Roman" w:cs="Times New Roman"/>
          <w:sz w:val="28"/>
          <w:szCs w:val="28"/>
        </w:rPr>
        <w:t>neurotoxic</w:t>
      </w:r>
      <w:proofErr w:type="spellEnd"/>
      <w:r>
        <w:rPr>
          <w:rFonts w:ascii="Times New Roman" w:hAnsi="Times New Roman" w:cs="Times New Roman"/>
          <w:sz w:val="28"/>
          <w:szCs w:val="28"/>
        </w:rPr>
        <w:t xml:space="preserve"> effects at high concentrations, though its presence in food is usually minimal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et al., 2004).</w:t>
      </w:r>
    </w:p>
    <w:p w:rsidR="00BE21A0" w:rsidRDefault="00BE21A0" w:rsidP="00BE21A0">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Mycophenolic</w:t>
      </w:r>
      <w:proofErr w:type="spellEnd"/>
      <w:r w:rsidRPr="00BE78A0">
        <w:rPr>
          <w:rFonts w:ascii="Times New Roman" w:hAnsi="Times New Roman" w:cs="Times New Roman"/>
          <w:b/>
          <w:bCs/>
          <w:sz w:val="28"/>
          <w:szCs w:val="28"/>
        </w:rPr>
        <w:t xml:space="preserve"> acid</w:t>
      </w:r>
      <w:r>
        <w:rPr>
          <w:rFonts w:ascii="Times New Roman" w:hAnsi="Times New Roman" w:cs="Times New Roman"/>
          <w:sz w:val="28"/>
          <w:szCs w:val="28"/>
        </w:rPr>
        <w:t xml:space="preserve">: An immunosuppressive agent originally isolated from </w:t>
      </w:r>
      <w:proofErr w:type="spellStart"/>
      <w:r w:rsidRPr="00286C68">
        <w:rPr>
          <w:rFonts w:ascii="Times New Roman" w:hAnsi="Times New Roman" w:cs="Times New Roman"/>
          <w:i/>
          <w:iCs/>
          <w:sz w:val="28"/>
          <w:szCs w:val="28"/>
        </w:rPr>
        <w:t>Penicillium</w:t>
      </w:r>
      <w:proofErr w:type="spellEnd"/>
      <w:r w:rsidRPr="00286C68">
        <w:rPr>
          <w:rFonts w:ascii="Times New Roman" w:hAnsi="Times New Roman" w:cs="Times New Roman"/>
          <w:i/>
          <w:iCs/>
          <w:sz w:val="28"/>
          <w:szCs w:val="28"/>
        </w:rPr>
        <w:t xml:space="preserve"> </w:t>
      </w:r>
      <w:proofErr w:type="spellStart"/>
      <w:r w:rsidRPr="00286C68">
        <w:rPr>
          <w:rFonts w:ascii="Times New Roman" w:hAnsi="Times New Roman" w:cs="Times New Roman"/>
          <w:i/>
          <w:iCs/>
          <w:sz w:val="28"/>
          <w:szCs w:val="28"/>
        </w:rPr>
        <w:t>brevicompactum</w:t>
      </w:r>
      <w:proofErr w:type="spellEnd"/>
      <w:r>
        <w:rPr>
          <w:rFonts w:ascii="Times New Roman" w:hAnsi="Times New Roman" w:cs="Times New Roman"/>
          <w:sz w:val="28"/>
          <w:szCs w:val="28"/>
        </w:rPr>
        <w:t>, used pharmacologically in transplant medicine, but concerning when found in food products (</w:t>
      </w:r>
      <w:proofErr w:type="spellStart"/>
      <w:r>
        <w:rPr>
          <w:rFonts w:ascii="Times New Roman" w:hAnsi="Times New Roman" w:cs="Times New Roman"/>
          <w:sz w:val="28"/>
          <w:szCs w:val="28"/>
        </w:rPr>
        <w:t>Tiraboschi</w:t>
      </w:r>
      <w:proofErr w:type="spellEnd"/>
      <w:r>
        <w:rPr>
          <w:rFonts w:ascii="Times New Roman" w:hAnsi="Times New Roman" w:cs="Times New Roman"/>
          <w:sz w:val="28"/>
          <w:szCs w:val="28"/>
        </w:rPr>
        <w:t xml:space="preserve"> et al., 2021). Among these,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remains the most prominent due to its association with commonly consumed fruit products.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toxicity includes mutagenic,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and gastrointestinal effects. Acute exposure causes symptoms such as nausea, vomiting, and intestinal </w:t>
      </w:r>
      <w:r>
        <w:rPr>
          <w:rFonts w:ascii="Times New Roman" w:hAnsi="Times New Roman" w:cs="Times New Roman"/>
          <w:sz w:val="28"/>
          <w:szCs w:val="28"/>
        </w:rPr>
        <w:lastRenderedPageBreak/>
        <w:t>hemorrhaging, while chronic exposure has been linked to immune suppression and neurotoxicity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2020). The International Agency for Research on Cancer (</w:t>
      </w:r>
      <w:proofErr w:type="spellStart"/>
      <w:r>
        <w:rPr>
          <w:rFonts w:ascii="Times New Roman" w:hAnsi="Times New Roman" w:cs="Times New Roman"/>
          <w:sz w:val="28"/>
          <w:szCs w:val="28"/>
        </w:rPr>
        <w:t>IARC</w:t>
      </w:r>
      <w:proofErr w:type="spellEnd"/>
      <w:r>
        <w:rPr>
          <w:rFonts w:ascii="Times New Roman" w:hAnsi="Times New Roman" w:cs="Times New Roman"/>
          <w:sz w:val="28"/>
          <w:szCs w:val="28"/>
        </w:rPr>
        <w:t xml:space="preserve">) currently classifies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Group 3, meaning it is not classifiable as to its carcinogenicity to humans due to insufficient evidence (</w:t>
      </w:r>
      <w:proofErr w:type="spellStart"/>
      <w:r>
        <w:rPr>
          <w:rFonts w:ascii="Times New Roman" w:hAnsi="Times New Roman" w:cs="Times New Roman"/>
          <w:sz w:val="28"/>
          <w:szCs w:val="28"/>
        </w:rPr>
        <w:t>IARC</w:t>
      </w:r>
      <w:proofErr w:type="spellEnd"/>
      <w:r>
        <w:rPr>
          <w:rFonts w:ascii="Times New Roman" w:hAnsi="Times New Roman" w:cs="Times New Roman"/>
          <w:sz w:val="28"/>
          <w:szCs w:val="28"/>
        </w:rPr>
        <w:t xml:space="preserve">, 2017). Nevertheless, the compound’s potential to damage DNA and cellular structures warrants strict monitoring and control. The global regulatory concern about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has prompted numerous countries and international bodies, including the World Health Organization (WHO) and Food and Agriculture Organization (</w:t>
      </w:r>
      <w:proofErr w:type="spellStart"/>
      <w:r>
        <w:rPr>
          <w:rFonts w:ascii="Times New Roman" w:hAnsi="Times New Roman" w:cs="Times New Roman"/>
          <w:sz w:val="28"/>
          <w:szCs w:val="28"/>
        </w:rPr>
        <w:t>FAO</w:t>
      </w:r>
      <w:proofErr w:type="spellEnd"/>
      <w:r>
        <w:rPr>
          <w:rFonts w:ascii="Times New Roman" w:hAnsi="Times New Roman" w:cs="Times New Roman"/>
          <w:sz w:val="28"/>
          <w:szCs w:val="28"/>
        </w:rPr>
        <w:t xml:space="preserve">), to establish maximum permissible levels in food. The European Commission and United States Food and Drug Administration (FDA) have set maximum limits for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apple products at 50 µg/kg for general products and 10–25 µg/kg for baby foods (Codex </w:t>
      </w:r>
      <w:proofErr w:type="spellStart"/>
      <w:r>
        <w:rPr>
          <w:rFonts w:ascii="Times New Roman" w:hAnsi="Times New Roman" w:cs="Times New Roman"/>
          <w:sz w:val="28"/>
          <w:szCs w:val="28"/>
        </w:rPr>
        <w:t>Alimentarius</w:t>
      </w:r>
      <w:proofErr w:type="spellEnd"/>
      <w:r>
        <w:rPr>
          <w:rFonts w:ascii="Times New Roman" w:hAnsi="Times New Roman" w:cs="Times New Roman"/>
          <w:sz w:val="28"/>
          <w:szCs w:val="28"/>
        </w:rPr>
        <w:t xml:space="preserve">, 2020). These standards reflect a precautionary approach grounded in toxicological risk assessment studies conducted over several decades. In the context of scientific studies aimed at evaluating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potency and toxicological impact, controlled laboratory production of the toxin is essential. The production process typically involves the </w:t>
      </w:r>
      <w:r>
        <w:rPr>
          <w:rFonts w:ascii="Times New Roman" w:hAnsi="Times New Roman" w:cs="Times New Roman"/>
          <w:sz w:val="28"/>
          <w:szCs w:val="28"/>
        </w:rPr>
        <w:lastRenderedPageBreak/>
        <w:t xml:space="preserve">cultivation of </w:t>
      </w:r>
      <w:proofErr w:type="spellStart"/>
      <w:r w:rsidRPr="007A378C">
        <w:rPr>
          <w:rFonts w:ascii="Times New Roman" w:hAnsi="Times New Roman" w:cs="Times New Roman"/>
          <w:i/>
          <w:iCs/>
          <w:sz w:val="28"/>
          <w:szCs w:val="28"/>
        </w:rPr>
        <w:t>Penicillium</w:t>
      </w:r>
      <w:proofErr w:type="spellEnd"/>
      <w:r w:rsidRPr="007A378C">
        <w:rPr>
          <w:rFonts w:ascii="Times New Roman" w:hAnsi="Times New Roman" w:cs="Times New Roman"/>
          <w:i/>
          <w:iCs/>
          <w:sz w:val="28"/>
          <w:szCs w:val="28"/>
        </w:rPr>
        <w:t xml:space="preserve"> </w:t>
      </w:r>
      <w:proofErr w:type="spellStart"/>
      <w:r w:rsidRPr="007A378C">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under optimized growth conditions that promote secondary metabolite synthesis. Low-cost production strategies have been developed to minimize expenses while maintaining yield and purity.</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on rodents, revealing that oral administration led to gastrointestinal disturbances, </w:t>
      </w:r>
      <w:proofErr w:type="spellStart"/>
      <w:r>
        <w:rPr>
          <w:rFonts w:ascii="Times New Roman" w:hAnsi="Times New Roman" w:cs="Times New Roman"/>
          <w:sz w:val="28"/>
          <w:szCs w:val="28"/>
        </w:rPr>
        <w:t>immunosuppression</w:t>
      </w:r>
      <w:proofErr w:type="spellEnd"/>
      <w:r>
        <w:rPr>
          <w:rFonts w:ascii="Times New Roman" w:hAnsi="Times New Roman" w:cs="Times New Roman"/>
          <w:sz w:val="28"/>
          <w:szCs w:val="28"/>
        </w:rPr>
        <w:t xml:space="preserve">, and neurotoxicity. A follow-up study by Wang et al. (2020) confirmed these findings, demonstrating that exposure to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at high doses caused oxidative stress and cellular apoptosis in rat liver and kidney tissues. Their study further identified a dose-dependent relationship, where higher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led to significant disruptions in metabolic and inflammatory pathways. In another notable experiment, Wu et al. (2019) administered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 mice and observed neurobehavioral changes, indicating that the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could affect cognitive functions. The study linked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to oxidative damage in the brain, reduced antioxidant enzyme activity, and increased levels of </w:t>
      </w:r>
      <w:r>
        <w:rPr>
          <w:rFonts w:ascii="Times New Roman" w:hAnsi="Times New Roman" w:cs="Times New Roman"/>
          <w:sz w:val="28"/>
          <w:szCs w:val="28"/>
        </w:rPr>
        <w:lastRenderedPageBreak/>
        <w:t xml:space="preserve">pro-inflammatory cytokines. Additionally, studies have investigated the </w:t>
      </w:r>
      <w:proofErr w:type="spellStart"/>
      <w:r>
        <w:rPr>
          <w:rFonts w:ascii="Times New Roman" w:hAnsi="Times New Roman" w:cs="Times New Roman"/>
          <w:sz w:val="28"/>
          <w:szCs w:val="28"/>
        </w:rPr>
        <w:t>teratogenic</w:t>
      </w:r>
      <w:proofErr w:type="spellEnd"/>
      <w:r>
        <w:rPr>
          <w:rFonts w:ascii="Times New Roman" w:hAnsi="Times New Roman" w:cs="Times New Roman"/>
          <w:sz w:val="28"/>
          <w:szCs w:val="28"/>
        </w:rPr>
        <w:t xml:space="preserve"> and reproductive effects of </w:t>
      </w:r>
      <w:proofErr w:type="spellStart"/>
      <w:r>
        <w:rPr>
          <w:rFonts w:ascii="Times New Roman" w:hAnsi="Times New Roman" w:cs="Times New Roman"/>
          <w:iCs/>
          <w:sz w:val="28"/>
          <w:szCs w:val="28"/>
        </w:rPr>
        <w:t>patuli</w:t>
      </w:r>
      <w:r>
        <w:rPr>
          <w:rFonts w:ascii="Times New Roman" w:hAnsi="Times New Roman" w:cs="Times New Roman"/>
          <w:i/>
          <w:iCs/>
          <w:sz w:val="28"/>
          <w:szCs w:val="28"/>
        </w:rPr>
        <w:t>n</w:t>
      </w:r>
      <w:proofErr w:type="spellEnd"/>
      <w:r>
        <w:rPr>
          <w:rFonts w:ascii="Times New Roman" w:hAnsi="Times New Roman" w:cs="Times New Roman"/>
          <w:sz w:val="28"/>
          <w:szCs w:val="28"/>
        </w:rPr>
        <w:t xml:space="preserve">. A study by Escobar et al. (2020) exposed pregnant rats to different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revealing developmental abnormalities in offspring, including growth retardation and organ malformations. This supports the theory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interferes with fetal development through endocrine disruption and DNA damage mechanisms. Further research by Huang et al. (2022) examined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modulates cytokine production, leading to immune system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In addition to animal models, in vitro studies using human and animal cell lines have provided insights into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toxicity at the cellular level. A study by Li et al. (2020) cultured human liver cells with varying concentrations of </w:t>
      </w:r>
      <w:proofErr w:type="spellStart"/>
      <w:r>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observed increased apoptosis, mitochondrial dysfunction, and DNA fragmentation. These results suggest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-induced </w:t>
      </w:r>
      <w:proofErr w:type="spellStart"/>
      <w:r>
        <w:rPr>
          <w:rFonts w:ascii="Times New Roman" w:hAnsi="Times New Roman" w:cs="Times New Roman"/>
          <w:sz w:val="28"/>
          <w:szCs w:val="28"/>
        </w:rPr>
        <w:t>hepatotoxicity</w:t>
      </w:r>
      <w:proofErr w:type="spellEnd"/>
      <w:r>
        <w:rPr>
          <w:rFonts w:ascii="Times New Roman" w:hAnsi="Times New Roman" w:cs="Times New Roman"/>
          <w:sz w:val="28"/>
          <w:szCs w:val="28"/>
        </w:rPr>
        <w:t xml:space="preserve"> may involve mitochondrial-mediated pathways, reinforcing the oxidative stress theory. Furthermore, research by Kim et al. (2019) found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disrupts tight junction proteins in intestinal epithelial cells, </w:t>
      </w:r>
      <w:r>
        <w:rPr>
          <w:rFonts w:ascii="Times New Roman" w:hAnsi="Times New Roman" w:cs="Times New Roman"/>
          <w:sz w:val="28"/>
          <w:szCs w:val="28"/>
        </w:rPr>
        <w:lastRenderedPageBreak/>
        <w:t xml:space="preserve">leading to increased intestinal permeability and gut inflammation. This supports the growing body of evidence linking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to gastrointestinal disorders.</w:t>
      </w:r>
    </w:p>
    <w:p w:rsidR="00BE21A0" w:rsidRDefault="00BE21A0" w:rsidP="00BE21A0">
      <w:pPr>
        <w:pStyle w:val="NormalWeb"/>
        <w:spacing w:line="480" w:lineRule="auto"/>
        <w:jc w:val="both"/>
        <w:rPr>
          <w:sz w:val="28"/>
          <w:szCs w:val="28"/>
        </w:rPr>
      </w:pPr>
      <w:r>
        <w:rPr>
          <w:sz w:val="28"/>
          <w:szCs w:val="28"/>
        </w:rPr>
        <w:t xml:space="preserve">Despite extensive research on </w:t>
      </w:r>
      <w:proofErr w:type="spellStart"/>
      <w:r>
        <w:rPr>
          <w:sz w:val="28"/>
          <w:szCs w:val="28"/>
        </w:rPr>
        <w:t>patulin</w:t>
      </w:r>
      <w:proofErr w:type="spellEnd"/>
      <w:r>
        <w:rPr>
          <w:sz w:val="28"/>
          <w:szCs w:val="28"/>
        </w:rPr>
        <w:t xml:space="preserve">, significant gaps remain regarding its biosynthesis, detection, toxicity mechanisms, mitigation strategies and the potency of toxin at different concentration. While studies have established that </w:t>
      </w:r>
      <w:proofErr w:type="spellStart"/>
      <w:r>
        <w:rPr>
          <w:rStyle w:val="Emphasis"/>
          <w:sz w:val="28"/>
          <w:szCs w:val="28"/>
        </w:rPr>
        <w:t>Penicillium</w:t>
      </w:r>
      <w:proofErr w:type="spellEnd"/>
      <w:r>
        <w:rPr>
          <w:rStyle w:val="Emphasis"/>
          <w:sz w:val="28"/>
          <w:szCs w:val="28"/>
        </w:rPr>
        <w:t xml:space="preserve"> </w:t>
      </w:r>
      <w:proofErr w:type="spellStart"/>
      <w:r>
        <w:rPr>
          <w:rStyle w:val="Emphasis"/>
          <w:sz w:val="28"/>
          <w:szCs w:val="28"/>
        </w:rPr>
        <w:t>expansum</w:t>
      </w:r>
      <w:proofErr w:type="spellEnd"/>
      <w:r>
        <w:rPr>
          <w:sz w:val="28"/>
          <w:szCs w:val="28"/>
        </w:rPr>
        <w:t xml:space="preserve"> is the primary producer of </w:t>
      </w:r>
      <w:proofErr w:type="spellStart"/>
      <w:r>
        <w:rPr>
          <w:sz w:val="28"/>
          <w:szCs w:val="28"/>
        </w:rPr>
        <w:t>patulin</w:t>
      </w:r>
      <w:proofErr w:type="spellEnd"/>
      <w:r>
        <w:rPr>
          <w:sz w:val="28"/>
          <w:szCs w:val="28"/>
        </w:rPr>
        <w:t xml:space="preserve">, recent research suggests that other fungal species, such as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w:t>
      </w:r>
      <w:proofErr w:type="spellStart"/>
      <w:r>
        <w:rPr>
          <w:sz w:val="28"/>
          <w:szCs w:val="28"/>
        </w:rPr>
        <w:t>patulin</w:t>
      </w:r>
      <w:proofErr w:type="spellEnd"/>
      <w:r>
        <w:rPr>
          <w:sz w:val="28"/>
          <w:szCs w:val="28"/>
        </w:rPr>
        <w:t xml:space="preserve"> production and how environmental factors influence toxin synthesis. Understanding these variations is crucial for improving food safety measures, especially in stored and processed fruits. Another critical research gap involves the precise molecular mechanisms underlying </w:t>
      </w:r>
      <w:proofErr w:type="spellStart"/>
      <w:r>
        <w:rPr>
          <w:iCs/>
          <w:sz w:val="28"/>
          <w:szCs w:val="28"/>
        </w:rPr>
        <w:t>patulin’s</w:t>
      </w:r>
      <w:proofErr w:type="spellEnd"/>
      <w:r>
        <w:rPr>
          <w:sz w:val="28"/>
          <w:szCs w:val="28"/>
        </w:rPr>
        <w:t xml:space="preserve"> toxicity. Studies have shown that </w:t>
      </w:r>
      <w:proofErr w:type="spellStart"/>
      <w:r>
        <w:rPr>
          <w:sz w:val="28"/>
          <w:szCs w:val="28"/>
        </w:rPr>
        <w:t>patulin</w:t>
      </w:r>
      <w:proofErr w:type="spellEnd"/>
      <w:r>
        <w:rPr>
          <w:sz w:val="28"/>
          <w:szCs w:val="28"/>
        </w:rPr>
        <w:t xml:space="preserve"> induces oxidative stress and apoptosis in mammalian cells, but the signaling pathways involved remain poorly defined (Zhang et al., 2021). For instance, while </w:t>
      </w:r>
      <w:proofErr w:type="spellStart"/>
      <w:r>
        <w:rPr>
          <w:sz w:val="28"/>
          <w:szCs w:val="28"/>
        </w:rPr>
        <w:t>patulin</w:t>
      </w:r>
      <w:proofErr w:type="spellEnd"/>
      <w:r>
        <w:rPr>
          <w:sz w:val="28"/>
          <w:szCs w:val="28"/>
        </w:rPr>
        <w:t xml:space="preserve"> has been </w:t>
      </w:r>
      <w:r>
        <w:rPr>
          <w:sz w:val="28"/>
          <w:szCs w:val="28"/>
        </w:rPr>
        <w:lastRenderedPageBreak/>
        <w:t xml:space="preserve">linked to mitochondrial dysfunction, the role of specific mitochondrial proteins in mediating its toxic effects requires further investigation. Additionally, the long-term effects of low-dose </w:t>
      </w:r>
      <w:proofErr w:type="spellStart"/>
      <w:r>
        <w:rPr>
          <w:sz w:val="28"/>
          <w:szCs w:val="28"/>
        </w:rPr>
        <w:t>patulin</w:t>
      </w:r>
      <w:proofErr w:type="spellEnd"/>
      <w:r>
        <w:rPr>
          <w:sz w:val="28"/>
          <w:szCs w:val="28"/>
        </w:rPr>
        <w:t xml:space="preserve"> exposure remain unclear, particularly regarding chronic diseases such as cancer and neurodegenerative disorders. Epidemiological studies assessing </w:t>
      </w:r>
      <w:proofErr w:type="spellStart"/>
      <w:r>
        <w:rPr>
          <w:iCs/>
          <w:sz w:val="28"/>
          <w:szCs w:val="28"/>
        </w:rPr>
        <w:t>patulin’s</w:t>
      </w:r>
      <w:proofErr w:type="spellEnd"/>
      <w:r>
        <w:rPr>
          <w:sz w:val="28"/>
          <w:szCs w:val="28"/>
        </w:rPr>
        <w:t xml:space="preserve"> cumulative impact on human health over time are lacking, making it difficult to establish definitive exposure limits. From a regulatory perspective, current </w:t>
      </w:r>
      <w:proofErr w:type="spellStart"/>
      <w:r>
        <w:rPr>
          <w:sz w:val="28"/>
          <w:szCs w:val="28"/>
        </w:rPr>
        <w:t>patulin</w:t>
      </w:r>
      <w:proofErr w:type="spellEnd"/>
      <w:r>
        <w:rPr>
          <w:sz w:val="28"/>
          <w:szCs w:val="28"/>
        </w:rPr>
        <w:t xml:space="preserve"> detection methods, such as high-performance liquid chromatography (</w:t>
      </w:r>
      <w:proofErr w:type="spellStart"/>
      <w:r>
        <w:rPr>
          <w:sz w:val="28"/>
          <w:szCs w:val="28"/>
        </w:rPr>
        <w:t>HPLC</w:t>
      </w:r>
      <w:proofErr w:type="spellEnd"/>
      <w:r>
        <w:rPr>
          <w:sz w:val="28"/>
          <w:szCs w:val="28"/>
        </w:rPr>
        <w:t xml:space="preserve">) and enzyme-linked </w:t>
      </w:r>
      <w:proofErr w:type="spellStart"/>
      <w:r>
        <w:rPr>
          <w:sz w:val="28"/>
          <w:szCs w:val="28"/>
        </w:rPr>
        <w:t>immunosorbent</w:t>
      </w:r>
      <w:proofErr w:type="spellEnd"/>
      <w:r>
        <w:rPr>
          <w:sz w:val="28"/>
          <w:szCs w:val="28"/>
        </w:rPr>
        <w:t xml:space="preserve">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proofErr w:type="spellStart"/>
      <w:r>
        <w:rPr>
          <w:iCs/>
          <w:sz w:val="28"/>
          <w:szCs w:val="28"/>
        </w:rPr>
        <w:t>patulin</w:t>
      </w:r>
      <w:proofErr w:type="spellEnd"/>
      <w:r>
        <w:rPr>
          <w:sz w:val="28"/>
          <w:szCs w:val="28"/>
        </w:rPr>
        <w:t xml:space="preserve"> vary across countries, creating inconsistencies in global food safety standards. A standardized international framework for </w:t>
      </w:r>
      <w:proofErr w:type="spellStart"/>
      <w:r>
        <w:rPr>
          <w:sz w:val="28"/>
          <w:szCs w:val="28"/>
        </w:rPr>
        <w:t>patulin</w:t>
      </w:r>
      <w:proofErr w:type="spellEnd"/>
      <w:r>
        <w:rPr>
          <w:sz w:val="28"/>
          <w:szCs w:val="28"/>
        </w:rPr>
        <w:t xml:space="preserve"> monitoring is necessary to ensure consumer protection. Although animal studies have </w:t>
      </w:r>
      <w:r>
        <w:rPr>
          <w:sz w:val="28"/>
          <w:szCs w:val="28"/>
        </w:rPr>
        <w:lastRenderedPageBreak/>
        <w:t xml:space="preserve">provided valuable insights into </w:t>
      </w:r>
      <w:proofErr w:type="spellStart"/>
      <w:r>
        <w:rPr>
          <w:sz w:val="28"/>
          <w:szCs w:val="28"/>
        </w:rPr>
        <w:t>patulin</w:t>
      </w:r>
      <w:proofErr w:type="spellEnd"/>
      <w:r>
        <w:rPr>
          <w:sz w:val="28"/>
          <w:szCs w:val="28"/>
        </w:rPr>
        <w:t xml:space="preserve"> toxicity, most research has focused on acute exposure scenarios rather than chronic, low-dose ingestion, which is more relevant to human consumption patterns. For instance, previous rat studies have demonstrated </w:t>
      </w:r>
      <w:proofErr w:type="spellStart"/>
      <w:r>
        <w:rPr>
          <w:sz w:val="28"/>
          <w:szCs w:val="28"/>
        </w:rPr>
        <w:t>hepatotoxicity</w:t>
      </w:r>
      <w:proofErr w:type="spellEnd"/>
      <w:r>
        <w:rPr>
          <w:sz w:val="28"/>
          <w:szCs w:val="28"/>
        </w:rPr>
        <w:t xml:space="preserve">, </w:t>
      </w:r>
      <w:proofErr w:type="spellStart"/>
      <w:r>
        <w:rPr>
          <w:sz w:val="28"/>
          <w:szCs w:val="28"/>
        </w:rPr>
        <w:t>nephrotoxicity</w:t>
      </w:r>
      <w:proofErr w:type="spellEnd"/>
      <w:r>
        <w:rPr>
          <w:sz w:val="28"/>
          <w:szCs w:val="28"/>
        </w:rPr>
        <w:t xml:space="preserve">,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w:t>
      </w:r>
      <w:proofErr w:type="spellStart"/>
      <w:r>
        <w:rPr>
          <w:sz w:val="28"/>
          <w:szCs w:val="28"/>
        </w:rPr>
        <w:t>patulin’s</w:t>
      </w:r>
      <w:proofErr w:type="spellEnd"/>
      <w:r>
        <w:rPr>
          <w:sz w:val="28"/>
          <w:szCs w:val="28"/>
        </w:rPr>
        <w:t xml:space="preserve"> harmful effects. Another gap in existing research is the lack of comprehensive in vivo studies on the impact of </w:t>
      </w:r>
      <w:proofErr w:type="spellStart"/>
      <w:r>
        <w:rPr>
          <w:iCs/>
          <w:sz w:val="28"/>
          <w:szCs w:val="28"/>
        </w:rPr>
        <w:t>patulin</w:t>
      </w:r>
      <w:proofErr w:type="spellEnd"/>
      <w:r>
        <w:rPr>
          <w:sz w:val="28"/>
          <w:szCs w:val="28"/>
        </w:rPr>
        <w:t xml:space="preserve"> on the gut </w:t>
      </w:r>
      <w:proofErr w:type="spellStart"/>
      <w:r>
        <w:rPr>
          <w:sz w:val="28"/>
          <w:szCs w:val="28"/>
        </w:rPr>
        <w:t>microbiome</w:t>
      </w:r>
      <w:proofErr w:type="spellEnd"/>
      <w:r>
        <w:rPr>
          <w:sz w:val="28"/>
          <w:szCs w:val="28"/>
        </w:rPr>
        <w:t xml:space="preserve">. Recent studies have suggested that </w:t>
      </w:r>
      <w:proofErr w:type="spellStart"/>
      <w:r>
        <w:rPr>
          <w:sz w:val="28"/>
          <w:szCs w:val="28"/>
        </w:rPr>
        <w:t>mycotoxins</w:t>
      </w:r>
      <w:proofErr w:type="spellEnd"/>
      <w:r>
        <w:rPr>
          <w:sz w:val="28"/>
          <w:szCs w:val="28"/>
        </w:rPr>
        <w:t xml:space="preserve"> can disrupt gut microbial diversity, leading to metabolic disorders and immune </w:t>
      </w:r>
      <w:proofErr w:type="spellStart"/>
      <w:r>
        <w:rPr>
          <w:sz w:val="28"/>
          <w:szCs w:val="28"/>
        </w:rPr>
        <w:t>dysregulation</w:t>
      </w:r>
      <w:proofErr w:type="spellEnd"/>
      <w:r>
        <w:rPr>
          <w:sz w:val="28"/>
          <w:szCs w:val="28"/>
        </w:rPr>
        <w:t xml:space="preserve"> (Huang et al., 2022). However, few studies have directly investigated how </w:t>
      </w:r>
      <w:proofErr w:type="spellStart"/>
      <w:r w:rsidRPr="000D51BE">
        <w:rPr>
          <w:iCs/>
          <w:sz w:val="28"/>
          <w:szCs w:val="28"/>
        </w:rPr>
        <w:t>patulin</w:t>
      </w:r>
      <w:proofErr w:type="spellEnd"/>
      <w:r>
        <w:rPr>
          <w:sz w:val="28"/>
          <w:szCs w:val="28"/>
        </w:rPr>
        <w:t xml:space="preserve"> affects the gut </w:t>
      </w:r>
      <w:proofErr w:type="spellStart"/>
      <w:r>
        <w:rPr>
          <w:sz w:val="28"/>
          <w:szCs w:val="28"/>
        </w:rPr>
        <w:t>microbiota</w:t>
      </w:r>
      <w:proofErr w:type="spellEnd"/>
      <w:r>
        <w:rPr>
          <w:sz w:val="28"/>
          <w:szCs w:val="28"/>
        </w:rPr>
        <w:t xml:space="preserve"> and whether </w:t>
      </w:r>
      <w:proofErr w:type="spellStart"/>
      <w:r>
        <w:rPr>
          <w:sz w:val="28"/>
          <w:szCs w:val="28"/>
        </w:rPr>
        <w:t>probiotics</w:t>
      </w:r>
      <w:proofErr w:type="spellEnd"/>
      <w:r>
        <w:rPr>
          <w:sz w:val="28"/>
          <w:szCs w:val="28"/>
        </w:rPr>
        <w:t xml:space="preserve"> or dietary interventions could counteract its toxicity. Addressing this gap could open new avenues for developing dietary strategies to reduce </w:t>
      </w:r>
      <w:proofErr w:type="spellStart"/>
      <w:r w:rsidRPr="000D51BE">
        <w:rPr>
          <w:iCs/>
          <w:sz w:val="28"/>
          <w:szCs w:val="28"/>
        </w:rPr>
        <w:t>patulin’s</w:t>
      </w:r>
      <w:proofErr w:type="spellEnd"/>
      <w:r>
        <w:rPr>
          <w:sz w:val="28"/>
          <w:szCs w:val="28"/>
        </w:rPr>
        <w:t xml:space="preserve"> impact on human health. To bridge these gaps, future research should focus on developing more accurate and cost-effective </w:t>
      </w:r>
      <w:r>
        <w:rPr>
          <w:sz w:val="28"/>
          <w:szCs w:val="28"/>
        </w:rPr>
        <w:lastRenderedPageBreak/>
        <w:t xml:space="preserve">detection methods, particularly rapid on-site testing kits that could be implemented at various points in the food supply chain. Additionally, more studies are needed to assess the combined effects of </w:t>
      </w:r>
      <w:proofErr w:type="spellStart"/>
      <w:r>
        <w:rPr>
          <w:sz w:val="28"/>
          <w:szCs w:val="28"/>
        </w:rPr>
        <w:t>patulin</w:t>
      </w:r>
      <w:proofErr w:type="spellEnd"/>
      <w:r>
        <w:rPr>
          <w:sz w:val="28"/>
          <w:szCs w:val="28"/>
        </w:rPr>
        <w:t xml:space="preserve"> with other </w:t>
      </w:r>
      <w:proofErr w:type="spellStart"/>
      <w:r>
        <w:rPr>
          <w:sz w:val="28"/>
          <w:szCs w:val="28"/>
        </w:rPr>
        <w:t>mycotoxins</w:t>
      </w:r>
      <w:proofErr w:type="spellEnd"/>
      <w:r>
        <w:rPr>
          <w:sz w:val="28"/>
          <w:szCs w:val="28"/>
        </w:rPr>
        <w:t xml:space="preserve">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w:t>
      </w:r>
      <w:proofErr w:type="spellStart"/>
      <w:r>
        <w:rPr>
          <w:sz w:val="28"/>
          <w:szCs w:val="28"/>
        </w:rPr>
        <w:t>biocontrol</w:t>
      </w:r>
      <w:proofErr w:type="spellEnd"/>
      <w:r>
        <w:rPr>
          <w:sz w:val="28"/>
          <w:szCs w:val="28"/>
        </w:rPr>
        <w:t xml:space="preserve"> agents, should be expanded (Kim et al., 2019). Investigating the efficacy and safety of these alternative approaches could provide sustainable solutions for reducing </w:t>
      </w:r>
      <w:proofErr w:type="spellStart"/>
      <w:r>
        <w:rPr>
          <w:sz w:val="28"/>
          <w:szCs w:val="28"/>
        </w:rPr>
        <w:t>patulin</w:t>
      </w:r>
      <w:proofErr w:type="spellEnd"/>
      <w:r>
        <w:rPr>
          <w:sz w:val="28"/>
          <w:szCs w:val="28"/>
        </w:rPr>
        <w:t xml:space="preserve"> contamination in food products. Overall, addressing these research gaps will enhance our understanding of </w:t>
      </w:r>
      <w:proofErr w:type="spellStart"/>
      <w:r w:rsidRPr="002C6DEA">
        <w:rPr>
          <w:iCs/>
          <w:sz w:val="28"/>
          <w:szCs w:val="28"/>
        </w:rPr>
        <w:t>patulin’s</w:t>
      </w:r>
      <w:r>
        <w:rPr>
          <w:sz w:val="28"/>
          <w:szCs w:val="28"/>
        </w:rPr>
        <w:t>risks</w:t>
      </w:r>
      <w:proofErr w:type="spellEnd"/>
      <w:r>
        <w:rPr>
          <w:sz w:val="28"/>
          <w:szCs w:val="28"/>
        </w:rPr>
        <w:t xml:space="preserve"> and contribute to the development of more effective prevention and mitigation strategies.</w:t>
      </w:r>
    </w:p>
    <w:p w:rsidR="00BE21A0" w:rsidRDefault="00BE21A0" w:rsidP="00BE21A0">
      <w:pPr>
        <w:pStyle w:val="NormalWeb"/>
        <w:spacing w:line="480" w:lineRule="auto"/>
        <w:jc w:val="both"/>
        <w:rPr>
          <w:sz w:val="28"/>
          <w:szCs w:val="28"/>
        </w:rPr>
      </w:pPr>
      <w:r>
        <w:rPr>
          <w:sz w:val="28"/>
          <w:szCs w:val="28"/>
        </w:rPr>
        <w:t xml:space="preserve">Given the identified research gaps in </w:t>
      </w:r>
      <w:proofErr w:type="spellStart"/>
      <w:r>
        <w:rPr>
          <w:sz w:val="28"/>
          <w:szCs w:val="28"/>
        </w:rPr>
        <w:t>patulin</w:t>
      </w:r>
      <w:proofErr w:type="spellEnd"/>
      <w:r>
        <w:rPr>
          <w:sz w:val="28"/>
          <w:szCs w:val="28"/>
        </w:rPr>
        <w:t xml:space="preserve"> studies, targeted approaches are necessary to improve our understanding of its biosynthesis, detection, toxicity mechanisms, and mitigation strategies. Addressing these gaps will </w:t>
      </w:r>
      <w:r>
        <w:rPr>
          <w:sz w:val="28"/>
          <w:szCs w:val="28"/>
        </w:rPr>
        <w:lastRenderedPageBreak/>
        <w:t xml:space="preserve">not only enhance food safety but also provide critical insights into the long-term health implications of </w:t>
      </w:r>
      <w:proofErr w:type="spellStart"/>
      <w:r>
        <w:rPr>
          <w:sz w:val="28"/>
          <w:szCs w:val="28"/>
        </w:rPr>
        <w:t>patulin</w:t>
      </w:r>
      <w:proofErr w:type="spellEnd"/>
      <w:r>
        <w:rPr>
          <w:sz w:val="28"/>
          <w:szCs w:val="28"/>
        </w:rPr>
        <w:t xml:space="preserve"> exposure. Although </w:t>
      </w:r>
      <w:proofErr w:type="spellStart"/>
      <w:r>
        <w:rPr>
          <w:i/>
          <w:iCs/>
          <w:sz w:val="28"/>
          <w:szCs w:val="28"/>
        </w:rPr>
        <w:t>Penicilliumexpansum</w:t>
      </w:r>
      <w:proofErr w:type="spellEnd"/>
      <w:r>
        <w:rPr>
          <w:sz w:val="28"/>
          <w:szCs w:val="28"/>
        </w:rPr>
        <w:t xml:space="preserve"> is the primary producer of </w:t>
      </w:r>
      <w:proofErr w:type="spellStart"/>
      <w:r>
        <w:rPr>
          <w:sz w:val="28"/>
          <w:szCs w:val="28"/>
        </w:rPr>
        <w:t>patulin</w:t>
      </w:r>
      <w:proofErr w:type="spellEnd"/>
      <w:r>
        <w:rPr>
          <w:sz w:val="28"/>
          <w:szCs w:val="28"/>
        </w:rPr>
        <w:t xml:space="preserve">, emerging studies indicate that other fungal species, such as </w:t>
      </w:r>
      <w:proofErr w:type="spellStart"/>
      <w:r>
        <w:rPr>
          <w:i/>
          <w:iCs/>
          <w:sz w:val="28"/>
          <w:szCs w:val="28"/>
        </w:rPr>
        <w:t>Aspergillus</w:t>
      </w:r>
      <w:proofErr w:type="spellEnd"/>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w:t>
      </w:r>
      <w:proofErr w:type="spellStart"/>
      <w:r>
        <w:rPr>
          <w:sz w:val="28"/>
          <w:szCs w:val="28"/>
        </w:rPr>
        <w:t>patulin</w:t>
      </w:r>
      <w:proofErr w:type="spellEnd"/>
      <w:r>
        <w:rPr>
          <w:sz w:val="28"/>
          <w:szCs w:val="28"/>
        </w:rPr>
        <w:t xml:space="preserve">, their impact on food safety, and their potential interaction with other microorganisms. Advanced genomic and </w:t>
      </w:r>
      <w:proofErr w:type="spellStart"/>
      <w:r>
        <w:rPr>
          <w:sz w:val="28"/>
          <w:szCs w:val="28"/>
        </w:rPr>
        <w:t>metabolomic</w:t>
      </w:r>
      <w:proofErr w:type="spellEnd"/>
      <w:r>
        <w:rPr>
          <w:sz w:val="28"/>
          <w:szCs w:val="28"/>
        </w:rPr>
        <w:t xml:space="preserve"> studies could help elucidate the biosynthetic pathways involved in </w:t>
      </w:r>
      <w:proofErr w:type="spellStart"/>
      <w:r>
        <w:rPr>
          <w:sz w:val="28"/>
          <w:szCs w:val="28"/>
        </w:rPr>
        <w:t>patulin</w:t>
      </w:r>
      <w:proofErr w:type="spellEnd"/>
      <w:r>
        <w:rPr>
          <w:sz w:val="28"/>
          <w:szCs w:val="28"/>
        </w:rPr>
        <w:t xml:space="preserve"> production in these alternative fungi, allowing for better contamination control strategies. Although </w:t>
      </w:r>
      <w:proofErr w:type="spellStart"/>
      <w:r>
        <w:rPr>
          <w:sz w:val="28"/>
          <w:szCs w:val="28"/>
        </w:rPr>
        <w:t>patulin</w:t>
      </w:r>
      <w:proofErr w:type="spellEnd"/>
      <w:r>
        <w:rPr>
          <w:sz w:val="28"/>
          <w:szCs w:val="28"/>
        </w:rPr>
        <w:t xml:space="preserve">-induced oxidative stress and apoptosis in mammalian cells have been documented, the exact signaling pathways and molecular targets remain poorly understood (Zhang et al., 2021). Further research using </w:t>
      </w:r>
      <w:proofErr w:type="spellStart"/>
      <w:r>
        <w:rPr>
          <w:sz w:val="28"/>
          <w:szCs w:val="28"/>
        </w:rPr>
        <w:t>omics</w:t>
      </w:r>
      <w:proofErr w:type="spellEnd"/>
      <w:r>
        <w:rPr>
          <w:sz w:val="28"/>
          <w:szCs w:val="28"/>
        </w:rPr>
        <w:t xml:space="preserve">-based approaches, such as </w:t>
      </w:r>
      <w:proofErr w:type="spellStart"/>
      <w:r>
        <w:rPr>
          <w:sz w:val="28"/>
          <w:szCs w:val="28"/>
        </w:rPr>
        <w:t>transcriptomics</w:t>
      </w:r>
      <w:proofErr w:type="spellEnd"/>
      <w:r>
        <w:rPr>
          <w:sz w:val="28"/>
          <w:szCs w:val="28"/>
        </w:rPr>
        <w:t xml:space="preserve"> and proteomics, could help map the cellular responses to </w:t>
      </w:r>
      <w:proofErr w:type="spellStart"/>
      <w:r>
        <w:rPr>
          <w:sz w:val="28"/>
          <w:szCs w:val="28"/>
        </w:rPr>
        <w:t>patulin</w:t>
      </w:r>
      <w:proofErr w:type="spellEnd"/>
      <w:r>
        <w:rPr>
          <w:sz w:val="28"/>
          <w:szCs w:val="28"/>
        </w:rPr>
        <w:t xml:space="preserve"> exposure. In particular, studies should focus on identifying key mitochondrial proteins involved in </w:t>
      </w:r>
      <w:proofErr w:type="spellStart"/>
      <w:r>
        <w:rPr>
          <w:sz w:val="28"/>
          <w:szCs w:val="28"/>
        </w:rPr>
        <w:t>patulin</w:t>
      </w:r>
      <w:proofErr w:type="spellEnd"/>
      <w:r>
        <w:rPr>
          <w:sz w:val="28"/>
          <w:szCs w:val="28"/>
        </w:rPr>
        <w:t xml:space="preserve">-induced toxicity, as this could provide insights into potential therapeutic interventions to counteract its effects. Additionally, </w:t>
      </w:r>
      <w:r>
        <w:rPr>
          <w:sz w:val="28"/>
          <w:szCs w:val="28"/>
        </w:rPr>
        <w:lastRenderedPageBreak/>
        <w:t xml:space="preserve">while epidemiological studies have established that </w:t>
      </w:r>
      <w:proofErr w:type="spellStart"/>
      <w:r>
        <w:rPr>
          <w:sz w:val="28"/>
          <w:szCs w:val="28"/>
        </w:rPr>
        <w:t>patulin</w:t>
      </w:r>
      <w:proofErr w:type="spellEnd"/>
      <w:r>
        <w:rPr>
          <w:sz w:val="28"/>
          <w:szCs w:val="28"/>
        </w:rPr>
        <w:t xml:space="preserve">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high-performance liquid chromatography(</w:t>
      </w:r>
      <w:proofErr w:type="spellStart"/>
      <w:r>
        <w:rPr>
          <w:sz w:val="28"/>
          <w:szCs w:val="28"/>
        </w:rPr>
        <w:t>HPLC</w:t>
      </w:r>
      <w:proofErr w:type="spellEnd"/>
      <w:r>
        <w:rPr>
          <w:sz w:val="28"/>
          <w:szCs w:val="28"/>
        </w:rPr>
        <w:t xml:space="preserve">) and enzyme-linked </w:t>
      </w:r>
      <w:proofErr w:type="spellStart"/>
      <w:r>
        <w:rPr>
          <w:sz w:val="28"/>
          <w:szCs w:val="28"/>
        </w:rPr>
        <w:t>immunosorbent</w:t>
      </w:r>
      <w:proofErr w:type="spellEnd"/>
      <w:r>
        <w:rPr>
          <w:sz w:val="28"/>
          <w:szCs w:val="28"/>
        </w:rPr>
        <w:t xml:space="preserve"> assays(ELISA),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w:t>
      </w:r>
      <w:proofErr w:type="spellStart"/>
      <w:r>
        <w:rPr>
          <w:sz w:val="28"/>
          <w:szCs w:val="28"/>
        </w:rPr>
        <w:t>patulin</w:t>
      </w:r>
      <w:proofErr w:type="spellEnd"/>
      <w:r>
        <w:rPr>
          <w:sz w:val="28"/>
          <w:szCs w:val="28"/>
        </w:rPr>
        <w:t xml:space="preserve"> in food products would significantly enhance food safety measures. Moreover, global regulatory standards for </w:t>
      </w:r>
      <w:proofErr w:type="spellStart"/>
      <w:r>
        <w:rPr>
          <w:sz w:val="28"/>
          <w:szCs w:val="28"/>
        </w:rPr>
        <w:t>patulin</w:t>
      </w:r>
      <w:proofErr w:type="spellEnd"/>
      <w:r>
        <w:rPr>
          <w:sz w:val="28"/>
          <w:szCs w:val="28"/>
        </w:rPr>
        <w:t xml:space="preserve"> vary, creating inconsistencies in food safety enforcement. Standardizing international </w:t>
      </w:r>
      <w:proofErr w:type="spellStart"/>
      <w:r>
        <w:rPr>
          <w:sz w:val="28"/>
          <w:szCs w:val="28"/>
        </w:rPr>
        <w:t>patulin</w:t>
      </w:r>
      <w:proofErr w:type="spellEnd"/>
      <w:r>
        <w:rPr>
          <w:sz w:val="28"/>
          <w:szCs w:val="28"/>
        </w:rPr>
        <w:t xml:space="preserve"> regulations based on updated toxicological data and risk assessments would help protect consumers worldwide. Collaborative efforts between food safety authorities, </w:t>
      </w:r>
      <w:r>
        <w:rPr>
          <w:sz w:val="28"/>
          <w:szCs w:val="28"/>
        </w:rPr>
        <w:lastRenderedPageBreak/>
        <w:t xml:space="preserve">research institutions, and policymakers are needed to achieve this goal. Recent research suggests that </w:t>
      </w:r>
      <w:proofErr w:type="spellStart"/>
      <w:r>
        <w:rPr>
          <w:sz w:val="28"/>
          <w:szCs w:val="28"/>
        </w:rPr>
        <w:t>mycotoxins</w:t>
      </w:r>
      <w:proofErr w:type="spellEnd"/>
      <w:r>
        <w:rPr>
          <w:sz w:val="28"/>
          <w:szCs w:val="28"/>
        </w:rPr>
        <w:t xml:space="preserve"> can disrupt the gut </w:t>
      </w:r>
      <w:proofErr w:type="spellStart"/>
      <w:r>
        <w:rPr>
          <w:sz w:val="28"/>
          <w:szCs w:val="28"/>
        </w:rPr>
        <w:t>microbiota</w:t>
      </w:r>
      <w:proofErr w:type="spellEnd"/>
      <w:r>
        <w:rPr>
          <w:sz w:val="28"/>
          <w:szCs w:val="28"/>
        </w:rPr>
        <w:t xml:space="preserve">, potentially leading to metabolic disorders and immune dysfunction (Huang et al., 2022). However, little is known about </w:t>
      </w:r>
      <w:proofErr w:type="spellStart"/>
      <w:r w:rsidRPr="00B503E2">
        <w:rPr>
          <w:iCs/>
          <w:sz w:val="28"/>
          <w:szCs w:val="28"/>
        </w:rPr>
        <w:t>patulin’s</w:t>
      </w:r>
      <w:r>
        <w:rPr>
          <w:sz w:val="28"/>
          <w:szCs w:val="28"/>
        </w:rPr>
        <w:t>direct</w:t>
      </w:r>
      <w:proofErr w:type="spellEnd"/>
      <w:r>
        <w:rPr>
          <w:sz w:val="28"/>
          <w:szCs w:val="28"/>
        </w:rPr>
        <w:t xml:space="preserve"> effects on gut microbial composition and function. Future studies should employ </w:t>
      </w:r>
      <w:proofErr w:type="spellStart"/>
      <w:r>
        <w:rPr>
          <w:sz w:val="28"/>
          <w:szCs w:val="28"/>
        </w:rPr>
        <w:t>metagenomic</w:t>
      </w:r>
      <w:proofErr w:type="spellEnd"/>
      <w:r>
        <w:rPr>
          <w:sz w:val="28"/>
          <w:szCs w:val="28"/>
        </w:rPr>
        <w:t xml:space="preserve"> sequencing and </w:t>
      </w:r>
      <w:proofErr w:type="spellStart"/>
      <w:r>
        <w:rPr>
          <w:sz w:val="28"/>
          <w:szCs w:val="28"/>
        </w:rPr>
        <w:t>microbiome</w:t>
      </w:r>
      <w:proofErr w:type="spellEnd"/>
      <w:r>
        <w:rPr>
          <w:sz w:val="28"/>
          <w:szCs w:val="28"/>
        </w:rPr>
        <w:t xml:space="preserve"> profiling to assess how </w:t>
      </w:r>
      <w:proofErr w:type="spellStart"/>
      <w:r w:rsidRPr="00B503E2">
        <w:rPr>
          <w:iCs/>
          <w:sz w:val="28"/>
          <w:szCs w:val="28"/>
        </w:rPr>
        <w:t>patulin</w:t>
      </w:r>
      <w:proofErr w:type="spellEnd"/>
      <w:r>
        <w:rPr>
          <w:sz w:val="28"/>
          <w:szCs w:val="28"/>
        </w:rPr>
        <w:t xml:space="preserve"> alters gut microbial diversity, whether certain bacteria can degrade </w:t>
      </w:r>
      <w:proofErr w:type="spellStart"/>
      <w:r>
        <w:rPr>
          <w:sz w:val="28"/>
          <w:szCs w:val="28"/>
        </w:rPr>
        <w:t>patulin</w:t>
      </w:r>
      <w:proofErr w:type="spellEnd"/>
      <w:r>
        <w:rPr>
          <w:sz w:val="28"/>
          <w:szCs w:val="28"/>
        </w:rPr>
        <w:t xml:space="preserve">, and whether </w:t>
      </w:r>
      <w:proofErr w:type="spellStart"/>
      <w:r>
        <w:rPr>
          <w:sz w:val="28"/>
          <w:szCs w:val="28"/>
        </w:rPr>
        <w:t>probiotics</w:t>
      </w:r>
      <w:proofErr w:type="spellEnd"/>
      <w:r>
        <w:rPr>
          <w:sz w:val="28"/>
          <w:szCs w:val="28"/>
        </w:rPr>
        <w:t xml:space="preserve"> or dietary interventions could mitigate its toxicity. This could lead to novel strategies for reducing </w:t>
      </w:r>
      <w:proofErr w:type="spellStart"/>
      <w:r w:rsidRPr="00B503E2">
        <w:rPr>
          <w:iCs/>
          <w:sz w:val="28"/>
          <w:szCs w:val="28"/>
        </w:rPr>
        <w:t>patulin’s</w:t>
      </w:r>
      <w:proofErr w:type="spellEnd"/>
      <w:r>
        <w:rPr>
          <w:sz w:val="28"/>
          <w:szCs w:val="28"/>
        </w:rPr>
        <w:t xml:space="preserve"> impact on human health. Most animal model studies on </w:t>
      </w:r>
      <w:proofErr w:type="spellStart"/>
      <w:r>
        <w:rPr>
          <w:sz w:val="28"/>
          <w:szCs w:val="28"/>
        </w:rPr>
        <w:t>patulin</w:t>
      </w:r>
      <w:proofErr w:type="spellEnd"/>
      <w:r>
        <w:rPr>
          <w:sz w:val="28"/>
          <w:szCs w:val="28"/>
        </w:rPr>
        <w:t xml:space="preserve"> have focused on acute high-dose exposure rather than chronic low-dose ingestion, which </w:t>
      </w:r>
      <w:proofErr w:type="gramStart"/>
      <w:r>
        <w:rPr>
          <w:sz w:val="28"/>
          <w:szCs w:val="28"/>
        </w:rPr>
        <w:t>is</w:t>
      </w:r>
      <w:proofErr w:type="gramEnd"/>
      <w:r>
        <w:rPr>
          <w:sz w:val="28"/>
          <w:szCs w:val="28"/>
        </w:rPr>
        <w:t xml:space="preserve"> more relevant to real-world consumption patterns (Wu et al., 2019). Future studies should adopt long-term, low-dose exposure models to assess the cumulative effects of </w:t>
      </w:r>
      <w:proofErr w:type="spellStart"/>
      <w:r w:rsidRPr="00B503E2">
        <w:rPr>
          <w:iCs/>
          <w:sz w:val="28"/>
          <w:szCs w:val="28"/>
        </w:rPr>
        <w:t>patulin</w:t>
      </w:r>
      <w:proofErr w:type="spellEnd"/>
      <w:r>
        <w:rPr>
          <w:sz w:val="28"/>
          <w:szCs w:val="28"/>
        </w:rPr>
        <w:t xml:space="preserve"> on organ function, immune responses, and metabolic pathways. These studies should also explore potential adaptive mechanisms that animals or humans may develop in response to prolonged </w:t>
      </w:r>
      <w:proofErr w:type="spellStart"/>
      <w:r>
        <w:rPr>
          <w:sz w:val="28"/>
          <w:szCs w:val="28"/>
        </w:rPr>
        <w:t>patulin</w:t>
      </w:r>
      <w:proofErr w:type="spellEnd"/>
      <w:r>
        <w:rPr>
          <w:sz w:val="28"/>
          <w:szCs w:val="28"/>
        </w:rPr>
        <w:t xml:space="preserve"> exposure. Additionally, expanding research on the </w:t>
      </w:r>
      <w:proofErr w:type="spellStart"/>
      <w:r>
        <w:rPr>
          <w:sz w:val="28"/>
          <w:szCs w:val="28"/>
        </w:rPr>
        <w:t>teratogenic</w:t>
      </w:r>
      <w:proofErr w:type="spellEnd"/>
      <w:r>
        <w:rPr>
          <w:sz w:val="28"/>
          <w:szCs w:val="28"/>
        </w:rPr>
        <w:t xml:space="preserve"> and </w:t>
      </w:r>
      <w:proofErr w:type="spellStart"/>
      <w:r>
        <w:rPr>
          <w:sz w:val="28"/>
          <w:szCs w:val="28"/>
        </w:rPr>
        <w:t>immunotoxic</w:t>
      </w:r>
      <w:proofErr w:type="spellEnd"/>
      <w:r>
        <w:rPr>
          <w:sz w:val="28"/>
          <w:szCs w:val="28"/>
        </w:rPr>
        <w:t xml:space="preserve"> effects of </w:t>
      </w:r>
      <w:proofErr w:type="spellStart"/>
      <w:r w:rsidRPr="00B503E2">
        <w:rPr>
          <w:iCs/>
          <w:sz w:val="28"/>
          <w:szCs w:val="28"/>
        </w:rPr>
        <w:t>patulin</w:t>
      </w:r>
      <w:r>
        <w:rPr>
          <w:sz w:val="28"/>
          <w:szCs w:val="28"/>
        </w:rPr>
        <w:t>in</w:t>
      </w:r>
      <w:proofErr w:type="spellEnd"/>
      <w:r>
        <w:rPr>
          <w:sz w:val="28"/>
          <w:szCs w:val="28"/>
        </w:rPr>
        <w:t xml:space="preserve"> animal models is crucial. Studies should </w:t>
      </w:r>
      <w:r>
        <w:rPr>
          <w:sz w:val="28"/>
          <w:szCs w:val="28"/>
        </w:rPr>
        <w:lastRenderedPageBreak/>
        <w:t xml:space="preserve">investigate how </w:t>
      </w:r>
      <w:proofErr w:type="spellStart"/>
      <w:r>
        <w:rPr>
          <w:sz w:val="28"/>
          <w:szCs w:val="28"/>
        </w:rPr>
        <w:t>patulin</w:t>
      </w:r>
      <w:proofErr w:type="spellEnd"/>
      <w:r>
        <w:rPr>
          <w:sz w:val="28"/>
          <w:szCs w:val="28"/>
        </w:rPr>
        <w:t xml:space="preserve"> affects reproductive health, fetal development, and immune system regulation, providing further insight into its risks for vulnerable populations, such as pregnant women and young children. Current mitigation strategies for </w:t>
      </w:r>
      <w:proofErr w:type="spellStart"/>
      <w:r>
        <w:rPr>
          <w:sz w:val="28"/>
          <w:szCs w:val="28"/>
        </w:rPr>
        <w:t>patulin</w:t>
      </w:r>
      <w:proofErr w:type="spellEnd"/>
      <w:r>
        <w:rPr>
          <w:sz w:val="28"/>
          <w:szCs w:val="28"/>
        </w:rPr>
        <w:t xml:space="preserve">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w:t>
      </w:r>
      <w:proofErr w:type="spellStart"/>
      <w:r>
        <w:rPr>
          <w:sz w:val="28"/>
          <w:szCs w:val="28"/>
        </w:rPr>
        <w:t>biocontrol</w:t>
      </w:r>
      <w:proofErr w:type="spellEnd"/>
      <w:r>
        <w:rPr>
          <w:sz w:val="28"/>
          <w:szCs w:val="28"/>
        </w:rPr>
        <w:t xml:space="preserve"> agents, or enzymatic degradation, could offer sustainable solutions for controlling </w:t>
      </w:r>
      <w:proofErr w:type="spellStart"/>
      <w:r>
        <w:rPr>
          <w:sz w:val="28"/>
          <w:szCs w:val="28"/>
        </w:rPr>
        <w:t>patulin</w:t>
      </w:r>
      <w:proofErr w:type="spellEnd"/>
      <w:r>
        <w:rPr>
          <w:sz w:val="28"/>
          <w:szCs w:val="28"/>
        </w:rPr>
        <w:t xml:space="preserve"> contamination (Kim et al., 2019). Further research is needed to evaluate the efficacy, safety, and practical application of these alternative approaches.</w:t>
      </w:r>
    </w:p>
    <w:p w:rsidR="00BE21A0" w:rsidRDefault="00BE21A0" w:rsidP="00BE21A0">
      <w:pPr>
        <w:pStyle w:val="NormalWeb"/>
        <w:spacing w:line="480" w:lineRule="auto"/>
        <w:jc w:val="both"/>
        <w:rPr>
          <w:sz w:val="28"/>
          <w:szCs w:val="28"/>
        </w:rPr>
      </w:pPr>
      <w:r>
        <w:rPr>
          <w:sz w:val="28"/>
          <w:szCs w:val="28"/>
        </w:rPr>
        <w:t xml:space="preserve">1.2 STATEMENT OF PROBLEM </w:t>
      </w:r>
    </w:p>
    <w:p w:rsidR="00BE21A0" w:rsidRDefault="00BE21A0" w:rsidP="00BE21A0">
      <w:pPr>
        <w:pStyle w:val="NormalWeb"/>
        <w:numPr>
          <w:ilvl w:val="0"/>
          <w:numId w:val="7"/>
        </w:numPr>
        <w:spacing w:line="480" w:lineRule="auto"/>
        <w:jc w:val="both"/>
        <w:rPr>
          <w:sz w:val="28"/>
          <w:szCs w:val="28"/>
        </w:rPr>
      </w:pPr>
      <w:r>
        <w:rPr>
          <w:sz w:val="28"/>
          <w:szCs w:val="28"/>
        </w:rPr>
        <w:t xml:space="preserve">Despite global awareness of </w:t>
      </w:r>
      <w:proofErr w:type="spellStart"/>
      <w:r>
        <w:rPr>
          <w:sz w:val="28"/>
          <w:szCs w:val="28"/>
        </w:rPr>
        <w:t>patulin’s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rsidR="00BE21A0" w:rsidRDefault="00BE21A0" w:rsidP="00BE21A0">
      <w:pPr>
        <w:pStyle w:val="NormalWeb"/>
        <w:numPr>
          <w:ilvl w:val="0"/>
          <w:numId w:val="7"/>
        </w:numPr>
        <w:spacing w:line="480" w:lineRule="auto"/>
        <w:jc w:val="both"/>
        <w:rPr>
          <w:sz w:val="28"/>
          <w:szCs w:val="28"/>
        </w:rPr>
      </w:pPr>
      <w:r>
        <w:rPr>
          <w:sz w:val="28"/>
          <w:szCs w:val="28"/>
        </w:rPr>
        <w:lastRenderedPageBreak/>
        <w:t xml:space="preserve">The variation in </w:t>
      </w:r>
      <w:proofErr w:type="spellStart"/>
      <w:r>
        <w:rPr>
          <w:sz w:val="28"/>
          <w:szCs w:val="28"/>
        </w:rPr>
        <w:t>patulin</w:t>
      </w:r>
      <w:proofErr w:type="spellEnd"/>
      <w:r>
        <w:rPr>
          <w:sz w:val="28"/>
          <w:szCs w:val="28"/>
        </w:rPr>
        <w:t xml:space="preserve"> toxicity at different concentrations and its organ-specific effects in mammals are still under-researched, particularly in vivo studies involving animal models. </w:t>
      </w:r>
    </w:p>
    <w:p w:rsidR="00BE21A0" w:rsidRDefault="00BE21A0" w:rsidP="00BE21A0">
      <w:pPr>
        <w:pStyle w:val="NormalWeb"/>
        <w:numPr>
          <w:ilvl w:val="0"/>
          <w:numId w:val="7"/>
        </w:numPr>
        <w:spacing w:line="480" w:lineRule="auto"/>
        <w:jc w:val="both"/>
        <w:rPr>
          <w:sz w:val="28"/>
          <w:szCs w:val="28"/>
        </w:rPr>
      </w:pPr>
      <w:r>
        <w:rPr>
          <w:sz w:val="28"/>
          <w:szCs w:val="28"/>
        </w:rPr>
        <w:t xml:space="preserve">This research aim to address the gap in toxicological profiling of </w:t>
      </w:r>
      <w:proofErr w:type="spellStart"/>
      <w:r>
        <w:rPr>
          <w:sz w:val="28"/>
          <w:szCs w:val="28"/>
        </w:rPr>
        <w:t>patulin</w:t>
      </w:r>
      <w:proofErr w:type="spellEnd"/>
      <w:r>
        <w:rPr>
          <w:sz w:val="28"/>
          <w:szCs w:val="28"/>
        </w:rPr>
        <w:t xml:space="preserve"> by examining its pathological impact at varying concentrations on laboratory animals, thereby providing insights into safe exposure limits and reinforcing the importance of improved food safety protocols.</w:t>
      </w:r>
    </w:p>
    <w:p w:rsidR="00BE21A0" w:rsidRDefault="00BE21A0" w:rsidP="00BE21A0">
      <w:pPr>
        <w:pStyle w:val="NormalWeb"/>
        <w:spacing w:line="480" w:lineRule="auto"/>
        <w:jc w:val="both"/>
        <w:rPr>
          <w:sz w:val="28"/>
          <w:szCs w:val="28"/>
        </w:rPr>
      </w:pPr>
      <w:r>
        <w:rPr>
          <w:sz w:val="28"/>
          <w:szCs w:val="28"/>
        </w:rPr>
        <w:t>1.3 JUSTIFICATION OF THE STUDY</w:t>
      </w:r>
    </w:p>
    <w:p w:rsidR="00BE21A0" w:rsidRPr="00EC2D00" w:rsidRDefault="00BE21A0" w:rsidP="00BE21A0">
      <w:pPr>
        <w:pStyle w:val="NormalWeb"/>
        <w:spacing w:line="480" w:lineRule="auto"/>
        <w:jc w:val="both"/>
        <w:rPr>
          <w:sz w:val="28"/>
          <w:szCs w:val="28"/>
        </w:rPr>
      </w:pPr>
      <w:proofErr w:type="spellStart"/>
      <w:r w:rsidRPr="000B080D">
        <w:rPr>
          <w:i/>
          <w:iCs/>
          <w:sz w:val="28"/>
          <w:szCs w:val="28"/>
        </w:rPr>
        <w:t>Penicillium</w:t>
      </w:r>
      <w:proofErr w:type="spellEnd"/>
      <w:r w:rsidRPr="000B080D">
        <w:rPr>
          <w:i/>
          <w:iCs/>
          <w:sz w:val="28"/>
          <w:szCs w:val="28"/>
        </w:rPr>
        <w:t xml:space="preserve"> </w:t>
      </w:r>
      <w:proofErr w:type="spellStart"/>
      <w:r w:rsidRPr="000B080D">
        <w:rPr>
          <w:i/>
          <w:iCs/>
          <w:sz w:val="28"/>
          <w:szCs w:val="28"/>
        </w:rPr>
        <w:t>expansum</w:t>
      </w:r>
      <w:proofErr w:type="spellEnd"/>
      <w:r>
        <w:rPr>
          <w:sz w:val="28"/>
          <w:szCs w:val="28"/>
        </w:rPr>
        <w:t xml:space="preserve">, the primary producer of </w:t>
      </w:r>
      <w:proofErr w:type="spellStart"/>
      <w:r>
        <w:rPr>
          <w:sz w:val="28"/>
          <w:szCs w:val="28"/>
        </w:rPr>
        <w:t>patulin</w:t>
      </w:r>
      <w:proofErr w:type="spellEnd"/>
      <w:r>
        <w:rPr>
          <w:sz w:val="28"/>
          <w:szCs w:val="28"/>
        </w:rPr>
        <w:t xml:space="preserve">, commonly infects apples during post-harvest handling and storage. Although regulatory agencies have established maximum permissible levels for </w:t>
      </w:r>
      <w:proofErr w:type="spellStart"/>
      <w:r>
        <w:rPr>
          <w:sz w:val="28"/>
          <w:szCs w:val="28"/>
        </w:rPr>
        <w:t>patulin</w:t>
      </w:r>
      <w:proofErr w:type="spellEnd"/>
      <w:r>
        <w:rPr>
          <w:sz w:val="28"/>
          <w:szCs w:val="28"/>
        </w:rPr>
        <w:t xml:space="preserve">, reports of contamination above safe limits still occur, especially in low-resource settings with weak monitoring systems. Investigating the potency of </w:t>
      </w:r>
      <w:proofErr w:type="spellStart"/>
      <w:r>
        <w:rPr>
          <w:sz w:val="28"/>
          <w:szCs w:val="28"/>
        </w:rPr>
        <w:t>patulin</w:t>
      </w:r>
      <w:proofErr w:type="spellEnd"/>
      <w:r>
        <w:rPr>
          <w:sz w:val="28"/>
          <w:szCs w:val="28"/>
        </w:rPr>
        <w:t xml:space="preserve"> at varying concentrations in a controlled animal model provides critical insight into its dose-dependent toxicity. This approach allows for a better understanding of how different exposure levels affect physiological </w:t>
      </w:r>
      <w:r>
        <w:rPr>
          <w:sz w:val="28"/>
          <w:szCs w:val="28"/>
        </w:rPr>
        <w:lastRenderedPageBreak/>
        <w:t xml:space="preserve">functions and organ systems, particularly in mammals. The findings will contribute to the scientific basis for risk assessment and enhance awareness about the dangers of </w:t>
      </w:r>
      <w:proofErr w:type="spellStart"/>
      <w:r>
        <w:rPr>
          <w:sz w:val="28"/>
          <w:szCs w:val="28"/>
        </w:rPr>
        <w:t>patulin</w:t>
      </w:r>
      <w:proofErr w:type="spellEnd"/>
      <w:r>
        <w:rPr>
          <w:sz w:val="28"/>
          <w:szCs w:val="28"/>
        </w:rPr>
        <w:t>. Moreover, the study may aid in the formulation of more effective control strategies, promote public health safety, and support regulatory compliance in food processing industries.</w:t>
      </w:r>
    </w:p>
    <w:p w:rsidR="00BE21A0" w:rsidRPr="00EC2D0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EC2D00">
        <w:rPr>
          <w:rFonts w:ascii="Times New Roman" w:hAnsi="Times New Roman" w:cs="Times New Roman"/>
          <w:sz w:val="28"/>
          <w:szCs w:val="28"/>
        </w:rPr>
        <w:t>AIMS AND OBJECTIVES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 to 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at vary degree of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Penicilliumexpansum</w:t>
      </w:r>
      <w:proofErr w:type="spellEnd"/>
      <w:r w:rsidRPr="004764C4">
        <w:rPr>
          <w:rFonts w:ascii="Times New Roman" w:hAnsi="Times New Roman" w:cs="Times New Roman"/>
          <w:sz w:val="28"/>
          <w:szCs w:val="28"/>
        </w:rPr>
        <w:t xml:space="preserve"> from spoiled apple </w:t>
      </w:r>
    </w:p>
    <w:p w:rsidR="00BE21A0"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MATERIALS AND METHOD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Preparation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Rotten apples were brought from </w:t>
      </w:r>
      <w:proofErr w:type="spellStart"/>
      <w:r>
        <w:rPr>
          <w:rFonts w:ascii="Times New Roman" w:hAnsi="Times New Roman" w:cs="Times New Roman"/>
          <w:sz w:val="28"/>
          <w:szCs w:val="28"/>
        </w:rPr>
        <w:t>Ipata</w:t>
      </w:r>
      <w:proofErr w:type="spellEnd"/>
      <w:r>
        <w:rPr>
          <w:rFonts w:ascii="Times New Roman" w:hAnsi="Times New Roman" w:cs="Times New Roman"/>
          <w:sz w:val="28"/>
          <w:szCs w:val="28"/>
        </w:rPr>
        <w:t xml:space="preserve"> Market in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Nigeria. The apples were first rinsed with clean distilled water to remove any surface dirt or contaminants. Using a clean and sterile scalpel, the visibly decayed parts of the apples were carefully cut out. This was done to prepare the samples for further laboratory testing to find the fungi responsible for the spoilage. This method is commonly used in similar studies to safely isolate fungi from infected fruits (</w:t>
      </w:r>
      <w:proofErr w:type="spellStart"/>
      <w:r>
        <w:rPr>
          <w:rFonts w:ascii="Times New Roman" w:hAnsi="Times New Roman" w:cs="Times New Roman"/>
          <w:sz w:val="28"/>
          <w:szCs w:val="28"/>
        </w:rPr>
        <w:t>García-Benítez</w:t>
      </w:r>
      <w:proofErr w:type="spellEnd"/>
      <w:r>
        <w:rPr>
          <w:rFonts w:ascii="Times New Roman" w:hAnsi="Times New Roman" w:cs="Times New Roman"/>
          <w:sz w:val="28"/>
          <w:szCs w:val="28"/>
        </w:rPr>
        <w:t xml:space="preserve"> et al., 2020; Ali et al., 2019).</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2.3 Media Preparation and Culturing </w:t>
      </w:r>
    </w:p>
    <w:p w:rsidR="00BE21A0" w:rsidRDefault="00BE21A0" w:rsidP="00BE21A0">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t>Potato Dextrose Agar (PDA) and Potato Dextrose Broth (</w:t>
      </w:r>
      <w:proofErr w:type="spellStart"/>
      <w:r>
        <w:rPr>
          <w:rFonts w:ascii="Times New Roman" w:hAnsi="Times New Roman" w:cs="Times New Roman"/>
          <w:sz w:val="28"/>
          <w:szCs w:val="28"/>
        </w:rPr>
        <w:t>PDB</w:t>
      </w:r>
      <w:proofErr w:type="spellEnd"/>
      <w:r>
        <w:rPr>
          <w:rFonts w:ascii="Times New Roman" w:hAnsi="Times New Roman" w:cs="Times New Roman"/>
          <w:sz w:val="28"/>
          <w:szCs w:val="28"/>
        </w:rPr>
        <w:t xml:space="preserve">) were prepared following the instructions provided by the manufacturer. After preparation, the media were sterilized using an autoclave at 121°C for 15 minutes. Once the media cooled down, 1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streptomycin was added aseptically to prevent the growth of bacteria. About 250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the sterile PDA was then poured into clean Petri dishes and left to solidify. Using a sterile inoculating loop, a small portion of the decayed apple tissue was taken and placed carefully on the surface of the solidified PDA plates. The inoculated plates were then incubated at room temperature (between 25°C and 28°C) for four days to allow fungal growth (Pitt &amp; Hocking, 2021).</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E21931">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 xml:space="preserve">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4days (Watanabe, 2017).</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BE21A0">
        <w:rPr>
          <w:rFonts w:ascii="Times New Roman" w:hAnsi="Times New Roman" w:cs="Times New Roman"/>
          <w:sz w:val="28"/>
          <w:szCs w:val="28"/>
        </w:rPr>
        <w:t xml:space="preserve"> Characterization and identification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rsidR="00BE21A0" w:rsidRPr="00E21931" w:rsidRDefault="00BE21A0" w:rsidP="00E21931">
      <w:pPr>
        <w:pStyle w:val="ListParagraph"/>
        <w:numPr>
          <w:ilvl w:val="1"/>
          <w:numId w:val="8"/>
        </w:numPr>
        <w:spacing w:line="480" w:lineRule="auto"/>
        <w:jc w:val="both"/>
        <w:rPr>
          <w:rFonts w:ascii="Times New Roman" w:hAnsi="Times New Roman" w:cs="Times New Roman"/>
          <w:sz w:val="28"/>
          <w:szCs w:val="28"/>
        </w:rPr>
      </w:pPr>
      <w:r w:rsidRPr="00E21931">
        <w:rPr>
          <w:rFonts w:ascii="Times New Roman" w:hAnsi="Times New Roman" w:cs="Times New Roman"/>
          <w:sz w:val="28"/>
          <w:szCs w:val="28"/>
        </w:rPr>
        <w:t xml:space="preserve">Toxin Extraction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w:t>
      </w:r>
      <w:proofErr w:type="spellStart"/>
      <w:r>
        <w:rPr>
          <w:rFonts w:ascii="Times New Roman" w:hAnsi="Times New Roman" w:cs="Times New Roman"/>
          <w:sz w:val="28"/>
          <w:szCs w:val="28"/>
        </w:rPr>
        <w:t>PDB</w:t>
      </w:r>
      <w:proofErr w:type="spellEnd"/>
      <w:r>
        <w:rPr>
          <w:rFonts w:ascii="Times New Roman" w:hAnsi="Times New Roman" w:cs="Times New Roman"/>
          <w:sz w:val="28"/>
          <w:szCs w:val="28"/>
        </w:rPr>
        <w:t xml:space="preserve">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 </w:t>
      </w:r>
      <w:proofErr w:type="gramStart"/>
      <w:r>
        <w:rPr>
          <w:rFonts w:ascii="Times New Roman" w:hAnsi="Times New Roman" w:cs="Times New Roman"/>
          <w:sz w:val="28"/>
          <w:szCs w:val="28"/>
        </w:rPr>
        <w:t>then</w:t>
      </w:r>
      <w:proofErr w:type="gramEnd"/>
      <w:r>
        <w:rPr>
          <w:rFonts w:ascii="Times New Roman" w:hAnsi="Times New Roman" w:cs="Times New Roman"/>
          <w:sz w:val="28"/>
          <w:szCs w:val="28"/>
        </w:rPr>
        <w:t xml:space="preserve">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BE21A0">
        <w:rPr>
          <w:rFonts w:ascii="Times New Roman" w:hAnsi="Times New Roman" w:cs="Times New Roman"/>
          <w:sz w:val="28"/>
          <w:szCs w:val="28"/>
        </w:rPr>
        <w:t xml:space="preserve"> Separation of Biomass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 (</w:t>
      </w:r>
      <w:proofErr w:type="spellStart"/>
      <w:r>
        <w:rPr>
          <w:rFonts w:ascii="Times New Roman" w:hAnsi="Times New Roman" w:cs="Times New Roman"/>
          <w:sz w:val="28"/>
          <w:szCs w:val="28"/>
        </w:rPr>
        <w:t>Sewram</w:t>
      </w:r>
      <w:proofErr w:type="spellEnd"/>
      <w:r>
        <w:rPr>
          <w:rFonts w:ascii="Times New Roman" w:hAnsi="Times New Roman" w:cs="Times New Roman"/>
          <w:sz w:val="28"/>
          <w:szCs w:val="28"/>
        </w:rPr>
        <w:t xml:space="preserve">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BE21A0">
        <w:rPr>
          <w:rFonts w:ascii="Times New Roman" w:hAnsi="Times New Roman" w:cs="Times New Roman"/>
          <w:sz w:val="28"/>
          <w:szCs w:val="28"/>
        </w:rPr>
        <w:t xml:space="preserve"> Preparation of </w:t>
      </w:r>
      <w:proofErr w:type="spellStart"/>
      <w:r w:rsidR="00BE21A0">
        <w:rPr>
          <w:rFonts w:ascii="Times New Roman" w:hAnsi="Times New Roman" w:cs="Times New Roman"/>
          <w:sz w:val="28"/>
          <w:szCs w:val="28"/>
        </w:rPr>
        <w:t>Patulin</w:t>
      </w:r>
      <w:proofErr w:type="spellEnd"/>
      <w:r w:rsidR="00BE21A0">
        <w:rPr>
          <w:rFonts w:ascii="Times New Roman" w:hAnsi="Times New Roman" w:cs="Times New Roman"/>
          <w:sz w:val="28"/>
          <w:szCs w:val="28"/>
        </w:rPr>
        <w:t xml:space="preserve"> Concentrations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crude toxin filtrate, regarded as the 100% concentration, was diluted using sterile distilled water to obtain lower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Each prepared concentration was measured into a sterile test tube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undiluted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1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2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2.5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sterile distilled water. Each mixture was homogenized and labeled accordingly for further use.</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BE21A0">
        <w:rPr>
          <w:rFonts w:ascii="Times New Roman" w:hAnsi="Times New Roman" w:cs="Times New Roman"/>
          <w:sz w:val="28"/>
          <w:szCs w:val="28"/>
        </w:rPr>
        <w:t xml:space="preserve"> Experimental Animals and Grouping</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w:t>
      </w:r>
      <w:proofErr w:type="spellStart"/>
      <w:r>
        <w:rPr>
          <w:rFonts w:ascii="Times New Roman" w:hAnsi="Times New Roman" w:cs="Times New Roman"/>
          <w:sz w:val="28"/>
          <w:szCs w:val="28"/>
        </w:rPr>
        <w:t>libitum</w:t>
      </w:r>
      <w:proofErr w:type="spellEnd"/>
      <w:r>
        <w:rPr>
          <w:rFonts w:ascii="Times New Roman" w:hAnsi="Times New Roman" w:cs="Times New Roman"/>
          <w:sz w:val="28"/>
          <w:szCs w:val="28"/>
        </w:rPr>
        <w:t>, following animal care guidelines (National Research Council [NRC], 2018).</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BE21A0">
        <w:rPr>
          <w:rFonts w:ascii="Times New Roman" w:hAnsi="Times New Roman" w:cs="Times New Roman"/>
          <w:sz w:val="28"/>
          <w:szCs w:val="28"/>
        </w:rPr>
        <w:t xml:space="preserve"> Identification and Grouping of Experimental Rats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6C2EFB">
        <w:rPr>
          <w:rFonts w:ascii="Times New Roman" w:hAnsi="Times New Roman" w:cs="Times New Roman"/>
          <w:i/>
          <w:iCs/>
          <w:sz w:val="28"/>
          <w:szCs w:val="28"/>
        </w:rPr>
        <w:t>Penicillium</w:t>
      </w:r>
      <w:proofErr w:type="spellEnd"/>
      <w:r w:rsidRPr="006C2EFB">
        <w:rPr>
          <w:rFonts w:ascii="Times New Roman" w:hAnsi="Times New Roman" w:cs="Times New Roman"/>
          <w:i/>
          <w:iCs/>
          <w:sz w:val="28"/>
          <w:szCs w:val="28"/>
        </w:rPr>
        <w:t xml:space="preserve">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they received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 The color marking was maintained throughout the experiment for accurate tracking and observation.</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BE21A0">
        <w:rPr>
          <w:rFonts w:ascii="Times New Roman" w:hAnsi="Times New Roman" w:cs="Times New Roman"/>
          <w:sz w:val="28"/>
          <w:szCs w:val="28"/>
        </w:rPr>
        <w:t xml:space="preserve"> Toxin Administration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Each rat was orally administered 0.5 </w:t>
      </w:r>
      <w:proofErr w:type="spellStart"/>
      <w:r>
        <w:rPr>
          <w:rFonts w:ascii="Times New Roman" w:hAnsi="Times New Roman" w:cs="Times New Roman"/>
          <w:sz w:val="28"/>
          <w:szCs w:val="28"/>
        </w:rPr>
        <w:t>mL</w:t>
      </w:r>
      <w:proofErr w:type="spellEnd"/>
      <w:r>
        <w:rPr>
          <w:rFonts w:ascii="Times New Roman" w:hAnsi="Times New Roman" w:cs="Times New Roman"/>
          <w:sz w:val="28"/>
          <w:szCs w:val="28"/>
        </w:rPr>
        <w:t xml:space="preserve">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E21931">
        <w:rPr>
          <w:rFonts w:ascii="Times New Roman" w:hAnsi="Times New Roman" w:cs="Times New Roman"/>
          <w:sz w:val="28"/>
          <w:szCs w:val="28"/>
        </w:rPr>
        <w:t>2</w:t>
      </w:r>
      <w:r>
        <w:rPr>
          <w:rFonts w:ascii="Times New Roman" w:hAnsi="Times New Roman" w:cs="Times New Roman"/>
          <w:sz w:val="28"/>
          <w:szCs w:val="28"/>
        </w:rPr>
        <w:t xml:space="preserve"> Dissection and Post-Mortem Examination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Pr="00EC2D00" w:rsidRDefault="00E21931" w:rsidP="00BE21A0">
      <w:pPr>
        <w:spacing w:line="480" w:lineRule="auto"/>
        <w:jc w:val="both"/>
        <w:rPr>
          <w:rFonts w:ascii="Times New Roman" w:hAnsi="Times New Roman" w:cs="Times New Roman"/>
          <w:sz w:val="28"/>
          <w:szCs w:val="28"/>
        </w:rPr>
      </w:pPr>
    </w:p>
    <w:p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rsidR="00D10ECF" w:rsidRDefault="00D10ECF"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p>
    <w:p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tblPr>
      <w:tblGrid>
        <w:gridCol w:w="4428"/>
        <w:gridCol w:w="4428"/>
      </w:tblGrid>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rsidR="00F73C68" w:rsidRDefault="00F73C68" w:rsidP="001E1763">
      <w:pPr>
        <w:spacing w:line="480" w:lineRule="auto"/>
        <w:jc w:val="both"/>
        <w:rPr>
          <w:rFonts w:ascii="Times New Roman" w:hAnsi="Times New Roman" w:cs="Times New Roman"/>
          <w:sz w:val="28"/>
          <w:szCs w:val="28"/>
        </w:rPr>
      </w:pPr>
    </w:p>
    <w:p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69135" cy="1989455"/>
                    </a:xfrm>
                    <a:prstGeom prst="rect">
                      <a:avLst/>
                    </a:prstGeom>
                  </pic:spPr>
                </pic:pic>
              </a:graphicData>
            </a:graphic>
          </wp:anchor>
        </w:drawing>
      </w:r>
      <w:r w:rsidR="001E1763">
        <w:rPr>
          <w:rFonts w:ascii="Times New Roman" w:hAnsi="Times New Roman" w:cs="Times New Roman"/>
          <w:sz w:val="28"/>
          <w:szCs w:val="28"/>
        </w:rPr>
        <w:t>Figure 1</w:t>
      </w:r>
      <w:r w:rsidR="00D10ECF">
        <w:rPr>
          <w:rFonts w:ascii="Times New Roman" w:hAnsi="Times New Roman" w:cs="Times New Roman"/>
          <w:sz w:val="28"/>
          <w:szCs w:val="28"/>
        </w:rPr>
        <w:t>a</w:t>
      </w:r>
      <w:r w:rsidR="001E1763">
        <w:rPr>
          <w:rFonts w:ascii="Times New Roman" w:hAnsi="Times New Roman" w:cs="Times New Roman"/>
          <w:sz w:val="28"/>
          <w:szCs w:val="28"/>
        </w:rPr>
        <w:t xml:space="preserve">: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w:t>
      </w:r>
      <w:r w:rsidR="00D10ECF">
        <w:rPr>
          <w:rFonts w:ascii="Times New Roman" w:hAnsi="Times New Roman" w:cs="Times New Roman"/>
          <w:sz w:val="28"/>
          <w:szCs w:val="28"/>
        </w:rPr>
        <w:t>1b</w:t>
      </w:r>
      <w:r>
        <w:rPr>
          <w:rFonts w:ascii="Times New Roman" w:hAnsi="Times New Roman" w:cs="Times New Roman"/>
          <w:sz w:val="28"/>
          <w:szCs w:val="28"/>
        </w:rPr>
        <w:t xml:space="preserve">: Showing microscopic view    </w:t>
      </w:r>
    </w:p>
    <w:p w:rsidR="001E1763" w:rsidRDefault="001E1763"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D10ECF" w:rsidRDefault="00D10ECF" w:rsidP="00C52E7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2</w:t>
      </w:r>
    </w:p>
    <w:p w:rsidR="00A008BE" w:rsidRDefault="00E74A45" w:rsidP="00C52E7C">
      <w:pPr>
        <w:spacing w:line="480" w:lineRule="auto"/>
        <w:jc w:val="both"/>
        <w:rPr>
          <w:rFonts w:ascii="Times New Roman" w:hAnsi="Times New Roman" w:cs="Times New Roman"/>
          <w:iCs/>
          <w:kern w:val="0"/>
          <w:sz w:val="28"/>
          <w:szCs w:val="28"/>
        </w:rPr>
      </w:pPr>
      <w:r>
        <w:rPr>
          <w:rFonts w:ascii="Times New Roman" w:hAnsi="Times New Roman" w:cs="Times New Roman"/>
          <w:sz w:val="28"/>
          <w:szCs w:val="28"/>
        </w:rPr>
        <w:t>3.2</w:t>
      </w:r>
      <w:r w:rsidR="00A008BE">
        <w:rPr>
          <w:rFonts w:ascii="Times New Roman" w:hAnsi="Times New Roman" w:cs="Times New Roman"/>
          <w:iCs/>
          <w:kern w:val="0"/>
          <w:sz w:val="28"/>
          <w:szCs w:val="28"/>
        </w:rPr>
        <w:t>Daily Obse</w:t>
      </w:r>
      <w:r w:rsidR="007B78C9">
        <w:rPr>
          <w:rFonts w:ascii="Times New Roman" w:hAnsi="Times New Roman" w:cs="Times New Roman"/>
          <w:iCs/>
          <w:kern w:val="0"/>
          <w:sz w:val="28"/>
          <w:szCs w:val="28"/>
        </w:rPr>
        <w:t xml:space="preserve">rvation during </w:t>
      </w:r>
      <w:r w:rsidR="00A008BE">
        <w:rPr>
          <w:rFonts w:ascii="Times New Roman" w:hAnsi="Times New Roman" w:cs="Times New Roman"/>
          <w:iCs/>
          <w:kern w:val="0"/>
          <w:sz w:val="28"/>
          <w:szCs w:val="28"/>
        </w:rPr>
        <w:t xml:space="preserve">Toxin Administration </w:t>
      </w:r>
      <w:r w:rsidR="007B78C9">
        <w:rPr>
          <w:rFonts w:ascii="Times New Roman" w:hAnsi="Times New Roman" w:cs="Times New Roman"/>
          <w:iCs/>
          <w:kern w:val="0"/>
          <w:sz w:val="28"/>
          <w:szCs w:val="28"/>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tblPr>
      <w:tblGrid>
        <w:gridCol w:w="1382"/>
        <w:gridCol w:w="1493"/>
        <w:gridCol w:w="2166"/>
        <w:gridCol w:w="1898"/>
        <w:gridCol w:w="1626"/>
        <w:gridCol w:w="2160"/>
      </w:tblGrid>
      <w:tr w:rsidR="00F73C68" w:rsidTr="00A355CA">
        <w:trPr>
          <w:trHeight w:val="729"/>
        </w:trPr>
        <w:tc>
          <w:tcPr>
            <w:tcW w:w="644" w:type="pct"/>
            <w:hideMark/>
          </w:tcPr>
          <w:p w:rsidR="00F73C68" w:rsidRDefault="00F73C68" w:rsidP="00A355CA">
            <w:pPr>
              <w:rPr>
                <w:rFonts w:ascii="Times New Roman" w:hAnsi="Times New Roman" w:cs="Times New Roman"/>
                <w:sz w:val="28"/>
                <w:szCs w:val="28"/>
              </w:rPr>
            </w:pPr>
            <w:bookmarkStart w:id="0" w:name="_Hlk202154477"/>
            <w:r>
              <w:rPr>
                <w:rFonts w:ascii="Times New Roman" w:hAnsi="Times New Roman" w:cs="Times New Roman"/>
                <w:sz w:val="28"/>
                <w:szCs w:val="28"/>
              </w:rPr>
              <w:t>Rat ID</w:t>
            </w:r>
          </w:p>
        </w:tc>
        <w:tc>
          <w:tcPr>
            <w:tcW w:w="696" w:type="pct"/>
            <w:hideMark/>
          </w:tcPr>
          <w:p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rsidR="00F73C68" w:rsidRDefault="00F73C68" w:rsidP="00A355CA">
            <w:pPr>
              <w:rPr>
                <w:rFonts w:ascii="Times New Roman" w:hAnsi="Times New Roman" w:cs="Times New Roman"/>
                <w:sz w:val="28"/>
                <w:szCs w:val="28"/>
              </w:rPr>
            </w:pP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p>
        </w:tc>
      </w:tr>
      <w:tr w:rsidR="00F73C68" w:rsidTr="00A355CA">
        <w:trPr>
          <w:cantSplit/>
          <w:trHeight w:val="506"/>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trHeight w:val="547"/>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lastRenderedPageBreak/>
              <w:t>Green</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Lackluster</w:t>
            </w:r>
          </w:p>
          <w:p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0"/>
    </w:tbl>
    <w:p w:rsidR="00A355CA" w:rsidRDefault="00A355CA" w:rsidP="00EC2D00">
      <w:pPr>
        <w:spacing w:line="480" w:lineRule="auto"/>
        <w:jc w:val="both"/>
        <w:rPr>
          <w:rFonts w:ascii="Times New Roman" w:hAnsi="Times New Roman" w:cs="Times New Roman"/>
          <w:sz w:val="28"/>
          <w:szCs w:val="28"/>
        </w:rPr>
      </w:pPr>
    </w:p>
    <w:p w:rsidR="00D10ECF" w:rsidRDefault="00D10ECF" w:rsidP="00D10E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3: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rsidR="002D74FB" w:rsidRDefault="002D74FB" w:rsidP="00950266">
      <w:pPr>
        <w:spacing w:line="240" w:lineRule="auto"/>
        <w:jc w:val="both"/>
        <w:rPr>
          <w:rFonts w:ascii="Times New Roman" w:hAnsi="Times New Roman" w:cs="Times New Roman"/>
          <w:sz w:val="28"/>
          <w:szCs w:val="28"/>
        </w:rPr>
      </w:pPr>
    </w:p>
    <w:p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D10ECF" w:rsidRDefault="00D10ECF" w:rsidP="00D10E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Figure 4: Showing cumulative frequency chart for seven days of toxin administration</w:t>
      </w:r>
    </w:p>
    <w:p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0266" w:rsidRDefault="00950266" w:rsidP="00EC2D00">
      <w:pPr>
        <w:spacing w:line="480" w:lineRule="auto"/>
        <w:jc w:val="both"/>
        <w:rPr>
          <w:rFonts w:ascii="Times New Roman" w:hAnsi="Times New Roman" w:cs="Times New Roman"/>
          <w:sz w:val="28"/>
          <w:szCs w:val="28"/>
        </w:rPr>
      </w:pPr>
    </w:p>
    <w:p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tblPr>
      <w:tblGrid>
        <w:gridCol w:w="1242"/>
        <w:gridCol w:w="2108"/>
        <w:gridCol w:w="3176"/>
        <w:gridCol w:w="2134"/>
        <w:gridCol w:w="2257"/>
      </w:tblGrid>
      <w:tr w:rsidR="00950266" w:rsidTr="00950266">
        <w:trPr>
          <w:trHeight w:val="621"/>
        </w:trPr>
        <w:tc>
          <w:tcPr>
            <w:tcW w:w="1242" w:type="dxa"/>
            <w:tcBorders>
              <w:bottom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rsidTr="00950266">
        <w:trPr>
          <w:trHeight w:val="310"/>
        </w:trPr>
        <w:tc>
          <w:tcPr>
            <w:tcW w:w="1242" w:type="dxa"/>
            <w:tcBorders>
              <w:top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rsidTr="00950266">
        <w:trPr>
          <w:trHeight w:val="635"/>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E74A45">
        <w:rPr>
          <w:rFonts w:ascii="Times New Roman" w:hAnsi="Times New Roman" w:cs="Times New Roman"/>
          <w:sz w:val="28"/>
          <w:szCs w:val="28"/>
        </w:rPr>
        <w:t>3</w:t>
      </w:r>
      <w:r w:rsidR="00666C88">
        <w:rPr>
          <w:rFonts w:ascii="Times New Roman" w:hAnsi="Times New Roman" w:cs="Times New Roman"/>
          <w:sz w:val="28"/>
          <w:szCs w:val="28"/>
        </w:rPr>
        <w:t>Post-Mortem Gross Pathological Findings</w:t>
      </w:r>
    </w:p>
    <w:p w:rsidR="00950266" w:rsidRDefault="00950266" w:rsidP="002D74FB">
      <w:pPr>
        <w:spacing w:line="480" w:lineRule="auto"/>
        <w:jc w:val="both"/>
        <w:rPr>
          <w:rFonts w:ascii="Times New Roman" w:hAnsi="Times New Roman" w:cs="Times New Roman"/>
          <w:sz w:val="28"/>
          <w:szCs w:val="28"/>
        </w:rPr>
      </w:pPr>
    </w:p>
    <w:p w:rsidR="00D10ECF" w:rsidRDefault="00D10ECF" w:rsidP="00D10ECF">
      <w:pPr>
        <w:spacing w:line="48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0" locked="0" layoutInCell="1" allowOverlap="1">
            <wp:simplePos x="0" y="0"/>
            <wp:positionH relativeFrom="column">
              <wp:posOffset>4283689</wp:posOffset>
            </wp:positionH>
            <wp:positionV relativeFrom="paragraph">
              <wp:posOffset>795746</wp:posOffset>
            </wp:positionV>
            <wp:extent cx="1494133" cy="2136161"/>
            <wp:effectExtent l="19050" t="0" r="0" b="0"/>
            <wp:wrapNone/>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4133" cy="2136161"/>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2654674</wp:posOffset>
            </wp:positionH>
            <wp:positionV relativeFrom="paragraph">
              <wp:posOffset>795746</wp:posOffset>
            </wp:positionV>
            <wp:extent cx="1421738" cy="2043953"/>
            <wp:effectExtent l="19050" t="0" r="7012" b="0"/>
            <wp:wrapNone/>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21738"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1056395</wp:posOffset>
            </wp:positionH>
            <wp:positionV relativeFrom="paragraph">
              <wp:posOffset>795746</wp:posOffset>
            </wp:positionV>
            <wp:extent cx="1494133" cy="2043953"/>
            <wp:effectExtent l="19050" t="0" r="0" b="0"/>
            <wp:wrapNone/>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4133"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-564937</wp:posOffset>
            </wp:positionH>
            <wp:positionV relativeFrom="paragraph">
              <wp:posOffset>795746</wp:posOffset>
            </wp:positionV>
            <wp:extent cx="1517821" cy="2043953"/>
            <wp:effectExtent l="19050" t="0" r="6179" b="0"/>
            <wp:wrapNone/>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7821" cy="2043953"/>
                    </a:xfrm>
                    <a:prstGeom prst="rect">
                      <a:avLst/>
                    </a:prstGeom>
                  </pic:spPr>
                </pic:pic>
              </a:graphicData>
            </a:graphic>
          </wp:anchor>
        </w:drawing>
      </w:r>
      <w:r w:rsidR="001E1763">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proofErr w:type="spellStart"/>
      <w:r w:rsidR="00045B4C" w:rsidRPr="00045B4C">
        <w:rPr>
          <w:rFonts w:ascii="Times New Roman" w:hAnsi="Times New Roman" w:cs="Times New Roman"/>
          <w:i/>
          <w:sz w:val="28"/>
          <w:szCs w:val="28"/>
        </w:rPr>
        <w:t>Penicillium</w:t>
      </w:r>
      <w:proofErr w:type="spellEnd"/>
      <w:r w:rsidR="00045B4C" w:rsidRPr="00045B4C">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p>
    <w:p w:rsidR="00D10ECF" w:rsidRDefault="00D10ECF" w:rsidP="00950266">
      <w:pPr>
        <w:spacing w:line="480" w:lineRule="auto"/>
        <w:rPr>
          <w:rFonts w:ascii="Times New Roman" w:hAnsi="Times New Roman" w:cs="Times New Roman"/>
          <w:sz w:val="28"/>
          <w:szCs w:val="28"/>
        </w:rPr>
      </w:pPr>
    </w:p>
    <w:p w:rsidR="00D10ECF" w:rsidRDefault="00D10ECF" w:rsidP="00950266">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rsidR="00E21931" w:rsidRDefault="00E21931"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E21931">
        <w:rPr>
          <w:rFonts w:ascii="Times New Roman" w:hAnsi="Times New Roman" w:cs="Times New Roman"/>
          <w:sz w:val="28"/>
          <w:szCs w:val="28"/>
        </w:rPr>
        <w:t>Discussion</w:t>
      </w:r>
    </w:p>
    <w:p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proofErr w:type="spellStart"/>
      <w:r w:rsidRPr="0062308E">
        <w:rPr>
          <w:rFonts w:ascii="Times New Roman" w:hAnsi="Times New Roman" w:cs="Times New Roman"/>
          <w:i/>
          <w:iCs/>
          <w:sz w:val="28"/>
          <w:szCs w:val="28"/>
        </w:rPr>
        <w:t>Penicillium</w:t>
      </w:r>
      <w:proofErr w:type="spellEnd"/>
      <w:r w:rsidRPr="0062308E">
        <w:rPr>
          <w:rFonts w:ascii="Times New Roman" w:hAnsi="Times New Roman" w:cs="Times New Roman"/>
          <w:i/>
          <w:iCs/>
          <w:sz w:val="28"/>
          <w:szCs w:val="28"/>
        </w:rPr>
        <w:t xml:space="preserve">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 behavioral and physical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on the rats over sev</w:t>
      </w:r>
      <w:r w:rsidR="00E21931">
        <w:rPr>
          <w:rFonts w:ascii="Times New Roman" w:hAnsi="Times New Roman" w:cs="Times New Roman"/>
          <w:sz w:val="28"/>
          <w:szCs w:val="28"/>
        </w:rPr>
        <w:t>en days are presented in Table 2</w:t>
      </w:r>
      <w:r>
        <w:rPr>
          <w:rFonts w:ascii="Times New Roman" w:hAnsi="Times New Roman" w:cs="Times New Roman"/>
          <w:sz w:val="28"/>
          <w:szCs w:val="28"/>
        </w:rPr>
        <w:t xml:space="preserve">, supported by the cumulative trends in Figure 3. The effects were clearly dose-dependent, with more severe symptoms in rats exposed to higher </w:t>
      </w:r>
      <w:proofErr w:type="spellStart"/>
      <w:r>
        <w:rPr>
          <w:rFonts w:ascii="Times New Roman" w:hAnsi="Times New Roman" w:cs="Times New Roman"/>
          <w:sz w:val="28"/>
          <w:szCs w:val="28"/>
        </w:rPr>
        <w:t>concentrations.The</w:t>
      </w:r>
      <w:proofErr w:type="spellEnd"/>
      <w:r>
        <w:rPr>
          <w:rFonts w:ascii="Times New Roman" w:hAnsi="Times New Roman" w:cs="Times New Roman"/>
          <w:sz w:val="28"/>
          <w:szCs w:val="28"/>
        </w:rPr>
        <w:t xml:space="preserv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 Similar </w:t>
      </w:r>
      <w:r>
        <w:rPr>
          <w:rFonts w:ascii="Times New Roman" w:hAnsi="Times New Roman" w:cs="Times New Roman"/>
          <w:sz w:val="28"/>
          <w:szCs w:val="28"/>
        </w:rPr>
        <w:lastRenderedPageBreak/>
        <w:t xml:space="preserve">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induced oxidative stress and neurobehavioral changes in </w:t>
      </w:r>
      <w:proofErr w:type="spellStart"/>
      <w:r>
        <w:rPr>
          <w:rFonts w:ascii="Times New Roman" w:hAnsi="Times New Roman" w:cs="Times New Roman"/>
          <w:sz w:val="28"/>
          <w:szCs w:val="28"/>
        </w:rPr>
        <w:t>rodents.The</w:t>
      </w:r>
      <w:proofErr w:type="spellEnd"/>
      <w:r>
        <w:rPr>
          <w:rFonts w:ascii="Times New Roman" w:hAnsi="Times New Roman" w:cs="Times New Roman"/>
          <w:sz w:val="28"/>
          <w:szCs w:val="28"/>
        </w:rPr>
        <w:t xml:space="preserve"> red-coded rat (80% concentration) also displayed marked toxicity, including lethargy, sunken eyes, and ataxia. Its weight dropped from 108g to 100g by day 6. These outcomes reflect those of Escobar et al. (2020), who observed neurological impairments and liver stress in rats at medium-dose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exposures.In</w:t>
      </w:r>
      <w:proofErr w:type="spellEnd"/>
      <w:r>
        <w:rPr>
          <w:rFonts w:ascii="Times New Roman" w:hAnsi="Times New Roman" w:cs="Times New Roman"/>
          <w:sz w:val="28"/>
          <w:szCs w:val="28"/>
        </w:rPr>
        <w:t xml:space="preserve">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w:t>
      </w:r>
      <w:proofErr w:type="spellStart"/>
      <w:r>
        <w:rPr>
          <w:rFonts w:ascii="Times New Roman" w:hAnsi="Times New Roman" w:cs="Times New Roman"/>
          <w:sz w:val="28"/>
          <w:szCs w:val="28"/>
        </w:rPr>
        <w:t>levels.The</w:t>
      </w:r>
      <w:proofErr w:type="spellEnd"/>
      <w:r>
        <w:rPr>
          <w:rFonts w:ascii="Times New Roman" w:hAnsi="Times New Roman" w:cs="Times New Roman"/>
          <w:sz w:val="28"/>
          <w:szCs w:val="28"/>
        </w:rPr>
        <w:t xml:space="preserve"> black-coded rat (50% concentration) maintained a stable condition throughout. No significant behavioral, ocular, or 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 below regulatory limits often result in negligible short-term toxicity, though chronic effects remain a concern.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post-mortem examination, detailed in Table </w:t>
      </w:r>
      <w:r w:rsidR="000E2E5F">
        <w:rPr>
          <w:rFonts w:ascii="Times New Roman" w:hAnsi="Times New Roman" w:cs="Times New Roman"/>
          <w:sz w:val="28"/>
          <w:szCs w:val="28"/>
        </w:rPr>
        <w:t>3</w:t>
      </w:r>
      <w:r>
        <w:rPr>
          <w:rFonts w:ascii="Times New Roman" w:hAnsi="Times New Roman" w:cs="Times New Roman"/>
          <w:sz w:val="28"/>
          <w:szCs w:val="28"/>
        </w:rPr>
        <w:t xml:space="preserve"> and illustrated in Figure 4, revealed clear organ-level damage correlating with toxin concentration.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100% </w:t>
      </w:r>
      <w:proofErr w:type="spellStart"/>
      <w:r>
        <w:rPr>
          <w:rFonts w:ascii="Times New Roman" w:hAnsi="Times New Roman" w:cs="Times New Roman"/>
          <w:sz w:val="28"/>
          <w:szCs w:val="28"/>
        </w:rPr>
        <w:lastRenderedPageBreak/>
        <w:t>patulin</w:t>
      </w:r>
      <w:proofErr w:type="spellEnd"/>
      <w:r>
        <w:rPr>
          <w:rFonts w:ascii="Times New Roman" w:hAnsi="Times New Roman" w:cs="Times New Roman"/>
          <w:sz w:val="28"/>
          <w:szCs w:val="28"/>
        </w:rPr>
        <w:t xml:space="preserve">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induces vascular and hepatic degeneration at high </w:t>
      </w:r>
      <w:proofErr w:type="spellStart"/>
      <w:r>
        <w:rPr>
          <w:rFonts w:ascii="Times New Roman" w:hAnsi="Times New Roman" w:cs="Times New Roman"/>
          <w:sz w:val="28"/>
          <w:szCs w:val="28"/>
        </w:rPr>
        <w:t>doses.The</w:t>
      </w:r>
      <w:proofErr w:type="spellEnd"/>
      <w:r>
        <w:rPr>
          <w:rFonts w:ascii="Times New Roman" w:hAnsi="Times New Roman" w:cs="Times New Roman"/>
          <w:sz w:val="28"/>
          <w:szCs w:val="28"/>
        </w:rPr>
        <w:t xml:space="preserve"> 80% group (Red) presented with intestinal blotching, consistent with mild hemorrhagic enteritis, while major organs like liver, kidney, and heart appeared normal. Such localized damage supports earlier observations by Huang et al. (2022), who emphasized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direct impact on the intestinal barrier and its pro-inflammatory effects.</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60% group (Green) had mottled intestines, a deeply pigmented and enlarged kidney, and darkened liver, showing significant internal stress. These findings suggest multi-organ involvement even at </w:t>
      </w:r>
      <w:proofErr w:type="spellStart"/>
      <w:r>
        <w:rPr>
          <w:rFonts w:ascii="Times New Roman" w:hAnsi="Times New Roman" w:cs="Times New Roman"/>
          <w:sz w:val="28"/>
          <w:szCs w:val="28"/>
        </w:rPr>
        <w:t>submaximal</w:t>
      </w:r>
      <w:proofErr w:type="spellEnd"/>
      <w:r>
        <w:rPr>
          <w:rFonts w:ascii="Times New Roman" w:hAnsi="Times New Roman" w:cs="Times New Roman"/>
          <w:sz w:val="28"/>
          <w:szCs w:val="28"/>
        </w:rPr>
        <w:t xml:space="preserve"> concentrations, in line with the </w:t>
      </w:r>
      <w:proofErr w:type="spellStart"/>
      <w:r>
        <w:rPr>
          <w:rFonts w:ascii="Times New Roman" w:hAnsi="Times New Roman" w:cs="Times New Roman"/>
          <w:sz w:val="28"/>
          <w:szCs w:val="28"/>
        </w:rPr>
        <w:t>hepatotoxic</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nephrotoxic</w:t>
      </w:r>
      <w:proofErr w:type="spellEnd"/>
      <w:r>
        <w:rPr>
          <w:rFonts w:ascii="Times New Roman" w:hAnsi="Times New Roman" w:cs="Times New Roman"/>
          <w:sz w:val="28"/>
          <w:szCs w:val="28"/>
        </w:rPr>
        <w:t xml:space="preserve"> findings of Li et al. (2020).In </w:t>
      </w:r>
      <w:proofErr w:type="gramStart"/>
      <w:r>
        <w:rPr>
          <w:rFonts w:ascii="Times New Roman" w:hAnsi="Times New Roman" w:cs="Times New Roman"/>
          <w:sz w:val="28"/>
          <w:szCs w:val="28"/>
        </w:rPr>
        <w:t>contrast,</w:t>
      </w:r>
      <w:proofErr w:type="gramEnd"/>
      <w:r>
        <w:rPr>
          <w:rFonts w:ascii="Times New Roman" w:hAnsi="Times New Roman" w:cs="Times New Roman"/>
          <w:sz w:val="28"/>
          <w:szCs w:val="28"/>
        </w:rPr>
        <w:t xml:space="preserve"> the 50% group (Black) had only mild intestinal mottling and no significant abnormalities in liver, kidney, or heart. This suggests that lower doses fall below the acute toxicity threshold, aligning with </w:t>
      </w:r>
      <w:proofErr w:type="spellStart"/>
      <w:r>
        <w:rPr>
          <w:rFonts w:ascii="Times New Roman" w:hAnsi="Times New Roman" w:cs="Times New Roman"/>
          <w:sz w:val="28"/>
          <w:szCs w:val="28"/>
        </w:rPr>
        <w:t>EFSA</w:t>
      </w:r>
      <w:proofErr w:type="spellEnd"/>
      <w:r>
        <w:rPr>
          <w:rFonts w:ascii="Times New Roman" w:hAnsi="Times New Roman" w:cs="Times New Roman"/>
          <w:sz w:val="28"/>
          <w:szCs w:val="28"/>
        </w:rPr>
        <w:t xml:space="preserve">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 xml:space="preserve">µg/kg as the safe limit for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w:t>
      </w:r>
    </w:p>
    <w:p w:rsidR="00D10ECF" w:rsidRDefault="00D10ECF" w:rsidP="00A17BDB">
      <w:pPr>
        <w:spacing w:line="480" w:lineRule="auto"/>
        <w:jc w:val="both"/>
        <w:rPr>
          <w:rFonts w:ascii="Times New Roman" w:hAnsi="Times New Roman" w:cs="Times New Roman"/>
          <w:sz w:val="28"/>
          <w:szCs w:val="28"/>
        </w:rPr>
      </w:pPr>
    </w:p>
    <w:p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confirms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toxic effects in albino rats, revealing dose-dependent weight loss, behavioral changes, and organ damage. The results align with previous studies, emphasizing the need for strict monitoring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 products to safeguard public health and prevent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-related complications in humans and animals.</w:t>
      </w:r>
    </w:p>
    <w:p w:rsidR="00765FC5" w:rsidRDefault="00765FC5" w:rsidP="00EC2D00">
      <w:pPr>
        <w:spacing w:line="480" w:lineRule="auto"/>
        <w:jc w:val="both"/>
        <w:rPr>
          <w:rFonts w:ascii="Times New Roman" w:hAnsi="Times New Roman" w:cs="Times New Roman"/>
          <w:sz w:val="28"/>
          <w:szCs w:val="28"/>
        </w:rPr>
      </w:pPr>
    </w:p>
    <w:p w:rsidR="004A2140" w:rsidRDefault="004A2140" w:rsidP="00EC2D00">
      <w:pPr>
        <w:spacing w:line="480" w:lineRule="auto"/>
        <w:jc w:val="both"/>
        <w:rPr>
          <w:rFonts w:ascii="Times New Roman" w:hAnsi="Times New Roman" w:cs="Times New Roman"/>
          <w:sz w:val="28"/>
          <w:szCs w:val="28"/>
        </w:rPr>
      </w:pPr>
    </w:p>
    <w:p w:rsidR="00EA6CE0" w:rsidRDefault="00EA6CE0"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765FC5" w:rsidRDefault="00436EAF" w:rsidP="00D10ECF">
      <w:pPr>
        <w:spacing w:line="240" w:lineRule="auto"/>
        <w:jc w:val="center"/>
        <w:rPr>
          <w:rFonts w:ascii="Times New Roman" w:hAnsi="Times New Roman" w:cs="Times New Roman"/>
          <w:sz w:val="28"/>
          <w:szCs w:val="28"/>
        </w:rPr>
      </w:pPr>
      <w:r w:rsidRPr="00D10ECF">
        <w:rPr>
          <w:rFonts w:ascii="Times New Roman" w:hAnsi="Times New Roman" w:cs="Times New Roman"/>
          <w:b/>
          <w:sz w:val="28"/>
          <w:szCs w:val="28"/>
        </w:rPr>
        <w:lastRenderedPageBreak/>
        <w:t>REFERENCES</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Alshannaq</w:t>
      </w:r>
      <w:proofErr w:type="spellEnd"/>
      <w:r>
        <w:rPr>
          <w:rFonts w:ascii="Times New Roman" w:hAnsi="Times New Roman" w:cs="Times New Roman"/>
          <w:sz w:val="28"/>
          <w:szCs w:val="28"/>
        </w:rPr>
        <w:t>, A., &amp; Yu, J. H.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Occurrence, toxicity, and analysis of major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Environmental Research and Public Health, 14(6), 632.</w:t>
      </w:r>
      <w:proofErr w:type="gramEnd"/>
    </w:p>
    <w:p w:rsidR="00BC74E8" w:rsidRDefault="00BC74E8" w:rsidP="00D10ECF">
      <w:pPr>
        <w:spacing w:line="240" w:lineRule="auto"/>
        <w:ind w:left="720" w:hanging="720"/>
        <w:jc w:val="both"/>
        <w:rPr>
          <w:rFonts w:ascii="Times New Roman" w:hAnsi="Times New Roman" w:cs="Times New Roman"/>
          <w:kern w:val="0"/>
          <w:sz w:val="28"/>
          <w:szCs w:val="28"/>
        </w:rPr>
      </w:pPr>
      <w:proofErr w:type="gramStart"/>
      <w:r>
        <w:rPr>
          <w:rFonts w:ascii="Times New Roman" w:hAnsi="Times New Roman" w:cs="Times New Roman"/>
          <w:kern w:val="0"/>
          <w:sz w:val="28"/>
          <w:szCs w:val="28"/>
        </w:rPr>
        <w:t>Anderson, N. M., Lin, K., &amp; Zhang, B. (2017).</w:t>
      </w:r>
      <w:proofErr w:type="gramEnd"/>
      <w:r>
        <w:rPr>
          <w:rFonts w:ascii="Times New Roman" w:hAnsi="Times New Roman" w:cs="Times New Roman"/>
          <w:kern w:val="0"/>
          <w:sz w:val="28"/>
          <w:szCs w:val="28"/>
        </w:rPr>
        <w:t xml:space="preserve"> Fungal contamination of fruits and its impact on food safety: A review. Food Microbiology, 68, 1-10</w:t>
      </w:r>
    </w:p>
    <w:p w:rsidR="00BC74E8" w:rsidRPr="008B420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Bonfante</w:t>
      </w:r>
      <w:proofErr w:type="spellEnd"/>
      <w:r>
        <w:rPr>
          <w:rFonts w:ascii="Times New Roman" w:hAnsi="Times New Roman" w:cs="Times New Roman"/>
          <w:sz w:val="28"/>
          <w:szCs w:val="28"/>
        </w:rPr>
        <w:t>, P., &amp; Genre, A. (2018).</w:t>
      </w:r>
      <w:proofErr w:type="gramEnd"/>
      <w:r>
        <w:rPr>
          <w:rFonts w:ascii="Times New Roman" w:hAnsi="Times New Roman" w:cs="Times New Roman"/>
          <w:sz w:val="28"/>
          <w:szCs w:val="28"/>
        </w:rPr>
        <w:t xml:space="preserve"> The </w:t>
      </w:r>
      <w:proofErr w:type="spellStart"/>
      <w:r>
        <w:rPr>
          <w:rFonts w:ascii="Times New Roman" w:hAnsi="Times New Roman" w:cs="Times New Roman"/>
          <w:sz w:val="28"/>
          <w:szCs w:val="28"/>
        </w:rPr>
        <w:t>arbuscular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mycorrhizal</w:t>
      </w:r>
      <w:proofErr w:type="spellEnd"/>
      <w:r>
        <w:rPr>
          <w:rFonts w:ascii="Times New Roman" w:hAnsi="Times New Roman" w:cs="Times New Roman"/>
          <w:sz w:val="28"/>
          <w:szCs w:val="28"/>
        </w:rPr>
        <w:t xml:space="preserve"> symbiosis: Origin and evolution of a beneficial plant-fungal interaction. Fungal Biology Reviews, 32(4), 193–205.</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Drusch</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Ragab</w:t>
      </w:r>
      <w:proofErr w:type="spellEnd"/>
      <w:r>
        <w:rPr>
          <w:rFonts w:ascii="Times New Roman" w:hAnsi="Times New Roman" w:cs="Times New Roman"/>
          <w:sz w:val="28"/>
          <w:szCs w:val="28"/>
        </w:rPr>
        <w:t>,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Stability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fruit juice processing and storage.</w:t>
      </w:r>
      <w:proofErr w:type="gramEnd"/>
      <w:r>
        <w:rPr>
          <w:rFonts w:ascii="Times New Roman" w:hAnsi="Times New Roman" w:cs="Times New Roman"/>
          <w:sz w:val="28"/>
          <w:szCs w:val="28"/>
        </w:rPr>
        <w:t xml:space="preserve"> Journal of Food Science and Technology, 58(4), 1550-1563.</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Escobar, I. E., Lopes, J. M., </w:t>
      </w:r>
      <w:proofErr w:type="spellStart"/>
      <w:r>
        <w:rPr>
          <w:rFonts w:ascii="Times New Roman" w:hAnsi="Times New Roman" w:cs="Times New Roman"/>
          <w:sz w:val="28"/>
          <w:szCs w:val="28"/>
        </w:rPr>
        <w:t>Muthukrishnan</w:t>
      </w:r>
      <w:proofErr w:type="spellEnd"/>
      <w:r>
        <w:rPr>
          <w:rFonts w:ascii="Times New Roman" w:hAnsi="Times New Roman" w:cs="Times New Roman"/>
          <w:sz w:val="28"/>
          <w:szCs w:val="28"/>
        </w:rPr>
        <w:t xml:space="preserve">, G., Smith, H., Hernandez, C., &amp; </w:t>
      </w:r>
      <w:proofErr w:type="spellStart"/>
      <w:r>
        <w:rPr>
          <w:rFonts w:ascii="Times New Roman" w:hAnsi="Times New Roman" w:cs="Times New Roman"/>
          <w:sz w:val="28"/>
          <w:szCs w:val="28"/>
        </w:rPr>
        <w:t>Dandekar</w:t>
      </w:r>
      <w:proofErr w:type="spellEnd"/>
      <w:r>
        <w:rPr>
          <w:rFonts w:ascii="Times New Roman" w:hAnsi="Times New Roman" w:cs="Times New Roman"/>
          <w:sz w:val="28"/>
          <w:szCs w:val="28"/>
        </w:rPr>
        <w:t xml:space="preserve">, A. A. (2020). </w:t>
      </w:r>
      <w:proofErr w:type="gramStart"/>
      <w:r>
        <w:rPr>
          <w:rFonts w:ascii="Times New Roman" w:hAnsi="Times New Roman" w:cs="Times New Roman"/>
          <w:sz w:val="28"/>
          <w:szCs w:val="28"/>
        </w:rPr>
        <w:t xml:space="preserve">The role of </w:t>
      </w:r>
      <w:proofErr w:type="spellStart"/>
      <w:r>
        <w:rPr>
          <w:rFonts w:ascii="Times New Roman" w:hAnsi="Times New Roman" w:cs="Times New Roman"/>
          <w:sz w:val="28"/>
          <w:szCs w:val="28"/>
        </w:rPr>
        <w:t>enterotoxins</w:t>
      </w:r>
      <w:proofErr w:type="spellEnd"/>
      <w:r>
        <w:rPr>
          <w:rFonts w:ascii="Times New Roman" w:hAnsi="Times New Roman" w:cs="Times New Roman"/>
          <w:sz w:val="28"/>
          <w:szCs w:val="28"/>
        </w:rPr>
        <w:t xml:space="preserve">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pathogenesis and host immune response.</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Infection and Immunity, 88(10), e00354-20.</w:t>
      </w:r>
      <w:proofErr w:type="gramEnd"/>
      <w:r>
        <w:rPr>
          <w:rFonts w:ascii="Times New Roman" w:hAnsi="Times New Roman" w:cs="Times New Roman"/>
          <w:sz w:val="28"/>
          <w:szCs w:val="28"/>
        </w:rPr>
        <w:t xml:space="preserve"> https://doi.org/10.1128/IAI.00354-20</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Eskola</w:t>
      </w:r>
      <w:proofErr w:type="spellEnd"/>
      <w:r>
        <w:rPr>
          <w:rFonts w:ascii="Times New Roman" w:hAnsi="Times New Roman" w:cs="Times New Roman"/>
          <w:sz w:val="28"/>
          <w:szCs w:val="28"/>
        </w:rPr>
        <w:t xml:space="preserve">, M., Kos, G., Elliott, C. T., </w:t>
      </w:r>
      <w:proofErr w:type="spellStart"/>
      <w:r>
        <w:rPr>
          <w:rFonts w:ascii="Times New Roman" w:hAnsi="Times New Roman" w:cs="Times New Roman"/>
          <w:sz w:val="28"/>
          <w:szCs w:val="28"/>
        </w:rPr>
        <w:t>Hajšlová</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Mayar</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Krska</w:t>
      </w:r>
      <w:proofErr w:type="spellEnd"/>
      <w:r>
        <w:rPr>
          <w:rFonts w:ascii="Times New Roman" w:hAnsi="Times New Roman" w:cs="Times New Roman"/>
          <w:sz w:val="28"/>
          <w:szCs w:val="28"/>
        </w:rPr>
        <w:t>, R. (2020).</w:t>
      </w:r>
      <w:proofErr w:type="gramEnd"/>
      <w:r>
        <w:rPr>
          <w:rFonts w:ascii="Times New Roman" w:hAnsi="Times New Roman" w:cs="Times New Roman"/>
          <w:sz w:val="28"/>
          <w:szCs w:val="28"/>
        </w:rPr>
        <w:t xml:space="preserve"> Worldwide contamination of food-crops with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Validity of the widely cited ‘</w:t>
      </w:r>
      <w:proofErr w:type="spellStart"/>
      <w:r>
        <w:rPr>
          <w:rFonts w:ascii="Times New Roman" w:hAnsi="Times New Roman" w:cs="Times New Roman"/>
          <w:sz w:val="28"/>
          <w:szCs w:val="28"/>
        </w:rPr>
        <w:t>FAO</w:t>
      </w:r>
      <w:proofErr w:type="spellEnd"/>
      <w:r>
        <w:rPr>
          <w:rFonts w:ascii="Times New Roman" w:hAnsi="Times New Roman" w:cs="Times New Roman"/>
          <w:sz w:val="28"/>
          <w:szCs w:val="28"/>
        </w:rPr>
        <w:t xml:space="preserve"> estimate’ of 25%. Critical Reviews in Food Science and Nutrition, 60(16), 2773-2789.</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Flajs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Peraica</w:t>
      </w:r>
      <w:proofErr w:type="spellEnd"/>
      <w:r>
        <w:rPr>
          <w:rFonts w:ascii="Times New Roman" w:hAnsi="Times New Roman" w:cs="Times New Roman"/>
          <w:sz w:val="28"/>
          <w:szCs w:val="28"/>
        </w:rPr>
        <w:t>, M. (2019).</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 Detection, monitoring, and detoxification. </w:t>
      </w:r>
      <w:proofErr w:type="gramStart"/>
      <w:r>
        <w:rPr>
          <w:rFonts w:ascii="Times New Roman" w:hAnsi="Times New Roman" w:cs="Times New Roman"/>
          <w:sz w:val="28"/>
          <w:szCs w:val="28"/>
        </w:rPr>
        <w:t>Toxins, 11(6), 328.</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Forneris</w:t>
      </w:r>
      <w:proofErr w:type="spellEnd"/>
      <w:r>
        <w:rPr>
          <w:rFonts w:ascii="Times New Roman" w:hAnsi="Times New Roman" w:cs="Times New Roman"/>
          <w:sz w:val="28"/>
          <w:szCs w:val="28"/>
        </w:rPr>
        <w:t>, L., Ruiz, M. J., &amp; Juan-</w:t>
      </w:r>
      <w:proofErr w:type="spellStart"/>
      <w:r>
        <w:rPr>
          <w:rFonts w:ascii="Times New Roman" w:hAnsi="Times New Roman" w:cs="Times New Roman"/>
          <w:sz w:val="28"/>
          <w:szCs w:val="28"/>
        </w:rPr>
        <w:t>García</w:t>
      </w:r>
      <w:proofErr w:type="spellEnd"/>
      <w:r>
        <w:rPr>
          <w:rFonts w:ascii="Times New Roman" w:hAnsi="Times New Roman" w:cs="Times New Roman"/>
          <w:sz w:val="28"/>
          <w:szCs w:val="28"/>
        </w:rPr>
        <w:t>, A. (2022).</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Trichothecenes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Biomonitoring</w:t>
      </w:r>
      <w:proofErr w:type="spellEnd"/>
      <w:r>
        <w:rPr>
          <w:rFonts w:ascii="Times New Roman" w:hAnsi="Times New Roman" w:cs="Times New Roman"/>
          <w:sz w:val="28"/>
          <w:szCs w:val="28"/>
        </w:rPr>
        <w:t xml:space="preserve"> and human exposure. </w:t>
      </w:r>
      <w:proofErr w:type="gramStart"/>
      <w:r>
        <w:rPr>
          <w:rFonts w:ascii="Times New Roman" w:hAnsi="Times New Roman" w:cs="Times New Roman"/>
          <w:sz w:val="28"/>
          <w:szCs w:val="28"/>
        </w:rPr>
        <w:t>Toxins, 14(5), 337.</w:t>
      </w:r>
      <w:proofErr w:type="gramEnd"/>
    </w:p>
    <w:p w:rsidR="00BC74E8" w:rsidRDefault="00BC74E8" w:rsidP="00D10ECF">
      <w:pPr>
        <w:spacing w:line="240" w:lineRule="auto"/>
        <w:ind w:left="720" w:hanging="720"/>
        <w:jc w:val="both"/>
        <w:rPr>
          <w:rFonts w:ascii="Times New Roman" w:hAnsi="Times New Roman" w:cs="Times New Roman"/>
          <w:kern w:val="0"/>
          <w:sz w:val="28"/>
          <w:szCs w:val="28"/>
        </w:rPr>
      </w:pPr>
      <w:proofErr w:type="spellStart"/>
      <w:proofErr w:type="gramStart"/>
      <w:r>
        <w:rPr>
          <w:rFonts w:ascii="Times New Roman" w:hAnsi="Times New Roman" w:cs="Times New Roman"/>
          <w:kern w:val="0"/>
          <w:sz w:val="28"/>
          <w:szCs w:val="28"/>
        </w:rPr>
        <w:t>Gonçalves</w:t>
      </w:r>
      <w:proofErr w:type="spellEnd"/>
      <w:r>
        <w:rPr>
          <w:rFonts w:ascii="Times New Roman" w:hAnsi="Times New Roman" w:cs="Times New Roman"/>
          <w:kern w:val="0"/>
          <w:sz w:val="28"/>
          <w:szCs w:val="28"/>
        </w:rPr>
        <w:t xml:space="preserve">, M., </w:t>
      </w:r>
      <w:proofErr w:type="spellStart"/>
      <w:r>
        <w:rPr>
          <w:rFonts w:ascii="Times New Roman" w:hAnsi="Times New Roman" w:cs="Times New Roman"/>
          <w:kern w:val="0"/>
          <w:sz w:val="28"/>
          <w:szCs w:val="28"/>
        </w:rPr>
        <w:t>Wisecaver</w:t>
      </w:r>
      <w:proofErr w:type="spellEnd"/>
      <w:r>
        <w:rPr>
          <w:rFonts w:ascii="Times New Roman" w:hAnsi="Times New Roman" w:cs="Times New Roman"/>
          <w:kern w:val="0"/>
          <w:sz w:val="28"/>
          <w:szCs w:val="28"/>
        </w:rPr>
        <w:t xml:space="preserve">, J. H., </w:t>
      </w:r>
      <w:proofErr w:type="spellStart"/>
      <w:r>
        <w:rPr>
          <w:rFonts w:ascii="Times New Roman" w:hAnsi="Times New Roman" w:cs="Times New Roman"/>
          <w:kern w:val="0"/>
          <w:sz w:val="28"/>
          <w:szCs w:val="28"/>
        </w:rPr>
        <w:t>Kominek</w:t>
      </w:r>
      <w:proofErr w:type="spellEnd"/>
      <w:r>
        <w:rPr>
          <w:rFonts w:ascii="Times New Roman" w:hAnsi="Times New Roman" w:cs="Times New Roman"/>
          <w:kern w:val="0"/>
          <w:sz w:val="28"/>
          <w:szCs w:val="28"/>
        </w:rPr>
        <w:t xml:space="preserve">, J., &amp; </w:t>
      </w:r>
      <w:proofErr w:type="spellStart"/>
      <w:r>
        <w:rPr>
          <w:rFonts w:ascii="Times New Roman" w:hAnsi="Times New Roman" w:cs="Times New Roman"/>
          <w:kern w:val="0"/>
          <w:sz w:val="28"/>
          <w:szCs w:val="28"/>
        </w:rPr>
        <w:t>Shen</w:t>
      </w:r>
      <w:proofErr w:type="spellEnd"/>
      <w:r>
        <w:rPr>
          <w:rFonts w:ascii="Times New Roman" w:hAnsi="Times New Roman" w:cs="Times New Roman"/>
          <w:kern w:val="0"/>
          <w:sz w:val="28"/>
          <w:szCs w:val="28"/>
        </w:rPr>
        <w:t>, X. X. (2020).</w:t>
      </w:r>
      <w:proofErr w:type="gramEnd"/>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Evolution of chitin metabolism pathways in fungi.</w:t>
      </w:r>
      <w:proofErr w:type="gramEnd"/>
      <w:r>
        <w:rPr>
          <w:rFonts w:ascii="Times New Roman" w:hAnsi="Times New Roman" w:cs="Times New Roman"/>
          <w:kern w:val="0"/>
          <w:sz w:val="28"/>
          <w:szCs w:val="28"/>
        </w:rPr>
        <w:t xml:space="preserve"> Genome Biology and Evolution, 12(5), 1017–1035</w:t>
      </w:r>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Hayes, A. W., Phillips, T. D., Williams, W. L., &amp; </w:t>
      </w:r>
      <w:proofErr w:type="spellStart"/>
      <w:r>
        <w:rPr>
          <w:rFonts w:ascii="Times New Roman" w:hAnsi="Times New Roman" w:cs="Times New Roman"/>
          <w:sz w:val="28"/>
          <w:szCs w:val="28"/>
        </w:rPr>
        <w:t>Ciegler</w:t>
      </w:r>
      <w:proofErr w:type="spellEnd"/>
      <w:r>
        <w:rPr>
          <w:rFonts w:ascii="Times New Roman" w:hAnsi="Times New Roman" w:cs="Times New Roman"/>
          <w:sz w:val="28"/>
          <w:szCs w:val="28"/>
        </w:rPr>
        <w:t>, A. (1979).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Acute toxicity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mice and rats.</w:t>
      </w:r>
      <w:proofErr w:type="gramEnd"/>
      <w:r>
        <w:rPr>
          <w:rFonts w:ascii="Times New Roman" w:hAnsi="Times New Roman" w:cs="Times New Roman"/>
          <w:sz w:val="28"/>
          <w:szCs w:val="28"/>
        </w:rPr>
        <w:t xml:space="preserve"> Toxicology, 13(1), 91–100. </w:t>
      </w:r>
    </w:p>
    <w:p w:rsidR="00BC74E8" w:rsidRDefault="00BC74E8" w:rsidP="00D10ECF">
      <w:pPr>
        <w:spacing w:line="240" w:lineRule="auto"/>
        <w:ind w:left="720" w:hanging="720"/>
        <w:jc w:val="both"/>
        <w:rPr>
          <w:rFonts w:ascii="Times New Roman" w:hAnsi="Times New Roman" w:cs="Times New Roman"/>
          <w:kern w:val="0"/>
          <w:sz w:val="28"/>
          <w:szCs w:val="28"/>
        </w:rPr>
      </w:pPr>
      <w:proofErr w:type="spellStart"/>
      <w:r>
        <w:rPr>
          <w:rFonts w:ascii="Times New Roman" w:hAnsi="Times New Roman" w:cs="Times New Roman"/>
          <w:kern w:val="0"/>
          <w:sz w:val="28"/>
          <w:szCs w:val="28"/>
        </w:rPr>
        <w:lastRenderedPageBreak/>
        <w:t>Houbraken</w:t>
      </w:r>
      <w:proofErr w:type="spellEnd"/>
      <w:r>
        <w:rPr>
          <w:rFonts w:ascii="Times New Roman" w:hAnsi="Times New Roman" w:cs="Times New Roman"/>
          <w:kern w:val="0"/>
          <w:sz w:val="28"/>
          <w:szCs w:val="28"/>
        </w:rPr>
        <w:t xml:space="preserve">, J., </w:t>
      </w:r>
      <w:proofErr w:type="spellStart"/>
      <w:r>
        <w:rPr>
          <w:rFonts w:ascii="Times New Roman" w:hAnsi="Times New Roman" w:cs="Times New Roman"/>
          <w:kern w:val="0"/>
          <w:sz w:val="28"/>
          <w:szCs w:val="28"/>
        </w:rPr>
        <w:t>Kocsubé</w:t>
      </w:r>
      <w:proofErr w:type="spellEnd"/>
      <w:r>
        <w:rPr>
          <w:rFonts w:ascii="Times New Roman" w:hAnsi="Times New Roman" w:cs="Times New Roman"/>
          <w:kern w:val="0"/>
          <w:sz w:val="28"/>
          <w:szCs w:val="28"/>
        </w:rPr>
        <w:t xml:space="preserve">, S., </w:t>
      </w:r>
      <w:proofErr w:type="spellStart"/>
      <w:r>
        <w:rPr>
          <w:rFonts w:ascii="Times New Roman" w:hAnsi="Times New Roman" w:cs="Times New Roman"/>
          <w:kern w:val="0"/>
          <w:sz w:val="28"/>
          <w:szCs w:val="28"/>
        </w:rPr>
        <w:t>Visagie</w:t>
      </w:r>
      <w:proofErr w:type="spellEnd"/>
      <w:r>
        <w:rPr>
          <w:rFonts w:ascii="Times New Roman" w:hAnsi="Times New Roman" w:cs="Times New Roman"/>
          <w:kern w:val="0"/>
          <w:sz w:val="28"/>
          <w:szCs w:val="28"/>
        </w:rPr>
        <w:t xml:space="preserve">, C. M., </w:t>
      </w:r>
      <w:proofErr w:type="spellStart"/>
      <w:r>
        <w:rPr>
          <w:rFonts w:ascii="Times New Roman" w:hAnsi="Times New Roman" w:cs="Times New Roman"/>
          <w:kern w:val="0"/>
          <w:sz w:val="28"/>
          <w:szCs w:val="28"/>
        </w:rPr>
        <w:t>Yilmaz</w:t>
      </w:r>
      <w:proofErr w:type="spellEnd"/>
      <w:r>
        <w:rPr>
          <w:rFonts w:ascii="Times New Roman" w:hAnsi="Times New Roman" w:cs="Times New Roman"/>
          <w:kern w:val="0"/>
          <w:sz w:val="28"/>
          <w:szCs w:val="28"/>
        </w:rPr>
        <w:t xml:space="preserve">, N., &amp; </w:t>
      </w:r>
      <w:proofErr w:type="spellStart"/>
      <w:r>
        <w:rPr>
          <w:rFonts w:ascii="Times New Roman" w:hAnsi="Times New Roman" w:cs="Times New Roman"/>
          <w:kern w:val="0"/>
          <w:sz w:val="28"/>
          <w:szCs w:val="28"/>
        </w:rPr>
        <w:t>Frisvad</w:t>
      </w:r>
      <w:proofErr w:type="spellEnd"/>
      <w:r>
        <w:rPr>
          <w:rFonts w:ascii="Times New Roman" w:hAnsi="Times New Roman" w:cs="Times New Roman"/>
          <w:kern w:val="0"/>
          <w:sz w:val="28"/>
          <w:szCs w:val="28"/>
        </w:rPr>
        <w:t xml:space="preserve">, J. C. (2020). Classification of </w:t>
      </w:r>
      <w:proofErr w:type="spellStart"/>
      <w:r>
        <w:rPr>
          <w:rFonts w:ascii="Times New Roman" w:hAnsi="Times New Roman" w:cs="Times New Roman"/>
          <w:kern w:val="0"/>
          <w:sz w:val="28"/>
          <w:szCs w:val="28"/>
        </w:rPr>
        <w:t>Penicillium</w:t>
      </w:r>
      <w:proofErr w:type="spellEnd"/>
      <w:r>
        <w:rPr>
          <w:rFonts w:ascii="Times New Roman" w:hAnsi="Times New Roman" w:cs="Times New Roman"/>
          <w:kern w:val="0"/>
          <w:sz w:val="28"/>
          <w:szCs w:val="28"/>
        </w:rPr>
        <w:t xml:space="preserve"> and </w:t>
      </w:r>
      <w:proofErr w:type="spellStart"/>
      <w:r>
        <w:rPr>
          <w:rFonts w:ascii="Times New Roman" w:hAnsi="Times New Roman" w:cs="Times New Roman"/>
          <w:kern w:val="0"/>
          <w:sz w:val="28"/>
          <w:szCs w:val="28"/>
        </w:rPr>
        <w:t>Aspergillus</w:t>
      </w:r>
      <w:proofErr w:type="spellEnd"/>
      <w:r>
        <w:rPr>
          <w:rFonts w:ascii="Times New Roman" w:hAnsi="Times New Roman" w:cs="Times New Roman"/>
          <w:kern w:val="0"/>
          <w:sz w:val="28"/>
          <w:szCs w:val="28"/>
        </w:rPr>
        <w:t>: Historical overview and current status. Studies in Mycology, 95, 5–10</w:t>
      </w:r>
    </w:p>
    <w:p w:rsidR="00BC74E8" w:rsidRPr="00A17BDB"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Huang, Q., Zhao, H., Liu, Y., Wang, X., Chen, Q., &amp; Li, F.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Detection of classical and novel </w:t>
      </w:r>
      <w:proofErr w:type="spellStart"/>
      <w:r>
        <w:rPr>
          <w:rFonts w:ascii="Times New Roman" w:hAnsi="Times New Roman" w:cs="Times New Roman"/>
          <w:sz w:val="28"/>
          <w:szCs w:val="28"/>
        </w:rPr>
        <w:t>enterotoxins</w:t>
      </w:r>
      <w:proofErr w:type="spellEnd"/>
      <w:r>
        <w:rPr>
          <w:rFonts w:ascii="Times New Roman" w:hAnsi="Times New Roman" w:cs="Times New Roman"/>
          <w:sz w:val="28"/>
          <w:szCs w:val="28"/>
        </w:rPr>
        <w:t xml:space="preserve">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from dairy products and molecular typing.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842612.</w:t>
      </w:r>
      <w:proofErr w:type="gramEnd"/>
      <w:r>
        <w:rPr>
          <w:rFonts w:ascii="Times New Roman" w:hAnsi="Times New Roman" w:cs="Times New Roman"/>
          <w:sz w:val="28"/>
          <w:szCs w:val="28"/>
        </w:rPr>
        <w:t xml:space="preserve">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kern w:val="0"/>
          <w:sz w:val="28"/>
          <w:szCs w:val="28"/>
        </w:rPr>
        <w:t xml:space="preserve">Hyde, K. D., </w:t>
      </w:r>
      <w:proofErr w:type="spellStart"/>
      <w:r>
        <w:rPr>
          <w:rFonts w:ascii="Times New Roman" w:hAnsi="Times New Roman" w:cs="Times New Roman"/>
          <w:kern w:val="0"/>
          <w:sz w:val="28"/>
          <w:szCs w:val="28"/>
        </w:rPr>
        <w:t>Xu</w:t>
      </w:r>
      <w:proofErr w:type="spellEnd"/>
      <w:r>
        <w:rPr>
          <w:rFonts w:ascii="Times New Roman" w:hAnsi="Times New Roman" w:cs="Times New Roman"/>
          <w:kern w:val="0"/>
          <w:sz w:val="28"/>
          <w:szCs w:val="28"/>
        </w:rPr>
        <w:t xml:space="preserve">, J., </w:t>
      </w:r>
      <w:proofErr w:type="spellStart"/>
      <w:r>
        <w:rPr>
          <w:rFonts w:ascii="Times New Roman" w:hAnsi="Times New Roman" w:cs="Times New Roman"/>
          <w:kern w:val="0"/>
          <w:sz w:val="28"/>
          <w:szCs w:val="28"/>
        </w:rPr>
        <w:t>Rapior</w:t>
      </w:r>
      <w:proofErr w:type="spellEnd"/>
      <w:r>
        <w:rPr>
          <w:rFonts w:ascii="Times New Roman" w:hAnsi="Times New Roman" w:cs="Times New Roman"/>
          <w:kern w:val="0"/>
          <w:sz w:val="28"/>
          <w:szCs w:val="28"/>
        </w:rPr>
        <w:t xml:space="preserve">, S., </w:t>
      </w:r>
      <w:proofErr w:type="spellStart"/>
      <w:r>
        <w:rPr>
          <w:rFonts w:ascii="Times New Roman" w:hAnsi="Times New Roman" w:cs="Times New Roman"/>
          <w:kern w:val="0"/>
          <w:sz w:val="28"/>
          <w:szCs w:val="28"/>
        </w:rPr>
        <w:t>Jeewon</w:t>
      </w:r>
      <w:proofErr w:type="spellEnd"/>
      <w:r>
        <w:rPr>
          <w:rFonts w:ascii="Times New Roman" w:hAnsi="Times New Roman" w:cs="Times New Roman"/>
          <w:kern w:val="0"/>
          <w:sz w:val="28"/>
          <w:szCs w:val="28"/>
        </w:rPr>
        <w:t xml:space="preserve">, R., &amp; </w:t>
      </w:r>
      <w:proofErr w:type="spellStart"/>
      <w:r>
        <w:rPr>
          <w:rFonts w:ascii="Times New Roman" w:hAnsi="Times New Roman" w:cs="Times New Roman"/>
          <w:kern w:val="0"/>
          <w:sz w:val="28"/>
          <w:szCs w:val="28"/>
        </w:rPr>
        <w:t>Lumyong</w:t>
      </w:r>
      <w:proofErr w:type="spellEnd"/>
      <w:r>
        <w:rPr>
          <w:rFonts w:ascii="Times New Roman" w:hAnsi="Times New Roman" w:cs="Times New Roman"/>
          <w:kern w:val="0"/>
          <w:sz w:val="28"/>
          <w:szCs w:val="28"/>
        </w:rPr>
        <w:t>, S. (2019). The amazing potential of fungi: 50 ways we can exploit fungi industrially. Fungal Diversity, 97(1), 1–136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w:t>
      </w:r>
      <w:proofErr w:type="spellStart"/>
      <w:r>
        <w:rPr>
          <w:rFonts w:ascii="Times New Roman" w:hAnsi="Times New Roman" w:cs="Times New Roman"/>
          <w:sz w:val="28"/>
          <w:szCs w:val="28"/>
        </w:rPr>
        <w:t>Choi</w:t>
      </w:r>
      <w:proofErr w:type="spellEnd"/>
      <w:r>
        <w:rPr>
          <w:rFonts w:ascii="Times New Roman" w:hAnsi="Times New Roman" w:cs="Times New Roman"/>
          <w:sz w:val="28"/>
          <w:szCs w:val="28"/>
        </w:rPr>
        <w:t xml:space="preserve">, S. Y., &amp; Oh, D. H. (2019). </w:t>
      </w:r>
      <w:proofErr w:type="gramStart"/>
      <w:r>
        <w:rPr>
          <w:rFonts w:ascii="Times New Roman" w:hAnsi="Times New Roman" w:cs="Times New Roman"/>
          <w:sz w:val="28"/>
          <w:szCs w:val="28"/>
        </w:rPr>
        <w:t xml:space="preserve">Occurrence of </w:t>
      </w:r>
      <w:proofErr w:type="spellStart"/>
      <w:r>
        <w:rPr>
          <w:rFonts w:ascii="Times New Roman" w:hAnsi="Times New Roman" w:cs="Times New Roman"/>
          <w:sz w:val="28"/>
          <w:szCs w:val="28"/>
        </w:rPr>
        <w:t>enterotoxin</w:t>
      </w:r>
      <w:proofErr w:type="spellEnd"/>
      <w:r>
        <w:rPr>
          <w:rFonts w:ascii="Times New Roman" w:hAnsi="Times New Roman" w:cs="Times New Roman"/>
          <w:sz w:val="28"/>
          <w:szCs w:val="28"/>
        </w:rPr>
        <w:t xml:space="preserve">-producing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in ready-to-eat foods and dairy products in Korea.</w:t>
      </w:r>
      <w:proofErr w:type="gramEnd"/>
      <w:r>
        <w:rPr>
          <w:rFonts w:ascii="Times New Roman" w:hAnsi="Times New Roman" w:cs="Times New Roman"/>
          <w:sz w:val="28"/>
          <w:szCs w:val="28"/>
        </w:rPr>
        <w:t xml:space="preserve"> Food Science and Biotechnology, 28(1), 179–186. </w:t>
      </w:r>
    </w:p>
    <w:p w:rsidR="00BC74E8" w:rsidRDefault="00BC74E8" w:rsidP="00D10ECF">
      <w:pPr>
        <w:spacing w:line="240" w:lineRule="auto"/>
        <w:ind w:left="720" w:hanging="720"/>
        <w:jc w:val="both"/>
        <w:rPr>
          <w:rFonts w:ascii="Times New Roman" w:hAnsi="Times New Roman" w:cs="Times New Roman"/>
          <w:kern w:val="0"/>
          <w:sz w:val="28"/>
          <w:szCs w:val="28"/>
        </w:rPr>
      </w:pPr>
      <w:proofErr w:type="gramStart"/>
      <w:r>
        <w:rPr>
          <w:rFonts w:ascii="Times New Roman" w:hAnsi="Times New Roman" w:cs="Times New Roman"/>
          <w:kern w:val="0"/>
          <w:sz w:val="28"/>
          <w:szCs w:val="28"/>
        </w:rPr>
        <w:t xml:space="preserve">Kumar, S., </w:t>
      </w:r>
      <w:proofErr w:type="spellStart"/>
      <w:r>
        <w:rPr>
          <w:rFonts w:ascii="Times New Roman" w:hAnsi="Times New Roman" w:cs="Times New Roman"/>
          <w:kern w:val="0"/>
          <w:sz w:val="28"/>
          <w:szCs w:val="28"/>
        </w:rPr>
        <w:t>Kaushik</w:t>
      </w:r>
      <w:proofErr w:type="spellEnd"/>
      <w:r>
        <w:rPr>
          <w:rFonts w:ascii="Times New Roman" w:hAnsi="Times New Roman" w:cs="Times New Roman"/>
          <w:kern w:val="0"/>
          <w:sz w:val="28"/>
          <w:szCs w:val="28"/>
        </w:rPr>
        <w:t xml:space="preserve">, N., </w:t>
      </w:r>
      <w:proofErr w:type="spellStart"/>
      <w:r>
        <w:rPr>
          <w:rFonts w:ascii="Times New Roman" w:hAnsi="Times New Roman" w:cs="Times New Roman"/>
          <w:kern w:val="0"/>
          <w:sz w:val="28"/>
          <w:szCs w:val="28"/>
        </w:rPr>
        <w:t>Proffitt</w:t>
      </w:r>
      <w:proofErr w:type="spellEnd"/>
      <w:r>
        <w:rPr>
          <w:rFonts w:ascii="Times New Roman" w:hAnsi="Times New Roman" w:cs="Times New Roman"/>
          <w:kern w:val="0"/>
          <w:sz w:val="28"/>
          <w:szCs w:val="28"/>
        </w:rPr>
        <w:t xml:space="preserve">, E., &amp; </w:t>
      </w:r>
      <w:proofErr w:type="spellStart"/>
      <w:r>
        <w:rPr>
          <w:rFonts w:ascii="Times New Roman" w:hAnsi="Times New Roman" w:cs="Times New Roman"/>
          <w:kern w:val="0"/>
          <w:sz w:val="28"/>
          <w:szCs w:val="28"/>
        </w:rPr>
        <w:t>Mehrotra</w:t>
      </w:r>
      <w:proofErr w:type="spellEnd"/>
      <w:r>
        <w:rPr>
          <w:rFonts w:ascii="Times New Roman" w:hAnsi="Times New Roman" w:cs="Times New Roman"/>
          <w:kern w:val="0"/>
          <w:sz w:val="28"/>
          <w:szCs w:val="28"/>
        </w:rPr>
        <w:t>, R. (2021).</w:t>
      </w:r>
      <w:proofErr w:type="gramEnd"/>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Fungal ecology and diversity in changing environments.</w:t>
      </w:r>
      <w:proofErr w:type="gramEnd"/>
      <w:r>
        <w:rPr>
          <w:rFonts w:ascii="Times New Roman" w:hAnsi="Times New Roman" w:cs="Times New Roman"/>
          <w:kern w:val="0"/>
          <w:sz w:val="28"/>
          <w:szCs w:val="28"/>
        </w:rPr>
        <w:t xml:space="preserve"> Environmental Microbiology Reports, 13(1), 19–35.</w:t>
      </w:r>
    </w:p>
    <w:p w:rsidR="00BC74E8" w:rsidRDefault="00BC74E8" w:rsidP="00D10ECF">
      <w:pPr>
        <w:spacing w:line="240" w:lineRule="auto"/>
        <w:ind w:left="720" w:hanging="720"/>
        <w:jc w:val="both"/>
        <w:rPr>
          <w:rFonts w:ascii="Times New Roman" w:hAnsi="Times New Roman" w:cs="Times New Roman"/>
          <w:kern w:val="0"/>
          <w:sz w:val="28"/>
          <w:szCs w:val="28"/>
        </w:rPr>
      </w:pPr>
      <w:proofErr w:type="gramStart"/>
      <w:r>
        <w:rPr>
          <w:rFonts w:ascii="Times New Roman" w:hAnsi="Times New Roman" w:cs="Times New Roman"/>
          <w:kern w:val="0"/>
          <w:sz w:val="28"/>
          <w:szCs w:val="28"/>
        </w:rPr>
        <w:t xml:space="preserve">Li, S., Wang, X., Liu, J., Yang, Y., Zhang, H., &amp; </w:t>
      </w:r>
      <w:proofErr w:type="spellStart"/>
      <w:r>
        <w:rPr>
          <w:rFonts w:ascii="Times New Roman" w:hAnsi="Times New Roman" w:cs="Times New Roman"/>
          <w:kern w:val="0"/>
          <w:sz w:val="28"/>
          <w:szCs w:val="28"/>
        </w:rPr>
        <w:t>Xu</w:t>
      </w:r>
      <w:proofErr w:type="spellEnd"/>
      <w:r>
        <w:rPr>
          <w:rFonts w:ascii="Times New Roman" w:hAnsi="Times New Roman" w:cs="Times New Roman"/>
          <w:kern w:val="0"/>
          <w:sz w:val="28"/>
          <w:szCs w:val="28"/>
        </w:rPr>
        <w:t>, Y. (2020).</w:t>
      </w:r>
      <w:proofErr w:type="gramEnd"/>
      <w:r>
        <w:rPr>
          <w:rFonts w:ascii="Times New Roman" w:hAnsi="Times New Roman" w:cs="Times New Roman"/>
          <w:kern w:val="0"/>
          <w:sz w:val="28"/>
          <w:szCs w:val="28"/>
        </w:rPr>
        <w:t xml:space="preserve"> Molecular characterization and toxin gene profiling of Staphylococcus </w:t>
      </w:r>
      <w:proofErr w:type="spellStart"/>
      <w:r>
        <w:rPr>
          <w:rFonts w:ascii="Times New Roman" w:hAnsi="Times New Roman" w:cs="Times New Roman"/>
          <w:kern w:val="0"/>
          <w:sz w:val="28"/>
          <w:szCs w:val="28"/>
        </w:rPr>
        <w:t>aureus</w:t>
      </w:r>
      <w:proofErr w:type="spellEnd"/>
      <w:r>
        <w:rPr>
          <w:rFonts w:ascii="Times New Roman" w:hAnsi="Times New Roman" w:cs="Times New Roman"/>
          <w:kern w:val="0"/>
          <w:sz w:val="28"/>
          <w:szCs w:val="28"/>
        </w:rPr>
        <w:t xml:space="preserve"> isolated from food and clinical samples. Microbial Pathogenesis, 149, 104522</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Longcore</w:t>
      </w:r>
      <w:proofErr w:type="spellEnd"/>
      <w:r>
        <w:rPr>
          <w:rFonts w:ascii="Times New Roman" w:hAnsi="Times New Roman" w:cs="Times New Roman"/>
          <w:sz w:val="28"/>
          <w:szCs w:val="28"/>
        </w:rPr>
        <w:t xml:space="preserve">, J. E., </w:t>
      </w:r>
      <w:proofErr w:type="spellStart"/>
      <w:r>
        <w:rPr>
          <w:rFonts w:ascii="Times New Roman" w:hAnsi="Times New Roman" w:cs="Times New Roman"/>
          <w:sz w:val="28"/>
          <w:szCs w:val="28"/>
        </w:rPr>
        <w:t>Pessier</w:t>
      </w:r>
      <w:proofErr w:type="spellEnd"/>
      <w:r>
        <w:rPr>
          <w:rFonts w:ascii="Times New Roman" w:hAnsi="Times New Roman" w:cs="Times New Roman"/>
          <w:sz w:val="28"/>
          <w:szCs w:val="28"/>
        </w:rPr>
        <w:t>, A. P., &amp; Nichols, D. K. (2019).</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Batrachochytrium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dendrobatidis</w:t>
      </w:r>
      <w:proofErr w:type="spellEnd"/>
      <w:r>
        <w:rPr>
          <w:rFonts w:ascii="Times New Roman" w:hAnsi="Times New Roman" w:cs="Times New Roman"/>
          <w:sz w:val="28"/>
          <w:szCs w:val="28"/>
        </w:rPr>
        <w:t>: A fungus linked to global amphibian declines. Journal of Wildlife Diseases, 55(3), 454–469.</w:t>
      </w:r>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Marin, S., Ramos, A. J., Cano-</w:t>
      </w:r>
      <w:proofErr w:type="spellStart"/>
      <w:r>
        <w:rPr>
          <w:rFonts w:ascii="Times New Roman" w:hAnsi="Times New Roman" w:cs="Times New Roman"/>
          <w:sz w:val="28"/>
          <w:szCs w:val="28"/>
        </w:rPr>
        <w:t>Sancho</w:t>
      </w:r>
      <w:proofErr w:type="spellEnd"/>
      <w:r>
        <w:rPr>
          <w:rFonts w:ascii="Times New Roman" w:hAnsi="Times New Roman" w:cs="Times New Roman"/>
          <w:sz w:val="28"/>
          <w:szCs w:val="28"/>
        </w:rPr>
        <w:t xml:space="preserve">, G., &amp; </w:t>
      </w:r>
      <w:proofErr w:type="spellStart"/>
      <w:r>
        <w:rPr>
          <w:rFonts w:ascii="Times New Roman" w:hAnsi="Times New Roman" w:cs="Times New Roman"/>
          <w:sz w:val="28"/>
          <w:szCs w:val="28"/>
        </w:rPr>
        <w:t>Sanchis</w:t>
      </w:r>
      <w:proofErr w:type="spellEnd"/>
      <w:r>
        <w:rPr>
          <w:rFonts w:ascii="Times New Roman" w:hAnsi="Times New Roman" w:cs="Times New Roman"/>
          <w:sz w:val="28"/>
          <w:szCs w:val="28"/>
        </w:rPr>
        <w:t>, V.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Occurrence, toxicology, and exposure assessment. </w:t>
      </w:r>
      <w:proofErr w:type="gramStart"/>
      <w:r>
        <w:rPr>
          <w:rFonts w:ascii="Times New Roman" w:hAnsi="Times New Roman" w:cs="Times New Roman"/>
          <w:sz w:val="28"/>
          <w:szCs w:val="28"/>
        </w:rPr>
        <w:t>Food and Chemical Toxicology, 157, 112603.</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McKinley, E. R., Carlton, W. W., &amp; Boon, G. D. (1982).</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mycotoxicosis</w:t>
      </w:r>
      <w:proofErr w:type="spellEnd"/>
      <w:r>
        <w:rPr>
          <w:rFonts w:ascii="Times New Roman" w:hAnsi="Times New Roman" w:cs="Times New Roman"/>
          <w:sz w:val="28"/>
          <w:szCs w:val="28"/>
        </w:rPr>
        <w:t xml:space="preserve"> in the rat: Toxicology, pathology and clinical pathology. Food and Chemical Toxicology, 20(3), 289–300. </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Moake</w:t>
      </w:r>
      <w:proofErr w:type="spellEnd"/>
      <w:r>
        <w:rPr>
          <w:rFonts w:ascii="Times New Roman" w:hAnsi="Times New Roman" w:cs="Times New Roman"/>
          <w:sz w:val="28"/>
          <w:szCs w:val="28"/>
        </w:rPr>
        <w:t>, M. M., Padilla-</w:t>
      </w:r>
      <w:proofErr w:type="spellStart"/>
      <w:r>
        <w:rPr>
          <w:rFonts w:ascii="Times New Roman" w:hAnsi="Times New Roman" w:cs="Times New Roman"/>
          <w:sz w:val="28"/>
          <w:szCs w:val="28"/>
        </w:rPr>
        <w:t>Zakour</w:t>
      </w:r>
      <w:proofErr w:type="spellEnd"/>
      <w:r>
        <w:rPr>
          <w:rFonts w:ascii="Times New Roman" w:hAnsi="Times New Roman" w:cs="Times New Roman"/>
          <w:sz w:val="28"/>
          <w:szCs w:val="28"/>
        </w:rPr>
        <w:t xml:space="preserve">, O. I., &amp; </w:t>
      </w:r>
      <w:proofErr w:type="spellStart"/>
      <w:r>
        <w:rPr>
          <w:rFonts w:ascii="Times New Roman" w:hAnsi="Times New Roman" w:cs="Times New Roman"/>
          <w:sz w:val="28"/>
          <w:szCs w:val="28"/>
        </w:rPr>
        <w:t>Worobo</w:t>
      </w:r>
      <w:proofErr w:type="spellEnd"/>
      <w:r>
        <w:rPr>
          <w:rFonts w:ascii="Times New Roman" w:hAnsi="Times New Roman" w:cs="Times New Roman"/>
          <w:sz w:val="28"/>
          <w:szCs w:val="28"/>
        </w:rPr>
        <w:t>, R. W.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Food safety implications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apple juice.</w:t>
      </w:r>
      <w:proofErr w:type="gramEnd"/>
      <w:r>
        <w:rPr>
          <w:rFonts w:ascii="Times New Roman" w:hAnsi="Times New Roman" w:cs="Times New Roman"/>
          <w:sz w:val="28"/>
          <w:szCs w:val="28"/>
        </w:rPr>
        <w:t xml:space="preserve"> Comprehensive Reviews in Food Science and Food Safety, 19(3), 1532-1547.</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Munkvold</w:t>
      </w:r>
      <w:proofErr w:type="spellEnd"/>
      <w:r>
        <w:rPr>
          <w:rFonts w:ascii="Times New Roman" w:hAnsi="Times New Roman" w:cs="Times New Roman"/>
          <w:sz w:val="28"/>
          <w:szCs w:val="28"/>
        </w:rPr>
        <w:t xml:space="preserve">, G. P., </w:t>
      </w:r>
      <w:proofErr w:type="spellStart"/>
      <w:r>
        <w:rPr>
          <w:rFonts w:ascii="Times New Roman" w:hAnsi="Times New Roman" w:cs="Times New Roman"/>
          <w:sz w:val="28"/>
          <w:szCs w:val="28"/>
        </w:rPr>
        <w:t>Ariño</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Mahuku</w:t>
      </w:r>
      <w:proofErr w:type="spellEnd"/>
      <w:r>
        <w:rPr>
          <w:rFonts w:ascii="Times New Roman" w:hAnsi="Times New Roman" w:cs="Times New Roman"/>
          <w:sz w:val="28"/>
          <w:szCs w:val="28"/>
        </w:rPr>
        <w:t>, G. (2019).</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Fumonisins</w:t>
      </w:r>
      <w:proofErr w:type="spellEnd"/>
      <w:r>
        <w:rPr>
          <w:rFonts w:ascii="Times New Roman" w:hAnsi="Times New Roman" w:cs="Times New Roman"/>
          <w:sz w:val="28"/>
          <w:szCs w:val="28"/>
        </w:rPr>
        <w:t xml:space="preserve"> and their implications in plant disease and food safety.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11(6), 328.</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Naranjo</w:t>
      </w:r>
      <w:proofErr w:type="spellEnd"/>
      <w:r>
        <w:rPr>
          <w:rFonts w:ascii="Times New Roman" w:hAnsi="Times New Roman" w:cs="Times New Roman"/>
          <w:sz w:val="28"/>
          <w:szCs w:val="28"/>
        </w:rPr>
        <w:t xml:space="preserve">-Ortiz, M. A., &amp; </w:t>
      </w:r>
      <w:proofErr w:type="spellStart"/>
      <w:r>
        <w:rPr>
          <w:rFonts w:ascii="Times New Roman" w:hAnsi="Times New Roman" w:cs="Times New Roman"/>
          <w:sz w:val="28"/>
          <w:szCs w:val="28"/>
        </w:rPr>
        <w:t>Gabaldón</w:t>
      </w:r>
      <w:proofErr w:type="spellEnd"/>
      <w:r>
        <w:rPr>
          <w:rFonts w:ascii="Times New Roman" w:hAnsi="Times New Roman" w:cs="Times New Roman"/>
          <w:sz w:val="28"/>
          <w:szCs w:val="28"/>
        </w:rPr>
        <w:t>, T. (2019).</w:t>
      </w:r>
      <w:proofErr w:type="gramEnd"/>
      <w:r>
        <w:rPr>
          <w:rFonts w:ascii="Times New Roman" w:hAnsi="Times New Roman" w:cs="Times New Roman"/>
          <w:sz w:val="28"/>
          <w:szCs w:val="28"/>
        </w:rPr>
        <w:t xml:space="preserve"> Fungal evolution: Diversity, taxonomy, and phylogeny of the Fungi. </w:t>
      </w:r>
      <w:proofErr w:type="gramStart"/>
      <w:r>
        <w:rPr>
          <w:rFonts w:ascii="Times New Roman" w:hAnsi="Times New Roman" w:cs="Times New Roman"/>
          <w:sz w:val="28"/>
          <w:szCs w:val="28"/>
        </w:rPr>
        <w:t>Biological Reviews, 94(6), 2101–2137.</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Petzinger</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Weidenbach</w:t>
      </w:r>
      <w:proofErr w:type="spellEnd"/>
      <w:r>
        <w:rPr>
          <w:rFonts w:ascii="Times New Roman" w:hAnsi="Times New Roman" w:cs="Times New Roman"/>
          <w:sz w:val="28"/>
          <w:szCs w:val="28"/>
        </w:rPr>
        <w:t>, A.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Its impact on the human kidney and approaches to reduce its contamination in food. </w:t>
      </w:r>
      <w:proofErr w:type="gramStart"/>
      <w:r>
        <w:rPr>
          <w:rFonts w:ascii="Times New Roman" w:hAnsi="Times New Roman" w:cs="Times New Roman"/>
          <w:sz w:val="28"/>
          <w:szCs w:val="28"/>
        </w:rPr>
        <w:t>Journal of Toxicology, 2021, 8850476.</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Molecular mechanisms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toxicity and its impact on DNA integrity.</w:t>
      </w:r>
      <w:proofErr w:type="gramEnd"/>
      <w:r>
        <w:rPr>
          <w:rFonts w:ascii="Times New Roman" w:hAnsi="Times New Roman" w:cs="Times New Roman"/>
          <w:sz w:val="28"/>
          <w:szCs w:val="28"/>
        </w:rPr>
        <w:t xml:space="preserve"> Toxicology Reports, 7, 798-810.</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kern w:val="0"/>
          <w:sz w:val="28"/>
          <w:szCs w:val="28"/>
        </w:rPr>
        <w:t>Puel</w:t>
      </w:r>
      <w:proofErr w:type="spellEnd"/>
      <w:r>
        <w:rPr>
          <w:rFonts w:ascii="Times New Roman" w:hAnsi="Times New Roman" w:cs="Times New Roman"/>
          <w:kern w:val="0"/>
          <w:sz w:val="28"/>
          <w:szCs w:val="28"/>
        </w:rPr>
        <w:t xml:space="preserve">, O., </w:t>
      </w:r>
      <w:proofErr w:type="spellStart"/>
      <w:r>
        <w:rPr>
          <w:rFonts w:ascii="Times New Roman" w:hAnsi="Times New Roman" w:cs="Times New Roman"/>
          <w:kern w:val="0"/>
          <w:sz w:val="28"/>
          <w:szCs w:val="28"/>
        </w:rPr>
        <w:t>Galtier</w:t>
      </w:r>
      <w:proofErr w:type="spellEnd"/>
      <w:r>
        <w:rPr>
          <w:rFonts w:ascii="Times New Roman" w:hAnsi="Times New Roman" w:cs="Times New Roman"/>
          <w:kern w:val="0"/>
          <w:sz w:val="28"/>
          <w:szCs w:val="28"/>
        </w:rPr>
        <w:t>, P., &amp; Oswald, I. P. (2010).</w:t>
      </w:r>
      <w:proofErr w:type="gramEnd"/>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 xml:space="preserve">Biosynthesis and toxicological effects of </w:t>
      </w:r>
      <w:proofErr w:type="spellStart"/>
      <w:r>
        <w:rPr>
          <w:rFonts w:ascii="Times New Roman" w:hAnsi="Times New Roman" w:cs="Times New Roman"/>
          <w:kern w:val="0"/>
          <w:sz w:val="28"/>
          <w:szCs w:val="28"/>
        </w:rPr>
        <w:t>patulin</w:t>
      </w:r>
      <w:proofErr w:type="spellEnd"/>
      <w:r>
        <w:rPr>
          <w:rFonts w:ascii="Times New Roman" w:hAnsi="Times New Roman" w:cs="Times New Roman"/>
          <w:kern w:val="0"/>
          <w:sz w:val="28"/>
          <w:szCs w:val="28"/>
        </w:rPr>
        <w:t>.</w:t>
      </w:r>
      <w:proofErr w:type="gramEnd"/>
      <w:r>
        <w:rPr>
          <w:rFonts w:ascii="Times New Roman" w:hAnsi="Times New Roman" w:cs="Times New Roman"/>
          <w:kern w:val="0"/>
          <w:sz w:val="28"/>
          <w:szCs w:val="28"/>
        </w:rPr>
        <w:t xml:space="preserve"> Toxins, 2(4), 613–631. </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Puel</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Galtier</w:t>
      </w:r>
      <w:proofErr w:type="spellEnd"/>
      <w:r>
        <w:rPr>
          <w:rFonts w:ascii="Times New Roman" w:hAnsi="Times New Roman" w:cs="Times New Roman"/>
          <w:sz w:val="28"/>
          <w:szCs w:val="28"/>
        </w:rPr>
        <w:t>, P., &amp; Oswald, I. P.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Biosynthesis and toxicological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10(10), 406.</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Riley, L. W., &amp; </w:t>
      </w:r>
      <w:proofErr w:type="spellStart"/>
      <w:r>
        <w:rPr>
          <w:rFonts w:ascii="Times New Roman" w:hAnsi="Times New Roman" w:cs="Times New Roman"/>
          <w:sz w:val="28"/>
          <w:szCs w:val="28"/>
        </w:rPr>
        <w:t>Norreed</w:t>
      </w:r>
      <w:proofErr w:type="spellEnd"/>
      <w:r>
        <w:rPr>
          <w:rFonts w:ascii="Times New Roman" w:hAnsi="Times New Roman" w:cs="Times New Roman"/>
          <w:sz w:val="28"/>
          <w:szCs w:val="28"/>
        </w:rPr>
        <w:t>, A. T. (2018).</w:t>
      </w:r>
      <w:proofErr w:type="gramEnd"/>
      <w:r>
        <w:rPr>
          <w:rFonts w:ascii="Times New Roman" w:hAnsi="Times New Roman" w:cs="Times New Roman"/>
          <w:sz w:val="28"/>
          <w:szCs w:val="28"/>
        </w:rPr>
        <w:t xml:space="preserve">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Pathogenesis, epidemiology, and clinical manifestations. </w:t>
      </w:r>
      <w:proofErr w:type="gramStart"/>
      <w:r>
        <w:rPr>
          <w:rFonts w:ascii="Times New Roman" w:hAnsi="Times New Roman" w:cs="Times New Roman"/>
          <w:sz w:val="28"/>
          <w:szCs w:val="28"/>
        </w:rPr>
        <w:t>Journal of Clinical Microbiology, 56(4), e00215-18.</w:t>
      </w:r>
      <w:proofErr w:type="gramEnd"/>
      <w:r>
        <w:rPr>
          <w:rFonts w:ascii="Times New Roman" w:hAnsi="Times New Roman" w:cs="Times New Roman"/>
          <w:sz w:val="28"/>
          <w:szCs w:val="28"/>
        </w:rPr>
        <w:t xml:space="preserve"> </w:t>
      </w:r>
      <w:hyperlink r:id="rId15" w:history="1">
        <w:r>
          <w:rPr>
            <w:rStyle w:val="Hyperlink"/>
            <w:rFonts w:ascii="Times New Roman" w:hAnsi="Times New Roman" w:cs="Times New Roman"/>
            <w:sz w:val="28"/>
            <w:szCs w:val="28"/>
          </w:rPr>
          <w:t>https://doi.org/10.1128/JCM.00215-18</w:t>
        </w:r>
      </w:hyperlink>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Smith, M. C., </w:t>
      </w:r>
      <w:proofErr w:type="spellStart"/>
      <w:r>
        <w:rPr>
          <w:rFonts w:ascii="Times New Roman" w:hAnsi="Times New Roman" w:cs="Times New Roman"/>
          <w:sz w:val="28"/>
          <w:szCs w:val="28"/>
        </w:rPr>
        <w:t>Madec</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Coton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Hymery</w:t>
      </w:r>
      <w:proofErr w:type="spellEnd"/>
      <w:r>
        <w:rPr>
          <w:rFonts w:ascii="Times New Roman" w:hAnsi="Times New Roman" w:cs="Times New Roman"/>
          <w:sz w:val="28"/>
          <w:szCs w:val="28"/>
        </w:rPr>
        <w:t>, N.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Natural co-occurrence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foods and feeds and </w:t>
      </w:r>
      <w:proofErr w:type="spellStart"/>
      <w:r>
        <w:rPr>
          <w:rFonts w:ascii="Times New Roman" w:hAnsi="Times New Roman" w:cs="Times New Roman"/>
          <w:sz w:val="28"/>
          <w:szCs w:val="28"/>
        </w:rPr>
        <w:t>their</w:t>
      </w:r>
      <w:proofErr w:type="spellEnd"/>
      <w:r>
        <w:rPr>
          <w:rFonts w:ascii="Times New Roman" w:hAnsi="Times New Roman" w:cs="Times New Roman"/>
          <w:sz w:val="28"/>
          <w:szCs w:val="28"/>
        </w:rPr>
        <w:t xml:space="preserve"> in vitro combined toxicological effects.</w:t>
      </w:r>
      <w:proofErr w:type="gramEnd"/>
      <w:r>
        <w:rPr>
          <w:rFonts w:ascii="Times New Roman" w:hAnsi="Times New Roman" w:cs="Times New Roman"/>
          <w:sz w:val="28"/>
          <w:szCs w:val="28"/>
        </w:rPr>
        <w:t xml:space="preserve"> Toxins, 13(1), 30</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Spatafora</w:t>
      </w:r>
      <w:proofErr w:type="spellEnd"/>
      <w:r>
        <w:rPr>
          <w:rFonts w:ascii="Times New Roman" w:hAnsi="Times New Roman" w:cs="Times New Roman"/>
          <w:sz w:val="28"/>
          <w:szCs w:val="28"/>
        </w:rPr>
        <w:t>, J. W., Chang, Y., Benny, G. L., Lazarus, K., &amp; Smith, M. E.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 phylum-level </w:t>
      </w:r>
      <w:proofErr w:type="spellStart"/>
      <w:r>
        <w:rPr>
          <w:rFonts w:ascii="Times New Roman" w:hAnsi="Times New Roman" w:cs="Times New Roman"/>
          <w:sz w:val="28"/>
          <w:szCs w:val="28"/>
        </w:rPr>
        <w:t>phylogenetic</w:t>
      </w:r>
      <w:proofErr w:type="spellEnd"/>
      <w:r>
        <w:rPr>
          <w:rFonts w:ascii="Times New Roman" w:hAnsi="Times New Roman" w:cs="Times New Roman"/>
          <w:sz w:val="28"/>
          <w:szCs w:val="28"/>
        </w:rPr>
        <w:t xml:space="preserve"> classification of fungi.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110(1), 1–12.</w:t>
      </w:r>
    </w:p>
    <w:p w:rsidR="00D10ECF" w:rsidRDefault="00D10ECF" w:rsidP="00D10ECF">
      <w:pPr>
        <w:spacing w:line="240" w:lineRule="auto"/>
        <w:ind w:left="720" w:hanging="720"/>
        <w:jc w:val="both"/>
        <w:rPr>
          <w:rFonts w:ascii="Times New Roman" w:hAnsi="Times New Roman" w:cs="Times New Roman"/>
          <w:sz w:val="28"/>
          <w:szCs w:val="28"/>
        </w:rPr>
      </w:pPr>
    </w:p>
    <w:p w:rsidR="00BC74E8" w:rsidRDefault="00BC74E8" w:rsidP="00D10EC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Speijers</w:t>
      </w:r>
      <w:proofErr w:type="spellEnd"/>
      <w:r>
        <w:rPr>
          <w:rFonts w:ascii="Times New Roman" w:hAnsi="Times New Roman" w:cs="Times New Roman"/>
          <w:sz w:val="28"/>
          <w:szCs w:val="28"/>
        </w:rPr>
        <w:t xml:space="preserve">, G. J. A., Franken, M. A. M., Van </w:t>
      </w:r>
      <w:proofErr w:type="spellStart"/>
      <w:r>
        <w:rPr>
          <w:rFonts w:ascii="Times New Roman" w:hAnsi="Times New Roman" w:cs="Times New Roman"/>
          <w:sz w:val="28"/>
          <w:szCs w:val="28"/>
        </w:rPr>
        <w:t>Leeuwen</w:t>
      </w:r>
      <w:proofErr w:type="spellEnd"/>
      <w:r>
        <w:rPr>
          <w:rFonts w:ascii="Times New Roman" w:hAnsi="Times New Roman" w:cs="Times New Roman"/>
          <w:sz w:val="28"/>
          <w:szCs w:val="28"/>
        </w:rPr>
        <w:t xml:space="preserve">, F. X. R., &amp;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H. P. (1986). </w:t>
      </w:r>
      <w:proofErr w:type="spellStart"/>
      <w:proofErr w:type="gramStart"/>
      <w:r>
        <w:rPr>
          <w:rFonts w:ascii="Times New Roman" w:hAnsi="Times New Roman" w:cs="Times New Roman"/>
          <w:sz w:val="28"/>
          <w:szCs w:val="28"/>
        </w:rPr>
        <w:t>Subchronic</w:t>
      </w:r>
      <w:proofErr w:type="spellEnd"/>
      <w:r>
        <w:rPr>
          <w:rFonts w:ascii="Times New Roman" w:hAnsi="Times New Roman" w:cs="Times New Roman"/>
          <w:sz w:val="28"/>
          <w:szCs w:val="28"/>
        </w:rPr>
        <w:t xml:space="preserve"> oral toxicity study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the rat.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Rijksinstituut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Volksgezondheid</w:t>
      </w:r>
      <w:proofErr w:type="spellEnd"/>
      <w:r>
        <w:rPr>
          <w:rFonts w:ascii="Times New Roman" w:hAnsi="Times New Roman" w:cs="Times New Roman"/>
          <w:sz w:val="28"/>
          <w:szCs w:val="28"/>
        </w:rPr>
        <w:t xml:space="preserve"> en </w:t>
      </w:r>
      <w:proofErr w:type="spellStart"/>
      <w:r>
        <w:rPr>
          <w:rFonts w:ascii="Times New Roman" w:hAnsi="Times New Roman" w:cs="Times New Roman"/>
          <w:sz w:val="28"/>
          <w:szCs w:val="28"/>
        </w:rPr>
        <w:t>Milieuhygiëne</w:t>
      </w:r>
      <w:proofErr w:type="spellEnd"/>
      <w:r>
        <w:rPr>
          <w:rFonts w:ascii="Times New Roman" w:hAnsi="Times New Roman" w:cs="Times New Roman"/>
          <w:sz w:val="28"/>
          <w:szCs w:val="28"/>
        </w:rPr>
        <w:t>, Report no. 618314 001.</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J., El </w:t>
      </w:r>
      <w:proofErr w:type="spellStart"/>
      <w:r>
        <w:rPr>
          <w:rFonts w:ascii="Times New Roman" w:hAnsi="Times New Roman" w:cs="Times New Roman"/>
          <w:sz w:val="28"/>
          <w:szCs w:val="28"/>
        </w:rPr>
        <w:t>Khoury</w:t>
      </w:r>
      <w:proofErr w:type="spellEnd"/>
      <w:r>
        <w:rPr>
          <w:rFonts w:ascii="Times New Roman" w:hAnsi="Times New Roman" w:cs="Times New Roman"/>
          <w:sz w:val="28"/>
          <w:szCs w:val="28"/>
        </w:rPr>
        <w:t xml:space="preserve">, R., &amp; </w:t>
      </w:r>
      <w:proofErr w:type="spellStart"/>
      <w:r>
        <w:rPr>
          <w:rFonts w:ascii="Times New Roman" w:hAnsi="Times New Roman" w:cs="Times New Roman"/>
          <w:sz w:val="28"/>
          <w:szCs w:val="28"/>
        </w:rPr>
        <w:t>Atoui</w:t>
      </w:r>
      <w:proofErr w:type="spellEnd"/>
      <w:r>
        <w:rPr>
          <w:rFonts w:ascii="Times New Roman" w:hAnsi="Times New Roman" w:cs="Times New Roman"/>
          <w:sz w:val="28"/>
          <w:szCs w:val="28"/>
        </w:rPr>
        <w:t>, A.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and regulation in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xml:space="preserve">: A review. </w:t>
      </w:r>
      <w:proofErr w:type="gramStart"/>
      <w:r>
        <w:rPr>
          <w:rFonts w:ascii="Times New Roman" w:hAnsi="Times New Roman" w:cs="Times New Roman"/>
          <w:sz w:val="28"/>
          <w:szCs w:val="28"/>
        </w:rPr>
        <w:t>Microorganisms, 5(4), 49.</w:t>
      </w:r>
      <w:proofErr w:type="gramEnd"/>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Turner, N. W., </w:t>
      </w:r>
      <w:proofErr w:type="spellStart"/>
      <w:r>
        <w:rPr>
          <w:rFonts w:ascii="Times New Roman" w:hAnsi="Times New Roman" w:cs="Times New Roman"/>
          <w:sz w:val="28"/>
          <w:szCs w:val="28"/>
        </w:rPr>
        <w:t>Subrahmanyam</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Piletsky</w:t>
      </w:r>
      <w:proofErr w:type="spellEnd"/>
      <w:r>
        <w:rPr>
          <w:rFonts w:ascii="Times New Roman" w:hAnsi="Times New Roman" w:cs="Times New Roman"/>
          <w:sz w:val="28"/>
          <w:szCs w:val="28"/>
        </w:rPr>
        <w:t>, S. A.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Analytical methods for detection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w:t>
      </w:r>
      <w:proofErr w:type="gramEnd"/>
      <w:r>
        <w:rPr>
          <w:rFonts w:ascii="Times New Roman" w:hAnsi="Times New Roman" w:cs="Times New Roman"/>
          <w:sz w:val="28"/>
          <w:szCs w:val="28"/>
        </w:rPr>
        <w:t xml:space="preserve"> Analytical and </w:t>
      </w:r>
      <w:proofErr w:type="spellStart"/>
      <w:r>
        <w:rPr>
          <w:rFonts w:ascii="Times New Roman" w:hAnsi="Times New Roman" w:cs="Times New Roman"/>
          <w:sz w:val="28"/>
          <w:szCs w:val="28"/>
        </w:rPr>
        <w:t>Bioanalytical</w:t>
      </w:r>
      <w:proofErr w:type="spellEnd"/>
      <w:r>
        <w:rPr>
          <w:rFonts w:ascii="Times New Roman" w:hAnsi="Times New Roman" w:cs="Times New Roman"/>
          <w:sz w:val="28"/>
          <w:szCs w:val="28"/>
        </w:rPr>
        <w:t xml:space="preserve"> Chemistry, 411(12), 2531-2545.</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Vanhoutte</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Audenaert</w:t>
      </w:r>
      <w:proofErr w:type="spellEnd"/>
      <w:r>
        <w:rPr>
          <w:rFonts w:ascii="Times New Roman" w:hAnsi="Times New Roman" w:cs="Times New Roman"/>
          <w:sz w:val="28"/>
          <w:szCs w:val="28"/>
        </w:rPr>
        <w:t xml:space="preserve">, K., &amp; De </w:t>
      </w:r>
      <w:proofErr w:type="spellStart"/>
      <w:r>
        <w:rPr>
          <w:rFonts w:ascii="Times New Roman" w:hAnsi="Times New Roman" w:cs="Times New Roman"/>
          <w:sz w:val="28"/>
          <w:szCs w:val="28"/>
        </w:rPr>
        <w:t>Gelder</w:t>
      </w:r>
      <w:proofErr w:type="spellEnd"/>
      <w:r>
        <w:rPr>
          <w:rFonts w:ascii="Times New Roman" w:hAnsi="Times New Roman" w:cs="Times New Roman"/>
          <w:sz w:val="28"/>
          <w:szCs w:val="28"/>
        </w:rPr>
        <w:t>, L. (2017).</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-producing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xml:space="preserve"> with antagonistic microorganisms in post-harvest apples.</w:t>
      </w:r>
      <w:proofErr w:type="gramEnd"/>
      <w:r>
        <w:rPr>
          <w:rFonts w:ascii="Times New Roman" w:hAnsi="Times New Roman" w:cs="Times New Roman"/>
          <w:sz w:val="28"/>
          <w:szCs w:val="28"/>
        </w:rPr>
        <w:t xml:space="preserve"> International Journal of Food Microbiology, 246, 31-39.</w:t>
      </w:r>
    </w:p>
    <w:p w:rsidR="00BC74E8"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Wang, Y., Zhang, X., Chen, L., Liu, Y., Zhao, X.,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M., &amp; Li, J. (2020).</w:t>
      </w:r>
      <w:proofErr w:type="gramEnd"/>
      <w:r>
        <w:rPr>
          <w:rFonts w:ascii="Times New Roman" w:hAnsi="Times New Roman" w:cs="Times New Roman"/>
          <w:sz w:val="28"/>
          <w:szCs w:val="28"/>
        </w:rPr>
        <w:t xml:space="preserve"> Prevalence and characterization of </w:t>
      </w:r>
      <w:proofErr w:type="spellStart"/>
      <w:r>
        <w:rPr>
          <w:rFonts w:ascii="Times New Roman" w:hAnsi="Times New Roman" w:cs="Times New Roman"/>
          <w:sz w:val="28"/>
          <w:szCs w:val="28"/>
        </w:rPr>
        <w:t>enterotoxin</w:t>
      </w:r>
      <w:proofErr w:type="spellEnd"/>
      <w:r>
        <w:rPr>
          <w:rFonts w:ascii="Times New Roman" w:hAnsi="Times New Roman" w:cs="Times New Roman"/>
          <w:sz w:val="28"/>
          <w:szCs w:val="28"/>
        </w:rPr>
        <w:t xml:space="preserve"> genes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isolates from food samples. </w:t>
      </w:r>
      <w:proofErr w:type="gramStart"/>
      <w:r>
        <w:rPr>
          <w:rFonts w:ascii="Times New Roman" w:hAnsi="Times New Roman" w:cs="Times New Roman"/>
          <w:sz w:val="28"/>
          <w:szCs w:val="28"/>
        </w:rPr>
        <w:t>Food Control, 113, 107164.</w:t>
      </w:r>
      <w:proofErr w:type="gramEnd"/>
      <w:r>
        <w:rPr>
          <w:rFonts w:ascii="Times New Roman" w:hAnsi="Times New Roman" w:cs="Times New Roman"/>
          <w:sz w:val="28"/>
          <w:szCs w:val="28"/>
        </w:rPr>
        <w:t xml:space="preserve"> </w:t>
      </w:r>
      <w:hyperlink r:id="rId16" w:history="1">
        <w:r>
          <w:rPr>
            <w:rStyle w:val="Hyperlink"/>
            <w:rFonts w:ascii="Times New Roman" w:hAnsi="Times New Roman" w:cs="Times New Roman"/>
            <w:sz w:val="28"/>
            <w:szCs w:val="28"/>
          </w:rPr>
          <w:t>https://doi.org/10.1016/j.foodcont.2020.107164</w:t>
        </w:r>
      </w:hyperlink>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Wu, S., </w:t>
      </w:r>
      <w:proofErr w:type="spellStart"/>
      <w:r>
        <w:rPr>
          <w:rFonts w:ascii="Times New Roman" w:hAnsi="Times New Roman" w:cs="Times New Roman"/>
          <w:sz w:val="28"/>
          <w:szCs w:val="28"/>
        </w:rPr>
        <w:t>Duan</w:t>
      </w:r>
      <w:proofErr w:type="spellEnd"/>
      <w:r>
        <w:rPr>
          <w:rFonts w:ascii="Times New Roman" w:hAnsi="Times New Roman" w:cs="Times New Roman"/>
          <w:sz w:val="28"/>
          <w:szCs w:val="28"/>
        </w:rPr>
        <w:t xml:space="preserve">, N., </w:t>
      </w:r>
      <w:proofErr w:type="spellStart"/>
      <w:proofErr w:type="gramStart"/>
      <w:r>
        <w:rPr>
          <w:rFonts w:ascii="Times New Roman" w:hAnsi="Times New Roman" w:cs="Times New Roman"/>
          <w:sz w:val="28"/>
          <w:szCs w:val="28"/>
        </w:rPr>
        <w:t>Gu</w:t>
      </w:r>
      <w:proofErr w:type="spellEnd"/>
      <w:proofErr w:type="gramEnd"/>
      <w:r>
        <w:rPr>
          <w:rFonts w:ascii="Times New Roman" w:hAnsi="Times New Roman" w:cs="Times New Roman"/>
          <w:sz w:val="28"/>
          <w:szCs w:val="28"/>
        </w:rPr>
        <w:t xml:space="preserve">, H., </w:t>
      </w:r>
      <w:proofErr w:type="spellStart"/>
      <w:r>
        <w:rPr>
          <w:rFonts w:ascii="Times New Roman" w:hAnsi="Times New Roman" w:cs="Times New Roman"/>
          <w:sz w:val="28"/>
          <w:szCs w:val="28"/>
        </w:rPr>
        <w:t>Hao</w:t>
      </w:r>
      <w:proofErr w:type="spellEnd"/>
      <w:r>
        <w:rPr>
          <w:rFonts w:ascii="Times New Roman" w:hAnsi="Times New Roman" w:cs="Times New Roman"/>
          <w:sz w:val="28"/>
          <w:szCs w:val="28"/>
        </w:rPr>
        <w:t xml:space="preserve">, L., Ye, H., &amp; Wang, Z. (2019). A comprehensive review on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enterotoxins</w:t>
      </w:r>
      <w:proofErr w:type="spellEnd"/>
      <w:r>
        <w:rPr>
          <w:rFonts w:ascii="Times New Roman" w:hAnsi="Times New Roman" w:cs="Times New Roman"/>
          <w:sz w:val="28"/>
          <w:szCs w:val="28"/>
        </w:rPr>
        <w:t xml:space="preserve">: Production, detection, and regulatory mechanisms. Critical Reviews in Food Science and Nutrition, 59(3), 373–386. </w:t>
      </w:r>
      <w:hyperlink r:id="rId17" w:history="1">
        <w:r>
          <w:rPr>
            <w:rStyle w:val="Hyperlink"/>
            <w:rFonts w:ascii="Times New Roman" w:hAnsi="Times New Roman" w:cs="Times New Roman"/>
            <w:sz w:val="28"/>
            <w:szCs w:val="28"/>
          </w:rPr>
          <w:t>https://doi.org/10.1080/10408398.2017.1372412</w:t>
        </w:r>
      </w:hyperlink>
    </w:p>
    <w:p w:rsidR="00BC74E8" w:rsidRDefault="00BC74E8" w:rsidP="00D10ECF">
      <w:pPr>
        <w:spacing w:line="240" w:lineRule="auto"/>
        <w:ind w:left="720" w:hanging="720"/>
        <w:jc w:val="both"/>
        <w:rPr>
          <w:rFonts w:ascii="Times New Roman" w:hAnsi="Times New Roman" w:cs="Times New Roman"/>
          <w:kern w:val="0"/>
          <w:sz w:val="28"/>
          <w:szCs w:val="28"/>
        </w:rPr>
      </w:pPr>
      <w:proofErr w:type="spellStart"/>
      <w:r>
        <w:rPr>
          <w:rFonts w:ascii="Times New Roman" w:hAnsi="Times New Roman" w:cs="Times New Roman"/>
          <w:kern w:val="0"/>
          <w:sz w:val="28"/>
          <w:szCs w:val="28"/>
        </w:rPr>
        <w:t>Zain</w:t>
      </w:r>
      <w:proofErr w:type="spellEnd"/>
      <w:r>
        <w:rPr>
          <w:rFonts w:ascii="Times New Roman" w:hAnsi="Times New Roman" w:cs="Times New Roman"/>
          <w:kern w:val="0"/>
          <w:sz w:val="28"/>
          <w:szCs w:val="28"/>
        </w:rPr>
        <w:t xml:space="preserve">, M. E. (2020). </w:t>
      </w:r>
      <w:proofErr w:type="gramStart"/>
      <w:r>
        <w:rPr>
          <w:rFonts w:ascii="Times New Roman" w:hAnsi="Times New Roman" w:cs="Times New Roman"/>
          <w:kern w:val="0"/>
          <w:sz w:val="28"/>
          <w:szCs w:val="28"/>
        </w:rPr>
        <w:t xml:space="preserve">Impact of </w:t>
      </w:r>
      <w:proofErr w:type="spellStart"/>
      <w:r>
        <w:rPr>
          <w:rFonts w:ascii="Times New Roman" w:hAnsi="Times New Roman" w:cs="Times New Roman"/>
          <w:kern w:val="0"/>
          <w:sz w:val="28"/>
          <w:szCs w:val="28"/>
        </w:rPr>
        <w:t>mycotoxins</w:t>
      </w:r>
      <w:proofErr w:type="spellEnd"/>
      <w:r>
        <w:rPr>
          <w:rFonts w:ascii="Times New Roman" w:hAnsi="Times New Roman" w:cs="Times New Roman"/>
          <w:kern w:val="0"/>
          <w:sz w:val="28"/>
          <w:szCs w:val="28"/>
        </w:rPr>
        <w:t xml:space="preserve"> on humans and animals.</w:t>
      </w:r>
      <w:proofErr w:type="gramEnd"/>
      <w:r>
        <w:rPr>
          <w:rFonts w:ascii="Times New Roman" w:hAnsi="Times New Roman" w:cs="Times New Roman"/>
          <w:kern w:val="0"/>
          <w:sz w:val="28"/>
          <w:szCs w:val="28"/>
        </w:rPr>
        <w:t xml:space="preserve"> Toxicology Research, 9(1), 1–16</w:t>
      </w:r>
    </w:p>
    <w:p w:rsidR="00BC74E8" w:rsidRDefault="00BC74E8" w:rsidP="00D10ECF">
      <w:pPr>
        <w:spacing w:line="24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Zervakis</w:t>
      </w:r>
      <w:proofErr w:type="spellEnd"/>
      <w:r>
        <w:rPr>
          <w:rFonts w:ascii="Times New Roman" w:hAnsi="Times New Roman" w:cs="Times New Roman"/>
          <w:sz w:val="28"/>
          <w:szCs w:val="28"/>
        </w:rPr>
        <w:t xml:space="preserve">, G. I., </w:t>
      </w:r>
      <w:proofErr w:type="spellStart"/>
      <w:r>
        <w:rPr>
          <w:rFonts w:ascii="Times New Roman" w:hAnsi="Times New Roman" w:cs="Times New Roman"/>
          <w:sz w:val="28"/>
          <w:szCs w:val="28"/>
        </w:rPr>
        <w:t>Venturella</w:t>
      </w:r>
      <w:proofErr w:type="spellEnd"/>
      <w:r>
        <w:rPr>
          <w:rFonts w:ascii="Times New Roman" w:hAnsi="Times New Roman" w:cs="Times New Roman"/>
          <w:sz w:val="28"/>
          <w:szCs w:val="28"/>
        </w:rPr>
        <w:t xml:space="preserve">, G., &amp; </w:t>
      </w:r>
      <w:proofErr w:type="spellStart"/>
      <w:r>
        <w:rPr>
          <w:rFonts w:ascii="Times New Roman" w:hAnsi="Times New Roman" w:cs="Times New Roman"/>
          <w:sz w:val="28"/>
          <w:szCs w:val="28"/>
        </w:rPr>
        <w:t>Papazi</w:t>
      </w:r>
      <w:proofErr w:type="spellEnd"/>
      <w:r>
        <w:rPr>
          <w:rFonts w:ascii="Times New Roman" w:hAnsi="Times New Roman" w:cs="Times New Roman"/>
          <w:sz w:val="28"/>
          <w:szCs w:val="28"/>
        </w:rPr>
        <w:t>, A. (2019).</w:t>
      </w:r>
      <w:proofErr w:type="gramEnd"/>
      <w:r>
        <w:rPr>
          <w:rFonts w:ascii="Times New Roman" w:hAnsi="Times New Roman" w:cs="Times New Roman"/>
          <w:sz w:val="28"/>
          <w:szCs w:val="28"/>
        </w:rPr>
        <w:t xml:space="preserve"> Edible and medicinal mushrooms: Importance, taxonomy, and production. International Journal of Medicinal Mushrooms, 21(1), 1–16.</w:t>
      </w:r>
    </w:p>
    <w:p w:rsidR="00BC74E8" w:rsidRPr="00EC2D00" w:rsidRDefault="00BC74E8" w:rsidP="00D10ECF">
      <w:pPr>
        <w:spacing w:line="24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K., Zhang, L., Pan, L., &amp; Zhang,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 review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techniques in food.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Chemistry, 353, 12944.</w:t>
      </w:r>
      <w:proofErr w:type="gramEnd"/>
    </w:p>
    <w:sectPr w:rsidR="00BC74E8" w:rsidRPr="00EC2D00" w:rsidSect="00BC2C51">
      <w:footerReference w:type="even" r:id="rId18"/>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44D" w:rsidRDefault="0036644D" w:rsidP="002E5FC4">
      <w:pPr>
        <w:spacing w:after="0" w:line="240" w:lineRule="auto"/>
      </w:pPr>
      <w:r>
        <w:separator/>
      </w:r>
    </w:p>
  </w:endnote>
  <w:endnote w:type="continuationSeparator" w:id="1">
    <w:p w:rsidR="0036644D" w:rsidRDefault="0036644D" w:rsidP="002E5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82558830"/>
      <w:docPartObj>
        <w:docPartGallery w:val="Page Numbers (Bottom of Page)"/>
        <w:docPartUnique/>
      </w:docPartObj>
    </w:sdtPr>
    <w:sdtContent>
      <w:p w:rsidR="00445846" w:rsidRDefault="00B55940"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end"/>
        </w:r>
      </w:p>
    </w:sdtContent>
  </w:sdt>
  <w:p w:rsidR="00445846" w:rsidRDefault="0044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71798499"/>
      <w:docPartObj>
        <w:docPartGallery w:val="Page Numbers (Bottom of Page)"/>
        <w:docPartUnique/>
      </w:docPartObj>
    </w:sdtPr>
    <w:sdtContent>
      <w:p w:rsidR="00445846" w:rsidRDefault="00B55940"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separate"/>
        </w:r>
        <w:r w:rsidR="00D10ECF">
          <w:rPr>
            <w:rStyle w:val="PageNumber"/>
            <w:noProof/>
          </w:rPr>
          <w:t>26</w:t>
        </w:r>
        <w:r>
          <w:rPr>
            <w:rStyle w:val="PageNumber"/>
          </w:rPr>
          <w:fldChar w:fldCharType="end"/>
        </w:r>
      </w:p>
    </w:sdtContent>
  </w:sdt>
  <w:p w:rsidR="00445846" w:rsidRDefault="0044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44D" w:rsidRDefault="0036644D" w:rsidP="002E5FC4">
      <w:pPr>
        <w:spacing w:after="0" w:line="240" w:lineRule="auto"/>
      </w:pPr>
      <w:r>
        <w:separator/>
      </w:r>
    </w:p>
  </w:footnote>
  <w:footnote w:type="continuationSeparator" w:id="1">
    <w:p w:rsidR="0036644D" w:rsidRDefault="0036644D" w:rsidP="002E5F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65713"/>
    <w:multiLevelType w:val="multilevel"/>
    <w:tmpl w:val="81A6439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useFELayout/>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2E5F"/>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644D"/>
    <w:rsid w:val="0036778F"/>
    <w:rsid w:val="003677E6"/>
    <w:rsid w:val="00367F25"/>
    <w:rsid w:val="00370A3C"/>
    <w:rsid w:val="003727D8"/>
    <w:rsid w:val="003729C7"/>
    <w:rsid w:val="00375830"/>
    <w:rsid w:val="003950D3"/>
    <w:rsid w:val="003A3259"/>
    <w:rsid w:val="003A5010"/>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6188"/>
    <w:rsid w:val="00892FF5"/>
    <w:rsid w:val="0089452D"/>
    <w:rsid w:val="008A3DB5"/>
    <w:rsid w:val="008A4F6F"/>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5940"/>
    <w:rsid w:val="00B57887"/>
    <w:rsid w:val="00B57D0E"/>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21A0"/>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10ECF"/>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931"/>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4A45"/>
    <w:rsid w:val="00E75667"/>
    <w:rsid w:val="00E762C7"/>
    <w:rsid w:val="00E76B39"/>
    <w:rsid w:val="00E8060F"/>
    <w:rsid w:val="00E84260"/>
    <w:rsid w:val="00E96356"/>
    <w:rsid w:val="00EA0B67"/>
    <w:rsid w:val="00EA3561"/>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40"/>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doi.org/10.1080/10408398.2017.1372412" TargetMode="External"/><Relationship Id="rId2" Type="http://schemas.openxmlformats.org/officeDocument/2006/relationships/styles" Target="styles.xml"/><Relationship Id="rId16" Type="http://schemas.openxmlformats.org/officeDocument/2006/relationships/hyperlink" Target="https://doi.org/10.1016/j.foodcont.2020.107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128/JCM.00215-18" TargetMode="Externa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Blue</c:v>
                </c:pt>
              </c:strCache>
            </c:strRef>
          </c:tx>
          <c:spPr>
            <a:solidFill>
              <a:schemeClr val="accent1"/>
            </a:solidFill>
            <a:ln>
              <a:noFill/>
            </a:ln>
            <a:effectLst/>
          </c:spPr>
          <c:dLbls>
            <c:dLbl>
              <c:idx val="0"/>
              <c:layout/>
              <c:tx>
                <c:rich>
                  <a:bodyPr/>
                  <a:lstStyle/>
                  <a:p>
                    <a:r>
                      <a:rPr lang="en-US"/>
                      <a:t>134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574-4EC0-9A9B-16382C1909EA}"/>
                </c:ext>
              </c:extLst>
            </c:dLbl>
            <c:dLbl>
              <c:idx val="1"/>
              <c:layout/>
              <c:tx>
                <c:rich>
                  <a:bodyPr/>
                  <a:lstStyle/>
                  <a:p>
                    <a:r>
                      <a:rPr lang="en-US"/>
                      <a:t>134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574-4EC0-9A9B-16382C1909EA}"/>
                </c:ext>
              </c:extLst>
            </c:dLbl>
            <c:dLbl>
              <c:idx val="2"/>
              <c:layout/>
              <c:tx>
                <c:rich>
                  <a:bodyPr/>
                  <a:lstStyle/>
                  <a:p>
                    <a:r>
                      <a:rPr lang="en-US"/>
                      <a:t>132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8574-4EC0-9A9B-16382C1909EA}"/>
                </c:ext>
              </c:extLst>
            </c:dLbl>
            <c:dLbl>
              <c:idx val="3"/>
              <c:layout/>
              <c:tx>
                <c:rich>
                  <a:bodyPr/>
                  <a:lstStyle/>
                  <a:p>
                    <a:r>
                      <a:rPr lang="en-US"/>
                      <a:t>130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8574-4EC0-9A9B-16382C1909EA}"/>
                </c:ext>
              </c:extLst>
            </c:dLbl>
            <c:dLbl>
              <c:idx val="4"/>
              <c:layout/>
              <c:tx>
                <c:rich>
                  <a:bodyPr/>
                  <a:lstStyle/>
                  <a:p>
                    <a:r>
                      <a:rPr lang="en-US"/>
                      <a:t>128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9-8574-4EC0-9A9B-16382C1909EA}"/>
                </c:ext>
              </c:extLst>
            </c:dLbl>
            <c:dLbl>
              <c:idx val="5"/>
              <c:layout/>
              <c:tx>
                <c:rich>
                  <a:bodyPr/>
                  <a:lstStyle/>
                  <a:p>
                    <a:r>
                      <a:rPr lang="en-US"/>
                      <a:t>126</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E-8574-4EC0-9A9B-16382C1909EA}"/>
                </c:ext>
              </c:extLst>
            </c:dLbl>
            <c:dLbl>
              <c:idx val="6"/>
              <c:layout/>
              <c:tx>
                <c:rich>
                  <a:bodyPr/>
                  <a:lstStyle/>
                  <a:p>
                    <a:r>
                      <a:rPr lang="en-US"/>
                      <a:t>124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dLbls>
            <c:dLbl>
              <c:idx val="0"/>
              <c:layout/>
              <c:tx>
                <c:rich>
                  <a:bodyPr/>
                  <a:lstStyle/>
                  <a:p>
                    <a:r>
                      <a:rPr lang="en-US"/>
                      <a:t>108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574-4EC0-9A9B-16382C1909EA}"/>
                </c:ext>
              </c:extLst>
            </c:dLbl>
            <c:dLbl>
              <c:idx val="1"/>
              <c:layout/>
              <c:tx>
                <c:rich>
                  <a:bodyPr/>
                  <a:lstStyle/>
                  <a:p>
                    <a:r>
                      <a:rPr lang="en-US"/>
                      <a:t>108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574-4EC0-9A9B-16382C1909EA}"/>
                </c:ext>
              </c:extLst>
            </c:dLbl>
            <c:dLbl>
              <c:idx val="2"/>
              <c:layout/>
              <c:tx>
                <c:rich>
                  <a:bodyPr/>
                  <a:lstStyle/>
                  <a:p>
                    <a:r>
                      <a:rPr lang="en-US"/>
                      <a:t>107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8574-4EC0-9A9B-16382C1909EA}"/>
                </c:ext>
              </c:extLst>
            </c:dLbl>
            <c:dLbl>
              <c:idx val="3"/>
              <c:layout/>
              <c:tx>
                <c:rich>
                  <a:bodyPr/>
                  <a:lstStyle/>
                  <a:p>
                    <a:r>
                      <a:rPr lang="en-US"/>
                      <a:t>106</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7-8574-4EC0-9A9B-16382C1909EA}"/>
                </c:ext>
              </c:extLst>
            </c:dLbl>
            <c:dLbl>
              <c:idx val="4"/>
              <c:layout/>
              <c:tx>
                <c:rich>
                  <a:bodyPr/>
                  <a:lstStyle/>
                  <a:p>
                    <a:r>
                      <a:rPr lang="en-US"/>
                      <a:t>104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A-8574-4EC0-9A9B-16382C1909EA}"/>
                </c:ext>
              </c:extLst>
            </c:dLbl>
            <c:dLbl>
              <c:idx val="5"/>
              <c:layout/>
              <c:tx>
                <c:rich>
                  <a:bodyPr/>
                  <a:lstStyle/>
                  <a:p>
                    <a:r>
                      <a:rPr lang="en-US"/>
                      <a:t>102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F-8574-4EC0-9A9B-16382C1909EA}"/>
                </c:ext>
              </c:extLst>
            </c:dLbl>
            <c:dLbl>
              <c:idx val="6"/>
              <c:layout/>
              <c:tx>
                <c:rich>
                  <a:bodyPr/>
                  <a:lstStyle/>
                  <a:p>
                    <a:r>
                      <a:rPr lang="en-US"/>
                      <a:t>100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dLbls>
            <c:dLbl>
              <c:idx val="0"/>
              <c:layout/>
              <c:tx>
                <c:rich>
                  <a:bodyPr/>
                  <a:lstStyle/>
                  <a:p>
                    <a:r>
                      <a:rPr lang="en-US"/>
                      <a:t>139</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8574-4EC0-9A9B-16382C1909EA}"/>
                </c:ext>
              </c:extLst>
            </c:dLbl>
            <c:dLbl>
              <c:idx val="1"/>
              <c:layout/>
              <c:tx>
                <c:rich>
                  <a:bodyPr/>
                  <a:lstStyle/>
                  <a:p>
                    <a:r>
                      <a:rPr lang="en-US"/>
                      <a:t>139</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8574-4EC0-9A9B-16382C1909EA}"/>
                </c:ext>
              </c:extLst>
            </c:dLbl>
            <c:dLbl>
              <c:idx val="2"/>
              <c:layout/>
              <c:tx>
                <c:rich>
                  <a:bodyPr/>
                  <a:lstStyle/>
                  <a:p>
                    <a:r>
                      <a:rPr lang="en-US"/>
                      <a:t>138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8574-4EC0-9A9B-16382C1909EA}"/>
                </c:ext>
              </c:extLst>
            </c:dLbl>
            <c:dLbl>
              <c:idx val="3"/>
              <c:layout/>
              <c:tx>
                <c:rich>
                  <a:bodyPr/>
                  <a:lstStyle/>
                  <a:p>
                    <a:r>
                      <a:rPr lang="en-US"/>
                      <a:t>137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8574-4EC0-9A9B-16382C1909EA}"/>
                </c:ext>
              </c:extLst>
            </c:dLbl>
            <c:dLbl>
              <c:idx val="4"/>
              <c:layout/>
              <c:tx>
                <c:rich>
                  <a:bodyPr/>
                  <a:lstStyle/>
                  <a:p>
                    <a:r>
                      <a:rPr lang="en-US"/>
                      <a:t>135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B-8574-4EC0-9A9B-16382C1909EA}"/>
                </c:ext>
              </c:extLst>
            </c:dLbl>
            <c:dLbl>
              <c:idx val="5"/>
              <c:layout/>
              <c:tx>
                <c:rich>
                  <a:bodyPr/>
                  <a:lstStyle/>
                  <a:p>
                    <a:r>
                      <a:rPr lang="en-US"/>
                      <a:t>133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0-8574-4EC0-9A9B-16382C1909EA}"/>
                </c:ext>
              </c:extLst>
            </c:dLbl>
            <c:dLbl>
              <c:idx val="6"/>
              <c:layout/>
              <c:tx>
                <c:rich>
                  <a:bodyPr/>
                  <a:lstStyle/>
                  <a:p>
                    <a:r>
                      <a:rPr lang="en-US"/>
                      <a:t>131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dLbls>
            <c:dLbl>
              <c:idx val="0"/>
              <c:layout/>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8574-4EC0-9A9B-16382C1909EA}"/>
                </c:ext>
              </c:extLst>
            </c:dLbl>
            <c:dLbl>
              <c:idx val="1"/>
              <c:layout/>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8574-4EC0-9A9B-16382C1909EA}"/>
                </c:ext>
              </c:extLst>
            </c:dLbl>
            <c:dLbl>
              <c:idx val="2"/>
              <c:layout/>
              <c:tx>
                <c:rich>
                  <a:bodyPr/>
                  <a:lstStyle/>
                  <a:p>
                    <a:r>
                      <a:rPr lang="en-US"/>
                      <a:t>125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8574-4EC0-9A9B-16382C1909EA}"/>
                </c:ext>
              </c:extLst>
            </c:dLbl>
            <c:dLbl>
              <c:idx val="3"/>
              <c:layout/>
              <c:tx>
                <c:rich>
                  <a:bodyPr/>
                  <a:lstStyle/>
                  <a:p>
                    <a:r>
                      <a:rPr lang="en-US"/>
                      <a:t>124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8-8574-4EC0-9A9B-16382C1909EA}"/>
                </c:ext>
              </c:extLst>
            </c:dLbl>
            <c:dLbl>
              <c:idx val="4"/>
              <c:layout/>
              <c:tx>
                <c:rich>
                  <a:bodyPr/>
                  <a:lstStyle/>
                  <a:p>
                    <a:r>
                      <a:rPr lang="en-US"/>
                      <a:t>123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D-8574-4EC0-9A9B-16382C1909EA}"/>
                </c:ext>
              </c:extLst>
            </c:dLbl>
            <c:dLbl>
              <c:idx val="5"/>
              <c:layout/>
              <c:tx>
                <c:rich>
                  <a:bodyPr/>
                  <a:lstStyle/>
                  <a:p>
                    <a:r>
                      <a:rPr lang="en-US"/>
                      <a:t>122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1-8574-4EC0-9A9B-16382C1909EA}"/>
                </c:ext>
              </c:extLst>
            </c:dLbl>
            <c:dLbl>
              <c:idx val="6"/>
              <c:layout/>
              <c:tx>
                <c:rich>
                  <a:bodyPr/>
                  <a:lstStyle/>
                  <a:p>
                    <a:r>
                      <a:rPr lang="en-US"/>
                      <a:t>121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dLbls>
            <c:dLbl>
              <c:idx val="0"/>
              <c:layout/>
              <c:tx>
                <c:rich>
                  <a:bodyPr/>
                  <a:lstStyle/>
                  <a:p>
                    <a:r>
                      <a:rPr lang="en-US"/>
                      <a:t>150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8574-4EC0-9A9B-16382C1909EA}"/>
                </c:ext>
              </c:extLst>
            </c:dLbl>
            <c:dLbl>
              <c:idx val="1"/>
              <c:layout/>
              <c:tx>
                <c:rich>
                  <a:bodyPr/>
                  <a:lstStyle/>
                  <a:p>
                    <a:r>
                      <a:rPr lang="en-US"/>
                      <a:t>152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8574-4EC0-9A9B-16382C1909EA}"/>
                </c:ext>
              </c:extLst>
            </c:dLbl>
            <c:dLbl>
              <c:idx val="2"/>
              <c:layout/>
              <c:tx>
                <c:rich>
                  <a:bodyPr/>
                  <a:lstStyle/>
                  <a:p>
                    <a:r>
                      <a:rPr lang="en-US"/>
                      <a:t>157</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8574-4EC0-9A9B-16382C1909EA}"/>
                </c:ext>
              </c:extLst>
            </c:dLbl>
            <c:dLbl>
              <c:idx val="3"/>
              <c:layout/>
              <c:tx>
                <c:rich>
                  <a:bodyPr/>
                  <a:lstStyle/>
                  <a:p>
                    <a:r>
                      <a:rPr lang="en-US"/>
                      <a:t>160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8574-4EC0-9A9B-16382C1909EA}"/>
                </c:ext>
              </c:extLst>
            </c:dLbl>
            <c:dLbl>
              <c:idx val="4"/>
              <c:layout/>
              <c:tx>
                <c:rich>
                  <a:bodyPr/>
                  <a:lstStyle/>
                  <a:p>
                    <a:r>
                      <a:rPr lang="en-US"/>
                      <a:t>160</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C-8574-4EC0-9A9B-16382C1909EA}"/>
                </c:ext>
              </c:extLst>
            </c:dLbl>
            <c:dLbl>
              <c:idx val="5"/>
              <c:layout/>
              <c:tx>
                <c:rich>
                  <a:bodyPr/>
                  <a:lstStyle/>
                  <a:p>
                    <a:r>
                      <a:rPr lang="en-US"/>
                      <a:t>162</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2-8574-4EC0-9A9B-16382C1909EA}"/>
                </c:ext>
              </c:extLst>
            </c:dLbl>
            <c:dLbl>
              <c:idx val="6"/>
              <c:layout/>
              <c:tx>
                <c:rich>
                  <a:bodyPr/>
                  <a:lstStyle/>
                  <a:p>
                    <a:r>
                      <a:rPr lang="en-US"/>
                      <a:t>163.5</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6.3599999999999994</c:v>
                </c:pt>
              </c:numCache>
            </c:numRef>
          </c:val>
          <c:extLst xmlns:c16r2="http://schemas.microsoft.com/office/drawing/2015/06/chart">
            <c:ext xmlns:c16="http://schemas.microsoft.com/office/drawing/2014/chart" uri="{C3380CC4-5D6E-409C-BE32-E72D297353CC}">
              <c16:uniqueId val="{00000011-8574-4EC0-9A9B-16382C1909EA}"/>
            </c:ext>
          </c:extLst>
        </c:ser>
        <c:dLbls>
          <c:showVal val="1"/>
        </c:dLbls>
        <c:gapWidth val="219"/>
        <c:overlap val="-27"/>
        <c:axId val="93990272"/>
        <c:axId val="104604800"/>
      </c:barChart>
      <c:catAx>
        <c:axId val="93990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604800"/>
        <c:crosses val="autoZero"/>
        <c:auto val="1"/>
        <c:lblAlgn val="ctr"/>
        <c:lblOffset val="100"/>
      </c:catAx>
      <c:valAx>
        <c:axId val="1046048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9027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5E-6"/>
        </c:manualLayout>
      </c:layout>
    </c:title>
    <c:plotArea>
      <c:layout>
        <c:manualLayout>
          <c:layoutTarget val="inner"/>
          <c:xMode val="edge"/>
          <c:yMode val="edge"/>
          <c:x val="6.070793234179063E-2"/>
          <c:y val="0.16656761654793154"/>
          <c:w val="0.92077354913969089"/>
          <c:h val="0.39558242719660053"/>
        </c:manualLayout>
      </c:layout>
      <c:barChart>
        <c:barDir val="col"/>
        <c:grouping val="clustered"/>
        <c:ser>
          <c:idx val="0"/>
          <c:order val="0"/>
          <c:tx>
            <c:strRef>
              <c:f>Sheet1!$B$1</c:f>
              <c:strCache>
                <c:ptCount val="1"/>
                <c:pt idx="0">
                  <c:v>Blue</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gapWidth val="305"/>
        <c:overlap val="-25"/>
        <c:axId val="104771968"/>
        <c:axId val="104773504"/>
      </c:barChart>
      <c:catAx>
        <c:axId val="104771968"/>
        <c:scaling>
          <c:orientation val="minMax"/>
        </c:scaling>
        <c:axPos val="b"/>
        <c:numFmt formatCode="General" sourceLinked="0"/>
        <c:majorTickMark val="none"/>
        <c:tickLblPos val="nextTo"/>
        <c:crossAx val="104773504"/>
        <c:crosses val="autoZero"/>
        <c:auto val="1"/>
        <c:lblAlgn val="ctr"/>
        <c:lblOffset val="100"/>
      </c:catAx>
      <c:valAx>
        <c:axId val="104773504"/>
        <c:scaling>
          <c:orientation val="minMax"/>
        </c:scaling>
        <c:axPos val="l"/>
        <c:majorGridlines/>
        <c:numFmt formatCode="General" sourceLinked="1"/>
        <c:majorTickMark val="none"/>
        <c:tickLblPos val="nextTo"/>
        <c:spPr>
          <a:ln w="12700">
            <a:noFill/>
          </a:ln>
        </c:spPr>
        <c:crossAx val="104771968"/>
        <c:crosses val="autoZero"/>
        <c:crossBetween val="between"/>
      </c:valAx>
    </c:plotArea>
    <c:legend>
      <c:legendPos val="b"/>
      <c:layout>
        <c:manualLayout>
          <c:xMode val="edge"/>
          <c:yMode val="edge"/>
          <c:x val="0.11427949110527851"/>
          <c:y val="0.66814898137732781"/>
          <c:w val="0.86171861329833777"/>
          <c:h val="0.14534308211473571"/>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cp:revision>
  <dcterms:created xsi:type="dcterms:W3CDTF">2025-07-01T10:00:00Z</dcterms:created>
  <dcterms:modified xsi:type="dcterms:W3CDTF">2025-07-01T22:13:00Z</dcterms:modified>
</cp:coreProperties>
</file>