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152"/>
        <w:jc w:val="center"/>
        <w:rPr>
          <w:rFonts w:ascii="Times New Roman" w:hAnsi="Times New Roman"/>
          <w:noProof/>
          <w:sz w:val="28"/>
          <w:szCs w:val="28"/>
        </w:rPr>
      </w:pPr>
      <w:r>
        <w:rPr>
          <w:rFonts w:ascii="Times New Roman" w:hAnsi="Times New Roman"/>
          <w:noProof/>
          <w:sz w:val="28"/>
          <w:szCs w:val="28"/>
        </w:rPr>
        <w:drawing>
          <wp:inline distL="0" distT="0" distB="0" distR="0">
            <wp:extent cx="1276350" cy="1123950"/>
            <wp:effectExtent l="114300" t="114300" r="133350" b="76200"/>
            <wp:docPr id="1026" name="Picture 1" descr="KWARA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76350" cy="1123950"/>
                    </a:xfrm>
                    <a:prstGeom prst="ellipse"/>
                    <a:ln cmpd="sng" cap="rnd" w="19050">
                      <a:solidFill>
                        <a:srgbClr val="000000"/>
                      </a:solidFill>
                      <a:prstDash val="solid"/>
                      <a:round/>
                      <a:headEnd/>
                      <a:tailEnd/>
                    </a:ln>
                    <a:effectLst>
                      <a:outerShdw rotWithShape="false" sx="100000" sy="100000" dist="0" dir="0" blurRad="127000" kx="0" ky="0" algn="bl">
                        <a:srgbClr val="000000"/>
                      </a:outerShdw>
                    </a:effectLst>
                  </pic:spPr>
                </pic:pic>
              </a:graphicData>
            </a:graphic>
          </wp:inline>
        </w:drawing>
      </w:r>
    </w:p>
    <w:p>
      <w:pPr>
        <w:pStyle w:val="style0"/>
        <w:spacing w:after="0" w:lineRule="auto" w:line="360"/>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PHYTOCHEMICAL ANALYSIS AND ANTIBACTERIAL PROPERTIES OF LEMON GRASS (</w:t>
      </w:r>
      <w:r>
        <w:rPr>
          <w:rFonts w:ascii="Times New Roman" w:cs="Times New Roman" w:hAnsi="Times New Roman"/>
          <w:b/>
          <w:i/>
          <w:iCs/>
          <w:sz w:val="24"/>
          <w:szCs w:val="24"/>
        </w:rPr>
        <w:t>Cymbopogon citratus)</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lang w:val="en-US"/>
        </w:rPr>
        <w:t xml:space="preserve">AFOLABI BARAKAT OMOWUNMI </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lang w:val="en-US"/>
        </w:rPr>
        <w:t>HND/23/SLT/FT/1201</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BEING A RESEARCH PROJECT SUBMITTED TO THE DEPARTMENT OF SCIENCE LABORATORY TECHNOLOGY (SLT), INSTITUTE OF APPLIED SCIENCES (IAS), KWARA STATE POLYTECHNIC, ILORIN.</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 FOR THE AWARD OF THE HIGHER NATIONAL DIPLOMA (HND) IN SCIENCE LABORATORY TECHNOLOGY (MICROBIOLOGY UNIT).</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SUPERVISED 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MR YAHAYA GOGATA MOHAMMED</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6480"/>
        <w:jc w:val="center"/>
        <w:rPr>
          <w:rFonts w:ascii="Times New Roman" w:cs="Times New Roman" w:hAnsi="Times New Roman"/>
          <w:b/>
          <w:sz w:val="24"/>
          <w:szCs w:val="24"/>
        </w:rPr>
      </w:pPr>
      <w:r>
        <w:rPr>
          <w:rFonts w:ascii="Times New Roman" w:cs="Times New Roman" w:hAnsi="Times New Roman"/>
          <w:b/>
          <w:sz w:val="24"/>
          <w:szCs w:val="24"/>
        </w:rPr>
        <w:t>2024/2025 SESSION</w:t>
      </w:r>
    </w:p>
    <w:p>
      <w:pPr>
        <w:pStyle w:val="style0"/>
        <w:spacing w:before="77" w:lineRule="auto" w:line="360"/>
        <w:ind w:left="152"/>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CERTIFICATION</w:t>
      </w:r>
    </w:p>
    <w:p>
      <w:pPr>
        <w:pStyle w:val="style0"/>
        <w:spacing w:after="0" w:lineRule="auto" w:line="360"/>
        <w:ind w:left="152"/>
        <w:jc w:val="both"/>
        <w:rPr>
          <w:rFonts w:ascii="Times New Roman" w:cs="Times New Roman" w:hAnsi="Times New Roman"/>
          <w:sz w:val="28"/>
          <w:szCs w:val="28"/>
        </w:rPr>
      </w:pPr>
      <w:r>
        <w:rPr>
          <w:rFonts w:ascii="Times New Roman" w:cs="Times New Roman" w:hAnsi="Times New Roman"/>
          <w:sz w:val="24"/>
          <w:szCs w:val="24"/>
        </w:rPr>
        <w:tab/>
      </w:r>
      <w:r>
        <w:rPr>
          <w:rFonts w:ascii="Times New Roman" w:cs="Times New Roman" w:hAnsi="Times New Roman"/>
          <w:sz w:val="28"/>
          <w:szCs w:val="28"/>
        </w:rPr>
        <w:t xml:space="preserve">This is certify that this projectis the original work carried out and reported by </w:t>
      </w:r>
      <w:r>
        <w:rPr>
          <w:rFonts w:ascii="Times New Roman" w:cs="Times New Roman" w:hAnsi="Times New Roman"/>
          <w:sz w:val="28"/>
          <w:szCs w:val="28"/>
          <w:lang w:val="en-US"/>
        </w:rPr>
        <w:t>AFOLABI BARAKAT OMOWUNMI</w:t>
      </w:r>
      <w:r>
        <w:rPr>
          <w:rFonts w:ascii="Times New Roman" w:cs="Times New Roman" w:hAnsi="Times New Roman"/>
          <w:sz w:val="28"/>
          <w:szCs w:val="28"/>
        </w:rPr>
        <w:t xml:space="preserve"> with matric number HND/23/SLT/FT/</w:t>
      </w:r>
      <w:r>
        <w:rPr>
          <w:rFonts w:ascii="Times New Roman" w:cs="Times New Roman" w:hAnsi="Times New Roman"/>
          <w:sz w:val="28"/>
          <w:szCs w:val="28"/>
          <w:lang w:val="en-US"/>
        </w:rPr>
        <w:t>1201</w:t>
      </w:r>
      <w:r>
        <w:rPr>
          <w:rFonts w:ascii="Times New Roman" w:cs="Times New Roman" w:hAnsi="Times New Roman"/>
          <w:sz w:val="28"/>
          <w:szCs w:val="28"/>
        </w:rPr>
        <w:t xml:space="preserve"> in the department of Science Laboratory Technology, Institute of Applied Science, Kwara State Polytechnic, Ilorin and has been approved in partial fulfillment of the requirement of the award of Higher National Diploma (HND) in Science Laboratory Technology (SLT), Microbiology unit.</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rPr>
        <w:t>MR. YAHAYA, G.M.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spacing w:after="0" w:lineRule="auto" w:line="240"/>
        <w:jc w:val="both"/>
        <w:rPr>
          <w:b/>
          <w:sz w:val="28"/>
          <w:szCs w:val="28"/>
        </w:rPr>
      </w:pPr>
      <w:r>
        <w:rPr>
          <w:b/>
          <w:sz w:val="28"/>
          <w:szCs w:val="28"/>
        </w:rPr>
        <w:t xml:space="preserve">       (SUPERVISOR) </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rPr>
        <w:t xml:space="preserve">        MISS AHMED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after="0" w:lineRule="auto" w:line="240"/>
        <w:jc w:val="both"/>
        <w:rPr>
          <w:b/>
          <w:sz w:val="28"/>
          <w:szCs w:val="28"/>
        </w:rPr>
      </w:pPr>
      <w:r>
        <w:rPr>
          <w:b/>
          <w:sz w:val="28"/>
          <w:szCs w:val="28"/>
        </w:rPr>
        <w:t xml:space="preserve">  (H.O.U MICROBIOLOGY UNIT) </w:t>
      </w: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p>
    <w:p>
      <w:pPr>
        <w:pStyle w:val="style0"/>
        <w:spacing w:after="0" w:lineRule="auto" w:line="240"/>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spacing w:after="0" w:lineRule="auto" w:line="240"/>
        <w:jc w:val="both"/>
        <w:rPr>
          <w:b/>
          <w:sz w:val="28"/>
          <w:szCs w:val="28"/>
        </w:rPr>
      </w:pPr>
      <w:r>
        <w:rPr>
          <w:b/>
          <w:sz w:val="28"/>
          <w:szCs w:val="28"/>
        </w:rPr>
        <w:t>DR USMAN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after="0" w:lineRule="auto" w:line="240"/>
        <w:jc w:val="both"/>
        <w:rPr>
          <w:b/>
          <w:sz w:val="28"/>
          <w:szCs w:val="28"/>
        </w:rPr>
      </w:pPr>
      <w:r>
        <w:rPr>
          <w:b/>
          <w:sz w:val="28"/>
          <w:szCs w:val="28"/>
        </w:rPr>
        <w:t xml:space="preserve">             (H.O.D SLT) </w:t>
      </w:r>
    </w:p>
    <w:p>
      <w:pPr>
        <w:pStyle w:val="style0"/>
        <w:spacing w:after="0" w:lineRule="auto" w:line="240"/>
        <w:jc w:val="both"/>
        <w:rPr>
          <w:b/>
          <w:sz w:val="32"/>
          <w:szCs w:val="32"/>
        </w:rPr>
      </w:pPr>
    </w:p>
    <w:p>
      <w:pPr>
        <w:pStyle w:val="style0"/>
        <w:spacing w:after="0" w:lineRule="auto" w:line="240"/>
        <w:jc w:val="both"/>
        <w:rPr>
          <w:b/>
          <w:sz w:val="32"/>
          <w:szCs w:val="32"/>
        </w:rPr>
      </w:pPr>
    </w:p>
    <w:p>
      <w:pPr>
        <w:pStyle w:val="style0"/>
        <w:spacing w:after="0" w:lineRule="auto" w:line="240"/>
        <w:jc w:val="both"/>
        <w:rPr>
          <w:b/>
          <w:sz w:val="32"/>
          <w:szCs w:val="32"/>
        </w:rPr>
      </w:pPr>
    </w:p>
    <w:p>
      <w:pPr>
        <w:pStyle w:val="style0"/>
        <w:spacing w:after="0" w:lineRule="auto" w:line="240"/>
        <w:jc w:val="both"/>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tabs>
          <w:tab w:val="left" w:leader="none" w:pos="7095"/>
        </w:tabs>
        <w:spacing w:after="0" w:lineRule="auto" w:line="240"/>
        <w:jc w:val="both"/>
        <w:rPr>
          <w:b/>
          <w:sz w:val="28"/>
          <w:szCs w:val="28"/>
        </w:rPr>
      </w:pPr>
      <w:r>
        <w:rPr>
          <w:b/>
          <w:sz w:val="28"/>
          <w:szCs w:val="28"/>
        </w:rPr>
        <w:t xml:space="preserve">      EXTERNAL EXAMINER</w:t>
      </w:r>
      <w:r>
        <w:rPr>
          <w:b/>
          <w:sz w:val="28"/>
          <w:szCs w:val="28"/>
        </w:rPr>
        <w:tab/>
      </w:r>
      <w:r>
        <w:rPr>
          <w:b/>
          <w:sz w:val="28"/>
          <w:szCs w:val="28"/>
        </w:rPr>
        <w:t>DATE</w:t>
      </w:r>
    </w:p>
    <w:p>
      <w:pPr>
        <w:pStyle w:val="style0"/>
        <w:tabs>
          <w:tab w:val="left" w:leader="none" w:pos="7095"/>
        </w:tabs>
        <w:spacing w:after="0" w:lineRule="auto" w:line="240"/>
        <w:jc w:val="both"/>
        <w:rPr>
          <w:b/>
          <w:sz w:val="28"/>
          <w:szCs w:val="28"/>
        </w:rPr>
      </w:pPr>
    </w:p>
    <w:p>
      <w:pPr>
        <w:pStyle w:val="style0"/>
        <w:tabs>
          <w:tab w:val="left" w:leader="none" w:pos="7095"/>
        </w:tabs>
        <w:spacing w:after="0" w:lineRule="auto" w:line="240"/>
        <w:jc w:val="center"/>
        <w:rPr>
          <w:b/>
          <w:sz w:val="28"/>
          <w:szCs w:val="28"/>
        </w:rPr>
      </w:pPr>
      <w:r>
        <w:rPr>
          <w:rFonts w:ascii="Times New Roman" w:cs="Times New Roman" w:hAnsi="Times New Roman"/>
          <w:b/>
          <w:sz w:val="28"/>
          <w:szCs w:val="28"/>
        </w:rPr>
        <w:t>DEDICATION</w:t>
      </w:r>
    </w:p>
    <w:p>
      <w:pPr>
        <w:pStyle w:val="style0"/>
        <w:spacing w:before="77" w:lineRule="auto" w:line="360"/>
        <w:jc w:val="both"/>
        <w:rPr>
          <w:rFonts w:ascii="Times New Roman" w:cs="Times New Roman" w:hAnsi="Times New Roman"/>
          <w:b/>
          <w:sz w:val="28"/>
          <w:szCs w:val="28"/>
        </w:rPr>
      </w:pPr>
      <w:r>
        <w:rPr>
          <w:rFonts w:ascii="Times New Roman" w:cs="Times New Roman" w:hAnsi="Times New Roman"/>
          <w:sz w:val="28"/>
          <w:szCs w:val="28"/>
        </w:rPr>
        <w:t>Dedicated to Almighty God, the source of all knowle</w:t>
      </w:r>
      <w:r>
        <w:rPr>
          <w:rFonts w:ascii="Times New Roman" w:cs="Times New Roman" w:hAnsi="Times New Roman"/>
          <w:sz w:val="28"/>
          <w:szCs w:val="28"/>
        </w:rPr>
        <w:t>dge and wisdom. May this project</w:t>
      </w:r>
      <w:r>
        <w:rPr>
          <w:rFonts w:ascii="Times New Roman" w:cs="Times New Roman" w:hAnsi="Times New Roman"/>
          <w:sz w:val="28"/>
          <w:szCs w:val="28"/>
        </w:rPr>
        <w:t xml:space="preserve"> be a testament to his glory and reflection of his divine guidance.</w:t>
      </w: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ACKNOWLEDGEMENT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I give thanks to Almighty Allah for giving me opportunity to end my Higher National Diploma (HND) program in peace and for always be by my side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My sincere gratitude goes to my parents Mr&amp; Mrs Afolabi for their great support for my academic pursuit and to my late brother for his financial support and advice before his demise may his soul rest in peace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I also want to appreciate my supervisor Mr YAHAYA GOGATA MUHAMMAD for his kindness and monitoring all through and supportive to my success God bless you</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And also to my wonderful family and friends for their support and love may Almighty Allah bless you all abundantly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TABLE OF CONTENTS</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Certification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Dedication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Acknowledgement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Table of content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Abstract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CHAPTER ONE</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1.0       INTRODUCTION </w:t>
      </w:r>
      <w:r>
        <w:rPr>
          <w:rFonts w:ascii="Times New Roman" w:cs="Times New Roman" w:hAnsi="Times New Roman"/>
          <w:bCs/>
          <w:color w:val="000000"/>
          <w:sz w:val="24"/>
          <w:szCs w:val="24"/>
        </w:rPr>
        <w:tab/>
      </w:r>
      <w:r>
        <w:rPr>
          <w:rFonts w:ascii="Times New Roman" w:cs="Times New Roman" w:hAnsi="Times New Roman"/>
          <w:bCs/>
          <w:color w:val="000000"/>
          <w:sz w:val="24"/>
          <w:szCs w:val="24"/>
        </w:rPr>
        <w:t>1-2</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sz w:val="24"/>
          <w:szCs w:val="24"/>
        </w:rPr>
        <w:t>1.1       BACKGROUND OF LEMON GRASS (</w:t>
      </w:r>
      <w:r>
        <w:rPr>
          <w:rFonts w:ascii="Times New Roman" w:cs="Times New Roman" w:hAnsi="Times New Roman"/>
          <w:i/>
          <w:iCs/>
          <w:sz w:val="24"/>
          <w:szCs w:val="24"/>
        </w:rPr>
        <w:t>Cymbopogon citratus)</w:t>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1.2       PROBLEM STATEMENT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1.3       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1.4        SIGNIFICANCE OF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tabs>
          <w:tab w:val="left" w:leader="none" w:pos="9360"/>
        </w:tabs>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2.0        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2.1        BOTANY, MORPHOLOGY, AND ECOLOGY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2.2        TAXONOMICAL CLASSIFICATION AND BIOSYSTEMATICS</w:t>
      </w:r>
      <w:r>
        <w:rPr>
          <w:rFonts w:ascii="Times New Roman" w:cs="Times New Roman" w:hAnsi="Times New Roman"/>
          <w:sz w:val="24"/>
          <w:szCs w:val="24"/>
        </w:rPr>
        <w:tab/>
      </w:r>
      <w:r>
        <w:rPr>
          <w:rFonts w:ascii="Times New Roman" w:cs="Times New Roman" w:hAnsi="Times New Roman"/>
          <w:sz w:val="24"/>
          <w:szCs w:val="24"/>
        </w:rPr>
        <w:t>6-7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2.3        STRUCTURE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2.4        PHYSIOLOGY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2.5        PHYTOCHEMICAL CONSTITUENTS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2.6        MEDICINAL USES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12-14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2.7       MEDICINAL PROPERTIES OF LEMON GRASS AND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IT’S</w:t>
      </w:r>
      <w:r>
        <w:rPr>
          <w:rFonts w:ascii="Times New Roman" w:cs="Times New Roman" w:hAnsi="Times New Roman"/>
          <w:sz w:val="24"/>
          <w:szCs w:val="24"/>
        </w:rPr>
        <w:t xml:space="preserve"> EFFECT ON HUMANS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2.8      </w:t>
      </w:r>
      <w:r>
        <w:rPr>
          <w:rFonts w:ascii="Times New Roman" w:cs="Times New Roman" w:hAnsi="Times New Roman"/>
          <w:sz w:val="24"/>
          <w:szCs w:val="24"/>
        </w:rPr>
        <w:t xml:space="preserve"> </w:t>
      </w:r>
      <w:r>
        <w:rPr>
          <w:rFonts w:ascii="Times New Roman" w:cs="Times New Roman" w:hAnsi="Times New Roman"/>
          <w:sz w:val="24"/>
          <w:szCs w:val="24"/>
        </w:rPr>
        <w:t>LIMITATIONS AND SIDE EFFECTS OF USING LEMON GRASS</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2.9       </w:t>
      </w:r>
      <w:r>
        <w:rPr>
          <w:rFonts w:ascii="Times New Roman" w:cs="Times New Roman" w:hAnsi="Times New Roman"/>
          <w:sz w:val="24"/>
          <w:szCs w:val="24"/>
        </w:rPr>
        <w:t>ECONOMIC IMPORTANCE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jc w:val="both"/>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3.0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3.1         EXPERIMENTAL SITE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3.2         COLLECTION OF PLANT SAMPLE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3.3         EXTRACTION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3.4         TEST MICROORGANISMS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3.5         INOCULUM PREPARATION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3.6         PHYTOCHEMICAL SCREENING OF LEMON GRASS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EXTRACTS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19-20</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sz w:val="24"/>
          <w:szCs w:val="24"/>
        </w:rPr>
        <w:t>3.7         DETERMINATION OF ANTIBACTERIAL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21</w:t>
      </w:r>
      <w:r>
        <w:rPr>
          <w:rFonts w:ascii="Times New Roman" w:cs="Times New Roman" w:hAnsi="Times New Roman"/>
          <w:sz w:val="24"/>
          <w:szCs w:val="24"/>
        </w:rPr>
        <w:tab/>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4.0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4.1           PHYSICAL APPEARANCE OF THE EXTRACTS RECOVERED</w:t>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4.2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4.3          ANTIBACTERIAL ACTIVITY OF METHANOIC EXTRACTS OF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4.4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25-26</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5.0           CONCLUSION AND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5.1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5.2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28-35</w:t>
      </w: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after="0" w:lineRule="auto" w:line="360"/>
        <w:ind w:left="152"/>
        <w:jc w:val="both"/>
        <w:rPr>
          <w:rFonts w:ascii="Times New Roman" w:cs="Times New Roman" w:hAnsi="Times New Roman"/>
          <w:i/>
          <w:sz w:val="24"/>
          <w:szCs w:val="24"/>
        </w:rPr>
      </w:pPr>
      <w:r>
        <w:rPr>
          <w:rFonts w:ascii="Times New Roman" w:cs="Times New Roman" w:hAnsi="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Pr>
          <w:rFonts w:ascii="Times New Roman" w:cs="Times New Roman" w:hAnsi="Times New Roman"/>
          <w:i/>
          <w:iCs/>
          <w:sz w:val="24"/>
          <w:szCs w:val="24"/>
        </w:rPr>
        <w:t xml:space="preserve">Staphylococcus aureus </w:t>
      </w:r>
      <w:r>
        <w:rPr>
          <w:rFonts w:ascii="Times New Roman" w:cs="Times New Roman" w:hAnsi="Times New Roman"/>
          <w:i/>
          <w:sz w:val="24"/>
          <w:szCs w:val="24"/>
        </w:rPr>
        <w:t xml:space="preserve">and gram-negative,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results showed a zone of inhibition (ZOI) measuring 27mm against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9mm against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10mm against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reaffirms its prospective use in the management of infections and also a potential source of antimicrobial agents.</w:t>
      </w:r>
    </w:p>
    <w:p>
      <w:pPr>
        <w:pStyle w:val="style0"/>
        <w:spacing w:after="0" w:lineRule="auto" w:line="360"/>
        <w:ind w:left="152"/>
        <w:jc w:val="both"/>
        <w:rPr>
          <w:rFonts w:ascii="Times New Roman" w:cs="Times New Roman" w:hAnsi="Times New Roman"/>
          <w:i/>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ind w:left="200"/>
        <w:jc w:val="both"/>
        <w:rPr>
          <w:rFonts w:ascii="Times New Roman" w:cs="Times New Roman" w:hAnsi="Times New Roman"/>
          <w:sz w:val="24"/>
          <w:szCs w:val="24"/>
        </w:rPr>
        <w:sectPr>
          <w:footerReference w:type="default" r:id="rId3"/>
          <w:pgSz w:w="11520" w:h="14400" w:orient="portrait"/>
          <w:pgMar w:top="1440" w:right="1440" w:bottom="1440" w:left="1440" w:header="720" w:footer="720" w:gutter="0"/>
          <w:pgNumType w:fmt="lowerRoman" w:start="1"/>
          <w:cols w:space="720"/>
        </w:sect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2"/>
        <w:spacing w:lineRule="auto" w:line="360"/>
        <w:jc w:val="both"/>
        <w:rPr>
          <w:sz w:val="24"/>
          <w:szCs w:val="24"/>
        </w:rPr>
      </w:pPr>
      <w:r>
        <w:rPr>
          <w:sz w:val="24"/>
          <w:szCs w:val="24"/>
        </w:rPr>
        <w:t xml:space="preserve">                                                  CHAPTER ONE</w:t>
      </w:r>
    </w:p>
    <w:p>
      <w:pPr>
        <w:pStyle w:val="style2"/>
        <w:spacing w:lineRule="auto" w:line="360"/>
        <w:jc w:val="both"/>
        <w:rPr>
          <w:sz w:val="24"/>
          <w:szCs w:val="24"/>
        </w:rPr>
      </w:pPr>
    </w:p>
    <w:p>
      <w:pPr>
        <w:pStyle w:val="style2"/>
        <w:spacing w:lineRule="auto" w:line="360"/>
        <w:jc w:val="both"/>
        <w:rPr>
          <w:sz w:val="24"/>
          <w:szCs w:val="24"/>
        </w:rPr>
      </w:pPr>
      <w:r>
        <w:rPr>
          <w:sz w:val="24"/>
          <w:szCs w:val="24"/>
        </w:rPr>
        <w:t>1.0       INTRODUCTION</w:t>
      </w:r>
    </w:p>
    <w:p>
      <w:pPr>
        <w:pStyle w:val="style2"/>
        <w:spacing w:lineRule="auto" w:line="360"/>
        <w:jc w:val="both"/>
        <w:rPr>
          <w:sz w:val="24"/>
          <w:szCs w:val="24"/>
        </w:rPr>
      </w:pPr>
      <w:r>
        <w:rPr>
          <w:sz w:val="24"/>
          <w:szCs w:val="24"/>
        </w:rPr>
        <w:t>1.1       BACKGROUND OF STUDY</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cs="Times New Roman" w:hAnsi="Times New Roman"/>
          <w:i/>
          <w:iCs/>
          <w:sz w:val="24"/>
          <w:szCs w:val="24"/>
        </w:rPr>
        <w:t>Cymbopogon citratus</w:t>
      </w:r>
      <w:r>
        <w:rPr>
          <w:rFonts w:ascii="Times New Roman" w:cs="Times New Roman" w:hAnsi="Times New Roman"/>
          <w:sz w:val="24"/>
          <w:szCs w:val="24"/>
        </w:rPr>
        <w:t>, locally known as “Eti” by the Edos, “tsauri” by the Hausas, "achara ehi” by the Igbos (Owerri) and "Koko oba or ewe tea” by the Yorubas in Nigeria (Ahmad &amp; Beg, 2001).</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i/>
          <w:iCs/>
          <w:sz w:val="24"/>
          <w:szCs w:val="24"/>
        </w:rPr>
        <w:t xml:space="preserve">C.citatus </w:t>
      </w:r>
      <w:r>
        <w:rPr>
          <w:rFonts w:ascii="Times New Roman" w:cs="Times New Roman" w:hAnsi="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In addition,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has shown promise in treating various conditions, including diarrhea, inflammation, and diabetes. The essential oil from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1.2         PROBLEM STATEMENT</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This research and experiment is centered on analyzing and investigating existing claims and having more understanding of lemon grass and its potential uses.</w:t>
      </w: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         AIM AND OBJECTIVES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1.3.1      AIM</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 xml:space="preserve">           This research is aimed to extract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leaf using various solvents with views to determine the phytochemical constituents and antibacterial effect of the plant extracts on some selected microorganisms.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1.3.2      OBJECTIVES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identify the phytochemical constituents of lemon grass extracts.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evaluate the antibacterial properties of lemon grass extracts against selected bacterial strains.</w:t>
      </w:r>
    </w:p>
    <w:p>
      <w:pPr>
        <w:pStyle w:val="style0"/>
        <w:spacing w:before="144" w:lineRule="auto" w:line="360"/>
        <w:ind w:right="256"/>
        <w:jc w:val="both"/>
        <w:rPr>
          <w:rFonts w:ascii="Times New Roman" w:cs="Times New Roman" w:hAnsi="Times New Roman"/>
          <w:b/>
          <w:bCs/>
          <w:sz w:val="24"/>
          <w:szCs w:val="24"/>
        </w:rPr>
      </w:pPr>
      <w:r>
        <w:rPr>
          <w:rFonts w:ascii="Times New Roman" w:cs="Times New Roman" w:hAnsi="Times New Roman"/>
          <w:b/>
          <w:bCs/>
          <w:sz w:val="24"/>
          <w:szCs w:val="24"/>
        </w:rPr>
        <w:t>1.4          SIGNIFICANCE OF STUDY</w:t>
      </w:r>
    </w:p>
    <w:p>
      <w:pPr>
        <w:pStyle w:val="style0"/>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pPr>
        <w:pStyle w:val="style0"/>
        <w:spacing w:before="144" w:lineRule="auto" w:line="360"/>
        <w:ind w:right="256"/>
        <w:jc w:val="both"/>
        <w:rPr>
          <w:rFonts w:ascii="Times New Roman" w:cs="Times New Roman" w:hAnsi="Times New Roman"/>
          <w:sz w:val="24"/>
          <w:szCs w:val="24"/>
        </w:rPr>
      </w:pPr>
    </w:p>
    <w:p>
      <w:pPr>
        <w:pStyle w:val="style0"/>
        <w:spacing w:before="144" w:lineRule="auto" w:line="360"/>
        <w:ind w:left="152" w:right="256" w:firstLine="677"/>
        <w:jc w:val="both"/>
        <w:rPr>
          <w:rFonts w:ascii="Times New Roman" w:cs="Times New Roman" w:hAnsi="Times New Roman"/>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center"/>
        <w:rPr>
          <w:sz w:val="24"/>
          <w:szCs w:val="24"/>
        </w:rPr>
      </w:pPr>
      <w:r>
        <w:rPr>
          <w:sz w:val="24"/>
          <w:szCs w:val="24"/>
        </w:rPr>
        <w:t>CHAPTER TWO</w:t>
      </w:r>
    </w:p>
    <w:p>
      <w:pPr>
        <w:pStyle w:val="style2"/>
        <w:spacing w:lineRule="auto" w:line="360"/>
        <w:ind w:left="0"/>
        <w:jc w:val="both"/>
        <w:rPr>
          <w:sz w:val="24"/>
          <w:szCs w:val="24"/>
        </w:rPr>
      </w:pPr>
      <w:r>
        <w:rPr>
          <w:sz w:val="24"/>
          <w:szCs w:val="24"/>
        </w:rPr>
        <w:t xml:space="preserve">         2.0        LITERATURE REVIEW</w:t>
      </w:r>
    </w:p>
    <w:p>
      <w:pPr>
        <w:pStyle w:val="style2"/>
        <w:spacing w:lineRule="auto" w:line="360"/>
        <w:ind w:left="0"/>
        <w:jc w:val="both"/>
        <w:rPr>
          <w:sz w:val="24"/>
          <w:szCs w:val="24"/>
        </w:rPr>
      </w:pPr>
      <w:r>
        <w:rPr>
          <w:sz w:val="24"/>
          <w:szCs w:val="24"/>
        </w:rPr>
        <w:t xml:space="preserve">         2.1        BOTANY, MORPHOLOGY AND ECOLOGY OF LEMON GRASS</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 xml:space="preserve">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i/>
          <w:iCs/>
          <w:sz w:val="24"/>
          <w:szCs w:val="24"/>
        </w:rPr>
        <w:t>Cymbopogon citratus</w:t>
      </w:r>
      <w:r>
        <w:rPr>
          <w:rFonts w:ascii="Times New Roman" w:cs="Times New Roman" w:hAnsi="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cs="Times New Roman" w:hAnsi="Times New Roman"/>
          <w:sz w:val="24"/>
          <w:szCs w:val="24"/>
        </w:rPr>
        <w:t>lemon grass grows in highly saline soils, it gives greater oil yield (Srivastava &amp; Akhila, 2010).</w:t>
      </w:r>
    </w:p>
    <w:p>
      <w:pPr>
        <w:pStyle w:val="style0"/>
        <w:tabs>
          <w:tab w:val="left" w:leader="none" w:pos="5595"/>
        </w:tabs>
        <w:spacing w:before="174" w:lineRule="auto" w:line="360"/>
        <w:ind w:right="225"/>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column">
              <wp:posOffset>3009900</wp:posOffset>
            </wp:positionH>
            <wp:positionV relativeFrom="paragraph">
              <wp:posOffset>385445</wp:posOffset>
            </wp:positionV>
            <wp:extent cx="2724150" cy="2663612"/>
            <wp:effectExtent l="0" t="0" r="0" b="0"/>
            <wp:wrapNone/>
            <wp:docPr id="1027" name="Picture 1" descr="IMG-20250607-WA001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724150" cy="2663612"/>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z w:val="24"/>
          <w:szCs w:val="24"/>
        </w:rPr>
        <w:t>Fig 1 Lemon grass stalk and Lemon grass plant</w:t>
      </w:r>
      <w:r>
        <w:rPr>
          <w:rFonts w:ascii="Times New Roman" w:cs="Times New Roman" w:hAnsi="Times New Roman"/>
          <w:sz w:val="24"/>
          <w:szCs w:val="24"/>
        </w:rPr>
        <w:tab/>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2638425" cy="2421488"/>
            <wp:effectExtent l="19050" t="0" r="9525" b="0"/>
            <wp:docPr id="1028" name="Picture 0" descr="IMG-20250607-WA001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5" cstate="print"/>
                    <a:srcRect l="0" t="0" r="0" b="0"/>
                    <a:stretch/>
                  </pic:blipFill>
                  <pic:spPr>
                    <a:xfrm rot="0">
                      <a:off x="0" y="0"/>
                      <a:ext cx="2638425" cy="2421488"/>
                    </a:xfrm>
                    <a:prstGeom prst="rect"/>
                  </pic:spPr>
                </pic:pic>
              </a:graphicData>
            </a:graphic>
          </wp:inline>
        </w:drawing>
      </w:r>
    </w:p>
    <w:p>
      <w:pPr>
        <w:pStyle w:val="style179"/>
        <w:spacing w:before="174" w:lineRule="auto" w:line="360"/>
        <w:ind w:left="3600" w:right="225" w:firstLine="720"/>
        <w:jc w:val="both"/>
        <w:rPr>
          <w:rFonts w:ascii="Times New Roman" w:cs="Times New Roman" w:hAnsi="Times New Roman"/>
          <w:sz w:val="24"/>
          <w:szCs w:val="24"/>
        </w:rPr>
      </w:pPr>
    </w:p>
    <w:p>
      <w:pPr>
        <w:pStyle w:val="style66"/>
        <w:spacing w:before="154" w:lineRule="auto" w:line="360"/>
        <w:ind w:left="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          TAXONOMICAL CLASSIFICATION AND BIOSYSTEMATICS</w:t>
      </w:r>
    </w:p>
    <w:p>
      <w:pPr>
        <w:pStyle w:val="style66"/>
        <w:spacing w:before="154" w:lineRule="auto" w:line="36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2.2.1      TAXONOMICAL CLASSIFICATION</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Kingdom:    Plantae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Division:      Magnoliophyta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Class:           Liliopsida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Order:           Poales</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Family:         Poaceae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Subfamily:   Panicoideae</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Genus:         </w:t>
      </w:r>
      <w:r>
        <w:rPr>
          <w:rFonts w:ascii="Times New Roman" w:cs="Times New Roman" w:hAnsi="Times New Roman"/>
          <w:i/>
          <w:iCs/>
          <w:spacing w:val="-11"/>
          <w:w w:val="104"/>
          <w:sz w:val="24"/>
          <w:szCs w:val="24"/>
        </w:rPr>
        <w:t>Cymbopogon</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Species:       </w:t>
      </w:r>
      <w:r>
        <w:rPr>
          <w:rFonts w:ascii="Times New Roman" w:cs="Times New Roman" w:hAnsi="Times New Roman"/>
          <w:i/>
          <w:iCs/>
          <w:spacing w:val="-11"/>
          <w:w w:val="104"/>
          <w:sz w:val="24"/>
          <w:szCs w:val="24"/>
        </w:rPr>
        <w:t xml:space="preserve">Citratus </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(Shah et al., 2011).</w:t>
      </w:r>
    </w:p>
    <w:p>
      <w:pPr>
        <w:pStyle w:val="style66"/>
        <w:spacing w:before="173"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  2.2.2       BIOSYSTEMATICS</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i/>
          <w:iCs/>
          <w:w w:val="104"/>
          <w:sz w:val="24"/>
          <w:szCs w:val="24"/>
        </w:rPr>
        <w:t>Cymbopogon citratus (DC.) stapf</w:t>
      </w:r>
      <w:r>
        <w:rPr>
          <w:rFonts w:ascii="Times New Roman" w:cs="Times New Roman" w:hAnsi="Times New Roman"/>
          <w:w w:val="104"/>
          <w:sz w:val="24"/>
          <w:szCs w:val="24"/>
        </w:rPr>
        <w:t xml:space="preserve">, previously described as </w:t>
      </w:r>
      <w:r>
        <w:rPr>
          <w:rFonts w:ascii="Times New Roman" w:cs="Times New Roman" w:hAnsi="Times New Roman"/>
          <w:i/>
          <w:iCs/>
          <w:w w:val="104"/>
          <w:sz w:val="24"/>
          <w:szCs w:val="24"/>
        </w:rPr>
        <w:t>Andropogon citratus</w:t>
      </w:r>
      <w:r>
        <w:rPr>
          <w:rFonts w:ascii="Times New Roman" w:cs="Times New Roman" w:hAnsi="Times New Roman"/>
          <w:w w:val="104"/>
          <w:sz w:val="24"/>
          <w:szCs w:val="24"/>
        </w:rPr>
        <w:t xml:space="preserve"> by De candolle and reclassified by Otto stapf, belongs to the poaceae family which includes approximately 500 genus and 8,000 species of plants, commonly called grasses (Negrelle &amp; Gomes, 2007).</w:t>
      </w:r>
    </w:p>
    <w:p>
      <w:pPr>
        <w:pStyle w:val="style66"/>
        <w:spacing w:before="149" w:lineRule="auto" w:line="360"/>
        <w:ind w:right="667"/>
        <w:jc w:val="both"/>
        <w:rPr>
          <w:rFonts w:ascii="Times New Roman" w:cs="Times New Roman" w:hAnsi="Times New Roman"/>
          <w:spacing w:val="-11"/>
          <w:w w:val="104"/>
          <w:sz w:val="24"/>
          <w:szCs w:val="24"/>
        </w:rPr>
      </w:pP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cs="Times New Roman" w:hAnsi="Times New Roman"/>
          <w:i/>
          <w:iCs/>
          <w:spacing w:val="-1"/>
          <w:w w:val="104"/>
          <w:sz w:val="24"/>
          <w:szCs w:val="24"/>
        </w:rPr>
        <w:t xml:space="preserve">Cymbopogon </w:t>
      </w:r>
      <w:r>
        <w:rPr>
          <w:rFonts w:ascii="Times New Roman" w:cs="Times New Roman" w:hAnsi="Times New Roman"/>
          <w:spacing w:val="-1"/>
          <w:w w:val="104"/>
          <w:sz w:val="24"/>
          <w:szCs w:val="24"/>
        </w:rPr>
        <w:t xml:space="preserve">is derived from the Greek word 'Kymbe’ (boat) and 'Pogon’ (beard) referring to the flower spike arrangement (Plants Database, 2003). The part </w:t>
      </w:r>
      <w:r>
        <w:rPr>
          <w:rFonts w:ascii="Times New Roman" w:cs="Times New Roman" w:hAnsi="Times New Roman"/>
          <w:i/>
          <w:iCs/>
          <w:spacing w:val="-1"/>
          <w:w w:val="104"/>
          <w:sz w:val="24"/>
          <w:szCs w:val="24"/>
        </w:rPr>
        <w:t>Citratus</w:t>
      </w:r>
      <w:r>
        <w:rPr>
          <w:rFonts w:ascii="Times New Roman" w:cs="Times New Roman" w:hAnsi="Times New Roman"/>
          <w:spacing w:val="-1"/>
          <w:w w:val="104"/>
          <w:sz w:val="24"/>
          <w:szCs w:val="24"/>
        </w:rPr>
        <w:t>, refers to the latin term meaning lemon-scented leaves (Negrelle &amp; Gomes, 2007).</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spacing w:val="-1"/>
          <w:w w:val="104"/>
          <w:sz w:val="24"/>
          <w:szCs w:val="24"/>
        </w:rPr>
        <w:t xml:space="preserve">Synonyms for this plant includes, </w:t>
      </w:r>
      <w:r>
        <w:rPr>
          <w:rFonts w:ascii="Times New Roman" w:cs="Times New Roman" w:hAnsi="Times New Roman"/>
          <w:i/>
          <w:iCs/>
          <w:spacing w:val="-1"/>
          <w:w w:val="104"/>
          <w:sz w:val="24"/>
          <w:szCs w:val="24"/>
        </w:rPr>
        <w:t xml:space="preserve">Andropogon Citratus, </w:t>
      </w:r>
      <w:r>
        <w:rPr>
          <w:rFonts w:ascii="Times New Roman" w:cs="Times New Roman" w:hAnsi="Times New Roman"/>
          <w:spacing w:val="-1"/>
          <w:w w:val="104"/>
          <w:sz w:val="24"/>
          <w:szCs w:val="24"/>
        </w:rPr>
        <w:t xml:space="preserve">lemon grass stalk. Shah et al, provides names for </w:t>
      </w: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pPr>
        <w:pStyle w:val="style66"/>
        <w:spacing w:before="149" w:lineRule="auto" w:line="360"/>
        <w:ind w:left="0" w:right="667"/>
        <w:jc w:val="both"/>
        <w:rPr>
          <w:rFonts w:ascii="Times New Roman" w:cs="Times New Roman" w:hAnsi="Times New Roman"/>
          <w:spacing w:val="-1"/>
          <w:w w:val="104"/>
          <w:sz w:val="24"/>
          <w:szCs w:val="24"/>
        </w:rPr>
      </w:pPr>
    </w:p>
    <w:p>
      <w:pPr>
        <w:pStyle w:val="style0"/>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br w:type="page"/>
      </w:r>
    </w:p>
    <w:p>
      <w:pPr>
        <w:pStyle w:val="style66"/>
        <w:spacing w:before="149" w:lineRule="auto" w:line="360"/>
        <w:ind w:left="0"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          STRUCTURE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2.3.1     ROOT SYSTEM/RHIZOME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root is less commonly used traditionally and industrially but might contribute to essential oil yield cultivation and might be explored in traditional medicine for specific ailments.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2.3.2   STEM</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2.3.3      LEAVES</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2.3.4       INFLORESCENCE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They are traditionally and industrially less emphasized but might be used for aromatic purposes and might be used in fragrance and flower industries, perfumery and cosmetic</w:t>
      </w:r>
    </w:p>
    <w:p>
      <w:pPr>
        <w:pStyle w:val="style66"/>
        <w:spacing w:before="149" w:lineRule="auto" w:line="360"/>
        <w:ind w:left="0" w:right="667" w:firstLine="152"/>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           PHYSIOLOGY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2.4.1        PHOTOSYNTHESIS AND GAS EXCHANGE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b/>
          <w:bCs/>
          <w:spacing w:val="-6"/>
          <w:w w:val="104"/>
          <w:sz w:val="24"/>
          <w:szCs w:val="24"/>
        </w:rPr>
        <w:t>2.4.2        SALT STRESS RESPONSE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2.4.3          SECONDARY METABOLITE PRODUCTION</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2.4.4         SOIL NATURE</w:t>
      </w:r>
    </w:p>
    <w:p>
      <w:pPr>
        <w:pStyle w:val="style66"/>
        <w:spacing w:before="152" w:lineRule="auto" w:line="360"/>
        <w:jc w:val="both"/>
        <w:rPr>
          <w:rFonts w:ascii="Times New Roman" w:cs="Times New Roman" w:hAnsi="Times New Roman"/>
          <w:sz w:val="24"/>
          <w:szCs w:val="24"/>
        </w:rPr>
      </w:pPr>
      <w:r>
        <w:rPr>
          <w:rFonts w:ascii="Times New Roman" w:cs="Times New Roman" w:hAnsi="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2.4.5         WATER REQUIREMENT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2.4.6        DURATION OF MATURITY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2.4.7      MODE OF REPRODUCTION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 most places </w:t>
      </w:r>
      <w:r>
        <w:rPr>
          <w:rFonts w:ascii="Times New Roman" w:cs="Times New Roman" w:hAnsi="Times New Roman"/>
          <w:i/>
          <w:iCs/>
          <w:sz w:val="24"/>
          <w:szCs w:val="24"/>
        </w:rPr>
        <w:t xml:space="preserve">Cymbopogon citratus </w:t>
      </w:r>
      <w:r>
        <w:rPr>
          <w:rFonts w:ascii="Times New Roman" w:cs="Times New Roman" w:hAnsi="Times New Roman"/>
          <w:sz w:val="24"/>
          <w:szCs w:val="24"/>
        </w:rPr>
        <w:t>flowers very rarely or not at all. Lemon grass mainly reproduces through vegetative propagation (division of clumps) (Akhila, 2009).</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          PHYTOCHEMICAL CONSTITUENTS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2.5.1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cs="Times New Roman" w:hAnsi="Times New Roman"/>
          <w:strike/>
          <w:sz w:val="24"/>
          <w:szCs w:val="24"/>
        </w:rPr>
        <w:t>B</w:t>
      </w:r>
      <w:r>
        <w:rPr>
          <w:rFonts w:ascii="Times New Roman" w:cs="Times New Roman" w:hAnsi="Times New Roman"/>
          <w:sz w:val="24"/>
          <w:szCs w:val="24"/>
        </w:rPr>
        <w:t xml:space="preserve">-myrcene (11%) and geraniol (1.9%) (Bassole et al., </w:t>
      </w:r>
      <w:r>
        <w:rPr>
          <w:rFonts w:ascii="Times New Roman" w:cs="Times New Roman" w:hAnsi="Times New Roman"/>
          <w:sz w:val="24"/>
          <w:szCs w:val="24"/>
        </w:rPr>
        <w:t>2011)</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Fig 2 Structures of abundant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noProof/>
          <w:sz w:val="24"/>
          <w:szCs w:val="24"/>
        </w:rPr>
        <w:drawing>
          <wp:inline distL="0" distT="0" distB="0" distR="0">
            <wp:extent cx="5133975" cy="1804020"/>
            <wp:effectExtent l="19050" t="0" r="0" b="0"/>
            <wp:docPr id="1029" name="Picture 3" descr="IMG-20250607-WA001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rcRect l="0" t="0" r="0" b="0"/>
                    <a:stretch/>
                  </pic:blipFill>
                  <pic:spPr>
                    <a:xfrm rot="0">
                      <a:off x="0" y="0"/>
                      <a:ext cx="5133975" cy="1804020"/>
                    </a:xfrm>
                    <a:prstGeom prst="rect"/>
                  </pic:spPr>
                </pic:pic>
              </a:graphicData>
            </a:graphic>
          </wp:inline>
        </w:drawing>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i/>
          <w:iCs/>
          <w:sz w:val="24"/>
          <w:szCs w:val="24"/>
        </w:rPr>
      </w:pPr>
    </w:p>
    <w:p>
      <w:pPr>
        <w:pStyle w:val="style66"/>
        <w:spacing w:before="152" w:lineRule="auto" w:line="360"/>
        <w:ind w:left="0"/>
        <w:jc w:val="both"/>
        <w:rPr>
          <w:rFonts w:ascii="Times New Roman" w:cs="Times New Roman" w:hAnsi="Times New Roman"/>
          <w:b/>
          <w:bCs/>
          <w:i/>
          <w:iCs/>
          <w:sz w:val="24"/>
          <w:szCs w:val="24"/>
        </w:rPr>
      </w:pPr>
      <w:r>
        <w:rPr>
          <w:rFonts w:ascii="Times New Roman" w:cs="Times New Roman" w:hAnsi="Times New Roman"/>
          <w:b/>
          <w:bCs/>
          <w:sz w:val="24"/>
          <w:szCs w:val="24"/>
        </w:rPr>
        <w:t xml:space="preserve"> 2.5.2       PHENOLIC CONSTITUENTS OF LEMON GRASS</w:t>
      </w:r>
    </w:p>
    <w:p>
      <w:pPr>
        <w:pStyle w:val="style66"/>
        <w:spacing w:before="152" w:lineRule="auto" w:line="360"/>
        <w:ind w:left="0"/>
        <w:jc w:val="both"/>
        <w:rPr>
          <w:rFonts w:ascii="Times New Roman" w:cs="Times New Roman" w:hAnsi="Times New Roman"/>
          <w:i/>
          <w:iCs/>
          <w:sz w:val="24"/>
          <w:szCs w:val="24"/>
        </w:rPr>
      </w:pPr>
      <w:r>
        <w:rPr>
          <w:rFonts w:ascii="Times New Roman" w:cs="Times New Roman" w:hAnsi="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i/>
          <w:iCs/>
          <w:sz w:val="24"/>
          <w:szCs w:val="24"/>
        </w:rPr>
        <w:t xml:space="preserve">C.citratus </w:t>
      </w:r>
      <w:r>
        <w:rPr>
          <w:rFonts w:ascii="Times New Roman" w:cs="Times New Roman" w:hAnsi="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        </w:t>
      </w:r>
      <w:r>
        <w:rPr>
          <w:rFonts w:ascii="Times New Roman" w:cs="Times New Roman" w:hAnsi="Times New Roman"/>
          <w:b/>
          <w:bCs/>
          <w:sz w:val="24"/>
          <w:szCs w:val="24"/>
        </w:rPr>
        <w:t>MEDICINAL</w:t>
      </w:r>
      <w:r>
        <w:rPr>
          <w:rFonts w:ascii="Times New Roman" w:cs="Times New Roman" w:hAnsi="Times New Roman"/>
          <w:b/>
          <w:bCs/>
          <w:sz w:val="24"/>
          <w:szCs w:val="24"/>
        </w:rPr>
        <w:t xml:space="preserve"> USES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2.6.1      TRADITIONAL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Pr>
          <w:rFonts w:ascii="Times New Roman" w:cs="Times New Roman" w:hAnsi="Times New Roman"/>
          <w:sz w:val="24"/>
          <w:szCs w:val="24"/>
        </w:rPr>
        <w:t xml:space="preserve">etes foot disease and ringworm. </w:t>
      </w:r>
      <w:r>
        <w:rPr>
          <w:rFonts w:ascii="Times New Roman" w:cs="Times New Roman" w:hAnsi="Times New Roman"/>
          <w:sz w:val="24"/>
          <w:szCs w:val="24"/>
        </w:rPr>
        <w:t>Most of the time</w:t>
      </w:r>
      <w:r>
        <w:rPr>
          <w:rFonts w:ascii="Times New Roman" w:cs="Times New Roman" w:hAnsi="Times New Roman"/>
          <w:sz w:val="24"/>
          <w:szCs w:val="24"/>
        </w:rPr>
        <w:t>,</w:t>
      </w:r>
      <w:r>
        <w:rPr>
          <w:rFonts w:ascii="Times New Roman" w:cs="Times New Roman" w:hAnsi="Times New Roman"/>
          <w:sz w:val="24"/>
          <w:szCs w:val="24"/>
        </w:rPr>
        <w:t xml:space="preserve"> it is used to treat gastrointestinal disorders. Lemon grass tea is used as a home remedy for fever, illness, and pneumonia (Magotra et al., 2021).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cs="Times New Roman" w:hAnsi="Times New Roman"/>
          <w:i/>
          <w:iCs/>
          <w:sz w:val="24"/>
          <w:szCs w:val="24"/>
        </w:rPr>
        <w:t xml:space="preserve">C.citratus </w:t>
      </w:r>
      <w:r>
        <w:rPr>
          <w:rFonts w:ascii="Times New Roman" w:cs="Times New Roman" w:hAnsi="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w:t>
      </w:r>
      <w:r>
        <w:rPr>
          <w:rFonts w:ascii="Times New Roman" w:cs="Times New Roman" w:hAnsi="Times New Roman"/>
          <w:sz w:val="24"/>
          <w:szCs w:val="24"/>
        </w:rPr>
        <w:t>al. As a result, the extract has demonstrated several qualities that can reduce the risk of rat colon cancer in animal models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2.6.2        INDUSTRIAL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Commercial applications for the essential oil of the </w:t>
      </w:r>
      <w:r>
        <w:rPr>
          <w:rFonts w:ascii="Times New Roman" w:cs="Times New Roman" w:hAnsi="Times New Roman"/>
          <w:i/>
          <w:iCs/>
          <w:sz w:val="24"/>
          <w:szCs w:val="24"/>
        </w:rPr>
        <w:t>Cymbopogon</w:t>
      </w:r>
      <w:r>
        <w:rPr>
          <w:rFonts w:ascii="Times New Roman" w:cs="Times New Roman" w:hAnsi="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 MEDICINAL PROPERTIES OF LEMON GRASS AND ITS EFFECT ON HUMANS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2.7.1    ANTIOXIDANT ACTIVITY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Lemon grass essential oil is rich in compounds that exhibit antioxidant properties. Notably, citral, the major component, has been studied for its ability to scavenge free radicals and mitigate oxidative damage (kiani et al., 2022). These compounds, including </w:t>
      </w:r>
      <w:r>
        <w:rPr>
          <w:rFonts w:ascii="Times New Roman" w:cs="Times New Roman" w:hAnsi="Times New Roman"/>
          <w:sz w:val="24"/>
          <w:szCs w:val="24"/>
        </w:rPr>
        <w:t>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2.7.2        ANTI-HYPERTENSIVE AND ANTI-OBESITY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2.7.3        ANTI-INFLAMMATORY POTENTIAL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2.7.4        ANXIOLYTIC PROPERTIES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tea is said to be commonly used for its calming effect as it helps to reduce </w:t>
      </w:r>
      <w:r>
        <w:rPr>
          <w:rFonts w:ascii="Times New Roman" w:cs="Times New Roman" w:hAnsi="Times New Roman"/>
          <w:sz w:val="24"/>
          <w:szCs w:val="24"/>
        </w:rPr>
        <w:t>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2.7.5           ANTICANCER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Researchers have also investigated </w:t>
      </w:r>
      <w:r>
        <w:rPr>
          <w:rFonts w:ascii="Times New Roman" w:cs="Times New Roman" w:hAnsi="Times New Roman"/>
          <w:i/>
          <w:iCs/>
          <w:sz w:val="24"/>
          <w:szCs w:val="24"/>
        </w:rPr>
        <w:t>Cymbopogon citratus</w:t>
      </w:r>
      <w:r>
        <w:rPr>
          <w:rFonts w:ascii="Times New Roman" w:cs="Times New Roman" w:hAnsi="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2.7.6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cs="Times New Roman" w:hAnsi="Times New Roman"/>
          <w:i/>
          <w:iCs/>
          <w:sz w:val="24"/>
          <w:szCs w:val="24"/>
        </w:rPr>
        <w:t xml:space="preserve">Staphylococcus, Escherichia coli, Enterococcus faecalis, Acinetobacter baurmannii, </w:t>
      </w:r>
      <w:r>
        <w:rPr>
          <w:rFonts w:ascii="Times New Roman" w:cs="Times New Roman" w:hAnsi="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2.8          LIMITATIONS AND SIDE EFFECTS OF USING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pharmacological use of agents derived from </w:t>
      </w:r>
      <w:r>
        <w:rPr>
          <w:rFonts w:ascii="Times New Roman" w:cs="Times New Roman" w:hAnsi="Times New Roman"/>
          <w:i/>
          <w:iCs/>
          <w:sz w:val="24"/>
          <w:szCs w:val="24"/>
        </w:rPr>
        <w:t xml:space="preserve">C.citratus </w:t>
      </w:r>
      <w:r>
        <w:rPr>
          <w:rFonts w:ascii="Times New Roman" w:cs="Times New Roman" w:hAnsi="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2.9          ECONOMIC IMPORTANCE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Essential oil components like geraniol, myrcene, and citral separated from lemon grass play an important role as raw materials in food, beverage, detergent, soap, perfume and cosmetic industries (Solomon et al., 2019).</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For the manufacture of Vitamin A in perfumery and flavourful grass, it is used as raw </w:t>
      </w:r>
      <w:r>
        <w:rPr>
          <w:rFonts w:ascii="Times New Roman" w:cs="Times New Roman" w:hAnsi="Times New Roman"/>
          <w:sz w:val="24"/>
          <w:szCs w:val="24"/>
        </w:rPr>
        <w:t>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 xml:space="preserve">                                                             CHAPTER THREE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3.0            METHODOLOGY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3.1            EXPERIMENTAL SITE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experiment was carried out at Microbiology laboratory, Department of Science Laboratory Technology (SLT), Kwara State Polytechnic, Ilorin.</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3.2            COLLECTION OF PLANT SAMPLE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Fresh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            EXTRACTION</w:t>
      </w:r>
      <w:r>
        <w:rPr>
          <w:rFonts w:ascii="Times New Roman" w:cs="Times New Roman" w:hAnsi="Times New Roman"/>
          <w:b/>
          <w:bCs/>
          <w:sz w:val="24"/>
          <w:szCs w:val="24"/>
        </w:rPr>
        <w:t xml:space="preserve"> PROCESS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3.3.1         MATERIALS AND REAGENTS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materials and reagents used includes; mortal, pestle, test tubes, petri dishes, conical flask, spatula, beakers, paper tape, weighing balance, filter paper, tap water, distilled water, ethanol, methanol, funnel, cotton wool.</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3.3.2         PREPARATION OF LEAVES EXTRACT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Two solvents were used in the preparation of leaves extract (Ethanol and Methanol). Two beakers each containing measured 60ml or ethanol and methanol were labelled as E1 and M1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3.4        TEST ORGANISMS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Three pathogenic bacteria, </w:t>
      </w:r>
      <w:r>
        <w:rPr>
          <w:rFonts w:ascii="Times New Roman" w:cs="Times New Roman" w:hAnsi="Times New Roman"/>
          <w:i/>
          <w:iCs/>
          <w:sz w:val="24"/>
          <w:szCs w:val="24"/>
        </w:rPr>
        <w:t xml:space="preserve">Staphylococcus aureus, Klebsiella pneumonia, </w:t>
      </w:r>
      <w:r>
        <w:rPr>
          <w:rFonts w:ascii="Times New Roman" w:cs="Times New Roman" w:hAnsi="Times New Roman"/>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sz w:val="24"/>
          <w:szCs w:val="24"/>
        </w:rPr>
        <w:t>were used during the study and we're obtained from the Department of Microbiology at Kwara State Polytechnic, Ilorin. The cultures were subcultured on nutrient agar slants and stored at 4°C.</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3.5         INOCULUM PREPARATION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          PHYTOCHEMICAL SCREENING OF LEMON GRASS EXTRACTS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phytochemical assays were carried out according to the methods described by Tiwari et al, (2011) to detect the active chemical constituents; Alkaloids, Flavonoids, Glycosides, Phenol, Saponins, Tannins and Terpenoids.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3.6.1       TEST FOR ALKALOIDS (WAGNER'S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3.6.2         TESTT FOR FLAVONOIDS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each of the extracts were treated with a few drops of 10% lead acetate solution. The appearance of a yellow precipitate signified the presence of flavonoids (Mager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3.6.3        TEST FOR GLYCOSIDES </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of the extracts were dissolved in 1ml of water, followed by the aqeous NaOH solution. The appearance of a yellow colour indicated the presence of Glycosides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3.6.4         TEST FOR PHENOL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10mg of each extracts were mixed with 0.5ml of 1% lead acetate solution. The appearance of a white precipitate suggested the presence of phenolic compounds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3.6.5         TEST FOR SAPONINS (FOAM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3.6.6         TEST FOR TANNINS (FERRIC OXIDE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5mg of each of the extracts were mixed with 0.5ml of 5% ferric chloride. The formation or appearance of a dark bluish-black precipitate indicated the presence of tannins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3.6.7          TEST FOR TERPENOIDS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3.7         DETERMINATION OF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Antibacterial </w:t>
      </w:r>
      <w:r>
        <w:rPr>
          <w:rFonts w:ascii="Times New Roman" w:cs="Times New Roman" w:hAnsi="Times New Roman"/>
          <w:sz w:val="24"/>
          <w:szCs w:val="24"/>
        </w:rPr>
        <w:t>activity of lemon grass was</w:t>
      </w:r>
      <w:r>
        <w:rPr>
          <w:rFonts w:ascii="Times New Roman" w:cs="Times New Roman" w:hAnsi="Times New Roman"/>
          <w:sz w:val="24"/>
          <w:szCs w:val="24"/>
        </w:rPr>
        <w:t xml:space="preserve">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2160" w:firstLine="720"/>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4.0         RESULTS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4.1         PHYSICAL APPEARANCE OF THE EXTRACTS RECOVERED.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1: physical properties of leaves extracts of lemon grass.</w:t>
      </w:r>
    </w:p>
    <w:tbl>
      <w:tblPr>
        <w:tblStyle w:val="style154"/>
        <w:tblpPr w:leftFromText="0" w:rightFromText="0" w:topFromText="0" w:bottomFromText="0"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3"/>
        <w:gridCol w:w="2233"/>
        <w:gridCol w:w="1966"/>
        <w:gridCol w:w="1666"/>
        <w:gridCol w:w="1628"/>
      </w:tblGrid>
      <w:tr>
        <w:trPr>
          <w:trHeight w:val="1582"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ODOUR</w:t>
            </w:r>
          </w:p>
        </w:tc>
      </w:tr>
      <w:tr>
        <w:tblPrEx/>
        <w:trPr>
          <w:trHeight w:val="1118"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Pungent</w:t>
            </w:r>
          </w:p>
        </w:tc>
      </w:tr>
      <w:tr>
        <w:tblPrEx/>
        <w:trPr>
          <w:trHeight w:val="1135"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Strong lemony scent</w:t>
            </w:r>
          </w:p>
        </w:tc>
      </w:tr>
    </w:tbl>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r>
        <w:rPr>
          <w:rFonts w:ascii="Times New Roman" w:cs="Times New Roman" w:hAnsi="Times New Roman"/>
          <w:sz w:val="24"/>
          <w:szCs w:val="24"/>
        </w:rPr>
        <w:t>The result showed the weight of plant sample used, the volume of the solvent, the colour and the odour.</w:t>
      </w: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4.2          PHYTOCHEMICAL SCREENING</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2: Qualitative phytochemical analysis of lemon grass</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5"/>
        <w:gridCol w:w="1821"/>
        <w:gridCol w:w="1592"/>
      </w:tblGrid>
      <w:tr>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METHANOL</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2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w:t>
            </w:r>
            <w:r>
              <w:rPr>
                <w:rFonts w:ascii="Times New Roman" w:cs="Times New Roman" w:hAnsi="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5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bl>
    <w:p/>
    <w:tbl>
      <w:tblPr>
        <w:tblStyle w:val="style154"/>
        <w:tblpPr w:leftFromText="0" w:rightFromText="0" w:topFromText="0" w:bottomFromText="0"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9"/>
      </w:tblGrid>
      <w:tr>
        <w:trPr>
          <w:trHeight w:val="153"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xml:space="preserve">      KEY</w:t>
            </w:r>
          </w:p>
        </w:tc>
      </w:tr>
      <w:tr>
        <w:tblPrEx/>
        <w:trPr>
          <w:trHeight w:val="312"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 Present</w:t>
            </w:r>
          </w:p>
          <w:p>
            <w:pPr>
              <w:pStyle w:val="style0"/>
              <w:spacing w:after="0" w:lineRule="auto" w:line="360"/>
              <w:jc w:val="both"/>
              <w:rPr>
                <w:rFonts w:ascii="Times New Roman" w:cs="Times New Roman" w:hAnsi="Times New Roman"/>
                <w:b/>
              </w:rPr>
            </w:pPr>
            <w:r>
              <w:rPr>
                <w:rFonts w:ascii="Times New Roman" w:cs="Times New Roman" w:hAnsi="Times New Roman"/>
                <w:b/>
              </w:rPr>
              <w:t>– = Absent</w:t>
            </w:r>
          </w:p>
        </w:tc>
      </w:tr>
    </w:tbl>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for phytochemical screening as shown in table 2, shows that alkaloids, glycosides, tannins and terpenoids were present in both ethanol and methanol extracts,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flavonoids and phenol were both present in ethanol extract but absent in methanol extract, while saponin was absent in both ethanol and methanol extracts.</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4.3       ANTIBACTERIAL ACTIVITY OF LEMON GRASS (</w:t>
      </w:r>
      <w:r>
        <w:rPr>
          <w:rFonts w:ascii="Times New Roman" w:cs="Times New Roman" w:hAnsi="Times New Roman"/>
          <w:b/>
          <w:bCs/>
          <w:i/>
          <w:iCs/>
          <w:sz w:val="24"/>
          <w:szCs w:val="24"/>
        </w:rPr>
        <w:t>Cymbopogon citratus)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Table 3: Sensitivity test of methanoic extract against the tes</w:t>
      </w:r>
      <w:r>
        <w:rPr>
          <w:rFonts w:ascii="Times New Roman" w:cs="Times New Roman" w:hAnsi="Times New Roman"/>
          <w:sz w:val="24"/>
          <w:szCs w:val="24"/>
        </w:rPr>
        <w:t>t organism (zone of inhibition)</w:t>
      </w:r>
    </w:p>
    <w:tbl>
      <w:tblPr>
        <w:tblStyle w:val="style1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908"/>
        <w:gridCol w:w="1498"/>
        <w:gridCol w:w="1361"/>
        <w:gridCol w:w="1361"/>
        <w:gridCol w:w="1270"/>
        <w:gridCol w:w="1171"/>
      </w:tblGrid>
      <w:tr>
        <w:trPr>
          <w:trHeight w:val="408" w:hRule="atLeast"/>
        </w:trPr>
        <w:tc>
          <w:tcPr>
            <w:tcW w:w="165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ISOLATED</w:t>
            </w:r>
          </w:p>
        </w:tc>
        <w:tc>
          <w:tcPr>
            <w:tcW w:w="1303"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1000Ng/dis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500Ng/dis</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250Ng/dis</w:t>
            </w:r>
          </w:p>
        </w:tc>
        <w:tc>
          <w:tcPr>
            <w:tcW w:w="127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AMPEOL</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X</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5mg</w:t>
            </w:r>
          </w:p>
        </w:tc>
        <w:tc>
          <w:tcPr>
            <w:tcW w:w="1171"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DMS</w:t>
            </w:r>
          </w:p>
        </w:tc>
      </w:tr>
      <w:tr>
        <w:tblPrEx/>
        <w:trPr>
          <w:trHeight w:val="62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Staphylococcus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w:t>
            </w:r>
            <w:r>
              <w:rPr>
                <w:rFonts w:ascii="Times New Roman" w:cs="Times New Roman" w:hAnsi="Times New Roman"/>
                <w:i/>
                <w:iCs/>
                <w:sz w:val="24"/>
                <w:szCs w:val="24"/>
              </w:rPr>
              <w:t>ureus</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05</w:t>
            </w:r>
          </w:p>
          <w:p>
            <w:pPr>
              <w:pStyle w:val="style0"/>
              <w:spacing w:after="0" w:lineRule="auto" w:line="360"/>
              <w:jc w:val="both"/>
              <w:rPr>
                <w:rFonts w:ascii="Times New Roman" w:cs="Times New Roman" w:hAnsi="Times New Roman"/>
                <w:sz w:val="24"/>
                <w:szCs w:val="24"/>
              </w:rPr>
            </w:pP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Klebsiella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pneumoniae</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04</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Salmonella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w:t>
            </w:r>
            <w:r>
              <w:rPr>
                <w:rFonts w:ascii="Times New Roman" w:cs="Times New Roman" w:hAnsi="Times New Roman"/>
                <w:i/>
                <w:iCs/>
                <w:sz w:val="24"/>
                <w:szCs w:val="24"/>
              </w:rPr>
              <w:t>yphi</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Based on the experiment carried out on the methanoic extract of </w:t>
      </w:r>
      <w:r>
        <w:rPr>
          <w:rFonts w:ascii="Times New Roman" w:cs="Times New Roman" w:hAnsi="Times New Roman"/>
          <w:i/>
          <w:iCs/>
          <w:sz w:val="24"/>
          <w:szCs w:val="24"/>
        </w:rPr>
        <w:t xml:space="preserve">Cymbopogon citratus </w:t>
      </w:r>
      <w:r>
        <w:rPr>
          <w:rFonts w:ascii="Times New Roman" w:cs="Times New Roman" w:hAnsi="Times New Roman"/>
          <w:sz w:val="24"/>
          <w:szCs w:val="24"/>
        </w:rPr>
        <w:t xml:space="preserve">against the bacterial inoculum, it was observed that there was high inhibitory activity on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at 250Ng/dis (27mm), surprisingly higher than at 1000Ng (23mm) and at 500Ng/dis (8mm), which could indicate the presence of a higher concentration.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the highest is at 1000Ng/dis (9mm), followed by 500Ng/dis (4mm) and 250Ng/dis (8mm).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Salmonella typhi, </w:t>
      </w:r>
      <w:r>
        <w:rPr>
          <w:rFonts w:ascii="Times New Roman" w:cs="Times New Roman" w:hAnsi="Times New Roman"/>
          <w:sz w:val="24"/>
          <w:szCs w:val="24"/>
        </w:rPr>
        <w:t>the highest is at 1000Ng/dis (10mm), followed by 500Ng/dis (8mm) and 250Ng/dis (7mm). It was observed that the extract had better effect than the control on the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4.4      DISCUSSION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presence of these chemical compounds suggests that lemon grass has strong potential as a natural antimicrobial agents and are responsible for the antibacterial effects observed in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The antibacterial activity of the methanoic extract of lemon grass (</w:t>
      </w:r>
      <w:r>
        <w:rPr>
          <w:rFonts w:ascii="Times New Roman" w:cs="Times New Roman" w:hAnsi="Times New Roman"/>
          <w:i/>
          <w:iCs/>
          <w:sz w:val="24"/>
          <w:szCs w:val="24"/>
        </w:rPr>
        <w:t>Cymbopogon citratus</w:t>
      </w:r>
      <w:r>
        <w:rPr>
          <w:rFonts w:ascii="Times New Roman" w:cs="Times New Roman" w:hAnsi="Times New Roman"/>
          <w:sz w:val="24"/>
          <w:szCs w:val="24"/>
        </w:rPr>
        <w:t xml:space="preserve">) was accessed using the Agar well diffusion method against three bacteria strains; </w:t>
      </w:r>
      <w:r>
        <w:rPr>
          <w:rFonts w:ascii="Times New Roman" w:cs="Times New Roman" w:hAnsi="Times New Roman"/>
          <w:i/>
          <w:iCs/>
          <w:sz w:val="24"/>
          <w:szCs w:val="24"/>
        </w:rPr>
        <w:t xml:space="preserve">Staphylococcus aureus, Klebsiella pneumoniae </w:t>
      </w:r>
      <w:r>
        <w:rPr>
          <w:rFonts w:ascii="Times New Roman" w:cs="Times New Roman" w:hAnsi="Times New Roman"/>
          <w:sz w:val="24"/>
          <w:szCs w:val="24"/>
        </w:rPr>
        <w:t xml:space="preserve">and </w:t>
      </w:r>
      <w:r>
        <w:rPr>
          <w:rFonts w:ascii="Times New Roman" w:cs="Times New Roman" w:hAnsi="Times New Roman"/>
          <w:i/>
          <w:iCs/>
          <w:sz w:val="24"/>
          <w:szCs w:val="24"/>
        </w:rPr>
        <w:t>Salmonella typhi</w:t>
      </w:r>
      <w:r>
        <w:rPr>
          <w:rFonts w:ascii="Times New Roman" w:cs="Times New Roman" w:hAnsi="Times New Roman"/>
          <w:sz w:val="24"/>
          <w:szCs w:val="24"/>
        </w:rPr>
        <w:t xml:space="preserve">. A zone of inhibition (ZOI) of 27mm was measured for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 comparatively smaller ZOI of 9mm 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 xml:space="preserve">and ZOI of 10mm for </w:t>
      </w:r>
      <w:r>
        <w:rPr>
          <w:rFonts w:ascii="Times New Roman" w:cs="Times New Roman" w:hAnsi="Times New Roman"/>
          <w:i/>
          <w:iCs/>
          <w:sz w:val="24"/>
          <w:szCs w:val="24"/>
        </w:rPr>
        <w:t xml:space="preserve">Salmonella typhi </w:t>
      </w:r>
      <w:r>
        <w:rPr>
          <w:rFonts w:ascii="Times New Roman" w:cs="Times New Roman" w:hAnsi="Times New Roman"/>
          <w:sz w:val="24"/>
          <w:szCs w:val="24"/>
        </w:rPr>
        <w:t xml:space="preserve">was recorded.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CHAPTER FIVE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5.0         CONCLUSION AND RECOMMENDATION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Phytochemical analysis of lemon grass (</w:t>
      </w:r>
      <w:r>
        <w:rPr>
          <w:rFonts w:ascii="Times New Roman" w:cs="Times New Roman" w:hAnsi="Times New Roman"/>
          <w:i/>
          <w:iCs/>
          <w:sz w:val="24"/>
          <w:szCs w:val="24"/>
        </w:rPr>
        <w:t>Cymbopogon citratus</w:t>
      </w:r>
      <w:r>
        <w:rPr>
          <w:rFonts w:ascii="Times New Roman" w:cs="Times New Roman" w:hAnsi="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cs="Times New Roman" w:hAnsi="Times New Roman"/>
          <w:i/>
          <w:iCs/>
          <w:sz w:val="24"/>
          <w:szCs w:val="24"/>
        </w:rPr>
        <w:t xml:space="preserve">Staphylococcus aureus </w:t>
      </w:r>
      <w:r>
        <w:rPr>
          <w:rFonts w:ascii="Times New Roman" w:cs="Times New Roman" w:hAnsi="Times New Roman"/>
          <w:sz w:val="24"/>
          <w:szCs w:val="24"/>
        </w:rPr>
        <w:t xml:space="preserve">compared to the gram-negative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and</w:t>
      </w:r>
      <w:r>
        <w:rPr>
          <w:rFonts w:ascii="Times New Roman" w:cs="Times New Roman" w:hAnsi="Times New Roman"/>
          <w:i/>
          <w:iCs/>
          <w:sz w:val="24"/>
          <w:szCs w:val="24"/>
        </w:rPr>
        <w:t xml:space="preserve"> Salmonella typhi, </w:t>
      </w:r>
      <w:r>
        <w:rPr>
          <w:rFonts w:ascii="Times New Roman" w:cs="Times New Roman" w:hAnsi="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lemon grass also possesses qualities such as its fine lemony scent which makes it not only useful as a drug but also for domestic, agricultural and industrial purposes.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5.2      RECOMMENDATIONS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to investigate the efficacy of lemon grass on other pathogenic microorganisms.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by conducting in vivo experiments to evaluate lemon grass safety for human use</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with other solvents for extraction that could help in identifying other important phytochemicals with stronger activity.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Acimovic, M., Cabarkapa, I., Cvetkovic, M., Stankovic, J., Kiprovski, B., Gvozdenac,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&amp; Puvača, N. (2020). Cymbopogon citratus (DC.) STAPH: Chemical 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and antioxidant activities, use in medicinal and cosmetic purpose, 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344–360.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Ahire, L. S., Abhonkar, R. S., &amp; Sawant, S. (2022). Review on Pharmacological Activity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of Cymbopogon Citratus. IJFMR - International Journal for Multi disciplinary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Research, 4(6). https://doi.org/10.36948/ijfmr.2022.v04i06.1015.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Ahmad, I., &amp; Beg, A. Z. (2001). Antimicrobial and phytochemical studies on 45 Indian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medicinal plants against multi-drug resistant human pathogens.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74(2–3), 113–123. </w:t>
      </w:r>
      <w:r>
        <w:rPr/>
        <w:fldChar w:fldCharType="begin"/>
      </w:r>
      <w:r>
        <w:instrText xml:space="preserve"> HYPERLINK "https://doi.org/10.1016/S0378" </w:instrText>
      </w:r>
      <w:r>
        <w:rPr/>
        <w:fldChar w:fldCharType="separate"/>
      </w:r>
      <w:r>
        <w:rPr>
          <w:rStyle w:val="style85"/>
          <w:rFonts w:ascii="Times New Roman" w:cs="Times New Roman" w:hAnsi="Times New Roman"/>
          <w:sz w:val="24"/>
          <w:szCs w:val="24"/>
        </w:rPr>
        <w:t>https://doi.org/10.1016/S0378</w:t>
      </w:r>
      <w:r>
        <w:rPr/>
        <w:fldChar w:fldCharType="end"/>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8741(00)00335-4.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Akhila, A. (2009). Essential oil bearing grasses. CRC Press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Ali, A., Zahid, H. F., Cottrell, J. J., &amp; Dunshea, F. R. (2022). A comparative study for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nutritional and phytochemical profiling of Coffea arabica (C. arabica) from different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origins and their antioxidant potential and molecular docking. Molecules, 27(16),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5126. https://doi.org/10.3390/molecules27165126.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Anibijuwon, I. I., Gbala, I. D., Ayanwale, O. C., &amp; Ayanda, O. O. (2016). Antibacterial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lemon grass (tea) against organisms of clinical origin. Nigerian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Pure and Applied Sciences, 29. doi: 10.19240/njpas.2016.A01.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Awuchi, C. (2019). Medicinal Plants: The Medical, Food, and Nutritional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Biochemistry and Uses. 5, 220–241.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Balakrishnan, B., Paramasivam, S., &amp; Arulkumar, A. (2014). Evaluation of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plant (Cymbopogon citratus) extracted in different solvents for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and antibacterial activity against human pathogens. Asian Pacific Journal of Tropical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Disease, 4, S134–S139.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Barbosa, L. C. A., Pereira, U. A., Martinazzo, A. P., Maltha, C. R. Á., Teixeira, R. R., &amp;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Melo, E. C. (2008). Evaluation of the chemical composition of Brazilian commercial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Cymbopogon citratus (DC) Stapf samples. Molecules, 13(8), 1864-1874.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Bassolé, I. H. N., Lamien-Meda, A., Bayala, B., Obame, L. C., Ilboudo, A. J., Franz, 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Novak, J., Nebié, R. C., &amp; Dicko, M. H. (2011). Chemical composition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acivity of Cymbopogon citratus and Cymbopogon giganteus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alone and in combination. Phytomedicine, 18(12), 1070-1074.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Chukwuocha, U. M., Fernández-Rivera, O., &amp; Legorreta-Herrera, M. (2016). Exploring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antimalarial potential of whole Cymbopogon citratus plant therapy.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193, 517–523. https://doi.org/10.1016/j.jep.2016.09.056.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Daferera, D. J., Ziogas, B. N., &amp; Polissiou, M. G. (2000). GC-MS analysis of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from Greek aromatic plants and their fungitoxicity on Penicillium digitatum.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Journal of Agricultural and Food Chemistry, 48(6), 2576-2581.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 Silva, M. R. M., &amp; Ricci-Júnior, E. (2020). An approach to natural insect repellent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formulations: From basic research to technological development. Acta Tropica, 212,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105419.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Ekpenyong, C.E.; Daniel, N.E.; Antai, A.B. Bioactive natural constituents from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tea and erythropoiesis boosting effects: Potential use in prevention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treatment of anemia. J. Med. Food 2015, 18, 118–127.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Erminawati, Naufalin, R., Sitoresmi, I., Sidik, W., &amp; Bachtiar, A. (2019).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microencapsulated lemongrass (Cymbopogon citratus) extract.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Conference Series: Earth and Environmental Science, 250, 012054.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Ewansiha, J. U., Garba, S. A., Mawak, J. D., &amp; Ogbul</w:t>
      </w:r>
      <w:r>
        <w:rPr>
          <w:rFonts w:ascii="Times New Roman" w:cs="Times New Roman" w:hAnsi="Times New Roman"/>
          <w:sz w:val="24"/>
          <w:szCs w:val="24"/>
        </w:rPr>
        <w:t>ie, A. O. (2012). Antimicrobial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activity of Cymbopogon citratus (lemon grass) an</w:t>
      </w:r>
      <w:r>
        <w:rPr>
          <w:rFonts w:ascii="Times New Roman" w:cs="Times New Roman" w:hAnsi="Times New Roman"/>
          <w:sz w:val="24"/>
          <w:szCs w:val="24"/>
        </w:rPr>
        <w:t>d its phytochemical properties.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Frontiers in Science, 2(6), 214–220.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Farooqi, A. A., &amp; Sreeramu, B. S. (Eds.). (2001). Cultiv</w:t>
      </w:r>
      <w:r>
        <w:rPr>
          <w:rFonts w:ascii="Times New Roman" w:cs="Times New Roman" w:hAnsi="Times New Roman"/>
          <w:sz w:val="24"/>
          <w:szCs w:val="24"/>
        </w:rPr>
        <w:t>ation of medicinal and aromatic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crops. Universities Press (India).Ltd.</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Francisco, V., Figueirinha, A., Neves, B. M., García-Rodríguez, C., Lopes, M. C., Cruz,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 T., &amp; Batista, M. T. (2011). Cymbopogon citratus</w:t>
      </w:r>
      <w:r>
        <w:rPr>
          <w:rFonts w:ascii="Times New Roman" w:cs="Times New Roman" w:hAnsi="Times New Roman"/>
          <w:sz w:val="24"/>
          <w:szCs w:val="24"/>
        </w:rPr>
        <w:t xml:space="preserve"> as source of new and safe anti</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inflammatory drugs: Bio-guided assay usin</w:t>
      </w:r>
      <w:r>
        <w:rPr>
          <w:rFonts w:ascii="Times New Roman" w:cs="Times New Roman" w:hAnsi="Times New Roman"/>
          <w:sz w:val="24"/>
          <w:szCs w:val="24"/>
        </w:rPr>
        <w:t>g lipopolysaccharide-stimulated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macrophages. Journal of Ethnopharmacology, 133(2), 818-827.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Godwin, A., Daniel, G. A., Shadrack, D., Elom, S. A.,</w:t>
      </w:r>
      <w:r>
        <w:rPr>
          <w:rFonts w:ascii="Times New Roman" w:cs="Times New Roman" w:hAnsi="Times New Roman"/>
          <w:sz w:val="24"/>
          <w:szCs w:val="24"/>
        </w:rPr>
        <w:t xml:space="preserve"> Afua, N., Ab, K., Godsway, B.,</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Joseph, K. G., Sackitey, N. O., &amp; Isaak, K. B. (201</w:t>
      </w:r>
      <w:r>
        <w:rPr>
          <w:rFonts w:ascii="Times New Roman" w:cs="Times New Roman" w:hAnsi="Times New Roman"/>
          <w:sz w:val="24"/>
          <w:szCs w:val="24"/>
        </w:rPr>
        <w:t>4). Determination of elemental,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phenolic, antioxidant and flavonoid properties of L</w:t>
      </w:r>
      <w:r>
        <w:rPr>
          <w:rFonts w:ascii="Times New Roman" w:cs="Times New Roman" w:hAnsi="Times New Roman"/>
          <w:sz w:val="24"/>
          <w:szCs w:val="24"/>
        </w:rPr>
        <w:t>emon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International Food Research Journal, 21(5), 1971-1979.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Hanaa, A. M., Sallam, Y., El-Leithy, A., &amp; Aly, S. E.</w:t>
      </w:r>
      <w:r>
        <w:rPr>
          <w:rFonts w:ascii="Times New Roman" w:cs="Times New Roman" w:hAnsi="Times New Roman"/>
          <w:sz w:val="24"/>
          <w:szCs w:val="24"/>
        </w:rPr>
        <w:t xml:space="preserve"> (2012). Lemongrass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essential oil as affected by drying methods. A</w:t>
      </w:r>
      <w:r>
        <w:rPr>
          <w:rFonts w:ascii="Times New Roman" w:cs="Times New Roman" w:hAnsi="Times New Roman"/>
          <w:sz w:val="24"/>
          <w:szCs w:val="24"/>
        </w:rPr>
        <w:t>nnals of Agricultural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57(2), 113-116.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Harborne, J. B. (2006). Metode fitokimia: Penuntun cara modern menganalisis tumbuhan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(2nd ed.). Penerbit ITB.</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Hasim, S. F., Ayunda, R. D., &amp; Faridah, D. N. (2015).</w:t>
      </w:r>
      <w:r>
        <w:rPr>
          <w:rFonts w:ascii="Times New Roman" w:cs="Times New Roman" w:hAnsi="Times New Roman"/>
          <w:sz w:val="24"/>
          <w:szCs w:val="24"/>
        </w:rPr>
        <w:t xml:space="preserve"> Potential of lemongrass leaves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extract (Cymbopogon citratus) as prevention for oil oxidation. Journ</w:t>
      </w:r>
      <w:r>
        <w:rPr>
          <w:rFonts w:ascii="Times New Roman" w:cs="Times New Roman" w:hAnsi="Times New Roman"/>
          <w:sz w:val="24"/>
          <w:szCs w:val="24"/>
        </w:rPr>
        <w:t>al of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Pharmaceutical Research, 7(10), 55-60.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Hussein, R. A., El-Anssary, A. A., Hussein, R. A., &amp; E</w:t>
      </w:r>
      <w:r>
        <w:rPr>
          <w:rFonts w:ascii="Times New Roman" w:cs="Times New Roman" w:hAnsi="Times New Roman"/>
          <w:sz w:val="24"/>
          <w:szCs w:val="24"/>
        </w:rPr>
        <w:t>l-Anssary, A. A. (2018). Plants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Secondary Metabolites: The Key Drivers of the Pharm</w:t>
      </w:r>
      <w:r>
        <w:rPr>
          <w:rFonts w:ascii="Times New Roman" w:cs="Times New Roman" w:hAnsi="Times New Roman"/>
          <w:sz w:val="24"/>
          <w:szCs w:val="24"/>
        </w:rPr>
        <w:t>acological Actions of Medicinal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Plants. In Herbal Medicine. Intech Open. </w:t>
      </w:r>
      <w:r>
        <w:rPr/>
        <w:fldChar w:fldCharType="begin"/>
      </w:r>
      <w:r>
        <w:instrText xml:space="preserve"> HYPERLINK "https://doi.org/10.5772/intechopen.76139" </w:instrText>
      </w:r>
      <w:r>
        <w:rPr/>
        <w:fldChar w:fldCharType="separate"/>
      </w:r>
      <w:r>
        <w:rPr>
          <w:rStyle w:val="style85"/>
          <w:rFonts w:ascii="Times New Roman" w:cs="Times New Roman" w:hAnsi="Times New Roman"/>
          <w:sz w:val="24"/>
          <w:szCs w:val="24"/>
        </w:rPr>
        <w:t>https://doi.org/10.5772/intechopen.76139</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Ito, N., Nagai, T., Oikawa, T., Yamada, H., &amp; Hanawa,</w:t>
      </w:r>
      <w:r>
        <w:rPr>
          <w:rFonts w:ascii="Times New Roman" w:cs="Times New Roman" w:hAnsi="Times New Roman"/>
          <w:sz w:val="24"/>
          <w:szCs w:val="24"/>
        </w:rPr>
        <w:t xml:space="preserve"> T. (2011). Antidepressant-like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effect of l-perillaldehyde in stress-induced dep</w:t>
      </w:r>
      <w:r>
        <w:rPr>
          <w:rFonts w:ascii="Times New Roman" w:cs="Times New Roman" w:hAnsi="Times New Roman"/>
          <w:sz w:val="24"/>
          <w:szCs w:val="24"/>
        </w:rPr>
        <w:t>ression-like model mice through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regulation of the olfactory nervous system. E</w:t>
      </w:r>
      <w:r>
        <w:rPr>
          <w:rFonts w:ascii="Times New Roman" w:cs="Times New Roman" w:hAnsi="Times New Roman"/>
          <w:sz w:val="24"/>
          <w:szCs w:val="24"/>
        </w:rPr>
        <w:t>vidence-Based Complementary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Alternative Medicine, 2011, 512697.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Jaswir, I., &amp; Monsur, H. A. (2011). Anti-inflammatory c</w:t>
      </w:r>
      <w:r>
        <w:rPr>
          <w:rFonts w:ascii="Times New Roman" w:cs="Times New Roman" w:hAnsi="Times New Roman"/>
          <w:sz w:val="24"/>
          <w:szCs w:val="24"/>
        </w:rPr>
        <w:t>ompounds of macro algae origin: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 review. Journal of Medicinal Plants Research, 5(33), 7146-7154.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Joy, P. P., Skaria, B. P., &amp; Mathew, S. (2006). Lemongra</w:t>
      </w:r>
      <w:r>
        <w:rPr>
          <w:rFonts w:ascii="Times New Roman" w:cs="Times New Roman" w:hAnsi="Times New Roman"/>
          <w:sz w:val="24"/>
          <w:szCs w:val="24"/>
        </w:rPr>
        <w:t>ss. Indian Journal of Arecanut,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Spices and Medicinal Plants, 8(2), 55-64.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Kassahun, T., Girma, B., Joshi, R. K., Sisay, B., Tes</w:t>
      </w:r>
      <w:r>
        <w:rPr>
          <w:rFonts w:ascii="Times New Roman" w:cs="Times New Roman" w:hAnsi="Times New Roman"/>
          <w:sz w:val="24"/>
          <w:szCs w:val="24"/>
        </w:rPr>
        <w:t>faye, K., Taye, S., Tesema,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Abera, T., &amp; Teka, F. (2020). Ethnobotany, traditional use, phytoch</w:t>
      </w:r>
      <w:r>
        <w:rPr>
          <w:rFonts w:ascii="Times New Roman" w:cs="Times New Roman" w:hAnsi="Times New Roman"/>
          <w:sz w:val="24"/>
          <w:szCs w:val="24"/>
        </w:rPr>
        <w:t>emistry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pharmacology of Cymbopogon citratus. International</w:t>
      </w:r>
      <w:r>
        <w:rPr>
          <w:rFonts w:ascii="Times New Roman" w:cs="Times New Roman" w:hAnsi="Times New Roman"/>
          <w:sz w:val="24"/>
          <w:szCs w:val="24"/>
        </w:rPr>
        <w:t xml:space="preserve"> Journal of Herbal Medicine, 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80-87.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Khan, A., Qureshi, R. A., Ullah, F., Gilani, S. A., Nosheen, </w:t>
      </w:r>
      <w:r>
        <w:rPr>
          <w:rFonts w:ascii="Times New Roman" w:cs="Times New Roman" w:hAnsi="Times New Roman"/>
          <w:sz w:val="24"/>
          <w:szCs w:val="24"/>
        </w:rPr>
        <w:t>A., Sahreen, S., et al. (2012).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Phytochemical analysis of selected medicinal plants of Margall</w:t>
      </w:r>
      <w:r>
        <w:rPr>
          <w:rFonts w:ascii="Times New Roman" w:cs="Times New Roman" w:hAnsi="Times New Roman"/>
          <w:sz w:val="24"/>
          <w:szCs w:val="24"/>
        </w:rPr>
        <w:t>a Hills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surroundings. Academic Journal of Plant Sciences, 5(3), 562–565.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Kiani, H. S., Ali, A., Zahra, S., Hassan, Z. U., Kubra, </w:t>
      </w:r>
      <w:r>
        <w:rPr>
          <w:rFonts w:ascii="Times New Roman" w:cs="Times New Roman" w:hAnsi="Times New Roman"/>
          <w:sz w:val="24"/>
          <w:szCs w:val="24"/>
        </w:rPr>
        <w:t>K. T., Azam, M., &amp; Zahid, H. 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(2022). Phytochemical composition and pharmaco</w:t>
      </w:r>
      <w:r>
        <w:rPr>
          <w:rFonts w:ascii="Times New Roman" w:cs="Times New Roman" w:hAnsi="Times New Roman"/>
          <w:sz w:val="24"/>
          <w:szCs w:val="24"/>
        </w:rPr>
        <w:t>logical potential of lemongrass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and impact on gut microbio</w:t>
      </w:r>
      <w:r>
        <w:rPr>
          <w:rFonts w:ascii="Times New Roman" w:cs="Times New Roman" w:hAnsi="Times New Roman"/>
          <w:sz w:val="24"/>
          <w:szCs w:val="24"/>
        </w:rPr>
        <w:t>ta. AppliedChem, 2(4), 229–246.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fldChar w:fldCharType="begin"/>
      </w:r>
      <w:r>
        <w:instrText xml:space="preserve"> HYPERLINK "https://doi.org/10.3390/appliedchem2040016" </w:instrText>
      </w:r>
      <w:r>
        <w:rPr/>
        <w:fldChar w:fldCharType="separate"/>
      </w:r>
      <w:r>
        <w:rPr>
          <w:rStyle w:val="style85"/>
          <w:rFonts w:ascii="Times New Roman" w:cs="Times New Roman" w:hAnsi="Times New Roman"/>
          <w:sz w:val="24"/>
          <w:szCs w:val="24"/>
        </w:rPr>
        <w:t>https://doi.org/10.3390/appliedchem2040016</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Kigigha, L., Uhunmwangho, E. J., &amp; Izah, S. (201</w:t>
      </w:r>
      <w:r>
        <w:rPr>
          <w:rFonts w:ascii="Times New Roman" w:cs="Times New Roman" w:hAnsi="Times New Roman"/>
          <w:sz w:val="24"/>
          <w:szCs w:val="24"/>
        </w:rPr>
        <w:t>8). Assessment of Hot Water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Ethanolic Leaf Extracts of Cymbopogon Citrates Stapf (Lemon Grass) against</w:t>
      </w:r>
      <w:r>
        <w:rPr>
          <w:rFonts w:ascii="Times New Roman" w:cs="Times New Roman" w:hAnsi="Times New Roman"/>
          <w:sz w:val="24"/>
          <w:szCs w:val="24"/>
        </w:rPr>
        <w:t xml:space="preserve"> Selected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Bacteria Pathogens. Annals of Microbiology a</w:t>
      </w:r>
      <w:r>
        <w:rPr>
          <w:rFonts w:ascii="Times New Roman" w:cs="Times New Roman" w:hAnsi="Times New Roman"/>
          <w:sz w:val="24"/>
          <w:szCs w:val="24"/>
        </w:rPr>
        <w:t>nd Infectious Diseases, 1, 4–8.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https://doi.org/10.22259/2637-5346.0103002.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Komal. (2020). Lemongrass: Its uses, medicinal properties </w:t>
      </w:r>
      <w:r>
        <w:rPr>
          <w:rFonts w:ascii="Times New Roman" w:cs="Times New Roman" w:hAnsi="Times New Roman"/>
          <w:sz w:val="24"/>
          <w:szCs w:val="24"/>
        </w:rPr>
        <w:t>and industrial properties. Just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Agriculture, 1(3), November 2020. https://www.justagriculture.in.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Kumoro, A. C., Wardhani, D. H., Retnowati, D. S., &amp; Har</w:t>
      </w:r>
      <w:r>
        <w:rPr>
          <w:rFonts w:ascii="Times New Roman" w:cs="Times New Roman" w:hAnsi="Times New Roman"/>
          <w:sz w:val="24"/>
          <w:szCs w:val="24"/>
        </w:rPr>
        <w:t>yani, K. (2021). A brief review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on the characteristics, extraction and potential industrial a</w:t>
      </w:r>
      <w:r>
        <w:rPr>
          <w:rFonts w:ascii="Times New Roman" w:cs="Times New Roman" w:hAnsi="Times New Roman"/>
          <w:sz w:val="24"/>
          <w:szCs w:val="24"/>
        </w:rPr>
        <w:t>pplications of citronella 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nardus) and lemongrass (Cymbopogon</w:t>
      </w:r>
      <w:r>
        <w:rPr>
          <w:rFonts w:ascii="Times New Roman" w:cs="Times New Roman" w:hAnsi="Times New Roman"/>
          <w:sz w:val="24"/>
          <w:szCs w:val="24"/>
        </w:rPr>
        <w:t xml:space="preserve"> citratus) essential oils.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Conference Series: Materials Science and Engineering, 1053, 012118.</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Lawrence, R., Lawrence, K., Srivastava, R., &amp; Gupta, D. </w:t>
      </w:r>
      <w:r>
        <w:rPr>
          <w:rFonts w:ascii="Times New Roman" w:cs="Times New Roman" w:hAnsi="Times New Roman"/>
          <w:sz w:val="24"/>
          <w:szCs w:val="24"/>
        </w:rPr>
        <w:t>(2015). Antioxidant activity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lemon grass essential oil (Cymbopogon citratus) grown in North Indian</w:t>
      </w:r>
      <w:r>
        <w:rPr>
          <w:rFonts w:ascii="Times New Roman" w:cs="Times New Roman" w:hAnsi="Times New Roman"/>
          <w:sz w:val="24"/>
          <w:szCs w:val="24"/>
        </w:rPr>
        <w:t xml:space="preserve"> plains.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Scientific Temper, 4, 23–29.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Machraoui, M., Kthiri, Z., Ben Jabeur, M., &amp; Hamada</w:t>
      </w:r>
      <w:r>
        <w:rPr>
          <w:rFonts w:ascii="Times New Roman" w:cs="Times New Roman" w:hAnsi="Times New Roman"/>
          <w:sz w:val="24"/>
          <w:szCs w:val="24"/>
        </w:rPr>
        <w:t>, W. (2018). Ethnobotanical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phytopharmacological notes on Cymbopogon citra</w:t>
      </w:r>
      <w:r>
        <w:rPr>
          <w:rFonts w:ascii="Times New Roman" w:cs="Times New Roman" w:hAnsi="Times New Roman"/>
          <w:sz w:val="24"/>
          <w:szCs w:val="24"/>
        </w:rPr>
        <w:t>tus (DC.) Stapf. Journal of New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Sciences, Agriculture and Biotechnology, 55, 3642–3652.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Madi, Y. F., Meselhy, M. R., El-Kashoury, </w:t>
      </w:r>
      <w:r>
        <w:rPr>
          <w:rFonts w:ascii="Times New Roman" w:cs="Times New Roman" w:hAnsi="Times New Roman"/>
          <w:sz w:val="24"/>
          <w:szCs w:val="24"/>
        </w:rPr>
        <w:t>E. A., &amp; Choucry, M. A. (2022).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Morphological and anatomical characterization of </w:t>
      </w:r>
      <w:r>
        <w:rPr>
          <w:rFonts w:ascii="Times New Roman" w:cs="Times New Roman" w:hAnsi="Times New Roman"/>
          <w:sz w:val="24"/>
          <w:szCs w:val="24"/>
        </w:rPr>
        <w:t>Cymbopogon citratus (DC.) Stapf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cultivated in Egypt. Bulletin of Faculty of Pharmacy Cairo University, 60(1), Article 6.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Magar, B. B., Rai, N., Shrestha, M. M., Shahi, I., &amp; Bha</w:t>
      </w:r>
      <w:r>
        <w:rPr>
          <w:rFonts w:ascii="Times New Roman" w:cs="Times New Roman" w:hAnsi="Times New Roman"/>
          <w:sz w:val="24"/>
          <w:szCs w:val="24"/>
        </w:rPr>
        <w:t>tt, B. D. (2024). Phytochemical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analysis and antibacterial activities of Cymbopo</w:t>
      </w:r>
      <w:r>
        <w:rPr>
          <w:rFonts w:ascii="Times New Roman" w:cs="Times New Roman" w:hAnsi="Times New Roman"/>
          <w:sz w:val="24"/>
          <w:szCs w:val="24"/>
        </w:rPr>
        <w:t>gon citratus from Banke, Nepal.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Orchid Academia Siraha, 3(1).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Magotra, A., Singh, A. P., &amp; Singh, A. P. (2021). A review on pha</w:t>
      </w:r>
      <w:r>
        <w:rPr>
          <w:rFonts w:ascii="Times New Roman" w:cs="Times New Roman" w:hAnsi="Times New Roman"/>
          <w:sz w:val="24"/>
          <w:szCs w:val="24"/>
        </w:rPr>
        <w:t>rmacological activities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of Cymbopogon citratus. International Journal of Ph</w:t>
      </w:r>
      <w:r>
        <w:rPr>
          <w:rFonts w:ascii="Times New Roman" w:cs="Times New Roman" w:hAnsi="Times New Roman"/>
          <w:sz w:val="24"/>
          <w:szCs w:val="24"/>
        </w:rPr>
        <w:t>armacy and Drug Analysis, 9(2),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151-157.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Manvitha, K., &amp; Bidya, B. (2014). Review on pharmac</w:t>
      </w:r>
      <w:r>
        <w:rPr>
          <w:rFonts w:ascii="Times New Roman" w:cs="Times New Roman" w:hAnsi="Times New Roman"/>
          <w:sz w:val="24"/>
          <w:szCs w:val="24"/>
        </w:rPr>
        <w:t>ological activity of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citratus. International Journal of Herbal Medicine.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Manzoor, F., Naz, N., Malik, S. A., Arshad, S., </w:t>
      </w:r>
      <w:r>
        <w:rPr>
          <w:rFonts w:ascii="Times New Roman" w:cs="Times New Roman" w:hAnsi="Times New Roman"/>
          <w:sz w:val="24"/>
          <w:szCs w:val="24"/>
        </w:rPr>
        <w:t>&amp; Siddiqui, B. (2013).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of essential oils derived from Euca</w:t>
      </w:r>
      <w:r>
        <w:rPr>
          <w:rFonts w:ascii="Times New Roman" w:cs="Times New Roman" w:hAnsi="Times New Roman"/>
          <w:sz w:val="24"/>
          <w:szCs w:val="24"/>
        </w:rPr>
        <w:t>lyptus and Lemongrass and their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antitermitic activities against Microtermes mycopha</w:t>
      </w:r>
      <w:r>
        <w:rPr>
          <w:rFonts w:ascii="Times New Roman" w:cs="Times New Roman" w:hAnsi="Times New Roman"/>
          <w:sz w:val="24"/>
          <w:szCs w:val="24"/>
        </w:rPr>
        <w:t>gus (Desneux). Asian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Chemistry, 25(5), 2405.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Misra, A., Srivastava, A. K., &amp; Sharma, S. (2003). Influe</w:t>
      </w:r>
      <w:r>
        <w:rPr>
          <w:rFonts w:ascii="Times New Roman" w:cs="Times New Roman" w:hAnsi="Times New Roman"/>
          <w:sz w:val="24"/>
          <w:szCs w:val="24"/>
        </w:rPr>
        <w:t>nce of environmental factors 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essential oil composition in lemongrass (Cymbopogon flexuosus). Biochemical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Mukarram M, Khan MMA, Zehra A, Petrik P, Kurjak</w:t>
      </w:r>
      <w:r>
        <w:rPr>
          <w:rFonts w:ascii="Times New Roman" w:cs="Times New Roman" w:hAnsi="Times New Roman"/>
          <w:sz w:val="24"/>
          <w:szCs w:val="24"/>
        </w:rPr>
        <w:t xml:space="preserve"> D. Suffer or Survive: Decoding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Salt-Sensitivity of Lemongrass and Its Implication on Es</w:t>
      </w:r>
      <w:r>
        <w:rPr>
          <w:rFonts w:ascii="Times New Roman" w:cs="Times New Roman" w:hAnsi="Times New Roman"/>
          <w:sz w:val="24"/>
          <w:szCs w:val="24"/>
        </w:rPr>
        <w:t>sential Oil Productivity. Front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Plant Sci. 2022 Jun 9;13:903954. doi: 10.3389/fp</w:t>
      </w:r>
      <w:r>
        <w:rPr>
          <w:rFonts w:ascii="Times New Roman" w:cs="Times New Roman" w:hAnsi="Times New Roman"/>
          <w:sz w:val="24"/>
          <w:szCs w:val="24"/>
        </w:rPr>
        <w:t>ls.2022.903954. PMID: 35783975;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PMCID: PMC9245047.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Nambiar, V. S., &amp; Matela, H. (2012). Potential functions of lemon grass (C</w:t>
      </w:r>
      <w:r>
        <w:rPr>
          <w:rFonts w:ascii="Times New Roman" w:cs="Times New Roman" w:hAnsi="Times New Roman"/>
          <w:sz w:val="24"/>
          <w:szCs w:val="24"/>
        </w:rPr>
        <w:t>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in health and disease. International Jou</w:t>
      </w:r>
      <w:r>
        <w:rPr>
          <w:rFonts w:ascii="Times New Roman" w:cs="Times New Roman" w:hAnsi="Times New Roman"/>
          <w:sz w:val="24"/>
          <w:szCs w:val="24"/>
        </w:rPr>
        <w:t>rnal of Pharmacy and Biological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Archives, 3(4), 1035-1043.</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Negrelle, R. R. B., &amp; Gomes, E. C. (2007). Cymbopogo</w:t>
      </w:r>
      <w:r>
        <w:rPr>
          <w:rFonts w:ascii="Times New Roman" w:cs="Times New Roman" w:hAnsi="Times New Roman"/>
          <w:sz w:val="24"/>
          <w:szCs w:val="24"/>
        </w:rPr>
        <w:t>n citratus (DC) Stapf: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and biological activities. Revista Brasilei</w:t>
      </w:r>
      <w:r>
        <w:rPr>
          <w:rFonts w:ascii="Times New Roman" w:cs="Times New Roman" w:hAnsi="Times New Roman"/>
          <w:sz w:val="24"/>
          <w:szCs w:val="24"/>
        </w:rPr>
        <w:t>ra de Plantas Medicinais, 9, 80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92.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Oladeji, O. S., Adelowo, F. E., Ayodele</w:t>
      </w:r>
      <w:r>
        <w:rPr>
          <w:rFonts w:ascii="Times New Roman" w:cs="Times New Roman" w:hAnsi="Times New Roman"/>
          <w:sz w:val="24"/>
          <w:szCs w:val="24"/>
        </w:rPr>
        <w:t>, D. T., &amp; Odelade, K. A. (2019). Phytochemistry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pharmacological activities of Cymbopogon citratus</w:t>
      </w:r>
      <w:r>
        <w:rPr>
          <w:rFonts w:ascii="Times New Roman" w:cs="Times New Roman" w:hAnsi="Times New Roman"/>
          <w:sz w:val="24"/>
          <w:szCs w:val="24"/>
        </w:rPr>
        <w:t>: A review. Scientific African,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6, e00137. https://doi.org/10.1016/j.sciaf.2019.e00137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Perry, N. B., Anderson, R. E., Brennan, N. J.,</w:t>
      </w:r>
      <w:r>
        <w:rPr>
          <w:rFonts w:ascii="Times New Roman" w:cs="Times New Roman" w:hAnsi="Times New Roman"/>
          <w:sz w:val="24"/>
          <w:szCs w:val="24"/>
        </w:rPr>
        <w:t xml:space="preserve"> Douglas, M. H., Heaney, A. J.,</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McGimpsey, J. A., et al. (1999). Essential oils from Dal</w:t>
      </w:r>
      <w:r>
        <w:rPr>
          <w:rFonts w:ascii="Times New Roman" w:cs="Times New Roman" w:hAnsi="Times New Roman"/>
          <w:sz w:val="24"/>
          <w:szCs w:val="24"/>
        </w:rPr>
        <w:t>matian sage (Salvia officinalis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 Variations among individuals, plant parts,</w:t>
      </w:r>
      <w:r>
        <w:rPr>
          <w:rFonts w:ascii="Times New Roman" w:cs="Times New Roman" w:hAnsi="Times New Roman"/>
          <w:sz w:val="24"/>
          <w:szCs w:val="24"/>
        </w:rPr>
        <w:t xml:space="preserve"> seasons, and sites.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Agricultural and Food Chemistry, 47(5), 2048-2054.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Puatanachokchai, R., Kishida, H., Denda, A., Murata, N.</w:t>
      </w:r>
      <w:r>
        <w:rPr>
          <w:rFonts w:ascii="Times New Roman" w:cs="Times New Roman" w:hAnsi="Times New Roman"/>
          <w:sz w:val="24"/>
          <w:szCs w:val="24"/>
        </w:rPr>
        <w:t>, Konishi, Y., Vinitketkumnuen,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U., &amp; Nakae, D. (2002). Inhibitory effects of le</w:t>
      </w:r>
      <w:r>
        <w:rPr>
          <w:rFonts w:ascii="Times New Roman" w:cs="Times New Roman" w:hAnsi="Times New Roman"/>
          <w:sz w:val="24"/>
          <w:szCs w:val="24"/>
        </w:rPr>
        <w:t>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extract on the early phase of hepatocarci</w:t>
      </w:r>
      <w:r>
        <w:rPr>
          <w:rFonts w:ascii="Times New Roman" w:cs="Times New Roman" w:hAnsi="Times New Roman"/>
          <w:sz w:val="24"/>
          <w:szCs w:val="24"/>
        </w:rPr>
        <w:t>nogenesis after initiation with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diethylnitrosamine in male Fischer 344 rats. Cancer Letters, 183(1), 9-15.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Ribeiro, R. V., Bieski, I. G. C., Balogun, S. </w:t>
      </w:r>
      <w:r>
        <w:rPr>
          <w:rFonts w:ascii="Times New Roman" w:cs="Times New Roman" w:hAnsi="Times New Roman"/>
          <w:sz w:val="24"/>
          <w:szCs w:val="24"/>
        </w:rPr>
        <w:t>O., &amp; Martins, D. T. O. (2017).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Ethnobotanical study of medicinal plants used by Ri</w:t>
      </w:r>
      <w:r>
        <w:rPr>
          <w:rFonts w:ascii="Times New Roman" w:cs="Times New Roman" w:hAnsi="Times New Roman"/>
          <w:sz w:val="24"/>
          <w:szCs w:val="24"/>
        </w:rPr>
        <w:t>beirinhos in the North Araguaia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microregion, Mato Grosso, Brazil. Journal of Ethnopharmnacology, 205, 69-102.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Robby. (2024). Demystifying lemongrass watering: Your complet</w:t>
      </w:r>
      <w:r>
        <w:rPr>
          <w:rFonts w:ascii="Times New Roman" w:cs="Times New Roman" w:hAnsi="Times New Roman"/>
          <w:sz w:val="24"/>
          <w:szCs w:val="24"/>
        </w:rPr>
        <w:t>e guide to hydrating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this thirsty herb. Stone Post Gardens.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Shah, G., Shri, R., Panchal, V., Sharma, N., Singh, B., &amp;</w:t>
      </w:r>
      <w:r>
        <w:rPr>
          <w:rFonts w:ascii="Times New Roman" w:cs="Times New Roman" w:hAnsi="Times New Roman"/>
          <w:sz w:val="24"/>
          <w:szCs w:val="24"/>
        </w:rPr>
        <w:t xml:space="preserve"> Mann, A. S. (2011). Scientific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basis for the therapeutic use of Cymbopogon citratus, </w:t>
      </w:r>
      <w:r>
        <w:rPr>
          <w:rFonts w:ascii="Times New Roman" w:cs="Times New Roman" w:hAnsi="Times New Roman"/>
          <w:sz w:val="24"/>
          <w:szCs w:val="24"/>
        </w:rPr>
        <w:t>stapf (Lemon grass).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Advanced Pharmaceutical Technology &amp; Researc</w:t>
      </w:r>
      <w:r>
        <w:rPr>
          <w:rFonts w:ascii="Times New Roman" w:cs="Times New Roman" w:hAnsi="Times New Roman"/>
          <w:sz w:val="24"/>
          <w:szCs w:val="24"/>
        </w:rPr>
        <w:t>h, 2(1), 3-8. doi: 10.4103/2231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4040.79796.</w:t>
      </w:r>
    </w:p>
    <w:p>
      <w:pPr>
        <w:pStyle w:val="style0"/>
        <w:spacing w:after="0" w:lineRule="auto" w:line="240"/>
        <w:jc w:val="both"/>
        <w:rPr>
          <w:sz w:val="24"/>
          <w:szCs w:val="24"/>
        </w:rPr>
      </w:pPr>
      <w:r>
        <w:rPr>
          <w:sz w:val="24"/>
          <w:szCs w:val="24"/>
        </w:rPr>
        <w:t>Shendurse, A. M., Sangwan, R. B., Kumar, A., Ramesh, V., Patel, A.</w:t>
      </w:r>
      <w:r>
        <w:rPr>
          <w:sz w:val="24"/>
          <w:szCs w:val="24"/>
        </w:rPr>
        <w:t xml:space="preserve"> C., Gopikrishna, G., &amp;</w:t>
      </w:r>
    </w:p>
    <w:p>
      <w:pPr>
        <w:pStyle w:val="style0"/>
        <w:spacing w:after="0" w:lineRule="auto" w:line="240"/>
        <w:jc w:val="both"/>
        <w:rPr>
          <w:sz w:val="24"/>
          <w:szCs w:val="24"/>
        </w:rPr>
      </w:pPr>
      <w:r>
        <w:rPr>
          <w:sz w:val="24"/>
          <w:szCs w:val="24"/>
        </w:rPr>
        <w:t xml:space="preserve">    </w:t>
      </w:r>
      <w:r>
        <w:rPr>
          <w:sz w:val="24"/>
          <w:szCs w:val="24"/>
        </w:rPr>
        <w:t xml:space="preserve">Roy, S. </w:t>
      </w:r>
      <w:r>
        <w:rPr>
          <w:sz w:val="24"/>
          <w:szCs w:val="24"/>
        </w:rPr>
        <w:t>K. (2021). Phytochemical screening and antibacterial act</w:t>
      </w:r>
      <w:r>
        <w:rPr>
          <w:sz w:val="24"/>
          <w:szCs w:val="24"/>
        </w:rPr>
        <w:t>ivity of lemongrass</w:t>
      </w:r>
    </w:p>
    <w:p>
      <w:pPr>
        <w:pStyle w:val="style0"/>
        <w:spacing w:after="0" w:lineRule="auto" w:line="240"/>
        <w:jc w:val="both"/>
        <w:rPr>
          <w:sz w:val="24"/>
          <w:szCs w:val="24"/>
        </w:rPr>
      </w:pPr>
      <w:r>
        <w:rPr>
          <w:sz w:val="24"/>
          <w:szCs w:val="24"/>
        </w:rPr>
        <w:t xml:space="preserve">    </w:t>
      </w:r>
      <w:r>
        <w:rPr>
          <w:sz w:val="24"/>
          <w:szCs w:val="24"/>
        </w:rPr>
        <w:t xml:space="preserve">(Cymbopogon  </w:t>
      </w:r>
      <w:r>
        <w:rPr>
          <w:sz w:val="24"/>
          <w:szCs w:val="24"/>
        </w:rPr>
        <w:t>citratus) leaves essential oi</w:t>
      </w:r>
      <w:r>
        <w:rPr>
          <w:sz w:val="24"/>
          <w:szCs w:val="24"/>
        </w:rPr>
        <w:t>l. Journal of Pharmacognosy and</w:t>
      </w:r>
    </w:p>
    <w:p>
      <w:pPr>
        <w:pStyle w:val="style0"/>
        <w:spacing w:after="0" w:lineRule="auto" w:line="240"/>
        <w:jc w:val="both"/>
        <w:rPr>
          <w:sz w:val="24"/>
          <w:szCs w:val="24"/>
        </w:rPr>
      </w:pPr>
      <w:r>
        <w:rPr>
          <w:sz w:val="24"/>
          <w:szCs w:val="24"/>
        </w:rPr>
        <w:t xml:space="preserve">     </w:t>
      </w:r>
      <w:r>
        <w:rPr>
          <w:sz w:val="24"/>
          <w:szCs w:val="24"/>
        </w:rPr>
        <w:t xml:space="preserve">Phytochemistry, 10(2), 445–449.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Sinha, S., Jothiramajayam, M., Ghosh, M., &amp; Mukherjee, A. (2</w:t>
      </w:r>
      <w:r>
        <w:rPr>
          <w:sz w:val="24"/>
          <w:szCs w:val="24"/>
        </w:rPr>
        <w:t>014). Evaluation of toxicity</w:t>
      </w:r>
    </w:p>
    <w:p>
      <w:pPr>
        <w:pStyle w:val="style0"/>
        <w:spacing w:after="0" w:lineRule="auto" w:line="240"/>
        <w:jc w:val="both"/>
        <w:rPr>
          <w:sz w:val="24"/>
          <w:szCs w:val="24"/>
        </w:rPr>
      </w:pPr>
      <w:r>
        <w:rPr>
          <w:sz w:val="24"/>
          <w:szCs w:val="24"/>
        </w:rPr>
        <w:t xml:space="preserve">    </w:t>
      </w:r>
      <w:r>
        <w:rPr>
          <w:sz w:val="24"/>
          <w:szCs w:val="24"/>
        </w:rPr>
        <w:t>of</w:t>
      </w:r>
      <w:r>
        <w:rPr>
          <w:sz w:val="24"/>
          <w:szCs w:val="24"/>
        </w:rPr>
        <w:t xml:space="preserve"> </w:t>
      </w:r>
      <w:r>
        <w:rPr>
          <w:sz w:val="24"/>
          <w:szCs w:val="24"/>
        </w:rPr>
        <w:t>essential oils palmarosa, citronella, lemongrass and vetiver in human lym</w:t>
      </w:r>
      <w:r>
        <w:rPr>
          <w:sz w:val="24"/>
          <w:szCs w:val="24"/>
        </w:rPr>
        <w:t>phocytes.</w:t>
      </w:r>
    </w:p>
    <w:p>
      <w:pPr>
        <w:pStyle w:val="style0"/>
        <w:spacing w:after="0" w:lineRule="auto" w:line="240"/>
        <w:jc w:val="both"/>
        <w:rPr>
          <w:sz w:val="24"/>
          <w:szCs w:val="24"/>
        </w:rPr>
      </w:pPr>
      <w:r>
        <w:rPr>
          <w:sz w:val="24"/>
          <w:szCs w:val="24"/>
        </w:rPr>
        <w:t xml:space="preserve">     </w:t>
      </w:r>
      <w:r>
        <w:rPr>
          <w:sz w:val="24"/>
          <w:szCs w:val="24"/>
        </w:rPr>
        <w:t>Food an</w:t>
      </w:r>
      <w:r>
        <w:rPr>
          <w:sz w:val="24"/>
          <w:szCs w:val="24"/>
        </w:rPr>
        <w:t xml:space="preserve">d </w:t>
      </w:r>
      <w:r>
        <w:rPr>
          <w:sz w:val="24"/>
          <w:szCs w:val="24"/>
        </w:rPr>
        <w:t xml:space="preserve">Chemical Toxicology, 68, 71-77.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Smith, R. L., Cohen, S. M., &amp; Doull, J. (2005). GRAS flavouring </w:t>
      </w:r>
      <w:r>
        <w:rPr>
          <w:sz w:val="24"/>
          <w:szCs w:val="24"/>
        </w:rPr>
        <w:t>substances 22. Food</w:t>
      </w:r>
    </w:p>
    <w:p>
      <w:pPr>
        <w:pStyle w:val="style0"/>
        <w:spacing w:after="0" w:lineRule="auto" w:line="240"/>
        <w:jc w:val="both"/>
        <w:rPr>
          <w:sz w:val="24"/>
          <w:szCs w:val="24"/>
        </w:rPr>
      </w:pPr>
      <w:r>
        <w:rPr>
          <w:sz w:val="24"/>
          <w:szCs w:val="24"/>
        </w:rPr>
        <w:t xml:space="preserve">   </w:t>
      </w:r>
      <w:r>
        <w:rPr>
          <w:sz w:val="24"/>
          <w:szCs w:val="24"/>
        </w:rPr>
        <w:t>Technology</w:t>
      </w:r>
      <w:r>
        <w:rPr>
          <w:sz w:val="24"/>
          <w:szCs w:val="24"/>
        </w:rPr>
        <w:t xml:space="preserve">, </w:t>
      </w:r>
      <w:r>
        <w:rPr>
          <w:sz w:val="24"/>
          <w:szCs w:val="24"/>
        </w:rPr>
        <w:t>59(8), 24-62.</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Solomon, O., Enitan, F., Temitope, D., &amp; Abraham</w:t>
      </w:r>
      <w:r>
        <w:rPr>
          <w:sz w:val="24"/>
          <w:szCs w:val="24"/>
        </w:rPr>
        <w:t>, K. (2019). Phytochemistry and</w:t>
      </w:r>
    </w:p>
    <w:p>
      <w:pPr>
        <w:pStyle w:val="style0"/>
        <w:spacing w:after="0" w:lineRule="auto" w:line="240"/>
        <w:jc w:val="both"/>
        <w:rPr>
          <w:sz w:val="24"/>
          <w:szCs w:val="24"/>
        </w:rPr>
      </w:pPr>
      <w:r>
        <w:rPr>
          <w:sz w:val="24"/>
          <w:szCs w:val="24"/>
        </w:rPr>
        <w:t xml:space="preserve">    </w:t>
      </w:r>
      <w:r>
        <w:rPr>
          <w:sz w:val="24"/>
          <w:szCs w:val="24"/>
        </w:rPr>
        <w:t>pharmacological activities of Cymbopogon citratus: A</w:t>
      </w:r>
      <w:r>
        <w:rPr>
          <w:sz w:val="24"/>
          <w:szCs w:val="24"/>
        </w:rPr>
        <w:t xml:space="preserve"> review. Scientific African,</w:t>
      </w:r>
    </w:p>
    <w:p>
      <w:pPr>
        <w:pStyle w:val="style0"/>
        <w:spacing w:after="0" w:lineRule="auto" w:line="240"/>
        <w:jc w:val="both"/>
        <w:rPr>
          <w:sz w:val="24"/>
          <w:szCs w:val="24"/>
        </w:rPr>
      </w:pPr>
      <w:r>
        <w:rPr>
          <w:sz w:val="24"/>
          <w:szCs w:val="24"/>
        </w:rPr>
        <w:t xml:space="preserve">    6</w:t>
      </w:r>
      <w:r>
        <w:rPr>
          <w:sz w:val="24"/>
          <w:szCs w:val="24"/>
        </w:rPr>
        <w:t xml:space="preserve">e00137.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Sousa, S. M., Silva, P. S., &amp; Viccini, L. F. (2010). Cytogeno</w:t>
      </w:r>
      <w:r>
        <w:rPr>
          <w:sz w:val="24"/>
          <w:szCs w:val="24"/>
        </w:rPr>
        <w:t>toxicity of Cymbopogon citrates</w:t>
      </w:r>
    </w:p>
    <w:p>
      <w:pPr>
        <w:pStyle w:val="style0"/>
        <w:spacing w:after="0" w:lineRule="auto" w:line="240"/>
        <w:jc w:val="both"/>
        <w:rPr>
          <w:sz w:val="24"/>
          <w:szCs w:val="24"/>
        </w:rPr>
      </w:pPr>
      <w:r>
        <w:rPr>
          <w:sz w:val="24"/>
          <w:szCs w:val="24"/>
        </w:rPr>
        <w:t xml:space="preserve">  </w:t>
      </w:r>
      <w:r>
        <w:rPr>
          <w:sz w:val="24"/>
          <w:szCs w:val="24"/>
        </w:rPr>
        <w:t xml:space="preserve">(DC) </w:t>
      </w:r>
      <w:r>
        <w:rPr>
          <w:sz w:val="24"/>
          <w:szCs w:val="24"/>
        </w:rPr>
        <w:t xml:space="preserve"> </w:t>
      </w:r>
      <w:r>
        <w:rPr>
          <w:sz w:val="24"/>
          <w:szCs w:val="24"/>
        </w:rPr>
        <w:t>Stapf (lemon grass) aqueous extracts in vegetal test systems. Anais da Academia</w:t>
      </w:r>
    </w:p>
    <w:p>
      <w:pPr>
        <w:pStyle w:val="style0"/>
        <w:spacing w:after="0" w:lineRule="auto" w:line="240"/>
        <w:jc w:val="both"/>
        <w:rPr>
          <w:sz w:val="24"/>
          <w:szCs w:val="24"/>
        </w:rPr>
      </w:pPr>
      <w:r>
        <w:rPr>
          <w:sz w:val="24"/>
          <w:szCs w:val="24"/>
        </w:rPr>
        <w:t xml:space="preserve">   </w:t>
      </w:r>
      <w:r>
        <w:rPr>
          <w:sz w:val="24"/>
          <w:szCs w:val="24"/>
        </w:rPr>
        <w:t>Brasileira de</w:t>
      </w:r>
      <w:r>
        <w:rPr>
          <w:sz w:val="24"/>
          <w:szCs w:val="24"/>
        </w:rPr>
        <w:t xml:space="preserve"> </w:t>
      </w:r>
      <w:r>
        <w:rPr>
          <w:sz w:val="24"/>
          <w:szCs w:val="24"/>
        </w:rPr>
        <w:t xml:space="preserve">Ciências, 82(2), 305-311.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Srivastava, N., &amp; Akhila, A. (2010). Biosynthesis of andrographol</w:t>
      </w:r>
      <w:r>
        <w:rPr>
          <w:sz w:val="24"/>
          <w:szCs w:val="24"/>
        </w:rPr>
        <w:t>ide in Andrographis</w:t>
      </w:r>
    </w:p>
    <w:p>
      <w:pPr>
        <w:pStyle w:val="style0"/>
        <w:spacing w:after="0" w:lineRule="auto" w:line="240"/>
        <w:jc w:val="both"/>
        <w:rPr>
          <w:sz w:val="24"/>
          <w:szCs w:val="24"/>
        </w:rPr>
      </w:pPr>
      <w:r>
        <w:rPr>
          <w:sz w:val="24"/>
          <w:szCs w:val="24"/>
        </w:rPr>
        <w:t xml:space="preserve">      </w:t>
      </w:r>
      <w:r>
        <w:rPr>
          <w:sz w:val="24"/>
          <w:szCs w:val="24"/>
        </w:rPr>
        <w:t>paniculata.</w:t>
      </w:r>
      <w:r>
        <w:rPr>
          <w:sz w:val="24"/>
          <w:szCs w:val="24"/>
        </w:rPr>
        <w:t>Phytochemistry, 71(11), 1298-1304.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Swargiary, A. (2017). Recent trends in traditionally used medicinal plants and dru</w:t>
      </w:r>
      <w:r>
        <w:rPr>
          <w:sz w:val="24"/>
          <w:szCs w:val="24"/>
        </w:rPr>
        <w:t>g</w:t>
      </w:r>
    </w:p>
    <w:p>
      <w:pPr>
        <w:pStyle w:val="style0"/>
        <w:spacing w:after="0" w:lineRule="auto" w:line="240"/>
        <w:jc w:val="both"/>
        <w:rPr>
          <w:sz w:val="24"/>
          <w:szCs w:val="24"/>
        </w:rPr>
      </w:pPr>
      <w:r>
        <w:rPr>
          <w:sz w:val="24"/>
          <w:szCs w:val="24"/>
        </w:rPr>
        <w:t xml:space="preserve">     </w:t>
      </w:r>
      <w:r>
        <w:rPr>
          <w:sz w:val="24"/>
          <w:szCs w:val="24"/>
        </w:rPr>
        <w:t xml:space="preserve">discovery. </w:t>
      </w:r>
      <w:r>
        <w:rPr>
          <w:sz w:val="24"/>
          <w:szCs w:val="24"/>
        </w:rPr>
        <w:t>Asian Journal of Pharmac</w:t>
      </w:r>
      <w:r>
        <w:rPr>
          <w:sz w:val="24"/>
          <w:szCs w:val="24"/>
        </w:rPr>
        <w:t>y and Pharmacology, 3, 111–120.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 </w:t>
      </w:r>
      <w:r>
        <w:rPr>
          <w:sz w:val="24"/>
          <w:szCs w:val="24"/>
        </w:rPr>
        <w:t>Syarif, L. I., Junita, A. R., Hatta, M., Dwiyanti, R., Kaelan, C.</w:t>
      </w:r>
      <w:r>
        <w:rPr>
          <w:sz w:val="24"/>
          <w:szCs w:val="24"/>
        </w:rPr>
        <w:t>, Sabir, M., Noviyanthi, R. A.,</w:t>
      </w:r>
    </w:p>
    <w:p>
      <w:pPr>
        <w:pStyle w:val="style0"/>
        <w:spacing w:after="0" w:lineRule="auto" w:line="240"/>
        <w:jc w:val="both"/>
        <w:rPr>
          <w:sz w:val="24"/>
          <w:szCs w:val="24"/>
        </w:rPr>
      </w:pPr>
      <w:r>
        <w:rPr>
          <w:sz w:val="24"/>
          <w:szCs w:val="24"/>
        </w:rPr>
        <w:t xml:space="preserve">       </w:t>
      </w:r>
      <w:r>
        <w:rPr>
          <w:sz w:val="24"/>
          <w:szCs w:val="24"/>
        </w:rPr>
        <w:t>Primaguna, M. R., &amp; Purnamasari, N. I. (2020). A mi</w:t>
      </w:r>
      <w:r>
        <w:rPr>
          <w:sz w:val="24"/>
          <w:szCs w:val="24"/>
        </w:rPr>
        <w:t>ni review: Medicinal plants for</w:t>
      </w:r>
    </w:p>
    <w:p>
      <w:pPr>
        <w:pStyle w:val="style0"/>
        <w:spacing w:after="0" w:lineRule="auto" w:line="240"/>
        <w:jc w:val="both"/>
        <w:rPr>
          <w:sz w:val="24"/>
          <w:szCs w:val="24"/>
        </w:rPr>
      </w:pPr>
      <w:r>
        <w:rPr>
          <w:sz w:val="24"/>
          <w:szCs w:val="24"/>
        </w:rPr>
        <w:t xml:space="preserve">       </w:t>
      </w:r>
      <w:r>
        <w:rPr>
          <w:sz w:val="24"/>
          <w:szCs w:val="24"/>
        </w:rPr>
        <w:t>typhoid</w:t>
      </w:r>
      <w:r>
        <w:rPr>
          <w:sz w:val="24"/>
          <w:szCs w:val="24"/>
        </w:rPr>
        <w:t xml:space="preserve"> </w:t>
      </w:r>
      <w:r>
        <w:rPr>
          <w:sz w:val="24"/>
          <w:szCs w:val="24"/>
        </w:rPr>
        <w:t>fever in Indonesia. Systematic Reviews in Pharmacy, 11, 1171-1180.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Tajidin, N. E., Ahmad, S. H., Rosenani, A. B., Azimah, H.,</w:t>
      </w:r>
      <w:r>
        <w:rPr>
          <w:sz w:val="24"/>
          <w:szCs w:val="24"/>
        </w:rPr>
        <w:t xml:space="preserve"> &amp; Munirah, M. (2012). Chemical</w:t>
      </w:r>
    </w:p>
    <w:p>
      <w:pPr>
        <w:pStyle w:val="style0"/>
        <w:spacing w:after="0" w:lineRule="auto" w:line="240"/>
        <w:jc w:val="both"/>
        <w:rPr>
          <w:sz w:val="24"/>
          <w:szCs w:val="24"/>
        </w:rPr>
      </w:pPr>
      <w:r>
        <w:rPr>
          <w:sz w:val="24"/>
          <w:szCs w:val="24"/>
        </w:rPr>
        <w:t xml:space="preserve">    </w:t>
      </w:r>
      <w:r>
        <w:rPr>
          <w:sz w:val="24"/>
          <w:szCs w:val="24"/>
        </w:rPr>
        <w:t xml:space="preserve"> </w:t>
      </w:r>
      <w:r>
        <w:rPr>
          <w:sz w:val="24"/>
          <w:szCs w:val="24"/>
        </w:rPr>
        <w:t>composition and citral content in lemongrass (Cymbopogon c</w:t>
      </w:r>
      <w:r>
        <w:rPr>
          <w:sz w:val="24"/>
          <w:szCs w:val="24"/>
        </w:rPr>
        <w:t xml:space="preserve">itratus) essential oil at </w:t>
      </w:r>
    </w:p>
    <w:p>
      <w:pPr>
        <w:pStyle w:val="style0"/>
        <w:spacing w:after="0" w:lineRule="auto" w:line="240"/>
        <w:jc w:val="both"/>
        <w:rPr>
          <w:sz w:val="24"/>
          <w:szCs w:val="24"/>
        </w:rPr>
      </w:pPr>
      <w:r>
        <w:rPr>
          <w:sz w:val="24"/>
          <w:szCs w:val="24"/>
        </w:rPr>
        <w:t xml:space="preserve">     </w:t>
      </w:r>
      <w:r>
        <w:rPr>
          <w:sz w:val="24"/>
          <w:szCs w:val="24"/>
        </w:rPr>
        <w:t>thre</w:t>
      </w:r>
      <w:r>
        <w:rPr>
          <w:sz w:val="24"/>
          <w:szCs w:val="24"/>
        </w:rPr>
        <w:t xml:space="preserve">e </w:t>
      </w:r>
      <w:r>
        <w:rPr>
          <w:sz w:val="24"/>
          <w:szCs w:val="24"/>
        </w:rPr>
        <w:t>maturity stages. African Journal of Biotechnology, 11(11), 2685-2693.</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Telangi, M. G. M., Varpe, M. P. V., Jadhav, M. A. P., Wakale, M. M</w:t>
      </w:r>
      <w:r>
        <w:rPr>
          <w:sz w:val="24"/>
          <w:szCs w:val="24"/>
        </w:rPr>
        <w:t>. T., Lokhande, M. R., &amp;</w:t>
      </w:r>
    </w:p>
    <w:p>
      <w:pPr>
        <w:pStyle w:val="style0"/>
        <w:spacing w:after="0" w:lineRule="auto" w:line="240"/>
        <w:jc w:val="both"/>
        <w:rPr>
          <w:sz w:val="24"/>
          <w:szCs w:val="24"/>
        </w:rPr>
      </w:pPr>
      <w:r>
        <w:rPr>
          <w:sz w:val="24"/>
          <w:szCs w:val="24"/>
        </w:rPr>
        <w:t xml:space="preserve">     </w:t>
      </w:r>
      <w:r>
        <w:rPr>
          <w:sz w:val="24"/>
          <w:szCs w:val="24"/>
        </w:rPr>
        <w:t>Tambe,</w:t>
      </w:r>
      <w:r>
        <w:rPr>
          <w:sz w:val="24"/>
          <w:szCs w:val="24"/>
        </w:rPr>
        <w:t xml:space="preserve"> </w:t>
      </w:r>
      <w:r>
        <w:rPr>
          <w:sz w:val="24"/>
          <w:szCs w:val="24"/>
        </w:rPr>
        <w:t>M. S. (2022). Pharmacological and Pharm</w:t>
      </w:r>
      <w:r>
        <w:rPr>
          <w:sz w:val="24"/>
          <w:szCs w:val="24"/>
        </w:rPr>
        <w:t>acognostic review on Cymbopogon</w:t>
      </w:r>
    </w:p>
    <w:p>
      <w:pPr>
        <w:pStyle w:val="style0"/>
        <w:spacing w:after="0" w:lineRule="auto" w:line="240"/>
        <w:jc w:val="both"/>
        <w:rPr>
          <w:sz w:val="24"/>
          <w:szCs w:val="24"/>
        </w:rPr>
      </w:pPr>
      <w:r>
        <w:rPr>
          <w:sz w:val="24"/>
          <w:szCs w:val="24"/>
        </w:rPr>
        <w:t xml:space="preserve">     </w:t>
      </w:r>
      <w:r>
        <w:rPr>
          <w:sz w:val="24"/>
          <w:szCs w:val="24"/>
        </w:rPr>
        <w:t>s</w:t>
      </w:r>
      <w:r>
        <w:rPr>
          <w:sz w:val="24"/>
          <w:szCs w:val="24"/>
        </w:rPr>
        <w:t xml:space="preserve">citrus.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Tibenda, J. J., Yi, Q., Wang, X., &amp; Zhao, Q. (2022). Review of</w:t>
      </w:r>
      <w:r>
        <w:rPr>
          <w:sz w:val="24"/>
          <w:szCs w:val="24"/>
        </w:rPr>
        <w:t xml:space="preserve"> phytomedicine,</w:t>
      </w:r>
    </w:p>
    <w:p>
      <w:pPr>
        <w:pStyle w:val="style0"/>
        <w:spacing w:after="0" w:lineRule="auto" w:line="240"/>
        <w:jc w:val="both"/>
        <w:rPr>
          <w:sz w:val="24"/>
          <w:szCs w:val="24"/>
        </w:rPr>
      </w:pPr>
      <w:r>
        <w:rPr>
          <w:sz w:val="24"/>
          <w:szCs w:val="24"/>
        </w:rPr>
        <w:t xml:space="preserve">    </w:t>
      </w:r>
      <w:r>
        <w:rPr>
          <w:sz w:val="24"/>
          <w:szCs w:val="24"/>
        </w:rPr>
        <w:t>phytochemistry,</w:t>
      </w:r>
      <w:r>
        <w:rPr>
          <w:sz w:val="24"/>
          <w:szCs w:val="24"/>
        </w:rPr>
        <w:t xml:space="preserve"> </w:t>
      </w:r>
      <w:r>
        <w:rPr>
          <w:sz w:val="24"/>
          <w:szCs w:val="24"/>
        </w:rPr>
        <w:t xml:space="preserve">ethnopharmacology, toxicology, and pharmacological </w:t>
      </w:r>
      <w:r>
        <w:rPr>
          <w:sz w:val="24"/>
          <w:szCs w:val="24"/>
        </w:rPr>
        <w:t>activities of</w:t>
      </w:r>
    </w:p>
    <w:p>
      <w:pPr>
        <w:pStyle w:val="style0"/>
        <w:spacing w:after="0" w:lineRule="auto" w:line="240"/>
        <w:jc w:val="both"/>
        <w:rPr>
          <w:sz w:val="24"/>
          <w:szCs w:val="24"/>
        </w:rPr>
      </w:pPr>
      <w:r>
        <w:rPr>
          <w:sz w:val="24"/>
          <w:szCs w:val="24"/>
        </w:rPr>
        <w:t xml:space="preserve">    </w:t>
      </w:r>
      <w:r>
        <w:rPr>
          <w:sz w:val="24"/>
          <w:szCs w:val="24"/>
        </w:rPr>
        <w:t>Cymbopogon genus.</w:t>
      </w:r>
      <w:r>
        <w:rPr>
          <w:sz w:val="24"/>
          <w:szCs w:val="24"/>
        </w:rPr>
        <w:t xml:space="preserve"> </w:t>
      </w:r>
      <w:r>
        <w:rPr>
          <w:sz w:val="24"/>
          <w:szCs w:val="24"/>
        </w:rPr>
        <w:t>Frontiers in Pharmacology, 13, 997918.</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Tiwari, P., Kaur, M., &amp; Kaur, H. (2011). Phytochemical screening and Extraction: A Review.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Tovar, L. P., Pinto, G. M. F., Wolf-Maciel, M. R., Batistella, C. B., &amp;</w:t>
      </w:r>
      <w:r>
        <w:rPr>
          <w:sz w:val="24"/>
          <w:szCs w:val="24"/>
        </w:rPr>
        <w:t xml:space="preserve"> Maciel-Filho, R. (2011).</w:t>
      </w:r>
    </w:p>
    <w:p>
      <w:pPr>
        <w:pStyle w:val="style0"/>
        <w:spacing w:after="0" w:lineRule="auto" w:line="240"/>
        <w:jc w:val="both"/>
        <w:rPr>
          <w:sz w:val="24"/>
          <w:szCs w:val="24"/>
        </w:rPr>
      </w:pPr>
      <w:r>
        <w:rPr>
          <w:sz w:val="24"/>
          <w:szCs w:val="24"/>
        </w:rPr>
        <w:t xml:space="preserve">   </w:t>
      </w:r>
      <w:r>
        <w:rPr>
          <w:sz w:val="24"/>
          <w:szCs w:val="24"/>
        </w:rPr>
        <w:t>Sho</w:t>
      </w:r>
      <w:r>
        <w:rPr>
          <w:sz w:val="24"/>
          <w:szCs w:val="24"/>
        </w:rPr>
        <w:t>rt</w:t>
      </w:r>
      <w:r>
        <w:rPr>
          <w:sz w:val="24"/>
          <w:szCs w:val="24"/>
        </w:rPr>
        <w:t xml:space="preserve"> </w:t>
      </w:r>
      <w:r>
        <w:rPr>
          <w:sz w:val="24"/>
          <w:szCs w:val="24"/>
        </w:rPr>
        <w:t>path-distillation process of lemongrass essential oil: Physi</w:t>
      </w:r>
      <w:r>
        <w:rPr>
          <w:sz w:val="24"/>
          <w:szCs w:val="24"/>
        </w:rPr>
        <w:t>cochemical</w:t>
      </w:r>
    </w:p>
    <w:p>
      <w:pPr>
        <w:pStyle w:val="style0"/>
        <w:spacing w:after="0" w:lineRule="auto" w:line="240"/>
        <w:jc w:val="both"/>
        <w:rPr>
          <w:sz w:val="24"/>
          <w:szCs w:val="24"/>
        </w:rPr>
      </w:pPr>
      <w:r>
        <w:rPr>
          <w:sz w:val="24"/>
          <w:szCs w:val="24"/>
        </w:rPr>
        <w:t xml:space="preserve">   </w:t>
      </w:r>
      <w:r>
        <w:rPr>
          <w:sz w:val="24"/>
          <w:szCs w:val="24"/>
        </w:rPr>
        <w:t>characterization an</w:t>
      </w:r>
      <w:r>
        <w:rPr>
          <w:sz w:val="24"/>
          <w:szCs w:val="24"/>
        </w:rPr>
        <w:t>d</w:t>
      </w:r>
      <w:r>
        <w:rPr>
          <w:sz w:val="24"/>
          <w:szCs w:val="24"/>
        </w:rPr>
        <w:t xml:space="preserve"> </w:t>
      </w:r>
      <w:r>
        <w:rPr>
          <w:sz w:val="24"/>
          <w:szCs w:val="24"/>
        </w:rPr>
        <w:t>assessment quality of the distillate and the residue pro</w:t>
      </w:r>
      <w:r>
        <w:rPr>
          <w:sz w:val="24"/>
          <w:szCs w:val="24"/>
        </w:rPr>
        <w:t>ducts.</w:t>
      </w:r>
    </w:p>
    <w:p>
      <w:pPr>
        <w:pStyle w:val="style0"/>
        <w:spacing w:after="0" w:lineRule="auto" w:line="240"/>
        <w:jc w:val="both"/>
        <w:rPr>
          <w:sz w:val="24"/>
          <w:szCs w:val="24"/>
        </w:rPr>
      </w:pPr>
      <w:r>
        <w:rPr>
          <w:sz w:val="24"/>
          <w:szCs w:val="24"/>
        </w:rPr>
        <w:t xml:space="preserve">   </w:t>
      </w:r>
      <w:r>
        <w:rPr>
          <w:sz w:val="24"/>
          <w:szCs w:val="24"/>
        </w:rPr>
        <w:t>Industrial &amp; Engineering</w:t>
      </w:r>
      <w:r>
        <w:rPr>
          <w:sz w:val="24"/>
          <w:szCs w:val="24"/>
        </w:rPr>
        <w:t xml:space="preserve"> </w:t>
      </w:r>
      <w:r>
        <w:rPr>
          <w:sz w:val="24"/>
          <w:szCs w:val="24"/>
        </w:rPr>
        <w:t>Chemistry Research, 50(13), 8185-8194.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USDA Plants Database. (n.d.</w:t>
      </w:r>
      <w:r>
        <w:rPr>
          <w:sz w:val="24"/>
          <w:szCs w:val="24"/>
        </w:rPr>
        <w:t>). Retrieved May 28, 2025, from</w:t>
      </w:r>
    </w:p>
    <w:p>
      <w:pPr>
        <w:pStyle w:val="style0"/>
        <w:spacing w:after="0" w:lineRule="auto" w:line="240"/>
        <w:jc w:val="both"/>
        <w:rPr>
          <w:sz w:val="24"/>
          <w:szCs w:val="24"/>
        </w:rPr>
      </w:pPr>
      <w:r>
        <w:rPr>
          <w:sz w:val="24"/>
          <w:szCs w:val="24"/>
        </w:rPr>
        <w:t xml:space="preserve">   </w:t>
      </w:r>
      <w:r>
        <w:rPr>
          <w:sz w:val="24"/>
          <w:szCs w:val="24"/>
        </w:rPr>
        <w:t>https://plants.sc.egov.usda.gov/home/plantProfile?symbol=CYCI</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Vaou, N., Stavropoulou, E., Voidarou, C., Tsigalou, C., &amp; B</w:t>
      </w:r>
      <w:r>
        <w:rPr>
          <w:sz w:val="24"/>
          <w:szCs w:val="24"/>
        </w:rPr>
        <w:t>ezirtzoglou, E. (2021). Towards</w:t>
      </w:r>
    </w:p>
    <w:p>
      <w:pPr>
        <w:pStyle w:val="style0"/>
        <w:spacing w:after="0" w:lineRule="auto" w:line="240"/>
        <w:jc w:val="both"/>
        <w:rPr>
          <w:sz w:val="24"/>
          <w:szCs w:val="24"/>
        </w:rPr>
      </w:pPr>
      <w:r>
        <w:rPr>
          <w:sz w:val="24"/>
          <w:szCs w:val="24"/>
        </w:rPr>
        <w:t xml:space="preserve">   </w:t>
      </w:r>
      <w:r>
        <w:rPr>
          <w:sz w:val="24"/>
          <w:szCs w:val="24"/>
        </w:rPr>
        <w:t>advances in medicinal plant antimicrobial activity: A review</w:t>
      </w:r>
      <w:r>
        <w:rPr>
          <w:sz w:val="24"/>
          <w:szCs w:val="24"/>
        </w:rPr>
        <w:t xml:space="preserve"> study on </w:t>
      </w:r>
      <w:r>
        <w:rPr>
          <w:sz w:val="24"/>
          <w:szCs w:val="24"/>
        </w:rPr>
        <w:t>challenges and</w:t>
      </w:r>
    </w:p>
    <w:p>
      <w:pPr>
        <w:pStyle w:val="style0"/>
        <w:spacing w:after="0" w:lineRule="auto" w:line="240"/>
        <w:jc w:val="both"/>
        <w:rPr>
          <w:sz w:val="24"/>
          <w:szCs w:val="24"/>
        </w:rPr>
      </w:pPr>
      <w:r>
        <w:rPr>
          <w:sz w:val="24"/>
          <w:szCs w:val="24"/>
        </w:rPr>
        <w:t xml:space="preserve">   </w:t>
      </w:r>
      <w:r>
        <w:rPr>
          <w:sz w:val="24"/>
          <w:szCs w:val="24"/>
        </w:rPr>
        <w:t>futur</w:t>
      </w:r>
      <w:r>
        <w:rPr>
          <w:sz w:val="24"/>
          <w:szCs w:val="24"/>
        </w:rPr>
        <w:t>e</w:t>
      </w:r>
      <w:r>
        <w:rPr>
          <w:sz w:val="24"/>
          <w:szCs w:val="24"/>
        </w:rPr>
        <w:t xml:space="preserve"> </w:t>
      </w:r>
      <w:r>
        <w:rPr>
          <w:sz w:val="24"/>
          <w:szCs w:val="24"/>
        </w:rPr>
        <w:t>perspective</w:t>
      </w:r>
      <w:r>
        <w:rPr>
          <w:sz w:val="24"/>
          <w:szCs w:val="24"/>
        </w:rPr>
        <w:t>s. Microorganisms, 9(10), 2041.</w:t>
      </w:r>
    </w:p>
    <w:p>
      <w:pPr>
        <w:pStyle w:val="style0"/>
        <w:spacing w:after="0" w:lineRule="auto" w:line="240"/>
        <w:jc w:val="both"/>
        <w:rPr>
          <w:sz w:val="24"/>
          <w:szCs w:val="24"/>
        </w:rPr>
      </w:pPr>
      <w:r>
        <w:rPr>
          <w:sz w:val="24"/>
          <w:szCs w:val="24"/>
        </w:rPr>
        <w:t xml:space="preserve">    </w:t>
      </w:r>
      <w:r>
        <w:rPr>
          <w:sz w:val="24"/>
          <w:szCs w:val="24"/>
        </w:rPr>
        <w:t>https://doi.org/10.3390/microorganisms9102041</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Vyshali, P., Suchetha, M., &amp; Saraswathi, K. (2016)</w:t>
      </w:r>
      <w:r>
        <w:rPr>
          <w:sz w:val="24"/>
          <w:szCs w:val="24"/>
        </w:rPr>
        <w:t>. Evaluation of antioxidant and</w:t>
      </w:r>
    </w:p>
    <w:p>
      <w:pPr>
        <w:pStyle w:val="style0"/>
        <w:spacing w:after="0" w:lineRule="auto" w:line="240"/>
        <w:jc w:val="both"/>
        <w:rPr>
          <w:sz w:val="24"/>
          <w:szCs w:val="24"/>
        </w:rPr>
      </w:pPr>
      <w:r>
        <w:rPr>
          <w:sz w:val="24"/>
          <w:szCs w:val="24"/>
        </w:rPr>
        <w:t xml:space="preserve">   </w:t>
      </w:r>
      <w:r>
        <w:rPr>
          <w:sz w:val="24"/>
          <w:szCs w:val="24"/>
        </w:rPr>
        <w:t xml:space="preserve">antimicrobial properties in Cymbopogon citratus (DC.) </w:t>
      </w:r>
      <w:r>
        <w:rPr>
          <w:sz w:val="24"/>
          <w:szCs w:val="24"/>
        </w:rPr>
        <w:t>Stapf. International Journal of</w:t>
      </w:r>
    </w:p>
    <w:p>
      <w:pPr>
        <w:pStyle w:val="style0"/>
        <w:spacing w:after="0" w:lineRule="auto" w:line="240"/>
        <w:jc w:val="both"/>
        <w:rPr>
          <w:sz w:val="24"/>
          <w:szCs w:val="24"/>
        </w:rPr>
      </w:pPr>
      <w:r>
        <w:rPr>
          <w:sz w:val="24"/>
          <w:szCs w:val="24"/>
        </w:rPr>
        <w:t xml:space="preserve">   </w:t>
      </w:r>
      <w:r>
        <w:rPr>
          <w:sz w:val="24"/>
          <w:szCs w:val="24"/>
        </w:rPr>
        <w:t xml:space="preserve">Botany Studies. </w:t>
      </w:r>
      <w:r>
        <w:rPr>
          <w:sz w:val="24"/>
          <w:szCs w:val="24"/>
        </w:rPr>
        <w:cr/>
      </w:r>
    </w:p>
    <w:p>
      <w:pPr>
        <w:pStyle w:val="style0"/>
        <w:spacing w:after="0" w:lineRule="auto" w:line="240"/>
        <w:jc w:val="both"/>
        <w:rPr>
          <w:sz w:val="24"/>
          <w:szCs w:val="24"/>
        </w:rPr>
      </w:pPr>
      <w:r>
        <w:rPr>
          <w:sz w:val="24"/>
          <w:szCs w:val="24"/>
        </w:rPr>
        <w:t>Wifek, M.,  Nisar, Saeed, A., Rehman, R., &amp; Nisar, S. (2016). Lemongrass: A review on it</w:t>
      </w:r>
      <w:r>
        <w:rPr>
          <w:sz w:val="24"/>
          <w:szCs w:val="24"/>
        </w:rPr>
        <w:t>s</w:t>
      </w:r>
    </w:p>
    <w:p>
      <w:pPr>
        <w:pStyle w:val="style0"/>
        <w:spacing w:after="0" w:lineRule="auto" w:line="240"/>
        <w:jc w:val="both"/>
        <w:rPr>
          <w:sz w:val="24"/>
          <w:szCs w:val="24"/>
        </w:rPr>
      </w:pPr>
      <w:r>
        <w:rPr>
          <w:sz w:val="24"/>
          <w:szCs w:val="24"/>
        </w:rPr>
        <w:t xml:space="preserve">   </w:t>
      </w:r>
      <w:r>
        <w:rPr>
          <w:sz w:val="24"/>
          <w:szCs w:val="24"/>
        </w:rPr>
        <w:t xml:space="preserve">botany, </w:t>
      </w:r>
      <w:r>
        <w:rPr>
          <w:sz w:val="24"/>
          <w:szCs w:val="24"/>
        </w:rPr>
        <w:t>properties, applications and active components. Intern</w:t>
      </w:r>
      <w:r>
        <w:rPr>
          <w:sz w:val="24"/>
          <w:szCs w:val="24"/>
        </w:rPr>
        <w:t>ational Journal of</w:t>
      </w:r>
    </w:p>
    <w:p>
      <w:pPr>
        <w:pStyle w:val="style0"/>
        <w:spacing w:after="0" w:lineRule="auto" w:line="240"/>
        <w:jc w:val="both"/>
        <w:rPr>
          <w:sz w:val="24"/>
          <w:szCs w:val="24"/>
        </w:rPr>
      </w:pPr>
      <w:r>
        <w:rPr>
          <w:sz w:val="24"/>
          <w:szCs w:val="24"/>
        </w:rPr>
        <w:t xml:space="preserve">   </w:t>
      </w:r>
      <w:r>
        <w:rPr>
          <w:sz w:val="24"/>
          <w:szCs w:val="24"/>
        </w:rPr>
        <w:t>Chemical and</w:t>
      </w:r>
      <w:r>
        <w:rPr>
          <w:sz w:val="24"/>
          <w:szCs w:val="24"/>
        </w:rPr>
        <w:t xml:space="preserve"> </w:t>
      </w:r>
      <w:r>
        <w:rPr>
          <w:sz w:val="24"/>
          <w:szCs w:val="24"/>
        </w:rPr>
        <w:t>Biochemical Sciences, 9, 79-84</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Zahra, A. A., Hartati, R., &amp; Fidrianny, I. (2020). Review of the c</w:t>
      </w:r>
      <w:r>
        <w:rPr>
          <w:sz w:val="24"/>
          <w:szCs w:val="24"/>
        </w:rPr>
        <w:t>hemical properties,</w:t>
      </w:r>
    </w:p>
    <w:p>
      <w:pPr>
        <w:pStyle w:val="style0"/>
        <w:spacing w:after="0" w:lineRule="auto" w:line="240"/>
        <w:jc w:val="both"/>
        <w:rPr>
          <w:sz w:val="24"/>
          <w:szCs w:val="24"/>
        </w:rPr>
      </w:pPr>
      <w:r>
        <w:rPr>
          <w:sz w:val="24"/>
          <w:szCs w:val="24"/>
        </w:rPr>
        <w:t xml:space="preserve">    </w:t>
      </w:r>
      <w:r>
        <w:rPr>
          <w:sz w:val="24"/>
          <w:szCs w:val="24"/>
        </w:rPr>
        <w:t>pharmacological properties, and development studies</w:t>
      </w:r>
      <w:r>
        <w:rPr>
          <w:sz w:val="24"/>
          <w:szCs w:val="24"/>
        </w:rPr>
        <w:t xml:space="preserve"> of Cymbopogon sp.</w:t>
      </w:r>
    </w:p>
    <w:p>
      <w:pPr>
        <w:pStyle w:val="style0"/>
        <w:spacing w:after="0" w:lineRule="auto" w:line="240"/>
        <w:jc w:val="both"/>
        <w:rPr>
          <w:sz w:val="24"/>
          <w:szCs w:val="24"/>
        </w:rPr>
      </w:pPr>
      <w:r>
        <w:rPr>
          <w:sz w:val="24"/>
          <w:szCs w:val="24"/>
        </w:rPr>
        <w:t xml:space="preserve">     </w:t>
      </w:r>
      <w:r>
        <w:rPr>
          <w:sz w:val="24"/>
          <w:szCs w:val="24"/>
        </w:rPr>
        <w:t xml:space="preserve">Biointerface </w:t>
      </w:r>
      <w:r>
        <w:rPr>
          <w:sz w:val="24"/>
          <w:szCs w:val="24"/>
        </w:rPr>
        <w:t>Research in Applied Chemistry, 11, 10341-10350.</w:t>
      </w:r>
    </w:p>
    <w:p>
      <w:pPr>
        <w:pStyle w:val="style0"/>
        <w:spacing w:lineRule="auto" w:line="240"/>
        <w:jc w:val="both"/>
        <w:rPr>
          <w:sz w:val="24"/>
          <w:szCs w:val="24"/>
        </w:rPr>
      </w:pPr>
    </w:p>
    <w:p>
      <w:pPr>
        <w:pStyle w:val="style0"/>
        <w:spacing w:lineRule="auto" w:line="240"/>
        <w:jc w:val="both"/>
        <w:rPr>
          <w:sz w:val="24"/>
          <w:szCs w:val="24"/>
        </w:rPr>
      </w:pPr>
    </w:p>
    <w:bookmarkStart w:id="0" w:name="_GoBack"/>
    <w:bookmarkEnd w:id="0"/>
    <w:p>
      <w:pPr>
        <w:pStyle w:val="style0"/>
        <w:spacing w:lineRule="auto" w:line="240"/>
        <w:jc w:val="both"/>
        <w:rPr>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5479BA"/>
    <w:lvl w:ilvl="0" w:tplc="75C804DE">
      <w:start w:val="1"/>
      <w:numFmt w:val="bullet"/>
      <w:lvlText w:val=""/>
      <w:lvlJc w:val="left"/>
      <w:pPr>
        <w:ind w:left="1505" w:hanging="339"/>
      </w:pPr>
      <w:rPr>
        <w:rFonts w:ascii="Symbol" w:cs="Symbol" w:eastAsia="Symbol" w:hAnsi="Symbol" w:hint="default"/>
        <w:w w:val="103"/>
        <w:sz w:val="20"/>
        <w:szCs w:val="20"/>
        <w:lang w:val="en-US" w:bidi="ar-SA" w:eastAsia="en-US"/>
      </w:rPr>
    </w:lvl>
    <w:lvl w:ilvl="1" w:tplc="F2C41168">
      <w:start w:val="1"/>
      <w:numFmt w:val="bullet"/>
      <w:lvlText w:val="•"/>
      <w:lvlJc w:val="left"/>
      <w:pPr>
        <w:ind w:left="2230" w:hanging="339"/>
      </w:pPr>
      <w:rPr>
        <w:rFonts w:hint="default"/>
        <w:lang w:val="en-US" w:bidi="ar-SA" w:eastAsia="en-US"/>
      </w:rPr>
    </w:lvl>
    <w:lvl w:ilvl="2" w:tplc="2BDE5A64">
      <w:start w:val="1"/>
      <w:numFmt w:val="bullet"/>
      <w:lvlText w:val="•"/>
      <w:lvlJc w:val="left"/>
      <w:pPr>
        <w:ind w:left="2960" w:hanging="339"/>
      </w:pPr>
      <w:rPr>
        <w:rFonts w:hint="default"/>
        <w:lang w:val="en-US" w:bidi="ar-SA" w:eastAsia="en-US"/>
      </w:rPr>
    </w:lvl>
    <w:lvl w:ilvl="3" w:tplc="3600E8A0">
      <w:start w:val="1"/>
      <w:numFmt w:val="bullet"/>
      <w:lvlText w:val="•"/>
      <w:lvlJc w:val="left"/>
      <w:pPr>
        <w:ind w:left="3690" w:hanging="339"/>
      </w:pPr>
      <w:rPr>
        <w:rFonts w:hint="default"/>
        <w:lang w:val="en-US" w:bidi="ar-SA" w:eastAsia="en-US"/>
      </w:rPr>
    </w:lvl>
    <w:lvl w:ilvl="4" w:tplc="EDE6587E">
      <w:start w:val="1"/>
      <w:numFmt w:val="bullet"/>
      <w:lvlText w:val="•"/>
      <w:lvlJc w:val="left"/>
      <w:pPr>
        <w:ind w:left="4420" w:hanging="339"/>
      </w:pPr>
      <w:rPr>
        <w:rFonts w:hint="default"/>
        <w:lang w:val="en-US" w:bidi="ar-SA" w:eastAsia="en-US"/>
      </w:rPr>
    </w:lvl>
    <w:lvl w:ilvl="5" w:tplc="410CF406">
      <w:start w:val="1"/>
      <w:numFmt w:val="bullet"/>
      <w:lvlText w:val="•"/>
      <w:lvlJc w:val="left"/>
      <w:pPr>
        <w:ind w:left="5150" w:hanging="339"/>
      </w:pPr>
      <w:rPr>
        <w:rFonts w:hint="default"/>
        <w:lang w:val="en-US" w:bidi="ar-SA" w:eastAsia="en-US"/>
      </w:rPr>
    </w:lvl>
    <w:lvl w:ilvl="6" w:tplc="36E2E3CC">
      <w:start w:val="1"/>
      <w:numFmt w:val="bullet"/>
      <w:lvlText w:val="•"/>
      <w:lvlJc w:val="left"/>
      <w:pPr>
        <w:ind w:left="5880" w:hanging="339"/>
      </w:pPr>
      <w:rPr>
        <w:rFonts w:hint="default"/>
        <w:lang w:val="en-US" w:bidi="ar-SA" w:eastAsia="en-US"/>
      </w:rPr>
    </w:lvl>
    <w:lvl w:ilvl="7" w:tplc="9864DC9C">
      <w:start w:val="1"/>
      <w:numFmt w:val="bullet"/>
      <w:lvlText w:val="•"/>
      <w:lvlJc w:val="left"/>
      <w:pPr>
        <w:ind w:left="6610" w:hanging="339"/>
      </w:pPr>
      <w:rPr>
        <w:rFonts w:hint="default"/>
        <w:lang w:val="en-US" w:bidi="ar-SA" w:eastAsia="en-US"/>
      </w:rPr>
    </w:lvl>
    <w:lvl w:ilvl="8" w:tplc="CA5E2784">
      <w:start w:val="1"/>
      <w:numFmt w:val="bullet"/>
      <w:lvlText w:val="•"/>
      <w:lvlJc w:val="left"/>
      <w:pPr>
        <w:ind w:left="7340" w:hanging="339"/>
      </w:pPr>
      <w:rPr>
        <w:rFonts w:hint="default"/>
        <w:lang w:val="en-US" w:bidi="ar-SA" w:eastAsia="en-US"/>
      </w:rPr>
    </w:lvl>
  </w:abstractNum>
  <w:abstractNum w:abstractNumId="1">
    <w:nsid w:val="00000001"/>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0000000F"/>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7"/>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B"/>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cs="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cs="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cs="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0000001E"/>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cs="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cs="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cs="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nsid w:val="0000001F"/>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nsid w:val="00000022"/>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nsid w:val="00000023"/>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cs="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cs="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cs="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nsid w:val="00000024"/>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cs="Calibri" w:eastAsia="Calibri" w:hAnsi="Calibri" w:hint="default"/>
        <w:w w:val="103"/>
        <w:sz w:val="20"/>
        <w:szCs w:val="20"/>
        <w:lang w:val="en-US" w:bidi="ar-SA" w:eastAsia="en-US"/>
      </w:rPr>
    </w:lvl>
    <w:lvl w:ilvl="2" w:tplc="237E087E">
      <w:start w:val="1"/>
      <w:numFmt w:val="bullet"/>
      <w:lvlText w:val="o"/>
      <w:lvlJc w:val="left"/>
      <w:pPr>
        <w:ind w:left="2520" w:hanging="339"/>
      </w:pPr>
      <w:rPr>
        <w:rFonts w:ascii="Courier New" w:cs="Courier New" w:eastAsia="Courier New" w:hAnsi="Courier New" w:hint="default"/>
        <w:w w:val="103"/>
        <w:sz w:val="20"/>
        <w:szCs w:val="20"/>
        <w:lang w:val="en-US" w:bidi="ar-SA" w:eastAsia="en-US"/>
      </w:rPr>
    </w:lvl>
    <w:lvl w:ilvl="3" w:tplc="315292B4">
      <w:start w:val="1"/>
      <w:numFmt w:val="bullet"/>
      <w:lvlText w:val="•"/>
      <w:lvlJc w:val="left"/>
      <w:pPr>
        <w:ind w:left="3305" w:hanging="339"/>
      </w:pPr>
      <w:rPr>
        <w:rFonts w:hint="default"/>
        <w:lang w:val="en-US" w:bidi="ar-SA" w:eastAsia="en-US"/>
      </w:rPr>
    </w:lvl>
    <w:lvl w:ilvl="4" w:tplc="83C0D200">
      <w:start w:val="1"/>
      <w:numFmt w:val="bullet"/>
      <w:lvlText w:val="•"/>
      <w:lvlJc w:val="left"/>
      <w:pPr>
        <w:ind w:left="4090" w:hanging="339"/>
      </w:pPr>
      <w:rPr>
        <w:rFonts w:hint="default"/>
        <w:lang w:val="en-US" w:bidi="ar-SA" w:eastAsia="en-US"/>
      </w:rPr>
    </w:lvl>
    <w:lvl w:ilvl="5" w:tplc="D5001272">
      <w:start w:val="1"/>
      <w:numFmt w:val="bullet"/>
      <w:lvlText w:val="•"/>
      <w:lvlJc w:val="left"/>
      <w:pPr>
        <w:ind w:left="4875" w:hanging="339"/>
      </w:pPr>
      <w:rPr>
        <w:rFonts w:hint="default"/>
        <w:lang w:val="en-US" w:bidi="ar-SA" w:eastAsia="en-US"/>
      </w:rPr>
    </w:lvl>
    <w:lvl w:ilvl="6" w:tplc="0AFEFD24">
      <w:start w:val="1"/>
      <w:numFmt w:val="bullet"/>
      <w:lvlText w:val="•"/>
      <w:lvlJc w:val="left"/>
      <w:pPr>
        <w:ind w:left="5660" w:hanging="339"/>
      </w:pPr>
      <w:rPr>
        <w:rFonts w:hint="default"/>
        <w:lang w:val="en-US" w:bidi="ar-SA" w:eastAsia="en-US"/>
      </w:rPr>
    </w:lvl>
    <w:lvl w:ilvl="7" w:tplc="07302032">
      <w:start w:val="1"/>
      <w:numFmt w:val="bullet"/>
      <w:lvlText w:val="•"/>
      <w:lvlJc w:val="left"/>
      <w:pPr>
        <w:ind w:left="6445" w:hanging="339"/>
      </w:pPr>
      <w:rPr>
        <w:rFonts w:hint="default"/>
        <w:lang w:val="en-US" w:bidi="ar-SA" w:eastAsia="en-US"/>
      </w:rPr>
    </w:lvl>
    <w:lvl w:ilvl="8" w:tplc="AA3A0630">
      <w:start w:val="1"/>
      <w:numFmt w:val="bullet"/>
      <w:lvlText w:val="•"/>
      <w:lvlJc w:val="left"/>
      <w:pPr>
        <w:ind w:left="7230" w:hanging="339"/>
      </w:pPr>
      <w:rPr>
        <w:rFonts w:hint="default"/>
        <w:lang w:val="en-US" w:bidi="ar-SA" w:eastAsia="en-US"/>
      </w:rPr>
    </w:lvl>
  </w:abstractNum>
  <w:abstractNum w:abstractNumId="45">
    <w:nsid w:val="0000002D"/>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4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widowControl w:val="false"/>
      <w:autoSpaceDE w:val="false"/>
      <w:autoSpaceDN w:val="false"/>
      <w:spacing w:before="153" w:after="0" w:lineRule="auto" w:line="240"/>
      <w:ind w:left="152"/>
      <w:outlineLvl w:val="0"/>
    </w:pPr>
    <w:rPr>
      <w:rFonts w:cs="Calibri"/>
      <w:b/>
      <w:bCs/>
      <w:sz w:val="26"/>
      <w:szCs w:val="26"/>
    </w:rPr>
  </w:style>
  <w:style w:type="paragraph" w:styleId="style2">
    <w:name w:val="heading 2"/>
    <w:basedOn w:val="style0"/>
    <w:next w:val="style2"/>
    <w:link w:val="style4098"/>
    <w:qFormat/>
    <w:uiPriority w:val="9"/>
    <w:pPr>
      <w:widowControl w:val="false"/>
      <w:autoSpaceDE w:val="false"/>
      <w:autoSpaceDN w:val="false"/>
      <w:spacing w:after="0" w:lineRule="auto" w:line="240"/>
      <w:ind w:left="152"/>
      <w:outlineLvl w:val="1"/>
    </w:pPr>
    <w:rPr>
      <w:rFonts w:ascii="Times New Roman" w:cs="Times New Roman" w:eastAsia="Times New Roman" w:hAnsi="Times New Roman"/>
      <w:b/>
      <w:bCs/>
    </w:rPr>
  </w:style>
  <w:style w:type="paragraph" w:styleId="style3">
    <w:name w:val="heading 3"/>
    <w:basedOn w:val="style0"/>
    <w:next w:val="style3"/>
    <w:link w:val="style4099"/>
    <w:qFormat/>
    <w:uiPriority w:val="9"/>
    <w:pPr>
      <w:widowControl w:val="false"/>
      <w:autoSpaceDE w:val="false"/>
      <w:autoSpaceDN w:val="false"/>
      <w:spacing w:after="0" w:lineRule="auto" w:line="240"/>
      <w:ind w:left="828"/>
      <w:outlineLvl w:val="2"/>
    </w:pPr>
    <w:rPr>
      <w:rFonts w:cs="Calibri"/>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183ac80-0ae2-431a-9f1d-9fbeb0546dbe"/>
    <w:basedOn w:val="style65"/>
    <w:next w:val="style4097"/>
    <w:link w:val="style1"/>
    <w:uiPriority w:val="9"/>
    <w:rPr>
      <w:rFonts w:ascii="Calibri" w:cs="Calibri" w:eastAsia="Calibri" w:hAnsi="Calibri"/>
      <w:b/>
      <w:bCs/>
      <w:sz w:val="26"/>
      <w:szCs w:val="26"/>
    </w:rPr>
  </w:style>
  <w:style w:type="character" w:customStyle="1" w:styleId="style4098">
    <w:name w:val="Heading 2 Char_32bfcfb6-45b1-4177-a3be-1afcf48f5b7f"/>
    <w:basedOn w:val="style65"/>
    <w:next w:val="style4098"/>
    <w:link w:val="style2"/>
    <w:uiPriority w:val="9"/>
    <w:rPr>
      <w:rFonts w:ascii="Times New Roman" w:cs="Times New Roman" w:eastAsia="Times New Roman" w:hAnsi="Times New Roman"/>
      <w:b/>
      <w:bCs/>
    </w:rPr>
  </w:style>
  <w:style w:type="character" w:customStyle="1" w:styleId="style4099">
    <w:name w:val="Heading 3 Char_4189f9d8-c718-40d6-aad0-431a3302771a"/>
    <w:basedOn w:val="style65"/>
    <w:next w:val="style4099"/>
    <w:link w:val="style3"/>
    <w:uiPriority w:val="9"/>
    <w:rPr>
      <w:rFonts w:ascii="Calibri" w:cs="Calibri" w:eastAsia="Calibri" w:hAnsi="Calibri"/>
      <w:b/>
      <w:bCs/>
      <w:sz w:val="20"/>
      <w:szCs w:val="20"/>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0"/>
    <w:qFormat/>
    <w:uiPriority w:val="1"/>
    <w:pPr>
      <w:widowControl w:val="false"/>
      <w:autoSpaceDE w:val="false"/>
      <w:autoSpaceDN w:val="false"/>
      <w:spacing w:after="0" w:lineRule="auto" w:line="240"/>
      <w:ind w:left="152"/>
    </w:pPr>
    <w:rPr>
      <w:rFonts w:cs="Calibri"/>
      <w:sz w:val="20"/>
      <w:szCs w:val="20"/>
    </w:rPr>
  </w:style>
  <w:style w:type="character" w:customStyle="1" w:styleId="style4100">
    <w:name w:val="Body Text Char"/>
    <w:basedOn w:val="style65"/>
    <w:next w:val="style4100"/>
    <w:link w:val="style66"/>
    <w:uiPriority w:val="1"/>
    <w:rPr>
      <w:rFonts w:ascii="Calibri" w:cs="Calibri" w:eastAsia="Calibri" w:hAnsi="Calibri"/>
      <w:sz w:val="20"/>
      <w:szCs w:val="20"/>
    </w:rPr>
  </w:style>
  <w:style w:type="paragraph" w:customStyle="1" w:styleId="style4101">
    <w:name w:val="Table Paragraph"/>
    <w:basedOn w:val="style0"/>
    <w:next w:val="style4101"/>
    <w:qFormat/>
    <w:uiPriority w:val="1"/>
    <w:pPr>
      <w:widowControl w:val="false"/>
      <w:autoSpaceDE w:val="false"/>
      <w:autoSpaceDN w:val="false"/>
      <w:spacing w:after="0" w:lineRule="auto" w:line="240"/>
    </w:pPr>
    <w:rPr>
      <w:rFonts w:cs="Calibri"/>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41327cb3-ed49-49ea-9ead-453974978fd8"/>
    <w:basedOn w:val="style65"/>
    <w:next w:val="style4103"/>
    <w:link w:val="style31"/>
    <w:uiPriority w:val="99"/>
    <w:rPr>
      <w:rFonts w:ascii="Calibri" w:cs="SimSun" w:eastAsia="Calibri" w:hAnsi="Calibri"/>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06b5c21f-a5c8-4dca-8c55-fd2932443ee1"/>
    <w:basedOn w:val="style65"/>
    <w:next w:val="style4104"/>
    <w:link w:val="style32"/>
    <w:uiPriority w:val="99"/>
    <w:rPr>
      <w:rFonts w:ascii="Calibri" w:cs="SimSun" w:eastAsia="Calibri" w:hAnsi="Calibri"/>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8276</Words>
  <Pages>41</Pages>
  <Characters>47508</Characters>
  <Application>WPS Office</Application>
  <DocSecurity>0</DocSecurity>
  <Paragraphs>778</Paragraphs>
  <ScaleCrop>false</ScaleCrop>
  <LinksUpToDate>false</LinksUpToDate>
  <CharactersWithSpaces>57805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2025-07-04T07:52:00Z</dcterms:created>
  <dc:creator>USER</dc:creator>
  <lastModifiedBy>24117RN76G</lastModifiedBy>
  <lastPrinted>2025-05-15T21:34:00Z</lastPrinted>
  <dcterms:modified xsi:type="dcterms:W3CDTF">2025-07-11T17:29:15Z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19016c14a2e0428ebdf0486c4e2ffe40</vt:lpwstr>
  </property>
</Properties>
</file>