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2F" w:rsidRPr="000B4287" w:rsidRDefault="001F432F" w:rsidP="001F432F">
      <w:pPr>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1F432F" w:rsidRDefault="001F432F" w:rsidP="001F432F">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1F432F" w:rsidRDefault="001F432F" w:rsidP="001F432F">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JAMIU TOHEEB OPEYEMI</w:t>
      </w:r>
    </w:p>
    <w:p w:rsidR="001F432F" w:rsidRPr="00094AEF" w:rsidRDefault="001F432F" w:rsidP="001F432F">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 xml:space="preserve">HND/23/AGT/FT/0113 </w:t>
      </w:r>
    </w:p>
    <w:p w:rsidR="001F432F" w:rsidRDefault="001F432F" w:rsidP="001F432F">
      <w:pPr>
        <w:pStyle w:val="NormalWeb"/>
        <w:tabs>
          <w:tab w:val="left" w:pos="540"/>
        </w:tabs>
        <w:spacing w:before="0" w:beforeAutospacing="0" w:after="0" w:afterAutospacing="0" w:line="360" w:lineRule="auto"/>
        <w:jc w:val="center"/>
        <w:rPr>
          <w:rFonts w:ascii="Tahoma" w:hAnsi="Tahoma" w:cs="Tahoma"/>
          <w:b/>
          <w:sz w:val="27"/>
          <w:szCs w:val="27"/>
        </w:rPr>
      </w:pPr>
    </w:p>
    <w:p w:rsidR="001F432F" w:rsidRDefault="001F432F" w:rsidP="001F432F">
      <w:pPr>
        <w:pStyle w:val="NormalWeb"/>
        <w:tabs>
          <w:tab w:val="left" w:pos="540"/>
        </w:tabs>
        <w:spacing w:before="0" w:beforeAutospacing="0" w:after="0" w:afterAutospacing="0" w:line="360" w:lineRule="auto"/>
        <w:rPr>
          <w:rFonts w:ascii="Tahoma" w:hAnsi="Tahoma" w:cs="Tahoma"/>
          <w:b/>
          <w:sz w:val="27"/>
          <w:szCs w:val="27"/>
        </w:rPr>
      </w:pPr>
    </w:p>
    <w:p w:rsidR="001F432F" w:rsidRPr="00094AEF" w:rsidRDefault="001F432F" w:rsidP="001F432F">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1F432F" w:rsidRPr="00094AEF" w:rsidRDefault="001F432F" w:rsidP="001F432F">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1F432F" w:rsidRPr="00094AEF" w:rsidRDefault="001F432F" w:rsidP="001F432F">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1F432F" w:rsidRPr="00094AEF" w:rsidRDefault="001F432F" w:rsidP="001F432F">
      <w:pPr>
        <w:pStyle w:val="NormalWeb"/>
        <w:tabs>
          <w:tab w:val="left" w:pos="540"/>
        </w:tabs>
        <w:spacing w:before="0" w:beforeAutospacing="0" w:after="0" w:afterAutospacing="0" w:line="360" w:lineRule="auto"/>
        <w:jc w:val="center"/>
        <w:rPr>
          <w:rFonts w:ascii="Tahoma" w:hAnsi="Tahoma" w:cs="Tahoma"/>
          <w:b/>
          <w:sz w:val="27"/>
          <w:szCs w:val="27"/>
        </w:rPr>
      </w:pPr>
    </w:p>
    <w:p w:rsidR="001F432F" w:rsidRPr="00094AEF" w:rsidRDefault="001F432F" w:rsidP="001F432F">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1F432F" w:rsidRDefault="001F432F" w:rsidP="001F432F">
      <w:pPr>
        <w:pStyle w:val="DefaultStyle"/>
        <w:spacing w:line="360" w:lineRule="auto"/>
        <w:ind w:firstLine="720"/>
        <w:jc w:val="both"/>
        <w:rPr>
          <w:rFonts w:ascii="Tahoma" w:hAnsi="Tahoma" w:cs="Tahoma"/>
          <w:color w:val="000000" w:themeColor="text1"/>
          <w:sz w:val="24"/>
          <w:szCs w:val="24"/>
        </w:rPr>
      </w:pPr>
    </w:p>
    <w:p w:rsidR="001F432F" w:rsidRPr="006B51F6" w:rsidRDefault="001F432F" w:rsidP="001F432F">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Pr="00450427" w:rsidRDefault="001F432F" w:rsidP="001F432F">
      <w:pPr>
        <w:jc w:val="center"/>
        <w:rPr>
          <w:rFonts w:ascii="Tahoma" w:hAnsi="Tahoma" w:cs="Tahoma"/>
          <w:b/>
          <w:sz w:val="24"/>
          <w:szCs w:val="24"/>
        </w:rPr>
      </w:pPr>
      <w:r w:rsidRPr="00450427">
        <w:rPr>
          <w:rFonts w:ascii="Tahoma" w:hAnsi="Tahoma" w:cs="Tahoma"/>
          <w:b/>
          <w:sz w:val="24"/>
          <w:szCs w:val="24"/>
        </w:rPr>
        <w:t>CERTIFICATION PAGE</w:t>
      </w:r>
    </w:p>
    <w:p w:rsidR="001F432F" w:rsidRPr="00450427" w:rsidRDefault="001F432F" w:rsidP="001F432F">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1F432F" w:rsidRPr="00450427" w:rsidRDefault="001F432F" w:rsidP="001F432F">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Supervisor)</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Unit)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Department)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Coordinator)</w:t>
      </w: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B10D39" w:rsidRDefault="001F432F" w:rsidP="001F432F">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Pr="002C72E8" w:rsidRDefault="001F432F" w:rsidP="001F432F">
      <w:pPr>
        <w:spacing w:before="240" w:line="360" w:lineRule="auto"/>
        <w:jc w:val="center"/>
        <w:rPr>
          <w:rFonts w:ascii="Tahoma" w:hAnsi="Tahoma" w:cs="Tahoma"/>
          <w:b/>
          <w:sz w:val="24"/>
          <w:szCs w:val="24"/>
        </w:rPr>
      </w:pPr>
      <w:r>
        <w:rPr>
          <w:rFonts w:ascii="Tahoma" w:hAnsi="Tahoma" w:cs="Tahoma"/>
          <w:b/>
          <w:sz w:val="24"/>
          <w:szCs w:val="24"/>
        </w:rPr>
        <w:lastRenderedPageBreak/>
        <w:t>DEDICATION</w:t>
      </w:r>
    </w:p>
    <w:p w:rsidR="001F432F" w:rsidRPr="00FC6538" w:rsidRDefault="001F432F" w:rsidP="001F432F">
      <w:pPr>
        <w:spacing w:before="240" w:line="480" w:lineRule="auto"/>
        <w:jc w:val="both"/>
        <w:rPr>
          <w:rFonts w:ascii="Tahoma" w:hAnsi="Tahoma" w:cs="Tahoma"/>
          <w:sz w:val="24"/>
          <w:szCs w:val="24"/>
        </w:rPr>
      </w:pPr>
      <w:r w:rsidRPr="00FC6538">
        <w:rPr>
          <w:rFonts w:ascii="Tahoma" w:hAnsi="Tahoma" w:cs="Tahoma"/>
          <w:sz w:val="24"/>
          <w:szCs w:val="24"/>
        </w:rPr>
        <w:t xml:space="preserve">I wish to dedicate this work to almighty Allah for giving me this opportunity to attain this noble </w:t>
      </w:r>
      <w:r>
        <w:rPr>
          <w:rFonts w:ascii="Tahoma" w:hAnsi="Tahoma" w:cs="Tahoma"/>
          <w:sz w:val="24"/>
          <w:szCs w:val="24"/>
        </w:rPr>
        <w:t>height</w:t>
      </w:r>
      <w:r w:rsidRPr="00FC6538">
        <w:rPr>
          <w:rFonts w:ascii="Tahoma" w:hAnsi="Tahoma" w:cs="Tahoma"/>
          <w:sz w:val="24"/>
          <w:szCs w:val="24"/>
        </w:rPr>
        <w:t xml:space="preserve"> and </w:t>
      </w:r>
      <w:proofErr w:type="gramStart"/>
      <w:r w:rsidRPr="00FC6538">
        <w:rPr>
          <w:rFonts w:ascii="Tahoma" w:hAnsi="Tahoma" w:cs="Tahoma"/>
          <w:sz w:val="24"/>
          <w:szCs w:val="24"/>
        </w:rPr>
        <w:t>has</w:t>
      </w:r>
      <w:proofErr w:type="gramEnd"/>
      <w:r w:rsidRPr="00FC6538">
        <w:rPr>
          <w:rFonts w:ascii="Tahoma" w:hAnsi="Tahoma" w:cs="Tahoma"/>
          <w:sz w:val="24"/>
          <w:szCs w:val="24"/>
        </w:rPr>
        <w:t xml:space="preserve"> also prepared me for the future responsibility on this note</w:t>
      </w:r>
    </w:p>
    <w:p w:rsidR="001F432F" w:rsidRPr="00FC6538" w:rsidRDefault="001F432F" w:rsidP="001F432F">
      <w:pPr>
        <w:spacing w:before="240" w:line="480" w:lineRule="auto"/>
        <w:jc w:val="both"/>
        <w:rPr>
          <w:rFonts w:ascii="Tahoma" w:hAnsi="Tahoma" w:cs="Tahoma"/>
          <w:sz w:val="24"/>
          <w:szCs w:val="24"/>
        </w:rPr>
      </w:pPr>
      <w:r w:rsidRPr="00FC6538">
        <w:rPr>
          <w:rFonts w:ascii="Tahoma" w:hAnsi="Tahoma" w:cs="Tahoma"/>
          <w:sz w:val="24"/>
          <w:szCs w:val="24"/>
        </w:rPr>
        <w:t xml:space="preserve">      I would be honoured to dedic</w:t>
      </w:r>
      <w:r>
        <w:rPr>
          <w:rFonts w:ascii="Tahoma" w:hAnsi="Tahoma" w:cs="Tahoma"/>
          <w:sz w:val="24"/>
          <w:szCs w:val="24"/>
        </w:rPr>
        <w:t xml:space="preserve">ate to my late father Mr </w:t>
      </w:r>
      <w:proofErr w:type="spellStart"/>
      <w:r>
        <w:rPr>
          <w:rFonts w:ascii="Tahoma" w:hAnsi="Tahoma" w:cs="Tahoma"/>
          <w:sz w:val="24"/>
          <w:szCs w:val="24"/>
        </w:rPr>
        <w:t>Jamiu</w:t>
      </w:r>
      <w:proofErr w:type="spellEnd"/>
      <w:r>
        <w:rPr>
          <w:rFonts w:ascii="Tahoma" w:hAnsi="Tahoma" w:cs="Tahoma"/>
          <w:sz w:val="24"/>
          <w:szCs w:val="24"/>
        </w:rPr>
        <w:t xml:space="preserve"> </w:t>
      </w:r>
      <w:proofErr w:type="spellStart"/>
      <w:proofErr w:type="gramStart"/>
      <w:r>
        <w:rPr>
          <w:rFonts w:ascii="Tahoma" w:hAnsi="Tahoma" w:cs="Tahoma"/>
          <w:sz w:val="24"/>
          <w:szCs w:val="24"/>
        </w:rPr>
        <w:t>Idowu</w:t>
      </w:r>
      <w:proofErr w:type="spellEnd"/>
      <w:r w:rsidRPr="00FC6538">
        <w:rPr>
          <w:rFonts w:ascii="Tahoma" w:hAnsi="Tahoma" w:cs="Tahoma"/>
          <w:sz w:val="24"/>
          <w:szCs w:val="24"/>
        </w:rPr>
        <w:t xml:space="preserve">  and</w:t>
      </w:r>
      <w:proofErr w:type="gramEnd"/>
      <w:r w:rsidRPr="00FC6538">
        <w:rPr>
          <w:rFonts w:ascii="Tahoma" w:hAnsi="Tahoma" w:cs="Tahoma"/>
          <w:sz w:val="24"/>
          <w:szCs w:val="24"/>
        </w:rPr>
        <w:t xml:space="preserve"> to my lovely mother thank for being my pillars of strength and inspiration am grateful , and very grateful for your love my support that made this journey possible. Mom you are the one that gave tool and value necessary to be here and where I am standing today you support me on every step I make and decision I take since when my dad left u took all the responsibility alone thanks so much mom for all the opportunity that have told me and for all advice's</w:t>
      </w:r>
      <w:r>
        <w:rPr>
          <w:rFonts w:ascii="Tahoma" w:hAnsi="Tahoma" w:cs="Tahoma"/>
          <w:sz w:val="24"/>
          <w:szCs w:val="24"/>
        </w:rPr>
        <w:t>.</w:t>
      </w:r>
    </w:p>
    <w:p w:rsidR="001F432F" w:rsidRPr="00FC6538" w:rsidRDefault="001F432F" w:rsidP="001F432F">
      <w:pPr>
        <w:spacing w:before="240" w:line="360" w:lineRule="auto"/>
        <w:jc w:val="center"/>
        <w:rPr>
          <w:rFonts w:ascii="Tahoma" w:hAnsi="Tahoma" w:cs="Tahoma"/>
          <w:b/>
          <w:sz w:val="24"/>
          <w:szCs w:val="24"/>
        </w:rPr>
      </w:pPr>
    </w:p>
    <w:p w:rsidR="001F432F" w:rsidRDefault="001F432F" w:rsidP="001F432F">
      <w:pPr>
        <w:spacing w:before="240"/>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Pr="00450427" w:rsidRDefault="001F432F" w:rsidP="001F432F">
      <w:pPr>
        <w:jc w:val="center"/>
        <w:rPr>
          <w:rFonts w:ascii="Tahoma" w:hAnsi="Tahoma" w:cs="Tahoma"/>
          <w:b/>
          <w:sz w:val="24"/>
          <w:szCs w:val="24"/>
        </w:rPr>
      </w:pPr>
      <w:r w:rsidRPr="00450427">
        <w:rPr>
          <w:rFonts w:ascii="Tahoma" w:hAnsi="Tahoma" w:cs="Tahoma"/>
          <w:b/>
          <w:sz w:val="24"/>
          <w:szCs w:val="24"/>
        </w:rPr>
        <w:lastRenderedPageBreak/>
        <w:t>ACKNOWLEDGMENT</w:t>
      </w:r>
    </w:p>
    <w:p w:rsidR="001F432F" w:rsidRDefault="001F432F" w:rsidP="001F432F">
      <w:pPr>
        <w:jc w:val="center"/>
        <w:rPr>
          <w:rFonts w:ascii="Tahoma" w:hAnsi="Tahoma" w:cs="Tahoma"/>
          <w:b/>
          <w:sz w:val="24"/>
          <w:szCs w:val="24"/>
        </w:rPr>
      </w:pP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To the almighty Allah who gave me this opportunity and protect throughout my academic pursuits in Ilorin</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I want to express my appreciation and pro profound gratitude to my supervisor </w:t>
      </w:r>
      <w:r w:rsidRPr="00FC6538">
        <w:rPr>
          <w:rFonts w:ascii="Tahoma" w:hAnsi="Tahoma" w:cs="Tahoma"/>
          <w:b/>
          <w:sz w:val="24"/>
          <w:szCs w:val="24"/>
        </w:rPr>
        <w:t>Mr Adebayo</w:t>
      </w:r>
      <w:r w:rsidRPr="00FC6538">
        <w:rPr>
          <w:rFonts w:ascii="Tahoma" w:hAnsi="Tahoma" w:cs="Tahoma"/>
          <w:sz w:val="24"/>
          <w:szCs w:val="24"/>
        </w:rPr>
        <w:t xml:space="preserve"> for the effort in putting me through all the aspects of this </w:t>
      </w:r>
      <w:proofErr w:type="gramStart"/>
      <w:r w:rsidRPr="00FC6538">
        <w:rPr>
          <w:rFonts w:ascii="Tahoma" w:hAnsi="Tahoma" w:cs="Tahoma"/>
          <w:sz w:val="24"/>
          <w:szCs w:val="24"/>
        </w:rPr>
        <w:t>work,</w:t>
      </w:r>
      <w:proofErr w:type="gramEnd"/>
      <w:r w:rsidRPr="00FC6538">
        <w:rPr>
          <w:rFonts w:ascii="Tahoma" w:hAnsi="Tahoma" w:cs="Tahoma"/>
          <w:sz w:val="24"/>
          <w:szCs w:val="24"/>
        </w:rPr>
        <w:t xml:space="preserve"> it was due to the indefatigable that this work is completed</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I am also indebted to all academic staff of the department of agricultural technology for their knowledge , training throughout the period of my study since </w:t>
      </w:r>
      <w:proofErr w:type="spellStart"/>
      <w:r w:rsidRPr="00FC6538">
        <w:rPr>
          <w:rFonts w:ascii="Tahoma" w:hAnsi="Tahoma" w:cs="Tahoma"/>
          <w:sz w:val="24"/>
          <w:szCs w:val="24"/>
        </w:rPr>
        <w:t>Nd</w:t>
      </w:r>
      <w:proofErr w:type="spellEnd"/>
      <w:r w:rsidRPr="00FC6538">
        <w:rPr>
          <w:rFonts w:ascii="Tahoma" w:hAnsi="Tahoma" w:cs="Tahoma"/>
          <w:sz w:val="24"/>
          <w:szCs w:val="24"/>
        </w:rPr>
        <w:t xml:space="preserve"> days my  appreciate also goes to non_ academic staff in my department for their advice may almighty Allah bless you all </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 To my Dad </w:t>
      </w:r>
      <w:r w:rsidRPr="00FC6538">
        <w:rPr>
          <w:rFonts w:ascii="Tahoma" w:hAnsi="Tahoma" w:cs="Tahoma"/>
          <w:b/>
          <w:sz w:val="24"/>
          <w:szCs w:val="24"/>
        </w:rPr>
        <w:t xml:space="preserve">Mr </w:t>
      </w:r>
      <w:proofErr w:type="spellStart"/>
      <w:proofErr w:type="gramStart"/>
      <w:r w:rsidRPr="00FC6538">
        <w:rPr>
          <w:rFonts w:ascii="Tahoma" w:hAnsi="Tahoma" w:cs="Tahoma"/>
          <w:b/>
          <w:sz w:val="24"/>
          <w:szCs w:val="24"/>
        </w:rPr>
        <w:t>Jamiu</w:t>
      </w:r>
      <w:proofErr w:type="spellEnd"/>
      <w:r w:rsidRPr="00FC6538">
        <w:rPr>
          <w:rFonts w:ascii="Tahoma" w:hAnsi="Tahoma" w:cs="Tahoma"/>
          <w:sz w:val="24"/>
          <w:szCs w:val="24"/>
        </w:rPr>
        <w:t xml:space="preserve">  I</w:t>
      </w:r>
      <w:proofErr w:type="gramEnd"/>
      <w:r w:rsidRPr="00FC6538">
        <w:rPr>
          <w:rFonts w:ascii="Tahoma" w:hAnsi="Tahoma" w:cs="Tahoma"/>
          <w:sz w:val="24"/>
          <w:szCs w:val="24"/>
        </w:rPr>
        <w:t xml:space="preserve"> appreciate you for the moral and financial support without you the journey so far wouldn't have been possible, may almighty Allah bless you long life and grant you with good health and prosperity</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My appreciate go to my family and friends who inspired me to </w:t>
      </w:r>
      <w:proofErr w:type="gramStart"/>
      <w:r w:rsidRPr="00FC6538">
        <w:rPr>
          <w:rFonts w:ascii="Tahoma" w:hAnsi="Tahoma" w:cs="Tahoma"/>
          <w:sz w:val="24"/>
          <w:szCs w:val="24"/>
        </w:rPr>
        <w:t>pursue  my</w:t>
      </w:r>
      <w:proofErr w:type="gramEnd"/>
      <w:r w:rsidRPr="00FC6538">
        <w:rPr>
          <w:rFonts w:ascii="Tahoma" w:hAnsi="Tahoma" w:cs="Tahoma"/>
          <w:sz w:val="24"/>
          <w:szCs w:val="24"/>
        </w:rPr>
        <w:t xml:space="preserve"> dream may all your good dream are come to through </w:t>
      </w:r>
      <w:proofErr w:type="spellStart"/>
      <w:r w:rsidRPr="00FC6538">
        <w:rPr>
          <w:rFonts w:ascii="Tahoma" w:hAnsi="Tahoma" w:cs="Tahoma"/>
          <w:sz w:val="24"/>
          <w:szCs w:val="24"/>
        </w:rPr>
        <w:t>insha'Allah</w:t>
      </w:r>
      <w:proofErr w:type="spellEnd"/>
      <w:r w:rsidRPr="00FC6538">
        <w:rPr>
          <w:rFonts w:ascii="Tahoma" w:hAnsi="Tahoma" w:cs="Tahoma"/>
          <w:sz w:val="24"/>
          <w:szCs w:val="24"/>
        </w:rPr>
        <w:t xml:space="preserve"> </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I also appreciate my typist for her assistant and perfect </w:t>
      </w:r>
      <w:proofErr w:type="spellStart"/>
      <w:r w:rsidRPr="00FC6538">
        <w:rPr>
          <w:rFonts w:ascii="Tahoma" w:hAnsi="Tahoma" w:cs="Tahoma"/>
          <w:sz w:val="24"/>
          <w:szCs w:val="24"/>
        </w:rPr>
        <w:t>work</w:t>
      </w:r>
      <w:proofErr w:type="gramStart"/>
      <w:r w:rsidRPr="00FC6538">
        <w:rPr>
          <w:rFonts w:ascii="Tahoma" w:hAnsi="Tahoma" w:cs="Tahoma"/>
          <w:sz w:val="24"/>
          <w:szCs w:val="24"/>
        </w:rPr>
        <w:t>,may</w:t>
      </w:r>
      <w:proofErr w:type="spellEnd"/>
      <w:proofErr w:type="gramEnd"/>
      <w:r w:rsidRPr="00FC6538">
        <w:rPr>
          <w:rFonts w:ascii="Tahoma" w:hAnsi="Tahoma" w:cs="Tahoma"/>
          <w:sz w:val="24"/>
          <w:szCs w:val="24"/>
        </w:rPr>
        <w:t xml:space="preserve"> almighty Allah bless you with long life and good health</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  </w:t>
      </w:r>
    </w:p>
    <w:p w:rsidR="001F432F" w:rsidRPr="00FC6538" w:rsidRDefault="001F432F" w:rsidP="001F432F">
      <w:pPr>
        <w:spacing w:line="360" w:lineRule="auto"/>
        <w:jc w:val="both"/>
        <w:rPr>
          <w:rFonts w:ascii="Tahoma" w:hAnsi="Tahoma" w:cs="Tahoma"/>
          <w:sz w:val="24"/>
          <w:szCs w:val="24"/>
        </w:rPr>
      </w:pPr>
      <w:r w:rsidRPr="00FC6538">
        <w:rPr>
          <w:rFonts w:ascii="Tahoma" w:hAnsi="Tahoma" w:cs="Tahoma"/>
          <w:sz w:val="24"/>
          <w:szCs w:val="24"/>
        </w:rPr>
        <w:t xml:space="preserve">May almighty Allah be with you </w:t>
      </w:r>
      <w:proofErr w:type="gramStart"/>
      <w:r w:rsidRPr="00FC6538">
        <w:rPr>
          <w:rFonts w:ascii="Tahoma" w:hAnsi="Tahoma" w:cs="Tahoma"/>
          <w:sz w:val="24"/>
          <w:szCs w:val="24"/>
        </w:rPr>
        <w:t>all</w:t>
      </w:r>
      <w:proofErr w:type="gramEnd"/>
    </w:p>
    <w:p w:rsidR="001F432F" w:rsidRPr="00FC6538" w:rsidRDefault="001F432F" w:rsidP="001F432F">
      <w:pPr>
        <w:spacing w:line="360" w:lineRule="auto"/>
        <w:jc w:val="both"/>
        <w:rPr>
          <w:rFonts w:ascii="Tahoma" w:hAnsi="Tahoma" w:cs="Tahoma"/>
          <w:sz w:val="24"/>
          <w:szCs w:val="24"/>
        </w:rPr>
      </w:pPr>
    </w:p>
    <w:p w:rsidR="001F432F" w:rsidRPr="00FC6538" w:rsidRDefault="001F432F" w:rsidP="001F432F">
      <w:pPr>
        <w:spacing w:line="360" w:lineRule="auto"/>
        <w:jc w:val="both"/>
        <w:rPr>
          <w:rFonts w:ascii="Tahoma" w:hAnsi="Tahoma" w:cs="Tahoma"/>
          <w:sz w:val="24"/>
          <w:szCs w:val="24"/>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Pr="00214AAD" w:rsidRDefault="001F432F" w:rsidP="001F432F">
      <w:pPr>
        <w:spacing w:before="240" w:line="360" w:lineRule="auto"/>
        <w:jc w:val="center"/>
        <w:rPr>
          <w:rFonts w:ascii="Tahoma" w:hAnsi="Tahoma" w:cs="Tahoma"/>
          <w:b/>
          <w:sz w:val="24"/>
          <w:szCs w:val="24"/>
        </w:rPr>
      </w:pPr>
      <w:r w:rsidRPr="00214AAD">
        <w:rPr>
          <w:rFonts w:ascii="Tahoma" w:hAnsi="Tahoma" w:cs="Tahoma"/>
          <w:b/>
          <w:sz w:val="24"/>
          <w:szCs w:val="24"/>
          <w:lang w:val="en-US"/>
        </w:rPr>
        <w:lastRenderedPageBreak/>
        <w:t>ABSTRACT</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1F432F" w:rsidRDefault="001F432F" w:rsidP="001F432F"/>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r>
        <w:rPr>
          <w:rFonts w:ascii="Tahoma" w:hAnsi="Tahoma" w:cs="Tahoma"/>
          <w:b/>
          <w:sz w:val="24"/>
          <w:szCs w:val="24"/>
          <w:lang w:val="en-US"/>
        </w:rPr>
        <w:lastRenderedPageBreak/>
        <w:t>TABLE OF CONTENTS:</w:t>
      </w: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1F432F"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1F432F"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1F432F" w:rsidRPr="00A339C4"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1F432F" w:rsidRPr="00A339C4" w:rsidRDefault="001F432F" w:rsidP="001F432F">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1F432F"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F432F" w:rsidRPr="00A339C4"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1F432F" w:rsidRPr="00DE6BEB" w:rsidRDefault="001F432F" w:rsidP="001F432F">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1F432F" w:rsidRPr="00A339C4" w:rsidRDefault="001F432F" w:rsidP="001F432F">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1F432F" w:rsidRPr="00A339C4" w:rsidRDefault="001F432F" w:rsidP="001F432F">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1F432F" w:rsidRPr="00A339C4" w:rsidRDefault="001F432F" w:rsidP="001F432F">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1F432F" w:rsidRDefault="001F432F" w:rsidP="001F432F">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1F432F" w:rsidRPr="00DE6BEB" w:rsidRDefault="001F432F" w:rsidP="001F432F">
      <w:pPr>
        <w:spacing w:before="240" w:after="240" w:line="360" w:lineRule="auto"/>
        <w:rPr>
          <w:rFonts w:ascii="Tahoma" w:hAnsi="Tahoma" w:cs="Tahoma"/>
          <w:b/>
          <w:sz w:val="24"/>
          <w:szCs w:val="24"/>
        </w:rPr>
        <w:sectPr w:rsidR="001F432F" w:rsidRPr="00DE6BEB" w:rsidSect="00D9036B">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1F432F" w:rsidRDefault="001F432F" w:rsidP="001F432F">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38" w:rsidRDefault="00FC6538" w:rsidP="001A3F9B">
      <w:pPr>
        <w:spacing w:line="240" w:lineRule="auto"/>
      </w:pPr>
      <w:r>
        <w:separator/>
      </w:r>
    </w:p>
  </w:endnote>
  <w:endnote w:type="continuationSeparator" w:id="1">
    <w:p w:rsidR="00FC6538" w:rsidRDefault="00FC6538"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0"/>
      <w:docPartObj>
        <w:docPartGallery w:val="Page Numbers (Bottom of Page)"/>
        <w:docPartUnique/>
      </w:docPartObj>
    </w:sdtPr>
    <w:sdtContent>
      <w:p w:rsidR="001F432F" w:rsidRDefault="001F432F">
        <w:pPr>
          <w:pStyle w:val="Footer"/>
          <w:jc w:val="center"/>
        </w:pPr>
        <w:fldSimple w:instr=" PAGE   \* MERGEFORMAT ">
          <w:r w:rsidR="001D257A">
            <w:rPr>
              <w:noProof/>
            </w:rPr>
            <w:t>i</w:t>
          </w:r>
        </w:fldSimple>
      </w:p>
    </w:sdtContent>
  </w:sdt>
  <w:p w:rsidR="001F432F" w:rsidRDefault="001F4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E6235E" w:rsidRDefault="00E6235E">
        <w:pPr>
          <w:pStyle w:val="Footer"/>
          <w:jc w:val="center"/>
        </w:pPr>
        <w:fldSimple w:instr=" PAGE   \* MERGEFORMAT ">
          <w:r w:rsidR="001D257A">
            <w:rPr>
              <w:noProof/>
            </w:rPr>
            <w:t>48</w:t>
          </w:r>
        </w:fldSimple>
      </w:p>
    </w:sdtContent>
  </w:sdt>
  <w:p w:rsidR="00E6235E" w:rsidRDefault="00E623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FC6538" w:rsidRDefault="00FC6538">
        <w:pPr>
          <w:pStyle w:val="Footer"/>
          <w:jc w:val="center"/>
        </w:pPr>
        <w:fldSimple w:instr=" PAGE   \* MERGEFORMAT ">
          <w:r w:rsidR="001D257A">
            <w:rPr>
              <w:noProof/>
            </w:rPr>
            <w:t>54</w:t>
          </w:r>
        </w:fldSimple>
      </w:p>
    </w:sdtContent>
  </w:sdt>
  <w:p w:rsidR="00FC6538" w:rsidRDefault="00FC6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38" w:rsidRDefault="00FC6538" w:rsidP="001A3F9B">
      <w:pPr>
        <w:spacing w:line="240" w:lineRule="auto"/>
      </w:pPr>
      <w:r>
        <w:separator/>
      </w:r>
    </w:p>
  </w:footnote>
  <w:footnote w:type="continuationSeparator" w:id="1">
    <w:p w:rsidR="00FC6538" w:rsidRDefault="00FC6538"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111126"/>
    <w:rsid w:val="00136BBF"/>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C6421"/>
    <w:rsid w:val="00733E4E"/>
    <w:rsid w:val="007372CE"/>
    <w:rsid w:val="00762F56"/>
    <w:rsid w:val="007646A1"/>
    <w:rsid w:val="00767280"/>
    <w:rsid w:val="007B4F47"/>
    <w:rsid w:val="007C0227"/>
    <w:rsid w:val="007E4C77"/>
    <w:rsid w:val="007F7E37"/>
    <w:rsid w:val="00801DFD"/>
    <w:rsid w:val="008034CB"/>
    <w:rsid w:val="00863283"/>
    <w:rsid w:val="00892ABF"/>
    <w:rsid w:val="008A44FD"/>
    <w:rsid w:val="008E6DEB"/>
    <w:rsid w:val="008F11C3"/>
    <w:rsid w:val="00925A64"/>
    <w:rsid w:val="00933204"/>
    <w:rsid w:val="0096011D"/>
    <w:rsid w:val="00960416"/>
    <w:rsid w:val="009751C3"/>
    <w:rsid w:val="009B5ADA"/>
    <w:rsid w:val="009C7EE5"/>
    <w:rsid w:val="009D57D2"/>
    <w:rsid w:val="00A25FC4"/>
    <w:rsid w:val="00A51ACF"/>
    <w:rsid w:val="00A84C8B"/>
    <w:rsid w:val="00AE79E3"/>
    <w:rsid w:val="00AF4834"/>
    <w:rsid w:val="00B07E61"/>
    <w:rsid w:val="00B57D96"/>
    <w:rsid w:val="00B84E86"/>
    <w:rsid w:val="00BB2F92"/>
    <w:rsid w:val="00BB52EF"/>
    <w:rsid w:val="00BB55CD"/>
    <w:rsid w:val="00BD7155"/>
    <w:rsid w:val="00C00BB6"/>
    <w:rsid w:val="00C01B00"/>
    <w:rsid w:val="00C160EC"/>
    <w:rsid w:val="00C402DD"/>
    <w:rsid w:val="00C46D8C"/>
    <w:rsid w:val="00C71C39"/>
    <w:rsid w:val="00CD661C"/>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54</Pages>
  <Words>8653</Words>
  <Characters>49323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120</cp:revision>
  <cp:lastPrinted>2025-07-11T13:59:00Z</cp:lastPrinted>
  <dcterms:created xsi:type="dcterms:W3CDTF">2024-12-15T21:42:00Z</dcterms:created>
  <dcterms:modified xsi:type="dcterms:W3CDTF">2025-07-11T14:01:00Z</dcterms:modified>
</cp:coreProperties>
</file>