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E342" w14:textId="77777777"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2A04171F" wp14:editId="79F7D9A6">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4BC630B2"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0D46EEB7"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754091FB" w14:textId="77777777"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14:paraId="492D5088"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6A773F1B" w14:textId="77777777" w:rsidR="00E2796F" w:rsidRPr="005B34E4" w:rsidRDefault="00E2796F" w:rsidP="00E2796F">
      <w:pPr>
        <w:tabs>
          <w:tab w:val="left" w:pos="720"/>
        </w:tabs>
        <w:spacing w:line="276" w:lineRule="auto"/>
        <w:rPr>
          <w:rFonts w:asciiTheme="majorBidi" w:hAnsiTheme="majorBidi" w:cstheme="majorBidi"/>
          <w:b/>
          <w:color w:val="000000"/>
          <w:sz w:val="24"/>
          <w:szCs w:val="24"/>
        </w:rPr>
      </w:pPr>
    </w:p>
    <w:p w14:paraId="7BBCD682" w14:textId="36E1A62F" w:rsidR="00E2796F" w:rsidRPr="005B34E4" w:rsidRDefault="005A1D03"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ABDULRAHMON KEHINDE TEMITOPE </w:t>
      </w:r>
    </w:p>
    <w:p w14:paraId="167E220E" w14:textId="5683E5A7" w:rsidR="00E2796F" w:rsidRPr="005B34E4" w:rsidRDefault="00FD20F5"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HND/23/SLT/FT/0468</w:t>
      </w:r>
    </w:p>
    <w:p w14:paraId="7FED2B0E"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4899AC39"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14:paraId="4A70F560"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6A824894"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23273467"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14:paraId="321216B4"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7AFDD592" w14:textId="0E912B03"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w:t>
      </w:r>
      <w:r w:rsidR="00323F52">
        <w:rPr>
          <w:rFonts w:ascii="Times New Roman" w:hAnsi="Times New Roman" w:cs="Times New Roman"/>
          <w:b/>
          <w:bCs/>
          <w:sz w:val="24"/>
          <w:szCs w:val="24"/>
        </w:rPr>
        <w:t>ABDULLAHI</w:t>
      </w:r>
      <w:r w:rsidRPr="005B34E4">
        <w:rPr>
          <w:rFonts w:ascii="Times New Roman" w:hAnsi="Times New Roman" w:cs="Times New Roman"/>
          <w:b/>
          <w:bCs/>
          <w:sz w:val="24"/>
          <w:szCs w:val="24"/>
        </w:rPr>
        <w:t xml:space="preserve"> M.N </w:t>
      </w:r>
    </w:p>
    <w:p w14:paraId="76F74E9A" w14:textId="77777777"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088F60DC" w14:textId="77777777" w:rsidR="00E2796F" w:rsidRDefault="00E2796F" w:rsidP="007E2F1E">
      <w:pPr>
        <w:jc w:val="center"/>
        <w:rPr>
          <w:rFonts w:asciiTheme="majorBidi" w:hAnsiTheme="majorBidi" w:cstheme="majorBidi"/>
          <w:b/>
          <w:bCs/>
          <w:sz w:val="28"/>
          <w:szCs w:val="28"/>
        </w:rPr>
      </w:pPr>
    </w:p>
    <w:p w14:paraId="7F839596"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760E8823"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26898F18"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891"/>
      <w:r w:rsidRPr="00330498">
        <w:rPr>
          <w:rFonts w:asciiTheme="majorBidi" w:hAnsiTheme="majorBidi"/>
          <w:b/>
          <w:bCs/>
          <w:color w:val="auto"/>
          <w:sz w:val="28"/>
          <w:szCs w:val="28"/>
        </w:rPr>
        <w:t>CERTIFICATION</w:t>
      </w:r>
      <w:bookmarkEnd w:id="1"/>
      <w:bookmarkEnd w:id="2"/>
    </w:p>
    <w:p w14:paraId="0643403F" w14:textId="5C9C02B1" w:rsidR="004D7EB2" w:rsidRDefault="004D7EB2" w:rsidP="004D7E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w:t>
      </w:r>
      <w:r w:rsidR="00A87C39">
        <w:rPr>
          <w:rFonts w:ascii="Times New Roman" w:eastAsia="Times New Roman" w:hAnsi="Times New Roman" w:cs="Times New Roman"/>
          <w:sz w:val="24"/>
          <w:szCs w:val="24"/>
        </w:rPr>
        <w:t xml:space="preserve">ABDULRAHMON KEHINDE TEMITOPE </w:t>
      </w:r>
      <w:r>
        <w:rPr>
          <w:rFonts w:ascii="Times New Roman" w:eastAsia="Times New Roman" w:hAnsi="Times New Roman" w:cs="Times New Roman"/>
          <w:sz w:val="24"/>
          <w:szCs w:val="24"/>
        </w:rPr>
        <w:t>’ with Matriculation Number ‘</w:t>
      </w:r>
      <w:r w:rsidR="007B24ED">
        <w:rPr>
          <w:rFonts w:ascii="Times New Roman" w:eastAsia="Times New Roman" w:hAnsi="Times New Roman" w:cs="Times New Roman"/>
          <w:sz w:val="24"/>
          <w:szCs w:val="24"/>
        </w:rPr>
        <w:t>HND/23/</w:t>
      </w:r>
      <w:r w:rsidR="00DD637F">
        <w:rPr>
          <w:rFonts w:ascii="Times New Roman" w:eastAsia="Times New Roman" w:hAnsi="Times New Roman" w:cs="Times New Roman"/>
          <w:sz w:val="24"/>
          <w:szCs w:val="24"/>
        </w:rPr>
        <w:t>SLT/FT/0468</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5D047106" w14:textId="77777777"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14:paraId="0E70DF9B" w14:textId="77777777"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1B3EEA6B" w14:textId="77777777"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57B3CBAF"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2799D6FC"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53D9564A" w14:textId="77777777"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53D03F6E" w14:textId="77777777"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771E4409" w14:textId="77777777" w:rsidR="004D7EB2" w:rsidRPr="00CD00E4" w:rsidRDefault="004D7EB2" w:rsidP="004D7EB2">
      <w:pPr>
        <w:spacing w:line="240" w:lineRule="auto"/>
        <w:jc w:val="both"/>
        <w:rPr>
          <w:rFonts w:ascii="Times New Roman" w:hAnsi="Times New Roman"/>
          <w:sz w:val="24"/>
          <w:szCs w:val="24"/>
        </w:rPr>
      </w:pPr>
    </w:p>
    <w:p w14:paraId="5F250EBE"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2BB38A6F" w14:textId="77777777"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21D27E05" w14:textId="77777777"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23395A6A" w14:textId="77777777"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14:paraId="6A4E4AC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896BB6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9A16BB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0AD1B07" w14:textId="77777777"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14:paraId="7BF29815" w14:textId="77777777"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14:paraId="24C154D8" w14:textId="77777777" w:rsidR="007E2F1E" w:rsidRDefault="007E2F1E" w:rsidP="007E2F1E">
      <w:pPr>
        <w:pStyle w:val="Heading1"/>
        <w:jc w:val="center"/>
        <w:rPr>
          <w:rFonts w:asciiTheme="majorBidi" w:hAnsiTheme="majorBidi"/>
          <w:b/>
          <w:bCs/>
          <w:color w:val="auto"/>
          <w:sz w:val="28"/>
          <w:szCs w:val="28"/>
        </w:rPr>
      </w:pPr>
      <w:bookmarkStart w:id="3" w:name="_Toc198482801"/>
      <w:bookmarkStart w:id="4" w:name="_Toc202853892"/>
      <w:r w:rsidRPr="00330498">
        <w:rPr>
          <w:rFonts w:asciiTheme="majorBidi" w:hAnsiTheme="majorBidi"/>
          <w:b/>
          <w:bCs/>
          <w:color w:val="auto"/>
          <w:sz w:val="28"/>
          <w:szCs w:val="28"/>
        </w:rPr>
        <w:t>DEDICATION</w:t>
      </w:r>
      <w:bookmarkEnd w:id="3"/>
      <w:bookmarkEnd w:id="4"/>
    </w:p>
    <w:p w14:paraId="3FB902DF" w14:textId="77777777" w:rsidR="00F3166A" w:rsidRDefault="00F3166A" w:rsidP="00F3166A"/>
    <w:p w14:paraId="72DFA4BF" w14:textId="77777777" w:rsidR="00F3166A" w:rsidRDefault="00F3166A" w:rsidP="00F3166A"/>
    <w:p w14:paraId="760335B8" w14:textId="37AFEB38" w:rsidR="00F3166A" w:rsidRPr="00C730E9" w:rsidRDefault="00F3166A" w:rsidP="00F3166A">
      <w:pPr>
        <w:rPr>
          <w:sz w:val="24"/>
          <w:szCs w:val="24"/>
        </w:rPr>
      </w:pPr>
      <w:r w:rsidRPr="00C730E9">
        <w:rPr>
          <w:sz w:val="24"/>
          <w:szCs w:val="24"/>
        </w:rPr>
        <w:t>I dedicate this project work to Almighty God who begin this work with me and made the success of it to an end.</w:t>
      </w:r>
    </w:p>
    <w:p w14:paraId="0D35C549" w14:textId="77777777" w:rsidR="00F3166A" w:rsidRPr="00C730E9" w:rsidRDefault="00F3166A" w:rsidP="00F3166A">
      <w:pPr>
        <w:rPr>
          <w:sz w:val="24"/>
          <w:szCs w:val="24"/>
        </w:rPr>
      </w:pPr>
      <w:r w:rsidRPr="00C730E9">
        <w:rPr>
          <w:sz w:val="24"/>
          <w:szCs w:val="24"/>
        </w:rPr>
        <w:t xml:space="preserve">I also dedicate this work to my beloved parent </w:t>
      </w:r>
      <w:proofErr w:type="spellStart"/>
      <w:r w:rsidRPr="00C730E9">
        <w:rPr>
          <w:sz w:val="24"/>
          <w:szCs w:val="24"/>
        </w:rPr>
        <w:t>Mr</w:t>
      </w:r>
      <w:proofErr w:type="spellEnd"/>
      <w:r w:rsidRPr="00C730E9">
        <w:rPr>
          <w:sz w:val="24"/>
          <w:szCs w:val="24"/>
        </w:rPr>
        <w:t xml:space="preserve"> and </w:t>
      </w:r>
      <w:proofErr w:type="spellStart"/>
      <w:r w:rsidRPr="00C730E9">
        <w:rPr>
          <w:sz w:val="24"/>
          <w:szCs w:val="24"/>
        </w:rPr>
        <w:t>Mrs</w:t>
      </w:r>
      <w:proofErr w:type="spellEnd"/>
      <w:r w:rsidRPr="00C730E9">
        <w:rPr>
          <w:sz w:val="24"/>
          <w:szCs w:val="24"/>
        </w:rPr>
        <w:t xml:space="preserve"> </w:t>
      </w:r>
      <w:proofErr w:type="spellStart"/>
      <w:r w:rsidRPr="00C730E9">
        <w:rPr>
          <w:sz w:val="24"/>
          <w:szCs w:val="24"/>
        </w:rPr>
        <w:t>Abdulrahmon</w:t>
      </w:r>
      <w:proofErr w:type="spellEnd"/>
      <w:r w:rsidRPr="00C730E9">
        <w:rPr>
          <w:sz w:val="24"/>
          <w:szCs w:val="24"/>
        </w:rPr>
        <w:t xml:space="preserve"> who finance and support me academically to achieve my aim. </w:t>
      </w:r>
    </w:p>
    <w:p w14:paraId="62DE43FB" w14:textId="77777777" w:rsidR="00F3166A" w:rsidRPr="00C730E9" w:rsidRDefault="00F3166A" w:rsidP="00F3166A">
      <w:pPr>
        <w:rPr>
          <w:sz w:val="24"/>
          <w:szCs w:val="24"/>
        </w:rPr>
      </w:pPr>
    </w:p>
    <w:p w14:paraId="03E2D273" w14:textId="77777777" w:rsidR="00F3166A" w:rsidRPr="00F3166A" w:rsidRDefault="00F3166A" w:rsidP="00F3166A"/>
    <w:p w14:paraId="2C975AD3" w14:textId="77777777" w:rsidR="00572797" w:rsidRDefault="00572797" w:rsidP="00572797"/>
    <w:p w14:paraId="60307ECC" w14:textId="77777777" w:rsidR="00572797" w:rsidRPr="00572797" w:rsidRDefault="00572797" w:rsidP="00572797"/>
    <w:p w14:paraId="27E095A6"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6DD9B71A"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4524A5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3F9F89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7C299A9"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5F8DDC4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0499C7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3044BF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6E1ED5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45ACA19"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A07E10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B4F6E27" w14:textId="77777777" w:rsidR="00425BFC" w:rsidRDefault="00425BFC"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141AE00"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7FBD1C0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4EA07B3" w14:textId="77777777" w:rsidR="007E2F1E" w:rsidRDefault="007E2F1E" w:rsidP="007E2F1E">
      <w:pPr>
        <w:pStyle w:val="Heading1"/>
        <w:jc w:val="center"/>
        <w:rPr>
          <w:rFonts w:asciiTheme="majorBidi" w:hAnsiTheme="majorBidi"/>
          <w:b/>
          <w:bCs/>
          <w:color w:val="auto"/>
          <w:sz w:val="28"/>
          <w:szCs w:val="28"/>
        </w:rPr>
      </w:pPr>
      <w:bookmarkStart w:id="5" w:name="_Toc198482802"/>
      <w:bookmarkStart w:id="6" w:name="_Toc202853893"/>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14:paraId="6D74CCD6" w14:textId="77777777" w:rsidR="00C1582F" w:rsidRDefault="00C1582F" w:rsidP="00C1582F"/>
    <w:p w14:paraId="2AF8DD70" w14:textId="77777777" w:rsidR="00C1582F" w:rsidRPr="00003E84" w:rsidRDefault="00C1582F" w:rsidP="00C1582F">
      <w:pPr>
        <w:rPr>
          <w:sz w:val="24"/>
          <w:szCs w:val="24"/>
        </w:rPr>
      </w:pPr>
      <w:r w:rsidRPr="00003E84">
        <w:rPr>
          <w:sz w:val="24"/>
          <w:szCs w:val="24"/>
        </w:rPr>
        <w:t>Surely all praise is for Almighty God, the lord of the universe. I thank him for given me strength and idea for doing this project, without him nothing would have being possible. He is the creator and Giver of knowledge, wisdom and ideal that make the things possible. I thank him for his protection and guidance always. I seek his forgiveness and refuge in him from the evil he has created.</w:t>
      </w:r>
    </w:p>
    <w:p w14:paraId="328E901D" w14:textId="60686C25" w:rsidR="00C1582F" w:rsidRPr="00003E84" w:rsidRDefault="00C1582F" w:rsidP="00C1582F">
      <w:pPr>
        <w:rPr>
          <w:sz w:val="24"/>
          <w:szCs w:val="24"/>
        </w:rPr>
      </w:pPr>
      <w:r w:rsidRPr="00003E84">
        <w:rPr>
          <w:sz w:val="24"/>
          <w:szCs w:val="24"/>
        </w:rPr>
        <w:t xml:space="preserve">I also thank my supervisor </w:t>
      </w:r>
      <w:r w:rsidR="00D90BA7" w:rsidRPr="00D90BA7">
        <w:rPr>
          <w:sz w:val="24"/>
          <w:szCs w:val="24"/>
        </w:rPr>
        <w:t xml:space="preserve">Mr. </w:t>
      </w:r>
      <w:proofErr w:type="spellStart"/>
      <w:r w:rsidR="00D90BA7" w:rsidRPr="00D90BA7">
        <w:rPr>
          <w:sz w:val="24"/>
          <w:szCs w:val="24"/>
        </w:rPr>
        <w:t>Abdullahi</w:t>
      </w:r>
      <w:proofErr w:type="spellEnd"/>
      <w:r w:rsidR="00D90BA7" w:rsidRPr="00D90BA7">
        <w:rPr>
          <w:sz w:val="24"/>
          <w:szCs w:val="24"/>
        </w:rPr>
        <w:t xml:space="preserve"> M.N.</w:t>
      </w:r>
      <w:r w:rsidR="005433D5">
        <w:rPr>
          <w:sz w:val="24"/>
          <w:szCs w:val="24"/>
        </w:rPr>
        <w:t xml:space="preserve"> for</w:t>
      </w:r>
      <w:r w:rsidRPr="00003E84">
        <w:rPr>
          <w:sz w:val="24"/>
          <w:szCs w:val="24"/>
        </w:rPr>
        <w:t xml:space="preserve"> his leadership style of a conducive and uninterrupted work of this project. I give credit and kudos to all lecturers of this unique and great Department of science Laboratory Technology (Microbiology Unit). </w:t>
      </w:r>
    </w:p>
    <w:p w14:paraId="5CE6527F" w14:textId="562D9071" w:rsidR="00C1582F" w:rsidRPr="00003E84" w:rsidRDefault="00C1582F" w:rsidP="00C1582F">
      <w:pPr>
        <w:rPr>
          <w:sz w:val="24"/>
          <w:szCs w:val="24"/>
        </w:rPr>
      </w:pPr>
      <w:r w:rsidRPr="00003E84">
        <w:rPr>
          <w:sz w:val="24"/>
          <w:szCs w:val="24"/>
        </w:rPr>
        <w:t>To my wonderful family, especially my parent and siblings, I thank you for your massive support, patience and encouragement.</w:t>
      </w:r>
      <w:r w:rsidR="009F2E4D">
        <w:rPr>
          <w:sz w:val="24"/>
          <w:szCs w:val="24"/>
        </w:rPr>
        <w:t xml:space="preserve"> </w:t>
      </w:r>
      <w:r w:rsidR="008E0C45">
        <w:rPr>
          <w:sz w:val="24"/>
          <w:szCs w:val="24"/>
        </w:rPr>
        <w:t>Your</w:t>
      </w:r>
      <w:r w:rsidRPr="00003E84">
        <w:rPr>
          <w:sz w:val="24"/>
          <w:szCs w:val="24"/>
        </w:rPr>
        <w:t xml:space="preserve"> prayers have been a source of strength for me.</w:t>
      </w:r>
    </w:p>
    <w:p w14:paraId="5F72AF1B" w14:textId="2BDBE2B4" w:rsidR="00C1582F" w:rsidRPr="00003E84" w:rsidRDefault="00C1582F" w:rsidP="00C1582F">
      <w:pPr>
        <w:rPr>
          <w:sz w:val="24"/>
          <w:szCs w:val="24"/>
        </w:rPr>
      </w:pPr>
      <w:r w:rsidRPr="00003E84">
        <w:rPr>
          <w:sz w:val="24"/>
          <w:szCs w:val="24"/>
        </w:rPr>
        <w:t>Thanks to everyone who has contributed to this project in one way or the other.</w:t>
      </w:r>
      <w:r w:rsidR="00AB1E7A">
        <w:rPr>
          <w:sz w:val="24"/>
          <w:szCs w:val="24"/>
        </w:rPr>
        <w:t xml:space="preserve"> May</w:t>
      </w:r>
      <w:r w:rsidRPr="00003E84">
        <w:rPr>
          <w:sz w:val="24"/>
          <w:szCs w:val="24"/>
        </w:rPr>
        <w:t xml:space="preserve"> Almighty Allah reward you for your kindness and support.</w:t>
      </w:r>
    </w:p>
    <w:p w14:paraId="4DB47E7E" w14:textId="77777777" w:rsidR="00C1582F" w:rsidRDefault="00C1582F" w:rsidP="00C1582F"/>
    <w:p w14:paraId="20657FE4" w14:textId="77777777" w:rsidR="00C1582F" w:rsidRPr="00C1582F" w:rsidRDefault="00C1582F" w:rsidP="00C1582F"/>
    <w:p w14:paraId="713623EF" w14:textId="77777777"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14:paraId="450D73B9" w14:textId="77777777" w:rsidR="00B0493F" w:rsidRDefault="00B0493F" w:rsidP="00B0493F">
      <w:pPr>
        <w:spacing w:line="480" w:lineRule="auto"/>
        <w:ind w:firstLine="720"/>
        <w:jc w:val="both"/>
        <w:rPr>
          <w:rFonts w:ascii="Times New Roman" w:eastAsia="Calibri" w:hAnsi="Times New Roman" w:cs="SimSun"/>
          <w:sz w:val="24"/>
          <w:szCs w:val="24"/>
        </w:rPr>
      </w:pPr>
    </w:p>
    <w:p w14:paraId="301D4943" w14:textId="77777777" w:rsidR="00B0493F" w:rsidRDefault="00B0493F" w:rsidP="00B0493F">
      <w:pPr>
        <w:spacing w:line="480" w:lineRule="auto"/>
        <w:ind w:firstLine="720"/>
        <w:jc w:val="both"/>
        <w:rPr>
          <w:rFonts w:ascii="Times New Roman" w:eastAsia="Calibri" w:hAnsi="Times New Roman" w:cs="SimSun"/>
          <w:sz w:val="24"/>
          <w:szCs w:val="24"/>
        </w:rPr>
      </w:pPr>
    </w:p>
    <w:p w14:paraId="6E906CFF" w14:textId="77777777" w:rsidR="00B0493F" w:rsidRDefault="00B0493F" w:rsidP="00B0493F">
      <w:pPr>
        <w:spacing w:line="480" w:lineRule="auto"/>
        <w:ind w:firstLine="720"/>
        <w:jc w:val="both"/>
        <w:rPr>
          <w:rFonts w:ascii="Times New Roman" w:eastAsia="Calibri" w:hAnsi="Times New Roman" w:cs="SimSun"/>
          <w:sz w:val="24"/>
          <w:szCs w:val="24"/>
        </w:rPr>
      </w:pPr>
    </w:p>
    <w:p w14:paraId="35B274CA" w14:textId="77777777" w:rsidR="00B0493F" w:rsidRDefault="00B0493F" w:rsidP="00B0493F">
      <w:pPr>
        <w:spacing w:line="480" w:lineRule="auto"/>
        <w:ind w:firstLine="720"/>
        <w:jc w:val="both"/>
        <w:rPr>
          <w:rFonts w:ascii="Times New Roman" w:eastAsia="Calibri" w:hAnsi="Times New Roman" w:cs="SimSun"/>
          <w:sz w:val="24"/>
          <w:szCs w:val="24"/>
        </w:rPr>
      </w:pPr>
    </w:p>
    <w:p w14:paraId="1A37307E" w14:textId="77777777" w:rsidR="00B0493F" w:rsidRDefault="00B0493F" w:rsidP="00B0493F">
      <w:pPr>
        <w:spacing w:line="480" w:lineRule="auto"/>
        <w:ind w:firstLine="720"/>
        <w:jc w:val="both"/>
        <w:rPr>
          <w:rFonts w:ascii="Times New Roman" w:eastAsia="Calibri" w:hAnsi="Times New Roman" w:cs="SimSun"/>
          <w:sz w:val="24"/>
          <w:szCs w:val="24"/>
        </w:rPr>
      </w:pPr>
    </w:p>
    <w:p w14:paraId="524C13B6" w14:textId="77777777" w:rsidR="00B0493F" w:rsidRDefault="00B0493F" w:rsidP="00B0493F">
      <w:pPr>
        <w:spacing w:line="480" w:lineRule="auto"/>
        <w:ind w:firstLine="720"/>
        <w:jc w:val="both"/>
        <w:rPr>
          <w:rFonts w:ascii="Times New Roman" w:eastAsia="Calibri" w:hAnsi="Times New Roman" w:cs="SimSun"/>
          <w:sz w:val="24"/>
          <w:szCs w:val="24"/>
        </w:rPr>
      </w:pPr>
    </w:p>
    <w:p w14:paraId="4B9D00F6" w14:textId="77777777" w:rsidR="007E2F1E" w:rsidRDefault="007E2F1E" w:rsidP="00B0493F">
      <w:pPr>
        <w:spacing w:line="480" w:lineRule="auto"/>
        <w:ind w:firstLine="720"/>
        <w:jc w:val="both"/>
        <w:rPr>
          <w:rFonts w:ascii="Times New Roman" w:eastAsia="Calibri" w:hAnsi="Times New Roman" w:cs="SimSun"/>
          <w:sz w:val="24"/>
          <w:szCs w:val="24"/>
        </w:rPr>
      </w:pPr>
    </w:p>
    <w:p w14:paraId="613AC105" w14:textId="77777777" w:rsidR="007E2F1E" w:rsidRDefault="007E2F1E" w:rsidP="00B0493F">
      <w:pPr>
        <w:spacing w:line="480" w:lineRule="auto"/>
        <w:ind w:firstLine="720"/>
        <w:jc w:val="both"/>
        <w:rPr>
          <w:rFonts w:ascii="Times New Roman" w:eastAsia="Calibri" w:hAnsi="Times New Roman" w:cs="SimSun"/>
          <w:sz w:val="24"/>
          <w:szCs w:val="24"/>
        </w:rPr>
      </w:pPr>
    </w:p>
    <w:p w14:paraId="260BCCFC" w14:textId="77777777" w:rsidR="007E2F1E" w:rsidRDefault="007E2F1E" w:rsidP="00B0493F">
      <w:pPr>
        <w:spacing w:line="480" w:lineRule="auto"/>
        <w:ind w:firstLine="720"/>
        <w:jc w:val="both"/>
        <w:rPr>
          <w:rFonts w:ascii="Times New Roman" w:eastAsia="Calibri" w:hAnsi="Times New Roman" w:cs="SimSun"/>
          <w:sz w:val="24"/>
          <w:szCs w:val="24"/>
        </w:rPr>
      </w:pPr>
    </w:p>
    <w:p w14:paraId="2DC3B62A" w14:textId="77777777" w:rsidR="007E2F1E" w:rsidRDefault="007E2F1E" w:rsidP="00B0493F">
      <w:pPr>
        <w:spacing w:line="480" w:lineRule="auto"/>
        <w:ind w:firstLine="720"/>
        <w:jc w:val="both"/>
        <w:rPr>
          <w:rFonts w:ascii="Times New Roman" w:eastAsia="Calibri" w:hAnsi="Times New Roman" w:cs="SimSun"/>
          <w:sz w:val="24"/>
          <w:szCs w:val="24"/>
        </w:rPr>
      </w:pPr>
    </w:p>
    <w:p w14:paraId="48304233" w14:textId="77777777" w:rsidR="007E2F1E" w:rsidRDefault="007E2F1E" w:rsidP="00B0493F">
      <w:pPr>
        <w:spacing w:line="480" w:lineRule="auto"/>
        <w:ind w:firstLine="720"/>
        <w:jc w:val="both"/>
        <w:rPr>
          <w:rFonts w:ascii="Times New Roman" w:eastAsia="Calibri" w:hAnsi="Times New Roman" w:cs="SimSun"/>
          <w:sz w:val="24"/>
          <w:szCs w:val="24"/>
        </w:rPr>
      </w:pPr>
    </w:p>
    <w:p w14:paraId="7E68694D" w14:textId="77777777" w:rsidR="007E2F1E" w:rsidRDefault="007E2F1E" w:rsidP="00B0493F">
      <w:pPr>
        <w:spacing w:line="480" w:lineRule="auto"/>
        <w:ind w:firstLine="720"/>
        <w:jc w:val="both"/>
        <w:rPr>
          <w:rFonts w:ascii="Times New Roman" w:eastAsia="Calibri" w:hAnsi="Times New Roman" w:cs="SimSun"/>
          <w:sz w:val="24"/>
          <w:szCs w:val="24"/>
        </w:rPr>
      </w:pPr>
    </w:p>
    <w:p w14:paraId="069CB9D2" w14:textId="77777777" w:rsidR="007E2F1E" w:rsidRDefault="007E2F1E" w:rsidP="00B0493F">
      <w:pPr>
        <w:spacing w:line="480" w:lineRule="auto"/>
        <w:ind w:firstLine="720"/>
        <w:jc w:val="both"/>
        <w:rPr>
          <w:rFonts w:ascii="Times New Roman" w:eastAsia="Calibri" w:hAnsi="Times New Roman" w:cs="SimSun"/>
          <w:sz w:val="24"/>
          <w:szCs w:val="24"/>
        </w:rPr>
      </w:pPr>
    </w:p>
    <w:p w14:paraId="459150BB" w14:textId="77777777" w:rsidR="007E2F1E" w:rsidRDefault="007E2F1E" w:rsidP="00B0493F">
      <w:pPr>
        <w:spacing w:line="480" w:lineRule="auto"/>
        <w:ind w:firstLine="720"/>
        <w:jc w:val="both"/>
        <w:rPr>
          <w:rFonts w:ascii="Times New Roman" w:eastAsia="Calibri" w:hAnsi="Times New Roman" w:cs="SimSun"/>
          <w:sz w:val="24"/>
          <w:szCs w:val="24"/>
        </w:rPr>
      </w:pPr>
    </w:p>
    <w:p w14:paraId="72D2EC8C" w14:textId="77777777" w:rsidR="007E2F1E" w:rsidRDefault="007E2F1E" w:rsidP="00B0493F">
      <w:pPr>
        <w:spacing w:line="480" w:lineRule="auto"/>
        <w:ind w:firstLine="720"/>
        <w:jc w:val="both"/>
        <w:rPr>
          <w:rFonts w:ascii="Times New Roman" w:eastAsia="Calibri" w:hAnsi="Times New Roman" w:cs="SimSun"/>
          <w:sz w:val="24"/>
          <w:szCs w:val="24"/>
        </w:rPr>
      </w:pPr>
    </w:p>
    <w:p w14:paraId="20C9B62A" w14:textId="77777777" w:rsidR="007E2F1E" w:rsidRDefault="007E2F1E" w:rsidP="00B0493F">
      <w:pPr>
        <w:spacing w:line="480" w:lineRule="auto"/>
        <w:ind w:firstLine="720"/>
        <w:jc w:val="both"/>
        <w:rPr>
          <w:rFonts w:ascii="Times New Roman" w:eastAsia="Calibri" w:hAnsi="Times New Roman" w:cs="SimSun"/>
          <w:sz w:val="24"/>
          <w:szCs w:val="24"/>
        </w:rPr>
      </w:pPr>
    </w:p>
    <w:p w14:paraId="755E341C" w14:textId="77777777" w:rsidR="007E2F1E" w:rsidRDefault="007E2F1E" w:rsidP="00B0493F">
      <w:pPr>
        <w:spacing w:line="480" w:lineRule="auto"/>
        <w:ind w:firstLine="720"/>
        <w:jc w:val="both"/>
        <w:rPr>
          <w:rFonts w:ascii="Times New Roman" w:eastAsia="Calibri" w:hAnsi="Times New Roman" w:cs="SimSun"/>
          <w:sz w:val="24"/>
          <w:szCs w:val="24"/>
        </w:rPr>
      </w:pPr>
    </w:p>
    <w:p w14:paraId="3A02019F"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894"/>
      <w:r w:rsidRPr="00ED7516">
        <w:rPr>
          <w:rFonts w:asciiTheme="majorBidi" w:eastAsia="Calibri" w:hAnsiTheme="majorBidi"/>
          <w:b/>
          <w:bCs/>
          <w:color w:val="auto"/>
          <w:sz w:val="28"/>
          <w:szCs w:val="28"/>
        </w:rPr>
        <w:t>TABLE OF CONTENTS</w:t>
      </w:r>
      <w:bookmarkEnd w:id="7"/>
      <w:bookmarkEnd w:id="8"/>
    </w:p>
    <w:p w14:paraId="7A04F65E" w14:textId="77777777"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14:paraId="2B6C6A89" w14:textId="77777777" w:rsidR="000111B5" w:rsidRDefault="000111B5">
          <w:pPr>
            <w:pStyle w:val="TOCHeading"/>
          </w:pPr>
        </w:p>
        <w:p w14:paraId="793FE34E" w14:textId="77777777" w:rsidR="000111B5" w:rsidRDefault="00011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91" w:history="1">
            <w:r w:rsidRPr="00375BF4">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14:paraId="230029DD" w14:textId="77777777" w:rsidR="000111B5" w:rsidRDefault="000111B5">
          <w:pPr>
            <w:pStyle w:val="TOC1"/>
            <w:tabs>
              <w:tab w:val="right" w:leader="dot" w:pos="9350"/>
            </w:tabs>
            <w:rPr>
              <w:rFonts w:eastAsiaTheme="minorEastAsia"/>
              <w:noProof/>
            </w:rPr>
          </w:pPr>
          <w:hyperlink w:anchor="_Toc202853892" w:history="1">
            <w:r w:rsidRPr="00375BF4">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_Toc202853892 \h </w:instrText>
            </w:r>
            <w:r>
              <w:rPr>
                <w:noProof/>
                <w:webHidden/>
              </w:rPr>
            </w:r>
            <w:r>
              <w:rPr>
                <w:noProof/>
                <w:webHidden/>
              </w:rPr>
              <w:fldChar w:fldCharType="separate"/>
            </w:r>
            <w:r w:rsidR="00C438C2">
              <w:rPr>
                <w:noProof/>
                <w:webHidden/>
              </w:rPr>
              <w:t>iii</w:t>
            </w:r>
            <w:r>
              <w:rPr>
                <w:noProof/>
                <w:webHidden/>
              </w:rPr>
              <w:fldChar w:fldCharType="end"/>
            </w:r>
          </w:hyperlink>
        </w:p>
        <w:p w14:paraId="5852C6CB" w14:textId="77777777" w:rsidR="000111B5" w:rsidRDefault="000111B5">
          <w:pPr>
            <w:pStyle w:val="TOC1"/>
            <w:tabs>
              <w:tab w:val="right" w:leader="dot" w:pos="9350"/>
            </w:tabs>
            <w:rPr>
              <w:rFonts w:eastAsiaTheme="minorEastAsia"/>
              <w:noProof/>
            </w:rPr>
          </w:pPr>
          <w:hyperlink w:anchor="_Toc202853893" w:history="1">
            <w:r w:rsidRPr="00375BF4">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_Toc202853893 \h </w:instrText>
            </w:r>
            <w:r>
              <w:rPr>
                <w:noProof/>
                <w:webHidden/>
              </w:rPr>
            </w:r>
            <w:r>
              <w:rPr>
                <w:noProof/>
                <w:webHidden/>
              </w:rPr>
              <w:fldChar w:fldCharType="separate"/>
            </w:r>
            <w:r w:rsidR="00C438C2">
              <w:rPr>
                <w:noProof/>
                <w:webHidden/>
              </w:rPr>
              <w:t>iv</w:t>
            </w:r>
            <w:r>
              <w:rPr>
                <w:noProof/>
                <w:webHidden/>
              </w:rPr>
              <w:fldChar w:fldCharType="end"/>
            </w:r>
          </w:hyperlink>
        </w:p>
        <w:p w14:paraId="7AA14CD5" w14:textId="77777777" w:rsidR="000111B5" w:rsidRDefault="000111B5">
          <w:pPr>
            <w:pStyle w:val="TOC1"/>
            <w:tabs>
              <w:tab w:val="right" w:leader="dot" w:pos="9350"/>
            </w:tabs>
            <w:rPr>
              <w:rFonts w:eastAsiaTheme="minorEastAsia"/>
              <w:noProof/>
            </w:rPr>
          </w:pPr>
          <w:hyperlink w:anchor="_Toc202853894" w:history="1">
            <w:r w:rsidRPr="00375BF4">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_Toc202853894 \h </w:instrText>
            </w:r>
            <w:r>
              <w:rPr>
                <w:noProof/>
                <w:webHidden/>
              </w:rPr>
            </w:r>
            <w:r>
              <w:rPr>
                <w:noProof/>
                <w:webHidden/>
              </w:rPr>
              <w:fldChar w:fldCharType="separate"/>
            </w:r>
            <w:r w:rsidR="00C438C2">
              <w:rPr>
                <w:noProof/>
                <w:webHidden/>
              </w:rPr>
              <w:t>v</w:t>
            </w:r>
            <w:r>
              <w:rPr>
                <w:noProof/>
                <w:webHidden/>
              </w:rPr>
              <w:fldChar w:fldCharType="end"/>
            </w:r>
          </w:hyperlink>
        </w:p>
        <w:p w14:paraId="190D8795" w14:textId="77777777" w:rsidR="000111B5" w:rsidRDefault="000111B5">
          <w:pPr>
            <w:pStyle w:val="TOC1"/>
            <w:tabs>
              <w:tab w:val="right" w:leader="dot" w:pos="9350"/>
            </w:tabs>
            <w:rPr>
              <w:rFonts w:eastAsiaTheme="minorEastAsia"/>
              <w:noProof/>
            </w:rPr>
          </w:pPr>
          <w:hyperlink w:anchor="_Toc202853895" w:history="1">
            <w:r w:rsidRPr="00375BF4">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_Toc202853895 \h </w:instrText>
            </w:r>
            <w:r>
              <w:rPr>
                <w:noProof/>
                <w:webHidden/>
              </w:rPr>
            </w:r>
            <w:r>
              <w:rPr>
                <w:noProof/>
                <w:webHidden/>
              </w:rPr>
              <w:fldChar w:fldCharType="separate"/>
            </w:r>
            <w:r w:rsidR="00C438C2">
              <w:rPr>
                <w:noProof/>
                <w:webHidden/>
              </w:rPr>
              <w:t>vii</w:t>
            </w:r>
            <w:r>
              <w:rPr>
                <w:noProof/>
                <w:webHidden/>
              </w:rPr>
              <w:fldChar w:fldCharType="end"/>
            </w:r>
          </w:hyperlink>
        </w:p>
        <w:p w14:paraId="371730E0" w14:textId="77777777" w:rsidR="000111B5" w:rsidRDefault="000111B5">
          <w:pPr>
            <w:pStyle w:val="TOC1"/>
            <w:tabs>
              <w:tab w:val="right" w:leader="dot" w:pos="9350"/>
            </w:tabs>
            <w:rPr>
              <w:rFonts w:eastAsiaTheme="minorEastAsia"/>
              <w:noProof/>
            </w:rPr>
          </w:pPr>
          <w:hyperlink w:anchor="_Toc202853896" w:history="1">
            <w:r w:rsidRPr="00375BF4">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_Toc202853896 \h </w:instrText>
            </w:r>
            <w:r>
              <w:rPr>
                <w:noProof/>
                <w:webHidden/>
              </w:rPr>
            </w:r>
            <w:r>
              <w:rPr>
                <w:noProof/>
                <w:webHidden/>
              </w:rPr>
              <w:fldChar w:fldCharType="separate"/>
            </w:r>
            <w:r w:rsidR="00C438C2">
              <w:rPr>
                <w:noProof/>
                <w:webHidden/>
              </w:rPr>
              <w:t>7</w:t>
            </w:r>
            <w:r>
              <w:rPr>
                <w:noProof/>
                <w:webHidden/>
              </w:rPr>
              <w:fldChar w:fldCharType="end"/>
            </w:r>
          </w:hyperlink>
        </w:p>
        <w:p w14:paraId="0FBAE1BC" w14:textId="77777777" w:rsidR="000111B5" w:rsidRDefault="000111B5">
          <w:pPr>
            <w:pStyle w:val="TOC2"/>
            <w:tabs>
              <w:tab w:val="right" w:leader="dot" w:pos="9350"/>
            </w:tabs>
            <w:rPr>
              <w:rFonts w:eastAsiaTheme="minorEastAsia"/>
              <w:noProof/>
            </w:rPr>
          </w:pPr>
          <w:hyperlink w:anchor="_Toc202853897" w:history="1">
            <w:r w:rsidRPr="00375BF4">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_Toc202853897 \h </w:instrText>
            </w:r>
            <w:r>
              <w:rPr>
                <w:noProof/>
                <w:webHidden/>
              </w:rPr>
            </w:r>
            <w:r>
              <w:rPr>
                <w:noProof/>
                <w:webHidden/>
              </w:rPr>
              <w:fldChar w:fldCharType="separate"/>
            </w:r>
            <w:r w:rsidR="00C438C2">
              <w:rPr>
                <w:noProof/>
                <w:webHidden/>
              </w:rPr>
              <w:t>7</w:t>
            </w:r>
            <w:r>
              <w:rPr>
                <w:noProof/>
                <w:webHidden/>
              </w:rPr>
              <w:fldChar w:fldCharType="end"/>
            </w:r>
          </w:hyperlink>
        </w:p>
        <w:p w14:paraId="0F72B367" w14:textId="77777777" w:rsidR="000111B5" w:rsidRDefault="000111B5">
          <w:pPr>
            <w:pStyle w:val="TOC2"/>
            <w:tabs>
              <w:tab w:val="right" w:leader="dot" w:pos="9350"/>
            </w:tabs>
            <w:rPr>
              <w:rFonts w:eastAsiaTheme="minorEastAsia"/>
              <w:noProof/>
            </w:rPr>
          </w:pPr>
          <w:hyperlink w:anchor="_Toc202853898" w:history="1">
            <w:r w:rsidRPr="00375BF4">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_Toc202853898 \h </w:instrText>
            </w:r>
            <w:r>
              <w:rPr>
                <w:noProof/>
                <w:webHidden/>
              </w:rPr>
            </w:r>
            <w:r>
              <w:rPr>
                <w:noProof/>
                <w:webHidden/>
              </w:rPr>
              <w:fldChar w:fldCharType="separate"/>
            </w:r>
            <w:r w:rsidR="00C438C2">
              <w:rPr>
                <w:noProof/>
                <w:webHidden/>
              </w:rPr>
              <w:t>9</w:t>
            </w:r>
            <w:r>
              <w:rPr>
                <w:noProof/>
                <w:webHidden/>
              </w:rPr>
              <w:fldChar w:fldCharType="end"/>
            </w:r>
          </w:hyperlink>
        </w:p>
        <w:p w14:paraId="3E59428C" w14:textId="77777777" w:rsidR="000111B5" w:rsidRDefault="000111B5">
          <w:pPr>
            <w:pStyle w:val="TOC2"/>
            <w:tabs>
              <w:tab w:val="right" w:leader="dot" w:pos="9350"/>
            </w:tabs>
            <w:rPr>
              <w:rFonts w:eastAsiaTheme="minorEastAsia"/>
              <w:noProof/>
            </w:rPr>
          </w:pPr>
          <w:hyperlink w:anchor="_Toc202853899" w:history="1">
            <w:r w:rsidRPr="00375BF4">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_Toc202853899 \h </w:instrText>
            </w:r>
            <w:r>
              <w:rPr>
                <w:noProof/>
                <w:webHidden/>
              </w:rPr>
            </w:r>
            <w:r>
              <w:rPr>
                <w:noProof/>
                <w:webHidden/>
              </w:rPr>
              <w:fldChar w:fldCharType="separate"/>
            </w:r>
            <w:r w:rsidR="00C438C2">
              <w:rPr>
                <w:noProof/>
                <w:webHidden/>
              </w:rPr>
              <w:t>10</w:t>
            </w:r>
            <w:r>
              <w:rPr>
                <w:noProof/>
                <w:webHidden/>
              </w:rPr>
              <w:fldChar w:fldCharType="end"/>
            </w:r>
          </w:hyperlink>
        </w:p>
        <w:p w14:paraId="015ABD52" w14:textId="77777777" w:rsidR="000111B5" w:rsidRDefault="000111B5">
          <w:pPr>
            <w:pStyle w:val="TOC2"/>
            <w:tabs>
              <w:tab w:val="right" w:leader="dot" w:pos="9350"/>
            </w:tabs>
            <w:rPr>
              <w:rFonts w:eastAsiaTheme="minorEastAsia"/>
              <w:noProof/>
            </w:rPr>
          </w:pPr>
          <w:hyperlink w:anchor="_Toc202853900" w:history="1">
            <w:r w:rsidRPr="00375BF4">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_Toc202853900 \h </w:instrText>
            </w:r>
            <w:r>
              <w:rPr>
                <w:noProof/>
                <w:webHidden/>
              </w:rPr>
            </w:r>
            <w:r>
              <w:rPr>
                <w:noProof/>
                <w:webHidden/>
              </w:rPr>
              <w:fldChar w:fldCharType="separate"/>
            </w:r>
            <w:r w:rsidR="00C438C2">
              <w:rPr>
                <w:noProof/>
                <w:webHidden/>
              </w:rPr>
              <w:t>10</w:t>
            </w:r>
            <w:r>
              <w:rPr>
                <w:noProof/>
                <w:webHidden/>
              </w:rPr>
              <w:fldChar w:fldCharType="end"/>
            </w:r>
          </w:hyperlink>
        </w:p>
        <w:p w14:paraId="111D98B5" w14:textId="77777777" w:rsidR="000111B5" w:rsidRDefault="000111B5">
          <w:pPr>
            <w:pStyle w:val="TOC2"/>
            <w:tabs>
              <w:tab w:val="right" w:leader="dot" w:pos="9350"/>
            </w:tabs>
            <w:rPr>
              <w:rFonts w:eastAsiaTheme="minorEastAsia"/>
              <w:noProof/>
            </w:rPr>
          </w:pPr>
          <w:hyperlink w:anchor="_Toc202853901" w:history="1">
            <w:r w:rsidRPr="00375BF4">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_Toc202853901 \h </w:instrText>
            </w:r>
            <w:r>
              <w:rPr>
                <w:noProof/>
                <w:webHidden/>
              </w:rPr>
            </w:r>
            <w:r>
              <w:rPr>
                <w:noProof/>
                <w:webHidden/>
              </w:rPr>
              <w:fldChar w:fldCharType="separate"/>
            </w:r>
            <w:r w:rsidR="00C438C2">
              <w:rPr>
                <w:noProof/>
                <w:webHidden/>
              </w:rPr>
              <w:t>10</w:t>
            </w:r>
            <w:r>
              <w:rPr>
                <w:noProof/>
                <w:webHidden/>
              </w:rPr>
              <w:fldChar w:fldCharType="end"/>
            </w:r>
          </w:hyperlink>
        </w:p>
        <w:p w14:paraId="377807C9" w14:textId="77777777" w:rsidR="000111B5" w:rsidRDefault="000111B5">
          <w:pPr>
            <w:pStyle w:val="TOC1"/>
            <w:tabs>
              <w:tab w:val="right" w:leader="dot" w:pos="9350"/>
            </w:tabs>
            <w:rPr>
              <w:rFonts w:eastAsiaTheme="minorEastAsia"/>
              <w:noProof/>
            </w:rPr>
          </w:pPr>
          <w:hyperlink w:anchor="_Toc202853902" w:history="1">
            <w:r w:rsidRPr="00375BF4">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_Toc202853902 \h </w:instrText>
            </w:r>
            <w:r>
              <w:rPr>
                <w:noProof/>
                <w:webHidden/>
              </w:rPr>
            </w:r>
            <w:r>
              <w:rPr>
                <w:noProof/>
                <w:webHidden/>
              </w:rPr>
              <w:fldChar w:fldCharType="separate"/>
            </w:r>
            <w:r w:rsidR="00C438C2">
              <w:rPr>
                <w:noProof/>
                <w:webHidden/>
              </w:rPr>
              <w:t>11</w:t>
            </w:r>
            <w:r>
              <w:rPr>
                <w:noProof/>
                <w:webHidden/>
              </w:rPr>
              <w:fldChar w:fldCharType="end"/>
            </w:r>
          </w:hyperlink>
        </w:p>
        <w:p w14:paraId="12CF798F" w14:textId="77777777" w:rsidR="000111B5" w:rsidRDefault="000111B5">
          <w:pPr>
            <w:pStyle w:val="TOC2"/>
            <w:tabs>
              <w:tab w:val="right" w:leader="dot" w:pos="9350"/>
            </w:tabs>
            <w:rPr>
              <w:rFonts w:eastAsiaTheme="minorEastAsia"/>
              <w:noProof/>
            </w:rPr>
          </w:pPr>
          <w:hyperlink w:anchor="_Toc202853903" w:history="1">
            <w:r w:rsidRPr="00375BF4">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_Toc202853903 \h </w:instrText>
            </w:r>
            <w:r>
              <w:rPr>
                <w:noProof/>
                <w:webHidden/>
              </w:rPr>
            </w:r>
            <w:r>
              <w:rPr>
                <w:noProof/>
                <w:webHidden/>
              </w:rPr>
              <w:fldChar w:fldCharType="separate"/>
            </w:r>
            <w:r w:rsidR="00C438C2">
              <w:rPr>
                <w:noProof/>
                <w:webHidden/>
              </w:rPr>
              <w:t>11</w:t>
            </w:r>
            <w:r>
              <w:rPr>
                <w:noProof/>
                <w:webHidden/>
              </w:rPr>
              <w:fldChar w:fldCharType="end"/>
            </w:r>
          </w:hyperlink>
        </w:p>
        <w:p w14:paraId="3C77226A" w14:textId="77777777" w:rsidR="000111B5" w:rsidRDefault="000111B5">
          <w:pPr>
            <w:pStyle w:val="TOC2"/>
            <w:tabs>
              <w:tab w:val="right" w:leader="dot" w:pos="9350"/>
            </w:tabs>
            <w:rPr>
              <w:rFonts w:eastAsiaTheme="minorEastAsia"/>
              <w:noProof/>
            </w:rPr>
          </w:pPr>
          <w:hyperlink w:anchor="_Toc202853904" w:history="1">
            <w:r w:rsidRPr="00375BF4">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_Toc202853904 \h </w:instrText>
            </w:r>
            <w:r>
              <w:rPr>
                <w:noProof/>
                <w:webHidden/>
              </w:rPr>
            </w:r>
            <w:r>
              <w:rPr>
                <w:noProof/>
                <w:webHidden/>
              </w:rPr>
              <w:fldChar w:fldCharType="separate"/>
            </w:r>
            <w:r w:rsidR="00C438C2">
              <w:rPr>
                <w:noProof/>
                <w:webHidden/>
              </w:rPr>
              <w:t>11</w:t>
            </w:r>
            <w:r>
              <w:rPr>
                <w:noProof/>
                <w:webHidden/>
              </w:rPr>
              <w:fldChar w:fldCharType="end"/>
            </w:r>
          </w:hyperlink>
        </w:p>
        <w:p w14:paraId="41701094" w14:textId="77777777" w:rsidR="000111B5" w:rsidRDefault="000111B5">
          <w:pPr>
            <w:pStyle w:val="TOC3"/>
            <w:tabs>
              <w:tab w:val="right" w:leader="dot" w:pos="9350"/>
            </w:tabs>
            <w:rPr>
              <w:rFonts w:eastAsiaTheme="minorEastAsia"/>
              <w:noProof/>
            </w:rPr>
          </w:pPr>
          <w:hyperlink w:anchor="_Toc202853905" w:history="1">
            <w:r w:rsidRPr="00375BF4">
              <w:rPr>
                <w:rStyle w:val="Hyperlink"/>
                <w:noProof/>
              </w:rPr>
              <w:t>2.1.1 Global Burden of Antibiotic Resistance</w:t>
            </w:r>
            <w:r>
              <w:rPr>
                <w:noProof/>
                <w:webHidden/>
              </w:rPr>
              <w:tab/>
            </w:r>
            <w:r>
              <w:rPr>
                <w:noProof/>
                <w:webHidden/>
              </w:rPr>
              <w:fldChar w:fldCharType="begin"/>
            </w:r>
            <w:r>
              <w:rPr>
                <w:noProof/>
                <w:webHidden/>
              </w:rPr>
              <w:instrText xml:space="preserve"> PAGEREF _Toc202853905 \h </w:instrText>
            </w:r>
            <w:r>
              <w:rPr>
                <w:noProof/>
                <w:webHidden/>
              </w:rPr>
            </w:r>
            <w:r>
              <w:rPr>
                <w:noProof/>
                <w:webHidden/>
              </w:rPr>
              <w:fldChar w:fldCharType="separate"/>
            </w:r>
            <w:r w:rsidR="00C438C2">
              <w:rPr>
                <w:noProof/>
                <w:webHidden/>
              </w:rPr>
              <w:t>11</w:t>
            </w:r>
            <w:r>
              <w:rPr>
                <w:noProof/>
                <w:webHidden/>
              </w:rPr>
              <w:fldChar w:fldCharType="end"/>
            </w:r>
          </w:hyperlink>
        </w:p>
        <w:p w14:paraId="0338CFF7" w14:textId="77777777" w:rsidR="000111B5" w:rsidRDefault="000111B5">
          <w:pPr>
            <w:pStyle w:val="TOC3"/>
            <w:tabs>
              <w:tab w:val="right" w:leader="dot" w:pos="9350"/>
            </w:tabs>
            <w:rPr>
              <w:rFonts w:eastAsiaTheme="minorEastAsia"/>
              <w:noProof/>
            </w:rPr>
          </w:pPr>
          <w:hyperlink w:anchor="_Toc202853906" w:history="1">
            <w:r w:rsidRPr="00375BF4">
              <w:rPr>
                <w:rStyle w:val="Hyperlink"/>
                <w:noProof/>
              </w:rPr>
              <w:t>2.1.2 Emergence of Multidrug-Resistant Bacteria</w:t>
            </w:r>
            <w:r>
              <w:rPr>
                <w:noProof/>
                <w:webHidden/>
              </w:rPr>
              <w:tab/>
            </w:r>
            <w:r>
              <w:rPr>
                <w:noProof/>
                <w:webHidden/>
              </w:rPr>
              <w:fldChar w:fldCharType="begin"/>
            </w:r>
            <w:r>
              <w:rPr>
                <w:noProof/>
                <w:webHidden/>
              </w:rPr>
              <w:instrText xml:space="preserve"> PAGEREF _Toc202853906 \h </w:instrText>
            </w:r>
            <w:r>
              <w:rPr>
                <w:noProof/>
                <w:webHidden/>
              </w:rPr>
            </w:r>
            <w:r>
              <w:rPr>
                <w:noProof/>
                <w:webHidden/>
              </w:rPr>
              <w:fldChar w:fldCharType="separate"/>
            </w:r>
            <w:r w:rsidR="00C438C2">
              <w:rPr>
                <w:noProof/>
                <w:webHidden/>
              </w:rPr>
              <w:t>11</w:t>
            </w:r>
            <w:r>
              <w:rPr>
                <w:noProof/>
                <w:webHidden/>
              </w:rPr>
              <w:fldChar w:fldCharType="end"/>
            </w:r>
          </w:hyperlink>
        </w:p>
        <w:p w14:paraId="358EF42C" w14:textId="77777777" w:rsidR="000111B5" w:rsidRDefault="000111B5">
          <w:pPr>
            <w:pStyle w:val="TOC3"/>
            <w:tabs>
              <w:tab w:val="right" w:leader="dot" w:pos="9350"/>
            </w:tabs>
            <w:rPr>
              <w:rFonts w:eastAsiaTheme="minorEastAsia"/>
              <w:noProof/>
            </w:rPr>
          </w:pPr>
          <w:hyperlink w:anchor="_Toc202853907" w:history="1">
            <w:r w:rsidRPr="00375BF4">
              <w:rPr>
                <w:rStyle w:val="Hyperlink"/>
                <w:noProof/>
              </w:rPr>
              <w:t>2.1.3 Need for Alternative Therapies</w:t>
            </w:r>
            <w:r>
              <w:rPr>
                <w:noProof/>
                <w:webHidden/>
              </w:rPr>
              <w:tab/>
            </w:r>
            <w:r>
              <w:rPr>
                <w:noProof/>
                <w:webHidden/>
              </w:rPr>
              <w:fldChar w:fldCharType="begin"/>
            </w:r>
            <w:r>
              <w:rPr>
                <w:noProof/>
                <w:webHidden/>
              </w:rPr>
              <w:instrText xml:space="preserve"> PAGEREF _Toc202853907 \h </w:instrText>
            </w:r>
            <w:r>
              <w:rPr>
                <w:noProof/>
                <w:webHidden/>
              </w:rPr>
            </w:r>
            <w:r>
              <w:rPr>
                <w:noProof/>
                <w:webHidden/>
              </w:rPr>
              <w:fldChar w:fldCharType="separate"/>
            </w:r>
            <w:r w:rsidR="00C438C2">
              <w:rPr>
                <w:noProof/>
                <w:webHidden/>
              </w:rPr>
              <w:t>11</w:t>
            </w:r>
            <w:r>
              <w:rPr>
                <w:noProof/>
                <w:webHidden/>
              </w:rPr>
              <w:fldChar w:fldCharType="end"/>
            </w:r>
          </w:hyperlink>
        </w:p>
        <w:p w14:paraId="483A13BA" w14:textId="77777777" w:rsidR="000111B5" w:rsidRDefault="000111B5">
          <w:pPr>
            <w:pStyle w:val="TOC2"/>
            <w:tabs>
              <w:tab w:val="right" w:leader="dot" w:pos="9350"/>
            </w:tabs>
            <w:rPr>
              <w:rFonts w:eastAsiaTheme="minorEastAsia"/>
              <w:noProof/>
            </w:rPr>
          </w:pPr>
          <w:hyperlink w:anchor="_Toc202853908" w:history="1">
            <w:r w:rsidRPr="00375BF4">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_Toc202853908 \h </w:instrText>
            </w:r>
            <w:r>
              <w:rPr>
                <w:noProof/>
                <w:webHidden/>
              </w:rPr>
            </w:r>
            <w:r>
              <w:rPr>
                <w:noProof/>
                <w:webHidden/>
              </w:rPr>
              <w:fldChar w:fldCharType="separate"/>
            </w:r>
            <w:r w:rsidR="00C438C2">
              <w:rPr>
                <w:noProof/>
                <w:webHidden/>
              </w:rPr>
              <w:t>11</w:t>
            </w:r>
            <w:r>
              <w:rPr>
                <w:noProof/>
                <w:webHidden/>
              </w:rPr>
              <w:fldChar w:fldCharType="end"/>
            </w:r>
          </w:hyperlink>
        </w:p>
        <w:p w14:paraId="7713ABF2" w14:textId="77777777" w:rsidR="000111B5" w:rsidRDefault="000111B5">
          <w:pPr>
            <w:pStyle w:val="TOC3"/>
            <w:tabs>
              <w:tab w:val="right" w:leader="dot" w:pos="9350"/>
            </w:tabs>
            <w:rPr>
              <w:rFonts w:eastAsiaTheme="minorEastAsia"/>
              <w:noProof/>
            </w:rPr>
          </w:pPr>
          <w:hyperlink w:anchor="_Toc202853909" w:history="1">
            <w:r w:rsidRPr="00375BF4">
              <w:rPr>
                <w:rStyle w:val="Hyperlink"/>
                <w:noProof/>
              </w:rPr>
              <w:t>2.2.1 Staphylococcus aureus (MRSA and MSSA)</w:t>
            </w:r>
            <w:r>
              <w:rPr>
                <w:noProof/>
                <w:webHidden/>
              </w:rPr>
              <w:tab/>
            </w:r>
            <w:r>
              <w:rPr>
                <w:noProof/>
                <w:webHidden/>
              </w:rPr>
              <w:fldChar w:fldCharType="begin"/>
            </w:r>
            <w:r>
              <w:rPr>
                <w:noProof/>
                <w:webHidden/>
              </w:rPr>
              <w:instrText xml:space="preserve"> PAGEREF _Toc202853909 \h </w:instrText>
            </w:r>
            <w:r>
              <w:rPr>
                <w:noProof/>
                <w:webHidden/>
              </w:rPr>
            </w:r>
            <w:r>
              <w:rPr>
                <w:noProof/>
                <w:webHidden/>
              </w:rPr>
              <w:fldChar w:fldCharType="separate"/>
            </w:r>
            <w:r w:rsidR="00C438C2">
              <w:rPr>
                <w:noProof/>
                <w:webHidden/>
              </w:rPr>
              <w:t>11</w:t>
            </w:r>
            <w:r>
              <w:rPr>
                <w:noProof/>
                <w:webHidden/>
              </w:rPr>
              <w:fldChar w:fldCharType="end"/>
            </w:r>
          </w:hyperlink>
        </w:p>
        <w:p w14:paraId="48B859E6" w14:textId="77777777" w:rsidR="000111B5" w:rsidRDefault="000111B5">
          <w:pPr>
            <w:pStyle w:val="TOC3"/>
            <w:tabs>
              <w:tab w:val="right" w:leader="dot" w:pos="9350"/>
            </w:tabs>
            <w:rPr>
              <w:rFonts w:eastAsiaTheme="minorEastAsia"/>
              <w:noProof/>
            </w:rPr>
          </w:pPr>
          <w:hyperlink w:anchor="_Toc202853910" w:history="1">
            <w:r w:rsidRPr="00375BF4">
              <w:rPr>
                <w:rStyle w:val="Hyperlink"/>
                <w:noProof/>
              </w:rPr>
              <w:t>2.2.2 Escherichia coli</w:t>
            </w:r>
            <w:r>
              <w:rPr>
                <w:noProof/>
                <w:webHidden/>
              </w:rPr>
              <w:tab/>
            </w:r>
            <w:r>
              <w:rPr>
                <w:noProof/>
                <w:webHidden/>
              </w:rPr>
              <w:fldChar w:fldCharType="begin"/>
            </w:r>
            <w:r>
              <w:rPr>
                <w:noProof/>
                <w:webHidden/>
              </w:rPr>
              <w:instrText xml:space="preserve"> PAGEREF _Toc202853910 \h </w:instrText>
            </w:r>
            <w:r>
              <w:rPr>
                <w:noProof/>
                <w:webHidden/>
              </w:rPr>
            </w:r>
            <w:r>
              <w:rPr>
                <w:noProof/>
                <w:webHidden/>
              </w:rPr>
              <w:fldChar w:fldCharType="separate"/>
            </w:r>
            <w:r w:rsidR="00C438C2">
              <w:rPr>
                <w:noProof/>
                <w:webHidden/>
              </w:rPr>
              <w:t>12</w:t>
            </w:r>
            <w:r>
              <w:rPr>
                <w:noProof/>
                <w:webHidden/>
              </w:rPr>
              <w:fldChar w:fldCharType="end"/>
            </w:r>
          </w:hyperlink>
        </w:p>
        <w:p w14:paraId="635DB77A" w14:textId="77777777" w:rsidR="000111B5" w:rsidRDefault="000111B5">
          <w:pPr>
            <w:pStyle w:val="TOC3"/>
            <w:tabs>
              <w:tab w:val="right" w:leader="dot" w:pos="9350"/>
            </w:tabs>
            <w:rPr>
              <w:rFonts w:eastAsiaTheme="minorEastAsia"/>
              <w:noProof/>
            </w:rPr>
          </w:pPr>
          <w:hyperlink w:anchor="_Toc202853911" w:history="1">
            <w:r w:rsidRPr="00375BF4">
              <w:rPr>
                <w:rStyle w:val="Hyperlink"/>
                <w:noProof/>
              </w:rPr>
              <w:t>2.2.3 Pseudomonas aeruginosa</w:t>
            </w:r>
            <w:r>
              <w:rPr>
                <w:noProof/>
                <w:webHidden/>
              </w:rPr>
              <w:tab/>
            </w:r>
            <w:r>
              <w:rPr>
                <w:noProof/>
                <w:webHidden/>
              </w:rPr>
              <w:fldChar w:fldCharType="begin"/>
            </w:r>
            <w:r>
              <w:rPr>
                <w:noProof/>
                <w:webHidden/>
              </w:rPr>
              <w:instrText xml:space="preserve"> PAGEREF _Toc202853911 \h </w:instrText>
            </w:r>
            <w:r>
              <w:rPr>
                <w:noProof/>
                <w:webHidden/>
              </w:rPr>
            </w:r>
            <w:r>
              <w:rPr>
                <w:noProof/>
                <w:webHidden/>
              </w:rPr>
              <w:fldChar w:fldCharType="separate"/>
            </w:r>
            <w:r w:rsidR="00C438C2">
              <w:rPr>
                <w:noProof/>
                <w:webHidden/>
              </w:rPr>
              <w:t>13</w:t>
            </w:r>
            <w:r>
              <w:rPr>
                <w:noProof/>
                <w:webHidden/>
              </w:rPr>
              <w:fldChar w:fldCharType="end"/>
            </w:r>
          </w:hyperlink>
        </w:p>
        <w:p w14:paraId="1D54A4E1" w14:textId="77777777" w:rsidR="000111B5" w:rsidRDefault="000111B5">
          <w:pPr>
            <w:pStyle w:val="TOC3"/>
            <w:tabs>
              <w:tab w:val="right" w:leader="dot" w:pos="9350"/>
            </w:tabs>
            <w:rPr>
              <w:rFonts w:eastAsiaTheme="minorEastAsia"/>
              <w:noProof/>
            </w:rPr>
          </w:pPr>
          <w:hyperlink w:anchor="_Toc202853912" w:history="1">
            <w:r w:rsidRPr="00375BF4">
              <w:rPr>
                <w:rStyle w:val="Hyperlink"/>
                <w:noProof/>
              </w:rPr>
              <w:t>2.2.4 Klebsiella pneumoniae</w:t>
            </w:r>
            <w:r>
              <w:rPr>
                <w:noProof/>
                <w:webHidden/>
              </w:rPr>
              <w:tab/>
            </w:r>
            <w:r>
              <w:rPr>
                <w:noProof/>
                <w:webHidden/>
              </w:rPr>
              <w:fldChar w:fldCharType="begin"/>
            </w:r>
            <w:r>
              <w:rPr>
                <w:noProof/>
                <w:webHidden/>
              </w:rPr>
              <w:instrText xml:space="preserve"> PAGEREF _Toc202853912 \h </w:instrText>
            </w:r>
            <w:r>
              <w:rPr>
                <w:noProof/>
                <w:webHidden/>
              </w:rPr>
            </w:r>
            <w:r>
              <w:rPr>
                <w:noProof/>
                <w:webHidden/>
              </w:rPr>
              <w:fldChar w:fldCharType="separate"/>
            </w:r>
            <w:r w:rsidR="00C438C2">
              <w:rPr>
                <w:noProof/>
                <w:webHidden/>
              </w:rPr>
              <w:t>13</w:t>
            </w:r>
            <w:r>
              <w:rPr>
                <w:noProof/>
                <w:webHidden/>
              </w:rPr>
              <w:fldChar w:fldCharType="end"/>
            </w:r>
          </w:hyperlink>
        </w:p>
        <w:p w14:paraId="5346123F" w14:textId="77777777" w:rsidR="000111B5" w:rsidRDefault="000111B5">
          <w:pPr>
            <w:pStyle w:val="TOC3"/>
            <w:tabs>
              <w:tab w:val="right" w:leader="dot" w:pos="9350"/>
            </w:tabs>
            <w:rPr>
              <w:rFonts w:eastAsiaTheme="minorEastAsia"/>
              <w:noProof/>
            </w:rPr>
          </w:pPr>
          <w:hyperlink w:anchor="_Toc202853913" w:history="1">
            <w:r w:rsidRPr="00375BF4">
              <w:rPr>
                <w:rStyle w:val="Hyperlink"/>
                <w:noProof/>
              </w:rPr>
              <w:t>2.2.5 Salmonella typhi</w:t>
            </w:r>
            <w:r>
              <w:rPr>
                <w:noProof/>
                <w:webHidden/>
              </w:rPr>
              <w:tab/>
            </w:r>
            <w:r>
              <w:rPr>
                <w:noProof/>
                <w:webHidden/>
              </w:rPr>
              <w:fldChar w:fldCharType="begin"/>
            </w:r>
            <w:r>
              <w:rPr>
                <w:noProof/>
                <w:webHidden/>
              </w:rPr>
              <w:instrText xml:space="preserve"> PAGEREF _Toc202853913 \h </w:instrText>
            </w:r>
            <w:r>
              <w:rPr>
                <w:noProof/>
                <w:webHidden/>
              </w:rPr>
            </w:r>
            <w:r>
              <w:rPr>
                <w:noProof/>
                <w:webHidden/>
              </w:rPr>
              <w:fldChar w:fldCharType="separate"/>
            </w:r>
            <w:r w:rsidR="00C438C2">
              <w:rPr>
                <w:noProof/>
                <w:webHidden/>
              </w:rPr>
              <w:t>14</w:t>
            </w:r>
            <w:r>
              <w:rPr>
                <w:noProof/>
                <w:webHidden/>
              </w:rPr>
              <w:fldChar w:fldCharType="end"/>
            </w:r>
          </w:hyperlink>
        </w:p>
        <w:p w14:paraId="4236D1CE" w14:textId="77777777" w:rsidR="000111B5" w:rsidRDefault="000111B5">
          <w:pPr>
            <w:pStyle w:val="TOC2"/>
            <w:tabs>
              <w:tab w:val="right" w:leader="dot" w:pos="9350"/>
            </w:tabs>
            <w:rPr>
              <w:rFonts w:eastAsiaTheme="minorEastAsia"/>
              <w:noProof/>
            </w:rPr>
          </w:pPr>
          <w:hyperlink w:anchor="_Toc202853914" w:history="1">
            <w:r w:rsidRPr="00375BF4">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_Toc202853914 \h </w:instrText>
            </w:r>
            <w:r>
              <w:rPr>
                <w:noProof/>
                <w:webHidden/>
              </w:rPr>
            </w:r>
            <w:r>
              <w:rPr>
                <w:noProof/>
                <w:webHidden/>
              </w:rPr>
              <w:fldChar w:fldCharType="separate"/>
            </w:r>
            <w:r w:rsidR="00C438C2">
              <w:rPr>
                <w:noProof/>
                <w:webHidden/>
              </w:rPr>
              <w:t>14</w:t>
            </w:r>
            <w:r>
              <w:rPr>
                <w:noProof/>
                <w:webHidden/>
              </w:rPr>
              <w:fldChar w:fldCharType="end"/>
            </w:r>
          </w:hyperlink>
        </w:p>
        <w:p w14:paraId="4C1B9A49" w14:textId="77777777" w:rsidR="000111B5" w:rsidRDefault="000111B5">
          <w:pPr>
            <w:pStyle w:val="TOC2"/>
            <w:tabs>
              <w:tab w:val="right" w:leader="dot" w:pos="9350"/>
            </w:tabs>
            <w:rPr>
              <w:rFonts w:eastAsiaTheme="minorEastAsia"/>
              <w:noProof/>
            </w:rPr>
          </w:pPr>
          <w:hyperlink w:anchor="_Toc202853915" w:history="1">
            <w:r w:rsidRPr="00375BF4">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_Toc202853915 \h </w:instrText>
            </w:r>
            <w:r>
              <w:rPr>
                <w:noProof/>
                <w:webHidden/>
              </w:rPr>
            </w:r>
            <w:r>
              <w:rPr>
                <w:noProof/>
                <w:webHidden/>
              </w:rPr>
              <w:fldChar w:fldCharType="separate"/>
            </w:r>
            <w:r w:rsidR="00C438C2">
              <w:rPr>
                <w:noProof/>
                <w:webHidden/>
              </w:rPr>
              <w:t>15</w:t>
            </w:r>
            <w:r>
              <w:rPr>
                <w:noProof/>
                <w:webHidden/>
              </w:rPr>
              <w:fldChar w:fldCharType="end"/>
            </w:r>
          </w:hyperlink>
        </w:p>
        <w:p w14:paraId="59FAC32D" w14:textId="77777777" w:rsidR="000111B5" w:rsidRDefault="000111B5">
          <w:pPr>
            <w:pStyle w:val="TOC3"/>
            <w:tabs>
              <w:tab w:val="right" w:leader="dot" w:pos="9350"/>
            </w:tabs>
            <w:rPr>
              <w:rFonts w:eastAsiaTheme="minorEastAsia"/>
              <w:noProof/>
            </w:rPr>
          </w:pPr>
          <w:hyperlink w:anchor="_Toc202853916" w:history="1">
            <w:r w:rsidRPr="00375BF4">
              <w:rPr>
                <w:rStyle w:val="Hyperlink"/>
                <w:noProof/>
              </w:rPr>
              <w:t>2.4.1 Eugenol</w:t>
            </w:r>
            <w:r>
              <w:rPr>
                <w:noProof/>
                <w:webHidden/>
              </w:rPr>
              <w:tab/>
            </w:r>
            <w:r>
              <w:rPr>
                <w:noProof/>
                <w:webHidden/>
              </w:rPr>
              <w:fldChar w:fldCharType="begin"/>
            </w:r>
            <w:r>
              <w:rPr>
                <w:noProof/>
                <w:webHidden/>
              </w:rPr>
              <w:instrText xml:space="preserve"> PAGEREF _Toc202853916 \h </w:instrText>
            </w:r>
            <w:r>
              <w:rPr>
                <w:noProof/>
                <w:webHidden/>
              </w:rPr>
            </w:r>
            <w:r>
              <w:rPr>
                <w:noProof/>
                <w:webHidden/>
              </w:rPr>
              <w:fldChar w:fldCharType="separate"/>
            </w:r>
            <w:r w:rsidR="00C438C2">
              <w:rPr>
                <w:noProof/>
                <w:webHidden/>
              </w:rPr>
              <w:t>16</w:t>
            </w:r>
            <w:r>
              <w:rPr>
                <w:noProof/>
                <w:webHidden/>
              </w:rPr>
              <w:fldChar w:fldCharType="end"/>
            </w:r>
          </w:hyperlink>
        </w:p>
        <w:p w14:paraId="041E7B54" w14:textId="77777777" w:rsidR="000111B5" w:rsidRDefault="000111B5">
          <w:pPr>
            <w:pStyle w:val="TOC3"/>
            <w:tabs>
              <w:tab w:val="right" w:leader="dot" w:pos="9350"/>
            </w:tabs>
            <w:rPr>
              <w:rFonts w:eastAsiaTheme="minorEastAsia"/>
              <w:noProof/>
            </w:rPr>
          </w:pPr>
          <w:hyperlink w:anchor="_Toc202853917" w:history="1">
            <w:r w:rsidRPr="00375BF4">
              <w:rPr>
                <w:rStyle w:val="Hyperlink"/>
                <w:noProof/>
              </w:rPr>
              <w:t>2.4.2 Acetyl Eugenol</w:t>
            </w:r>
            <w:r>
              <w:rPr>
                <w:noProof/>
                <w:webHidden/>
              </w:rPr>
              <w:tab/>
            </w:r>
            <w:r>
              <w:rPr>
                <w:noProof/>
                <w:webHidden/>
              </w:rPr>
              <w:fldChar w:fldCharType="begin"/>
            </w:r>
            <w:r>
              <w:rPr>
                <w:noProof/>
                <w:webHidden/>
              </w:rPr>
              <w:instrText xml:space="preserve"> PAGEREF _Toc202853917 \h </w:instrText>
            </w:r>
            <w:r>
              <w:rPr>
                <w:noProof/>
                <w:webHidden/>
              </w:rPr>
            </w:r>
            <w:r>
              <w:rPr>
                <w:noProof/>
                <w:webHidden/>
              </w:rPr>
              <w:fldChar w:fldCharType="separate"/>
            </w:r>
            <w:r w:rsidR="00C438C2">
              <w:rPr>
                <w:noProof/>
                <w:webHidden/>
              </w:rPr>
              <w:t>17</w:t>
            </w:r>
            <w:r>
              <w:rPr>
                <w:noProof/>
                <w:webHidden/>
              </w:rPr>
              <w:fldChar w:fldCharType="end"/>
            </w:r>
          </w:hyperlink>
        </w:p>
        <w:p w14:paraId="206E0129" w14:textId="77777777" w:rsidR="000111B5" w:rsidRDefault="000111B5">
          <w:pPr>
            <w:pStyle w:val="TOC3"/>
            <w:tabs>
              <w:tab w:val="right" w:leader="dot" w:pos="9350"/>
            </w:tabs>
            <w:rPr>
              <w:rFonts w:eastAsiaTheme="minorEastAsia"/>
              <w:noProof/>
            </w:rPr>
          </w:pPr>
          <w:hyperlink w:anchor="_Toc202853918" w:history="1">
            <w:r w:rsidRPr="00375BF4">
              <w:rPr>
                <w:rStyle w:val="Hyperlink"/>
                <w:noProof/>
              </w:rPr>
              <w:t>2.4.3 β-Caryophyllene</w:t>
            </w:r>
            <w:r>
              <w:rPr>
                <w:noProof/>
                <w:webHidden/>
              </w:rPr>
              <w:tab/>
            </w:r>
            <w:r>
              <w:rPr>
                <w:noProof/>
                <w:webHidden/>
              </w:rPr>
              <w:fldChar w:fldCharType="begin"/>
            </w:r>
            <w:r>
              <w:rPr>
                <w:noProof/>
                <w:webHidden/>
              </w:rPr>
              <w:instrText xml:space="preserve"> PAGEREF _Toc202853918 \h </w:instrText>
            </w:r>
            <w:r>
              <w:rPr>
                <w:noProof/>
                <w:webHidden/>
              </w:rPr>
            </w:r>
            <w:r>
              <w:rPr>
                <w:noProof/>
                <w:webHidden/>
              </w:rPr>
              <w:fldChar w:fldCharType="separate"/>
            </w:r>
            <w:r w:rsidR="00C438C2">
              <w:rPr>
                <w:noProof/>
                <w:webHidden/>
              </w:rPr>
              <w:t>18</w:t>
            </w:r>
            <w:r>
              <w:rPr>
                <w:noProof/>
                <w:webHidden/>
              </w:rPr>
              <w:fldChar w:fldCharType="end"/>
            </w:r>
          </w:hyperlink>
        </w:p>
        <w:p w14:paraId="372F4BDA" w14:textId="77777777" w:rsidR="000111B5" w:rsidRDefault="000111B5">
          <w:pPr>
            <w:pStyle w:val="TOC3"/>
            <w:tabs>
              <w:tab w:val="right" w:leader="dot" w:pos="9350"/>
            </w:tabs>
            <w:rPr>
              <w:rFonts w:eastAsiaTheme="minorEastAsia"/>
              <w:noProof/>
            </w:rPr>
          </w:pPr>
          <w:hyperlink w:anchor="_Toc202853919" w:history="1">
            <w:r w:rsidRPr="00375BF4">
              <w:rPr>
                <w:rStyle w:val="Hyperlink"/>
                <w:noProof/>
              </w:rPr>
              <w:t>2.4.4 α-Humulene</w:t>
            </w:r>
            <w:r>
              <w:rPr>
                <w:noProof/>
                <w:webHidden/>
              </w:rPr>
              <w:tab/>
            </w:r>
            <w:r>
              <w:rPr>
                <w:noProof/>
                <w:webHidden/>
              </w:rPr>
              <w:fldChar w:fldCharType="begin"/>
            </w:r>
            <w:r>
              <w:rPr>
                <w:noProof/>
                <w:webHidden/>
              </w:rPr>
              <w:instrText xml:space="preserve"> PAGEREF _Toc202853919 \h </w:instrText>
            </w:r>
            <w:r>
              <w:rPr>
                <w:noProof/>
                <w:webHidden/>
              </w:rPr>
            </w:r>
            <w:r>
              <w:rPr>
                <w:noProof/>
                <w:webHidden/>
              </w:rPr>
              <w:fldChar w:fldCharType="separate"/>
            </w:r>
            <w:r w:rsidR="00C438C2">
              <w:rPr>
                <w:noProof/>
                <w:webHidden/>
              </w:rPr>
              <w:t>18</w:t>
            </w:r>
            <w:r>
              <w:rPr>
                <w:noProof/>
                <w:webHidden/>
              </w:rPr>
              <w:fldChar w:fldCharType="end"/>
            </w:r>
          </w:hyperlink>
        </w:p>
        <w:p w14:paraId="2C7DA863" w14:textId="77777777" w:rsidR="000111B5" w:rsidRDefault="000111B5">
          <w:pPr>
            <w:pStyle w:val="TOC3"/>
            <w:tabs>
              <w:tab w:val="right" w:leader="dot" w:pos="9350"/>
            </w:tabs>
            <w:rPr>
              <w:rFonts w:eastAsiaTheme="minorEastAsia"/>
              <w:noProof/>
            </w:rPr>
          </w:pPr>
          <w:hyperlink w:anchor="_Toc202853920" w:history="1">
            <w:r w:rsidRPr="00375BF4">
              <w:rPr>
                <w:rStyle w:val="Hyperlink"/>
                <w:noProof/>
              </w:rPr>
              <w:t>2.4.5 α-Caryophyllene Oxide</w:t>
            </w:r>
            <w:r>
              <w:rPr>
                <w:noProof/>
                <w:webHidden/>
              </w:rPr>
              <w:tab/>
            </w:r>
            <w:r>
              <w:rPr>
                <w:noProof/>
                <w:webHidden/>
              </w:rPr>
              <w:fldChar w:fldCharType="begin"/>
            </w:r>
            <w:r>
              <w:rPr>
                <w:noProof/>
                <w:webHidden/>
              </w:rPr>
              <w:instrText xml:space="preserve"> PAGEREF _Toc202853920 \h </w:instrText>
            </w:r>
            <w:r>
              <w:rPr>
                <w:noProof/>
                <w:webHidden/>
              </w:rPr>
            </w:r>
            <w:r>
              <w:rPr>
                <w:noProof/>
                <w:webHidden/>
              </w:rPr>
              <w:fldChar w:fldCharType="separate"/>
            </w:r>
            <w:r w:rsidR="00C438C2">
              <w:rPr>
                <w:noProof/>
                <w:webHidden/>
              </w:rPr>
              <w:t>18</w:t>
            </w:r>
            <w:r>
              <w:rPr>
                <w:noProof/>
                <w:webHidden/>
              </w:rPr>
              <w:fldChar w:fldCharType="end"/>
            </w:r>
          </w:hyperlink>
        </w:p>
        <w:p w14:paraId="6BB1AEA9" w14:textId="77777777" w:rsidR="000111B5" w:rsidRDefault="000111B5">
          <w:pPr>
            <w:pStyle w:val="TOC3"/>
            <w:tabs>
              <w:tab w:val="right" w:leader="dot" w:pos="9350"/>
            </w:tabs>
            <w:rPr>
              <w:rFonts w:eastAsiaTheme="minorEastAsia"/>
              <w:noProof/>
            </w:rPr>
          </w:pPr>
          <w:hyperlink w:anchor="_Toc202853921" w:history="1">
            <w:r w:rsidRPr="00375BF4">
              <w:rPr>
                <w:rStyle w:val="Hyperlink"/>
                <w:noProof/>
              </w:rPr>
              <w:t>2.4.6 α-Murolene and γ-Murolene</w:t>
            </w:r>
            <w:r>
              <w:rPr>
                <w:noProof/>
                <w:webHidden/>
              </w:rPr>
              <w:tab/>
            </w:r>
            <w:r>
              <w:rPr>
                <w:noProof/>
                <w:webHidden/>
              </w:rPr>
              <w:fldChar w:fldCharType="begin"/>
            </w:r>
            <w:r>
              <w:rPr>
                <w:noProof/>
                <w:webHidden/>
              </w:rPr>
              <w:instrText xml:space="preserve"> PAGEREF _Toc202853921 \h </w:instrText>
            </w:r>
            <w:r>
              <w:rPr>
                <w:noProof/>
                <w:webHidden/>
              </w:rPr>
            </w:r>
            <w:r>
              <w:rPr>
                <w:noProof/>
                <w:webHidden/>
              </w:rPr>
              <w:fldChar w:fldCharType="separate"/>
            </w:r>
            <w:r w:rsidR="00C438C2">
              <w:rPr>
                <w:noProof/>
                <w:webHidden/>
              </w:rPr>
              <w:t>18</w:t>
            </w:r>
            <w:r>
              <w:rPr>
                <w:noProof/>
                <w:webHidden/>
              </w:rPr>
              <w:fldChar w:fldCharType="end"/>
            </w:r>
          </w:hyperlink>
        </w:p>
        <w:p w14:paraId="1A867B4A" w14:textId="77777777" w:rsidR="000111B5" w:rsidRDefault="000111B5">
          <w:pPr>
            <w:pStyle w:val="TOC3"/>
            <w:tabs>
              <w:tab w:val="right" w:leader="dot" w:pos="9350"/>
            </w:tabs>
            <w:rPr>
              <w:rFonts w:eastAsiaTheme="minorEastAsia"/>
              <w:noProof/>
            </w:rPr>
          </w:pPr>
          <w:hyperlink w:anchor="_Toc202853922" w:history="1">
            <w:r w:rsidRPr="00375BF4">
              <w:rPr>
                <w:rStyle w:val="Hyperlink"/>
                <w:noProof/>
              </w:rPr>
              <w:t>2.4.7 α-Selinene and β-Selinene</w:t>
            </w:r>
            <w:r>
              <w:rPr>
                <w:noProof/>
                <w:webHidden/>
              </w:rPr>
              <w:tab/>
            </w:r>
            <w:r>
              <w:rPr>
                <w:noProof/>
                <w:webHidden/>
              </w:rPr>
              <w:fldChar w:fldCharType="begin"/>
            </w:r>
            <w:r>
              <w:rPr>
                <w:noProof/>
                <w:webHidden/>
              </w:rPr>
              <w:instrText xml:space="preserve"> PAGEREF _Toc202853922 \h </w:instrText>
            </w:r>
            <w:r>
              <w:rPr>
                <w:noProof/>
                <w:webHidden/>
              </w:rPr>
            </w:r>
            <w:r>
              <w:rPr>
                <w:noProof/>
                <w:webHidden/>
              </w:rPr>
              <w:fldChar w:fldCharType="separate"/>
            </w:r>
            <w:r w:rsidR="00C438C2">
              <w:rPr>
                <w:noProof/>
                <w:webHidden/>
              </w:rPr>
              <w:t>19</w:t>
            </w:r>
            <w:r>
              <w:rPr>
                <w:noProof/>
                <w:webHidden/>
              </w:rPr>
              <w:fldChar w:fldCharType="end"/>
            </w:r>
          </w:hyperlink>
        </w:p>
        <w:p w14:paraId="34347CF5" w14:textId="77777777" w:rsidR="000111B5" w:rsidRDefault="000111B5">
          <w:pPr>
            <w:pStyle w:val="TOC3"/>
            <w:tabs>
              <w:tab w:val="right" w:leader="dot" w:pos="9350"/>
            </w:tabs>
            <w:rPr>
              <w:rFonts w:eastAsiaTheme="minorEastAsia"/>
              <w:noProof/>
            </w:rPr>
          </w:pPr>
          <w:hyperlink w:anchor="_Toc202853923" w:history="1">
            <w:r w:rsidRPr="00375BF4">
              <w:rPr>
                <w:rStyle w:val="Hyperlink"/>
                <w:noProof/>
              </w:rPr>
              <w:t>2.4.8 δ-cadinene</w:t>
            </w:r>
            <w:r>
              <w:rPr>
                <w:noProof/>
                <w:webHidden/>
              </w:rPr>
              <w:tab/>
            </w:r>
            <w:r>
              <w:rPr>
                <w:noProof/>
                <w:webHidden/>
              </w:rPr>
              <w:fldChar w:fldCharType="begin"/>
            </w:r>
            <w:r>
              <w:rPr>
                <w:noProof/>
                <w:webHidden/>
              </w:rPr>
              <w:instrText xml:space="preserve"> PAGEREF _Toc202853923 \h </w:instrText>
            </w:r>
            <w:r>
              <w:rPr>
                <w:noProof/>
                <w:webHidden/>
              </w:rPr>
            </w:r>
            <w:r>
              <w:rPr>
                <w:noProof/>
                <w:webHidden/>
              </w:rPr>
              <w:fldChar w:fldCharType="separate"/>
            </w:r>
            <w:r w:rsidR="00C438C2">
              <w:rPr>
                <w:noProof/>
                <w:webHidden/>
              </w:rPr>
              <w:t>19</w:t>
            </w:r>
            <w:r>
              <w:rPr>
                <w:noProof/>
                <w:webHidden/>
              </w:rPr>
              <w:fldChar w:fldCharType="end"/>
            </w:r>
          </w:hyperlink>
        </w:p>
        <w:p w14:paraId="5CAA89E2" w14:textId="77777777" w:rsidR="000111B5" w:rsidRDefault="000111B5">
          <w:pPr>
            <w:pStyle w:val="TOC2"/>
            <w:tabs>
              <w:tab w:val="right" w:leader="dot" w:pos="9350"/>
            </w:tabs>
            <w:rPr>
              <w:rFonts w:eastAsiaTheme="minorEastAsia"/>
              <w:noProof/>
            </w:rPr>
          </w:pPr>
          <w:hyperlink w:anchor="_Toc202853924" w:history="1">
            <w:r w:rsidRPr="00375BF4">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_Toc202853924 \h </w:instrText>
            </w:r>
            <w:r>
              <w:rPr>
                <w:noProof/>
                <w:webHidden/>
              </w:rPr>
            </w:r>
            <w:r>
              <w:rPr>
                <w:noProof/>
                <w:webHidden/>
              </w:rPr>
              <w:fldChar w:fldCharType="separate"/>
            </w:r>
            <w:r w:rsidR="00C438C2">
              <w:rPr>
                <w:noProof/>
                <w:webHidden/>
              </w:rPr>
              <w:t>19</w:t>
            </w:r>
            <w:r>
              <w:rPr>
                <w:noProof/>
                <w:webHidden/>
              </w:rPr>
              <w:fldChar w:fldCharType="end"/>
            </w:r>
          </w:hyperlink>
        </w:p>
        <w:p w14:paraId="15789CDD" w14:textId="77777777" w:rsidR="000111B5" w:rsidRDefault="000111B5">
          <w:pPr>
            <w:pStyle w:val="TOC3"/>
            <w:tabs>
              <w:tab w:val="right" w:leader="dot" w:pos="9350"/>
            </w:tabs>
            <w:rPr>
              <w:rFonts w:eastAsiaTheme="minorEastAsia"/>
              <w:noProof/>
            </w:rPr>
          </w:pPr>
          <w:hyperlink w:anchor="_Toc202853925" w:history="1">
            <w:r w:rsidRPr="00375BF4">
              <w:rPr>
                <w:rStyle w:val="Hyperlink"/>
                <w:noProof/>
              </w:rPr>
              <w:t>2.5.1 Anti-Diabetic Activity</w:t>
            </w:r>
            <w:r>
              <w:rPr>
                <w:noProof/>
                <w:webHidden/>
              </w:rPr>
              <w:tab/>
            </w:r>
            <w:r>
              <w:rPr>
                <w:noProof/>
                <w:webHidden/>
              </w:rPr>
              <w:fldChar w:fldCharType="begin"/>
            </w:r>
            <w:r>
              <w:rPr>
                <w:noProof/>
                <w:webHidden/>
              </w:rPr>
              <w:instrText xml:space="preserve"> PAGEREF _Toc202853925 \h </w:instrText>
            </w:r>
            <w:r>
              <w:rPr>
                <w:noProof/>
                <w:webHidden/>
              </w:rPr>
            </w:r>
            <w:r>
              <w:rPr>
                <w:noProof/>
                <w:webHidden/>
              </w:rPr>
              <w:fldChar w:fldCharType="separate"/>
            </w:r>
            <w:r w:rsidR="00C438C2">
              <w:rPr>
                <w:noProof/>
                <w:webHidden/>
              </w:rPr>
              <w:t>20</w:t>
            </w:r>
            <w:r>
              <w:rPr>
                <w:noProof/>
                <w:webHidden/>
              </w:rPr>
              <w:fldChar w:fldCharType="end"/>
            </w:r>
          </w:hyperlink>
        </w:p>
        <w:p w14:paraId="4F268421" w14:textId="77777777" w:rsidR="000111B5" w:rsidRDefault="000111B5">
          <w:pPr>
            <w:pStyle w:val="TOC3"/>
            <w:tabs>
              <w:tab w:val="right" w:leader="dot" w:pos="9350"/>
            </w:tabs>
            <w:rPr>
              <w:rFonts w:eastAsiaTheme="minorEastAsia"/>
              <w:noProof/>
            </w:rPr>
          </w:pPr>
          <w:hyperlink w:anchor="_Toc202853926" w:history="1">
            <w:r w:rsidRPr="00375BF4">
              <w:rPr>
                <w:rStyle w:val="Hyperlink"/>
                <w:noProof/>
              </w:rPr>
              <w:t>2.5.2 Antioxidant Activity</w:t>
            </w:r>
            <w:r>
              <w:rPr>
                <w:noProof/>
                <w:webHidden/>
              </w:rPr>
              <w:tab/>
            </w:r>
            <w:r>
              <w:rPr>
                <w:noProof/>
                <w:webHidden/>
              </w:rPr>
              <w:fldChar w:fldCharType="begin"/>
            </w:r>
            <w:r>
              <w:rPr>
                <w:noProof/>
                <w:webHidden/>
              </w:rPr>
              <w:instrText xml:space="preserve"> PAGEREF _Toc202853926 \h </w:instrText>
            </w:r>
            <w:r>
              <w:rPr>
                <w:noProof/>
                <w:webHidden/>
              </w:rPr>
            </w:r>
            <w:r>
              <w:rPr>
                <w:noProof/>
                <w:webHidden/>
              </w:rPr>
              <w:fldChar w:fldCharType="separate"/>
            </w:r>
            <w:r w:rsidR="00C438C2">
              <w:rPr>
                <w:noProof/>
                <w:webHidden/>
              </w:rPr>
              <w:t>20</w:t>
            </w:r>
            <w:r>
              <w:rPr>
                <w:noProof/>
                <w:webHidden/>
              </w:rPr>
              <w:fldChar w:fldCharType="end"/>
            </w:r>
          </w:hyperlink>
        </w:p>
        <w:p w14:paraId="13A7C886" w14:textId="77777777" w:rsidR="000111B5" w:rsidRDefault="000111B5">
          <w:pPr>
            <w:pStyle w:val="TOC3"/>
            <w:tabs>
              <w:tab w:val="right" w:leader="dot" w:pos="9350"/>
            </w:tabs>
            <w:rPr>
              <w:rFonts w:eastAsiaTheme="minorEastAsia"/>
              <w:noProof/>
            </w:rPr>
          </w:pPr>
          <w:hyperlink w:anchor="_Toc202853927" w:history="1">
            <w:r w:rsidRPr="00375BF4">
              <w:rPr>
                <w:rStyle w:val="Hyperlink"/>
                <w:noProof/>
              </w:rPr>
              <w:t>2.5.3 Antimicrobial Activity</w:t>
            </w:r>
            <w:r>
              <w:rPr>
                <w:noProof/>
                <w:webHidden/>
              </w:rPr>
              <w:tab/>
            </w:r>
            <w:r>
              <w:rPr>
                <w:noProof/>
                <w:webHidden/>
              </w:rPr>
              <w:fldChar w:fldCharType="begin"/>
            </w:r>
            <w:r>
              <w:rPr>
                <w:noProof/>
                <w:webHidden/>
              </w:rPr>
              <w:instrText xml:space="preserve"> PAGEREF _Toc202853927 \h </w:instrText>
            </w:r>
            <w:r>
              <w:rPr>
                <w:noProof/>
                <w:webHidden/>
              </w:rPr>
            </w:r>
            <w:r>
              <w:rPr>
                <w:noProof/>
                <w:webHidden/>
              </w:rPr>
              <w:fldChar w:fldCharType="separate"/>
            </w:r>
            <w:r w:rsidR="00C438C2">
              <w:rPr>
                <w:noProof/>
                <w:webHidden/>
              </w:rPr>
              <w:t>23</w:t>
            </w:r>
            <w:r>
              <w:rPr>
                <w:noProof/>
                <w:webHidden/>
              </w:rPr>
              <w:fldChar w:fldCharType="end"/>
            </w:r>
          </w:hyperlink>
        </w:p>
        <w:p w14:paraId="26C46AB0" w14:textId="77777777" w:rsidR="000111B5" w:rsidRDefault="000111B5">
          <w:pPr>
            <w:pStyle w:val="TOC3"/>
            <w:tabs>
              <w:tab w:val="right" w:leader="dot" w:pos="9350"/>
            </w:tabs>
            <w:rPr>
              <w:rFonts w:eastAsiaTheme="minorEastAsia"/>
              <w:noProof/>
            </w:rPr>
          </w:pPr>
          <w:hyperlink w:anchor="_Toc202853928" w:history="1">
            <w:r w:rsidRPr="00375BF4">
              <w:rPr>
                <w:rStyle w:val="Hyperlink"/>
                <w:noProof/>
              </w:rPr>
              <w:t>2.5.4 Antinociceptive</w:t>
            </w:r>
            <w:r>
              <w:rPr>
                <w:noProof/>
                <w:webHidden/>
              </w:rPr>
              <w:tab/>
            </w:r>
            <w:r>
              <w:rPr>
                <w:noProof/>
                <w:webHidden/>
              </w:rPr>
              <w:fldChar w:fldCharType="begin"/>
            </w:r>
            <w:r>
              <w:rPr>
                <w:noProof/>
                <w:webHidden/>
              </w:rPr>
              <w:instrText xml:space="preserve"> PAGEREF _Toc202853928 \h </w:instrText>
            </w:r>
            <w:r>
              <w:rPr>
                <w:noProof/>
                <w:webHidden/>
              </w:rPr>
            </w:r>
            <w:r>
              <w:rPr>
                <w:noProof/>
                <w:webHidden/>
              </w:rPr>
              <w:fldChar w:fldCharType="separate"/>
            </w:r>
            <w:r w:rsidR="00C438C2">
              <w:rPr>
                <w:noProof/>
                <w:webHidden/>
              </w:rPr>
              <w:t>25</w:t>
            </w:r>
            <w:r>
              <w:rPr>
                <w:noProof/>
                <w:webHidden/>
              </w:rPr>
              <w:fldChar w:fldCharType="end"/>
            </w:r>
          </w:hyperlink>
        </w:p>
        <w:p w14:paraId="583DA9A5" w14:textId="77777777" w:rsidR="000111B5" w:rsidRDefault="000111B5">
          <w:pPr>
            <w:pStyle w:val="TOC3"/>
            <w:tabs>
              <w:tab w:val="right" w:leader="dot" w:pos="9350"/>
            </w:tabs>
            <w:rPr>
              <w:rFonts w:eastAsiaTheme="minorEastAsia"/>
              <w:noProof/>
            </w:rPr>
          </w:pPr>
          <w:hyperlink w:anchor="_Toc202853929" w:history="1">
            <w:r w:rsidRPr="00375BF4">
              <w:rPr>
                <w:rStyle w:val="Hyperlink"/>
                <w:noProof/>
              </w:rPr>
              <w:t>2.5.5 Antiviral Activity</w:t>
            </w:r>
            <w:r>
              <w:rPr>
                <w:noProof/>
                <w:webHidden/>
              </w:rPr>
              <w:tab/>
            </w:r>
            <w:r>
              <w:rPr>
                <w:noProof/>
                <w:webHidden/>
              </w:rPr>
              <w:fldChar w:fldCharType="begin"/>
            </w:r>
            <w:r>
              <w:rPr>
                <w:noProof/>
                <w:webHidden/>
              </w:rPr>
              <w:instrText xml:space="preserve"> PAGEREF _Toc202853929 \h </w:instrText>
            </w:r>
            <w:r>
              <w:rPr>
                <w:noProof/>
                <w:webHidden/>
              </w:rPr>
            </w:r>
            <w:r>
              <w:rPr>
                <w:noProof/>
                <w:webHidden/>
              </w:rPr>
              <w:fldChar w:fldCharType="separate"/>
            </w:r>
            <w:r w:rsidR="00C438C2">
              <w:rPr>
                <w:noProof/>
                <w:webHidden/>
              </w:rPr>
              <w:t>25</w:t>
            </w:r>
            <w:r>
              <w:rPr>
                <w:noProof/>
                <w:webHidden/>
              </w:rPr>
              <w:fldChar w:fldCharType="end"/>
            </w:r>
          </w:hyperlink>
        </w:p>
        <w:p w14:paraId="50A1F243" w14:textId="77777777" w:rsidR="000111B5" w:rsidRDefault="000111B5">
          <w:pPr>
            <w:pStyle w:val="TOC1"/>
            <w:tabs>
              <w:tab w:val="right" w:leader="dot" w:pos="9350"/>
            </w:tabs>
            <w:rPr>
              <w:rFonts w:eastAsiaTheme="minorEastAsia"/>
              <w:noProof/>
            </w:rPr>
          </w:pPr>
          <w:hyperlink w:anchor="_Toc202853930" w:history="1">
            <w:r w:rsidRPr="00375BF4">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_Toc202853930 \h </w:instrText>
            </w:r>
            <w:r>
              <w:rPr>
                <w:noProof/>
                <w:webHidden/>
              </w:rPr>
            </w:r>
            <w:r>
              <w:rPr>
                <w:noProof/>
                <w:webHidden/>
              </w:rPr>
              <w:fldChar w:fldCharType="separate"/>
            </w:r>
            <w:r w:rsidR="00C438C2">
              <w:rPr>
                <w:noProof/>
                <w:webHidden/>
              </w:rPr>
              <w:t>26</w:t>
            </w:r>
            <w:r>
              <w:rPr>
                <w:noProof/>
                <w:webHidden/>
              </w:rPr>
              <w:fldChar w:fldCharType="end"/>
            </w:r>
          </w:hyperlink>
        </w:p>
        <w:p w14:paraId="6FD7CD94" w14:textId="77777777" w:rsidR="000111B5" w:rsidRDefault="000111B5">
          <w:pPr>
            <w:pStyle w:val="TOC2"/>
            <w:tabs>
              <w:tab w:val="right" w:leader="dot" w:pos="9350"/>
            </w:tabs>
            <w:rPr>
              <w:rFonts w:eastAsiaTheme="minorEastAsia"/>
              <w:noProof/>
            </w:rPr>
          </w:pPr>
          <w:hyperlink w:anchor="_Toc202853931" w:history="1">
            <w:r w:rsidRPr="00375BF4">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_Toc202853931 \h </w:instrText>
            </w:r>
            <w:r>
              <w:rPr>
                <w:noProof/>
                <w:webHidden/>
              </w:rPr>
            </w:r>
            <w:r>
              <w:rPr>
                <w:noProof/>
                <w:webHidden/>
              </w:rPr>
              <w:fldChar w:fldCharType="separate"/>
            </w:r>
            <w:r w:rsidR="00C438C2">
              <w:rPr>
                <w:noProof/>
                <w:webHidden/>
              </w:rPr>
              <w:t>26</w:t>
            </w:r>
            <w:r>
              <w:rPr>
                <w:noProof/>
                <w:webHidden/>
              </w:rPr>
              <w:fldChar w:fldCharType="end"/>
            </w:r>
          </w:hyperlink>
        </w:p>
        <w:p w14:paraId="44F68D6B" w14:textId="77777777" w:rsidR="000111B5" w:rsidRDefault="000111B5">
          <w:pPr>
            <w:pStyle w:val="TOC2"/>
            <w:tabs>
              <w:tab w:val="right" w:leader="dot" w:pos="9350"/>
            </w:tabs>
            <w:rPr>
              <w:rFonts w:eastAsiaTheme="minorEastAsia"/>
              <w:noProof/>
            </w:rPr>
          </w:pPr>
          <w:hyperlink w:anchor="_Toc202853932" w:history="1">
            <w:r w:rsidRPr="00375BF4">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_Toc202853932 \h </w:instrText>
            </w:r>
            <w:r>
              <w:rPr>
                <w:noProof/>
                <w:webHidden/>
              </w:rPr>
            </w:r>
            <w:r>
              <w:rPr>
                <w:noProof/>
                <w:webHidden/>
              </w:rPr>
              <w:fldChar w:fldCharType="separate"/>
            </w:r>
            <w:r w:rsidR="00C438C2">
              <w:rPr>
                <w:noProof/>
                <w:webHidden/>
              </w:rPr>
              <w:t>26</w:t>
            </w:r>
            <w:r>
              <w:rPr>
                <w:noProof/>
                <w:webHidden/>
              </w:rPr>
              <w:fldChar w:fldCharType="end"/>
            </w:r>
          </w:hyperlink>
        </w:p>
        <w:p w14:paraId="419C15DE" w14:textId="77777777" w:rsidR="000111B5" w:rsidRDefault="000111B5">
          <w:pPr>
            <w:pStyle w:val="TOC2"/>
            <w:tabs>
              <w:tab w:val="right" w:leader="dot" w:pos="9350"/>
            </w:tabs>
            <w:rPr>
              <w:rFonts w:eastAsiaTheme="minorEastAsia"/>
              <w:noProof/>
            </w:rPr>
          </w:pPr>
          <w:hyperlink w:anchor="_Toc202853933" w:history="1">
            <w:r w:rsidRPr="00375BF4">
              <w:rPr>
                <w:rStyle w:val="Hyperlink"/>
                <w:rFonts w:asciiTheme="majorBidi" w:hAnsiTheme="majorBidi"/>
                <w:noProof/>
              </w:rPr>
              <w:t>3.2 Preparation of Clove Extracts</w:t>
            </w:r>
            <w:r>
              <w:rPr>
                <w:noProof/>
                <w:webHidden/>
              </w:rPr>
              <w:tab/>
            </w:r>
            <w:r>
              <w:rPr>
                <w:noProof/>
                <w:webHidden/>
              </w:rPr>
              <w:fldChar w:fldCharType="begin"/>
            </w:r>
            <w:r>
              <w:rPr>
                <w:noProof/>
                <w:webHidden/>
              </w:rPr>
              <w:instrText xml:space="preserve"> PAGEREF _Toc202853933 \h </w:instrText>
            </w:r>
            <w:r>
              <w:rPr>
                <w:noProof/>
                <w:webHidden/>
              </w:rPr>
            </w:r>
            <w:r>
              <w:rPr>
                <w:noProof/>
                <w:webHidden/>
              </w:rPr>
              <w:fldChar w:fldCharType="separate"/>
            </w:r>
            <w:r w:rsidR="00C438C2">
              <w:rPr>
                <w:noProof/>
                <w:webHidden/>
              </w:rPr>
              <w:t>26</w:t>
            </w:r>
            <w:r>
              <w:rPr>
                <w:noProof/>
                <w:webHidden/>
              </w:rPr>
              <w:fldChar w:fldCharType="end"/>
            </w:r>
          </w:hyperlink>
        </w:p>
        <w:p w14:paraId="1BFFB0E1" w14:textId="77777777" w:rsidR="000111B5" w:rsidRDefault="000111B5">
          <w:pPr>
            <w:pStyle w:val="TOC2"/>
            <w:tabs>
              <w:tab w:val="right" w:leader="dot" w:pos="9350"/>
            </w:tabs>
            <w:rPr>
              <w:rFonts w:eastAsiaTheme="minorEastAsia"/>
              <w:noProof/>
            </w:rPr>
          </w:pPr>
          <w:hyperlink w:anchor="_Toc202853934" w:history="1">
            <w:r w:rsidRPr="00375BF4">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_Toc202853934 \h </w:instrText>
            </w:r>
            <w:r>
              <w:rPr>
                <w:noProof/>
                <w:webHidden/>
              </w:rPr>
            </w:r>
            <w:r>
              <w:rPr>
                <w:noProof/>
                <w:webHidden/>
              </w:rPr>
              <w:fldChar w:fldCharType="separate"/>
            </w:r>
            <w:r w:rsidR="00C438C2">
              <w:rPr>
                <w:noProof/>
                <w:webHidden/>
              </w:rPr>
              <w:t>26</w:t>
            </w:r>
            <w:r>
              <w:rPr>
                <w:noProof/>
                <w:webHidden/>
              </w:rPr>
              <w:fldChar w:fldCharType="end"/>
            </w:r>
          </w:hyperlink>
        </w:p>
        <w:p w14:paraId="3B31694D" w14:textId="77777777" w:rsidR="000111B5" w:rsidRDefault="000111B5">
          <w:pPr>
            <w:pStyle w:val="TOC2"/>
            <w:tabs>
              <w:tab w:val="right" w:leader="dot" w:pos="9350"/>
            </w:tabs>
            <w:rPr>
              <w:rFonts w:eastAsiaTheme="minorEastAsia"/>
              <w:noProof/>
            </w:rPr>
          </w:pPr>
          <w:hyperlink w:anchor="_Toc202853935" w:history="1">
            <w:r w:rsidRPr="00375BF4">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_Toc202853935 \h </w:instrText>
            </w:r>
            <w:r>
              <w:rPr>
                <w:noProof/>
                <w:webHidden/>
              </w:rPr>
            </w:r>
            <w:r>
              <w:rPr>
                <w:noProof/>
                <w:webHidden/>
              </w:rPr>
              <w:fldChar w:fldCharType="separate"/>
            </w:r>
            <w:r w:rsidR="00C438C2">
              <w:rPr>
                <w:noProof/>
                <w:webHidden/>
              </w:rPr>
              <w:t>26</w:t>
            </w:r>
            <w:r>
              <w:rPr>
                <w:noProof/>
                <w:webHidden/>
              </w:rPr>
              <w:fldChar w:fldCharType="end"/>
            </w:r>
          </w:hyperlink>
        </w:p>
        <w:p w14:paraId="71A18656" w14:textId="77777777" w:rsidR="000111B5" w:rsidRDefault="000111B5">
          <w:pPr>
            <w:pStyle w:val="TOC2"/>
            <w:tabs>
              <w:tab w:val="right" w:leader="dot" w:pos="9350"/>
            </w:tabs>
            <w:rPr>
              <w:rFonts w:eastAsiaTheme="minorEastAsia"/>
              <w:noProof/>
            </w:rPr>
          </w:pPr>
          <w:hyperlink w:anchor="_Toc202853936" w:history="1">
            <w:r w:rsidRPr="00375BF4">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_Toc202853936 \h </w:instrText>
            </w:r>
            <w:r>
              <w:rPr>
                <w:noProof/>
                <w:webHidden/>
              </w:rPr>
            </w:r>
            <w:r>
              <w:rPr>
                <w:noProof/>
                <w:webHidden/>
              </w:rPr>
              <w:fldChar w:fldCharType="separate"/>
            </w:r>
            <w:r w:rsidR="00C438C2">
              <w:rPr>
                <w:noProof/>
                <w:webHidden/>
              </w:rPr>
              <w:t>27</w:t>
            </w:r>
            <w:r>
              <w:rPr>
                <w:noProof/>
                <w:webHidden/>
              </w:rPr>
              <w:fldChar w:fldCharType="end"/>
            </w:r>
          </w:hyperlink>
        </w:p>
        <w:p w14:paraId="5CAB8980" w14:textId="77777777" w:rsidR="000111B5" w:rsidRDefault="000111B5">
          <w:pPr>
            <w:pStyle w:val="TOC2"/>
            <w:tabs>
              <w:tab w:val="right" w:leader="dot" w:pos="9350"/>
            </w:tabs>
            <w:rPr>
              <w:rFonts w:eastAsiaTheme="minorEastAsia"/>
              <w:noProof/>
            </w:rPr>
          </w:pPr>
          <w:hyperlink w:anchor="_Toc202853937" w:history="1">
            <w:r w:rsidRPr="00375BF4">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_Toc202853937 \h </w:instrText>
            </w:r>
            <w:r>
              <w:rPr>
                <w:noProof/>
                <w:webHidden/>
              </w:rPr>
            </w:r>
            <w:r>
              <w:rPr>
                <w:noProof/>
                <w:webHidden/>
              </w:rPr>
              <w:fldChar w:fldCharType="separate"/>
            </w:r>
            <w:r w:rsidR="00C438C2">
              <w:rPr>
                <w:noProof/>
                <w:webHidden/>
              </w:rPr>
              <w:t>27</w:t>
            </w:r>
            <w:r>
              <w:rPr>
                <w:noProof/>
                <w:webHidden/>
              </w:rPr>
              <w:fldChar w:fldCharType="end"/>
            </w:r>
          </w:hyperlink>
        </w:p>
        <w:p w14:paraId="3BC6E1DF" w14:textId="77777777" w:rsidR="000111B5" w:rsidRDefault="000111B5">
          <w:pPr>
            <w:pStyle w:val="TOC2"/>
            <w:tabs>
              <w:tab w:val="right" w:leader="dot" w:pos="9350"/>
            </w:tabs>
            <w:rPr>
              <w:rFonts w:eastAsiaTheme="minorEastAsia"/>
              <w:noProof/>
            </w:rPr>
          </w:pPr>
          <w:hyperlink w:anchor="_Toc202853938" w:history="1">
            <w:r w:rsidRPr="00375BF4">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_Toc202853938 \h </w:instrText>
            </w:r>
            <w:r>
              <w:rPr>
                <w:noProof/>
                <w:webHidden/>
              </w:rPr>
            </w:r>
            <w:r>
              <w:rPr>
                <w:noProof/>
                <w:webHidden/>
              </w:rPr>
              <w:fldChar w:fldCharType="separate"/>
            </w:r>
            <w:r w:rsidR="00C438C2">
              <w:rPr>
                <w:noProof/>
                <w:webHidden/>
              </w:rPr>
              <w:t>28</w:t>
            </w:r>
            <w:r>
              <w:rPr>
                <w:noProof/>
                <w:webHidden/>
              </w:rPr>
              <w:fldChar w:fldCharType="end"/>
            </w:r>
          </w:hyperlink>
        </w:p>
        <w:p w14:paraId="57D3F0D7" w14:textId="77777777" w:rsidR="000111B5" w:rsidRDefault="000111B5">
          <w:pPr>
            <w:pStyle w:val="TOC1"/>
            <w:tabs>
              <w:tab w:val="right" w:leader="dot" w:pos="9350"/>
            </w:tabs>
            <w:rPr>
              <w:rFonts w:eastAsiaTheme="minorEastAsia"/>
              <w:noProof/>
            </w:rPr>
          </w:pPr>
          <w:hyperlink w:anchor="_Toc202853939" w:history="1">
            <w:r w:rsidRPr="00375BF4">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_Toc202853939 \h </w:instrText>
            </w:r>
            <w:r>
              <w:rPr>
                <w:noProof/>
                <w:webHidden/>
              </w:rPr>
            </w:r>
            <w:r>
              <w:rPr>
                <w:noProof/>
                <w:webHidden/>
              </w:rPr>
              <w:fldChar w:fldCharType="separate"/>
            </w:r>
            <w:r w:rsidR="00C438C2">
              <w:rPr>
                <w:noProof/>
                <w:webHidden/>
              </w:rPr>
              <w:t>29</w:t>
            </w:r>
            <w:r>
              <w:rPr>
                <w:noProof/>
                <w:webHidden/>
              </w:rPr>
              <w:fldChar w:fldCharType="end"/>
            </w:r>
          </w:hyperlink>
        </w:p>
        <w:p w14:paraId="78CB5739" w14:textId="77777777" w:rsidR="000111B5" w:rsidRDefault="000111B5">
          <w:pPr>
            <w:pStyle w:val="TOC2"/>
            <w:tabs>
              <w:tab w:val="left" w:pos="880"/>
              <w:tab w:val="right" w:leader="dot" w:pos="9350"/>
            </w:tabs>
            <w:rPr>
              <w:rFonts w:eastAsiaTheme="minorEastAsia"/>
              <w:noProof/>
            </w:rPr>
          </w:pPr>
          <w:hyperlink w:anchor="_Toc202853940" w:history="1">
            <w:r w:rsidRPr="00375BF4">
              <w:rPr>
                <w:rStyle w:val="Hyperlink"/>
                <w:rFonts w:asciiTheme="majorBidi" w:hAnsiTheme="majorBidi"/>
                <w:noProof/>
              </w:rPr>
              <w:t>4.0</w:t>
            </w:r>
            <w:r>
              <w:rPr>
                <w:rFonts w:eastAsiaTheme="minorEastAsia"/>
                <w:noProof/>
              </w:rPr>
              <w:tab/>
            </w:r>
            <w:r w:rsidRPr="00375BF4">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_Toc202853940 \h </w:instrText>
            </w:r>
            <w:r>
              <w:rPr>
                <w:noProof/>
                <w:webHidden/>
              </w:rPr>
            </w:r>
            <w:r>
              <w:rPr>
                <w:noProof/>
                <w:webHidden/>
              </w:rPr>
              <w:fldChar w:fldCharType="separate"/>
            </w:r>
            <w:r w:rsidR="00C438C2">
              <w:rPr>
                <w:noProof/>
                <w:webHidden/>
              </w:rPr>
              <w:t>29</w:t>
            </w:r>
            <w:r>
              <w:rPr>
                <w:noProof/>
                <w:webHidden/>
              </w:rPr>
              <w:fldChar w:fldCharType="end"/>
            </w:r>
          </w:hyperlink>
        </w:p>
        <w:p w14:paraId="2BDE0DDC" w14:textId="77777777" w:rsidR="000111B5" w:rsidRDefault="000111B5">
          <w:pPr>
            <w:pStyle w:val="TOC2"/>
            <w:tabs>
              <w:tab w:val="right" w:leader="dot" w:pos="9350"/>
            </w:tabs>
            <w:rPr>
              <w:rFonts w:eastAsiaTheme="minorEastAsia"/>
              <w:noProof/>
            </w:rPr>
          </w:pPr>
          <w:hyperlink w:anchor="_Toc202853941" w:history="1">
            <w:r w:rsidRPr="00375BF4">
              <w:rPr>
                <w:rStyle w:val="Hyperlink"/>
                <w:rFonts w:asciiTheme="majorBidi" w:hAnsiTheme="majorBidi"/>
                <w:noProof/>
              </w:rPr>
              <w:t>4.1 Antibacterial Activity of Clove Extracts</w:t>
            </w:r>
            <w:r>
              <w:rPr>
                <w:noProof/>
                <w:webHidden/>
              </w:rPr>
              <w:tab/>
            </w:r>
            <w:r>
              <w:rPr>
                <w:noProof/>
                <w:webHidden/>
              </w:rPr>
              <w:fldChar w:fldCharType="begin"/>
            </w:r>
            <w:r>
              <w:rPr>
                <w:noProof/>
                <w:webHidden/>
              </w:rPr>
              <w:instrText xml:space="preserve"> PAGEREF _Toc202853941 \h </w:instrText>
            </w:r>
            <w:r>
              <w:rPr>
                <w:noProof/>
                <w:webHidden/>
              </w:rPr>
            </w:r>
            <w:r>
              <w:rPr>
                <w:noProof/>
                <w:webHidden/>
              </w:rPr>
              <w:fldChar w:fldCharType="separate"/>
            </w:r>
            <w:r w:rsidR="00C438C2">
              <w:rPr>
                <w:noProof/>
                <w:webHidden/>
              </w:rPr>
              <w:t>29</w:t>
            </w:r>
            <w:r>
              <w:rPr>
                <w:noProof/>
                <w:webHidden/>
              </w:rPr>
              <w:fldChar w:fldCharType="end"/>
            </w:r>
          </w:hyperlink>
        </w:p>
        <w:p w14:paraId="00C676D6" w14:textId="77777777" w:rsidR="000111B5" w:rsidRDefault="000111B5">
          <w:pPr>
            <w:pStyle w:val="TOC2"/>
            <w:tabs>
              <w:tab w:val="right" w:leader="dot" w:pos="9350"/>
            </w:tabs>
            <w:rPr>
              <w:rFonts w:eastAsiaTheme="minorEastAsia"/>
              <w:noProof/>
            </w:rPr>
          </w:pPr>
          <w:hyperlink w:anchor="_Toc202853942" w:history="1">
            <w:r w:rsidRPr="00375BF4">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_Toc202853942 \h </w:instrText>
            </w:r>
            <w:r>
              <w:rPr>
                <w:noProof/>
                <w:webHidden/>
              </w:rPr>
            </w:r>
            <w:r>
              <w:rPr>
                <w:noProof/>
                <w:webHidden/>
              </w:rPr>
              <w:fldChar w:fldCharType="separate"/>
            </w:r>
            <w:r w:rsidR="00C438C2">
              <w:rPr>
                <w:noProof/>
                <w:webHidden/>
              </w:rPr>
              <w:t>29</w:t>
            </w:r>
            <w:r>
              <w:rPr>
                <w:noProof/>
                <w:webHidden/>
              </w:rPr>
              <w:fldChar w:fldCharType="end"/>
            </w:r>
          </w:hyperlink>
        </w:p>
        <w:p w14:paraId="58C98EE9" w14:textId="77777777" w:rsidR="000111B5" w:rsidRDefault="000111B5">
          <w:pPr>
            <w:pStyle w:val="TOC1"/>
            <w:tabs>
              <w:tab w:val="right" w:leader="dot" w:pos="9350"/>
            </w:tabs>
            <w:rPr>
              <w:rFonts w:eastAsiaTheme="minorEastAsia"/>
              <w:noProof/>
            </w:rPr>
          </w:pPr>
          <w:hyperlink w:anchor="_Toc202853943" w:history="1">
            <w:r w:rsidRPr="00375BF4">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_Toc202853943 \h </w:instrText>
            </w:r>
            <w:r>
              <w:rPr>
                <w:noProof/>
                <w:webHidden/>
              </w:rPr>
            </w:r>
            <w:r>
              <w:rPr>
                <w:noProof/>
                <w:webHidden/>
              </w:rPr>
              <w:fldChar w:fldCharType="separate"/>
            </w:r>
            <w:r w:rsidR="00C438C2">
              <w:rPr>
                <w:noProof/>
                <w:webHidden/>
              </w:rPr>
              <w:t>32</w:t>
            </w:r>
            <w:r>
              <w:rPr>
                <w:noProof/>
                <w:webHidden/>
              </w:rPr>
              <w:fldChar w:fldCharType="end"/>
            </w:r>
          </w:hyperlink>
        </w:p>
        <w:p w14:paraId="477C7010" w14:textId="77777777" w:rsidR="000111B5" w:rsidRDefault="000111B5">
          <w:pPr>
            <w:pStyle w:val="TOC2"/>
            <w:tabs>
              <w:tab w:val="right" w:leader="dot" w:pos="9350"/>
            </w:tabs>
            <w:rPr>
              <w:rFonts w:eastAsiaTheme="minorEastAsia"/>
              <w:noProof/>
            </w:rPr>
          </w:pPr>
          <w:hyperlink w:anchor="_Toc202853944" w:history="1">
            <w:r w:rsidRPr="00375BF4">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_Toc202853944 \h </w:instrText>
            </w:r>
            <w:r>
              <w:rPr>
                <w:noProof/>
                <w:webHidden/>
              </w:rPr>
            </w:r>
            <w:r>
              <w:rPr>
                <w:noProof/>
                <w:webHidden/>
              </w:rPr>
              <w:fldChar w:fldCharType="separate"/>
            </w:r>
            <w:r w:rsidR="00C438C2">
              <w:rPr>
                <w:noProof/>
                <w:webHidden/>
              </w:rPr>
              <w:t>32</w:t>
            </w:r>
            <w:r>
              <w:rPr>
                <w:noProof/>
                <w:webHidden/>
              </w:rPr>
              <w:fldChar w:fldCharType="end"/>
            </w:r>
          </w:hyperlink>
        </w:p>
        <w:p w14:paraId="0BE3FEF1" w14:textId="77777777" w:rsidR="000111B5" w:rsidRDefault="000111B5">
          <w:pPr>
            <w:pStyle w:val="TOC2"/>
            <w:tabs>
              <w:tab w:val="right" w:leader="dot" w:pos="9350"/>
            </w:tabs>
            <w:rPr>
              <w:rFonts w:eastAsiaTheme="minorEastAsia"/>
              <w:noProof/>
            </w:rPr>
          </w:pPr>
          <w:hyperlink w:anchor="_Toc202853945" w:history="1">
            <w:r w:rsidRPr="00375BF4">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_Toc202853945 \h </w:instrText>
            </w:r>
            <w:r>
              <w:rPr>
                <w:noProof/>
                <w:webHidden/>
              </w:rPr>
            </w:r>
            <w:r>
              <w:rPr>
                <w:noProof/>
                <w:webHidden/>
              </w:rPr>
              <w:fldChar w:fldCharType="separate"/>
            </w:r>
            <w:r w:rsidR="00C438C2">
              <w:rPr>
                <w:noProof/>
                <w:webHidden/>
              </w:rPr>
              <w:t>35</w:t>
            </w:r>
            <w:r>
              <w:rPr>
                <w:noProof/>
                <w:webHidden/>
              </w:rPr>
              <w:fldChar w:fldCharType="end"/>
            </w:r>
          </w:hyperlink>
        </w:p>
        <w:p w14:paraId="44B810F5" w14:textId="77777777" w:rsidR="000111B5" w:rsidRDefault="000111B5">
          <w:pPr>
            <w:pStyle w:val="TOC2"/>
            <w:tabs>
              <w:tab w:val="right" w:leader="dot" w:pos="9350"/>
            </w:tabs>
            <w:rPr>
              <w:rFonts w:eastAsiaTheme="minorEastAsia"/>
              <w:noProof/>
            </w:rPr>
          </w:pPr>
          <w:hyperlink w:anchor="_Toc202853946" w:history="1">
            <w:r w:rsidRPr="00375BF4">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_Toc202853946 \h </w:instrText>
            </w:r>
            <w:r>
              <w:rPr>
                <w:noProof/>
                <w:webHidden/>
              </w:rPr>
            </w:r>
            <w:r>
              <w:rPr>
                <w:noProof/>
                <w:webHidden/>
              </w:rPr>
              <w:fldChar w:fldCharType="separate"/>
            </w:r>
            <w:r w:rsidR="00C438C2">
              <w:rPr>
                <w:noProof/>
                <w:webHidden/>
              </w:rPr>
              <w:t>36</w:t>
            </w:r>
            <w:r>
              <w:rPr>
                <w:noProof/>
                <w:webHidden/>
              </w:rPr>
              <w:fldChar w:fldCharType="end"/>
            </w:r>
          </w:hyperlink>
        </w:p>
        <w:p w14:paraId="646F63B0" w14:textId="77777777" w:rsidR="000111B5" w:rsidRDefault="000111B5">
          <w:r>
            <w:rPr>
              <w:b/>
              <w:bCs/>
              <w:noProof/>
            </w:rPr>
            <w:fldChar w:fldCharType="end"/>
          </w:r>
        </w:p>
      </w:sdtContent>
    </w:sdt>
    <w:p w14:paraId="20504B3A" w14:textId="77777777" w:rsidR="00B0493F" w:rsidRDefault="00B0493F" w:rsidP="00B0493F"/>
    <w:p w14:paraId="4362C650" w14:textId="77777777" w:rsidR="00B0493F" w:rsidRDefault="00B0493F" w:rsidP="00B0493F"/>
    <w:p w14:paraId="3F5EC786" w14:textId="77777777" w:rsidR="00B0493F" w:rsidRDefault="00B0493F" w:rsidP="00B0493F"/>
    <w:p w14:paraId="32193F11" w14:textId="77777777"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0D952B6C" w14:textId="77777777"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14:paraId="2EAF8336"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895"/>
      <w:r w:rsidRPr="00526707">
        <w:rPr>
          <w:rFonts w:asciiTheme="majorBidi" w:eastAsia="Calibri" w:hAnsiTheme="majorBidi"/>
          <w:b/>
          <w:bCs/>
          <w:color w:val="auto"/>
          <w:sz w:val="28"/>
          <w:szCs w:val="28"/>
        </w:rPr>
        <w:t>ABSTRACT</w:t>
      </w:r>
      <w:bookmarkEnd w:id="9"/>
      <w:bookmarkEnd w:id="10"/>
    </w:p>
    <w:p w14:paraId="1E497234" w14:textId="77777777"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affirm the broad-spectrum antibacterial potential of clove, especially when extracted with organic solvents.</w:t>
      </w:r>
    </w:p>
    <w:p w14:paraId="02AF0897" w14:textId="77777777" w:rsidR="00B0493F" w:rsidRDefault="00B0493F" w:rsidP="00B32022">
      <w:pPr>
        <w:keepNext/>
        <w:keepLines/>
        <w:spacing w:before="240" w:after="0"/>
        <w:outlineLvl w:val="0"/>
        <w:rPr>
          <w:rFonts w:ascii="Times New Roman" w:eastAsiaTheme="majorEastAsia" w:hAnsi="Times New Roman" w:cs="Times New Roman"/>
          <w:b/>
          <w:sz w:val="28"/>
          <w:szCs w:val="28"/>
        </w:rPr>
      </w:pPr>
    </w:p>
    <w:p w14:paraId="0FE93837"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11E41AC"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0CA03A2"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0FA0E68"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40785BA"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5FA22F46" w14:textId="77777777"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BFC7043"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4E6BA064" w14:textId="77777777"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11F5054E" w14:textId="77777777"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3" w:name="_Toc202853896"/>
      <w:r w:rsidRPr="00526707">
        <w:rPr>
          <w:rFonts w:asciiTheme="majorBidi" w:eastAsia="Calibri" w:hAnsiTheme="majorBidi"/>
          <w:b/>
          <w:bCs/>
          <w:color w:val="auto"/>
          <w:sz w:val="28"/>
          <w:szCs w:val="28"/>
        </w:rPr>
        <w:t>CHAPTER ONE</w:t>
      </w:r>
      <w:bookmarkEnd w:id="11"/>
      <w:bookmarkEnd w:id="13"/>
    </w:p>
    <w:p w14:paraId="7FD9472A"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897"/>
      <w:r w:rsidRPr="00526707">
        <w:rPr>
          <w:rFonts w:asciiTheme="majorBidi" w:hAnsiTheme="majorBidi"/>
          <w:sz w:val="24"/>
          <w:szCs w:val="24"/>
        </w:rPr>
        <w:t>1.0 Introduction</w:t>
      </w:r>
      <w:bookmarkEnd w:id="12"/>
      <w:bookmarkEnd w:id="14"/>
      <w:bookmarkEnd w:id="15"/>
    </w:p>
    <w:p w14:paraId="4D8C218D"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13EFEB7A"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Salmonella </w:t>
      </w:r>
      <w:proofErr w:type="spellStart"/>
      <w:r w:rsidRPr="00911FA9">
        <w:rPr>
          <w:rFonts w:ascii="Times New Roman" w:eastAsia="Times New Roman" w:hAnsi="Times New Roman" w:cs="Times New Roman"/>
          <w:i/>
          <w:iCs/>
          <w:sz w:val="24"/>
          <w:szCs w:val="24"/>
        </w:rPr>
        <w:t>typhi</w:t>
      </w:r>
      <w:proofErr w:type="spellEnd"/>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629653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w:t>
      </w:r>
      <w:proofErr w:type="spellStart"/>
      <w:r w:rsidRPr="000C7998">
        <w:rPr>
          <w:rFonts w:ascii="Times New Roman" w:eastAsia="Times New Roman" w:hAnsi="Times New Roman" w:cs="Times New Roman"/>
          <w:sz w:val="24"/>
          <w:szCs w:val="24"/>
        </w:rPr>
        <w:t>terpenoids</w:t>
      </w:r>
      <w:proofErr w:type="spellEnd"/>
      <w:r w:rsidRPr="000C7998">
        <w:rPr>
          <w:rFonts w:ascii="Times New Roman" w:eastAsia="Times New Roman" w:hAnsi="Times New Roman" w:cs="Times New Roman"/>
          <w:sz w:val="24"/>
          <w:szCs w:val="24"/>
        </w:rPr>
        <w:t xml:space="preserve">, </w:t>
      </w:r>
      <w:proofErr w:type="spellStart"/>
      <w:r w:rsidRPr="000C7998">
        <w:rPr>
          <w:rFonts w:ascii="Times New Roman" w:eastAsia="Times New Roman" w:hAnsi="Times New Roman" w:cs="Times New Roman"/>
          <w:sz w:val="24"/>
          <w:szCs w:val="24"/>
        </w:rPr>
        <w:t>phenolics</w:t>
      </w:r>
      <w:proofErr w:type="spellEnd"/>
      <w:r w:rsidRPr="000C7998">
        <w:rPr>
          <w:rFonts w:ascii="Times New Roman" w:eastAsia="Times New Roman" w:hAnsi="Times New Roman" w:cs="Times New Roman"/>
          <w:sz w:val="24"/>
          <w:szCs w:val="24"/>
        </w:rPr>
        <w:t>,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2023). These natural products have historically </w:t>
      </w:r>
      <w:r w:rsidRPr="000C7998">
        <w:rPr>
          <w:rFonts w:ascii="Times New Roman" w:eastAsia="Times New Roman" w:hAnsi="Times New Roman" w:cs="Times New Roman"/>
          <w:sz w:val="24"/>
          <w:szCs w:val="24"/>
        </w:rPr>
        <w:lastRenderedPageBreak/>
        <w:t>contributed to drug discovery and are gaining popularity for their availability, low toxicity, and cost-effectiveness.</w:t>
      </w:r>
    </w:p>
    <w:p w14:paraId="2D1CA3CE"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sidRPr="000C7998">
        <w:rPr>
          <w:rFonts w:ascii="Times New Roman" w:eastAsia="Times New Roman" w:hAnsi="Times New Roman" w:cs="Times New Roman"/>
          <w:sz w:val="24"/>
          <w:szCs w:val="24"/>
        </w:rPr>
        <w:t>eugenol</w:t>
      </w:r>
      <w:proofErr w:type="spellEnd"/>
      <w:r w:rsidRPr="000C7998">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3EC4F1EC"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2481CDA4" w14:textId="77777777"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0C7998">
        <w:rPr>
          <w:rFonts w:ascii="Times New Roman" w:eastAsia="Times New Roman" w:hAnsi="Times New Roman" w:cs="Times New Roman"/>
          <w:sz w:val="24"/>
          <w:szCs w:val="24"/>
        </w:rPr>
        <w:t>Adeyemi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22BADD6E" w14:textId="77777777" w:rsidR="000C7998" w:rsidRPr="007E2F1E" w:rsidRDefault="000C7998" w:rsidP="007E2F1E">
      <w:pPr>
        <w:pStyle w:val="Heading2"/>
        <w:rPr>
          <w:rFonts w:asciiTheme="majorBidi" w:hAnsiTheme="majorBidi"/>
          <w:sz w:val="24"/>
          <w:szCs w:val="24"/>
        </w:rPr>
      </w:pPr>
      <w:bookmarkStart w:id="16" w:name="_Toc202853898"/>
      <w:r w:rsidRPr="007E2F1E">
        <w:rPr>
          <w:rFonts w:asciiTheme="majorBidi" w:hAnsiTheme="majorBidi"/>
          <w:sz w:val="24"/>
          <w:szCs w:val="24"/>
        </w:rPr>
        <w:t>1.1 Statement of the Problem</w:t>
      </w:r>
      <w:bookmarkEnd w:id="16"/>
    </w:p>
    <w:p w14:paraId="75CD780F"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w:t>
      </w:r>
      <w:r w:rsidRPr="000C7998">
        <w:rPr>
          <w:rFonts w:ascii="Times New Roman" w:eastAsia="Times New Roman" w:hAnsi="Times New Roman" w:cs="Times New Roman"/>
          <w:sz w:val="24"/>
          <w:szCs w:val="24"/>
        </w:rPr>
        <w:lastRenderedPageBreak/>
        <w:t xml:space="preserve">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6683D301" w14:textId="77777777" w:rsidR="000C7998" w:rsidRPr="007E2F1E" w:rsidRDefault="000C7998" w:rsidP="007E2F1E">
      <w:pPr>
        <w:pStyle w:val="Heading2"/>
        <w:rPr>
          <w:rFonts w:asciiTheme="majorBidi" w:hAnsiTheme="majorBidi"/>
          <w:sz w:val="24"/>
          <w:szCs w:val="24"/>
        </w:rPr>
      </w:pPr>
      <w:bookmarkStart w:id="17" w:name="_Toc202853899"/>
      <w:r w:rsidRPr="007E2F1E">
        <w:rPr>
          <w:rFonts w:asciiTheme="majorBidi" w:hAnsiTheme="majorBidi"/>
          <w:sz w:val="24"/>
          <w:szCs w:val="24"/>
        </w:rPr>
        <w:t>1.2 Justification of the Study</w:t>
      </w:r>
      <w:bookmarkEnd w:id="17"/>
    </w:p>
    <w:p w14:paraId="6A42BB6E"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sidRPr="000C7998">
        <w:rPr>
          <w:rFonts w:ascii="Times New Roman" w:eastAsia="Times New Roman" w:hAnsi="Times New Roman" w:cs="Times New Roman"/>
          <w:sz w:val="24"/>
          <w:szCs w:val="24"/>
        </w:rPr>
        <w:t>phytomedicine</w:t>
      </w:r>
      <w:proofErr w:type="spellEnd"/>
      <w:r w:rsidRPr="000C7998">
        <w:rPr>
          <w:rFonts w:ascii="Times New Roman" w:eastAsia="Times New Roman" w:hAnsi="Times New Roman" w:cs="Times New Roman"/>
          <w:sz w:val="24"/>
          <w:szCs w:val="24"/>
        </w:rPr>
        <w:t>-based interventions in managing antibiotic-resistant infections.</w:t>
      </w:r>
    </w:p>
    <w:p w14:paraId="1D1D64A6" w14:textId="77777777" w:rsidR="005B34FC" w:rsidRPr="00526707" w:rsidRDefault="005B34FC" w:rsidP="005B34FC">
      <w:pPr>
        <w:pStyle w:val="Heading2"/>
        <w:rPr>
          <w:rFonts w:asciiTheme="majorBidi" w:hAnsiTheme="majorBidi"/>
          <w:b w:val="0"/>
          <w:bCs w:val="0"/>
          <w:sz w:val="24"/>
          <w:szCs w:val="24"/>
        </w:rPr>
      </w:pPr>
      <w:bookmarkStart w:id="18" w:name="_Toc202853900"/>
      <w:r w:rsidRPr="00526707">
        <w:rPr>
          <w:rFonts w:asciiTheme="majorBidi" w:hAnsiTheme="majorBidi"/>
          <w:sz w:val="24"/>
          <w:szCs w:val="24"/>
        </w:rPr>
        <w:t>1.3 Aim of Study</w:t>
      </w:r>
      <w:bookmarkEnd w:id="18"/>
    </w:p>
    <w:p w14:paraId="0BAAE72F" w14:textId="77777777"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14:paraId="3673B65D" w14:textId="77777777" w:rsidR="005B34FC" w:rsidRPr="00526707" w:rsidRDefault="005B34FC" w:rsidP="005B34FC">
      <w:pPr>
        <w:pStyle w:val="Heading2"/>
        <w:rPr>
          <w:rFonts w:asciiTheme="majorBidi" w:hAnsiTheme="majorBidi"/>
          <w:b w:val="0"/>
          <w:bCs w:val="0"/>
          <w:sz w:val="24"/>
          <w:szCs w:val="24"/>
        </w:rPr>
      </w:pPr>
      <w:bookmarkStart w:id="19" w:name="_Toc202853901"/>
      <w:r w:rsidRPr="00526707">
        <w:rPr>
          <w:rFonts w:asciiTheme="majorBidi" w:hAnsiTheme="majorBidi"/>
          <w:sz w:val="24"/>
          <w:szCs w:val="24"/>
        </w:rPr>
        <w:t>1.4 Objectives of Study</w:t>
      </w:r>
      <w:bookmarkEnd w:id="19"/>
    </w:p>
    <w:p w14:paraId="1027E1C8" w14:textId="77777777"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650D80E2" w14:textId="77777777"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14:paraId="52164607" w14:textId="77777777"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14:paraId="3B8951E9" w14:textId="77777777"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14:paraId="1E18298B"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1FFE816E"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1B81AD4" w14:textId="77777777" w:rsidR="00A60872" w:rsidRPr="00A60872" w:rsidRDefault="00A60872" w:rsidP="00A60872">
      <w:pPr>
        <w:spacing w:line="480" w:lineRule="auto"/>
        <w:jc w:val="both"/>
        <w:rPr>
          <w:rFonts w:asciiTheme="majorBidi" w:hAnsiTheme="majorBidi" w:cstheme="majorBidi"/>
          <w:sz w:val="24"/>
          <w:szCs w:val="24"/>
        </w:rPr>
      </w:pPr>
    </w:p>
    <w:p w14:paraId="0EE9DD88" w14:textId="77777777" w:rsidR="004B46A7" w:rsidRDefault="004B46A7" w:rsidP="00463A22">
      <w:pPr>
        <w:pStyle w:val="Heading2"/>
        <w:rPr>
          <w:rFonts w:asciiTheme="majorBidi" w:hAnsiTheme="majorBidi"/>
          <w:sz w:val="24"/>
          <w:szCs w:val="24"/>
        </w:rPr>
      </w:pPr>
    </w:p>
    <w:p w14:paraId="3CE46BD2" w14:textId="77777777" w:rsidR="004B46A7" w:rsidRPr="004B46A7" w:rsidRDefault="004B46A7" w:rsidP="004B46A7"/>
    <w:p w14:paraId="220937B9" w14:textId="77777777" w:rsidR="008C3374" w:rsidRDefault="008C3374" w:rsidP="00B327ED">
      <w:pPr>
        <w:pStyle w:val="NormalWeb"/>
        <w:ind w:left="720" w:hanging="720"/>
        <w:jc w:val="both"/>
      </w:pPr>
    </w:p>
    <w:p w14:paraId="56AB8547" w14:textId="77777777" w:rsidR="00960CC5" w:rsidRDefault="00960CC5" w:rsidP="00425BFC">
      <w:pPr>
        <w:pStyle w:val="NormalWeb"/>
        <w:ind w:left="720" w:hanging="720"/>
        <w:jc w:val="both"/>
      </w:pPr>
    </w:p>
    <w:p w14:paraId="0D24E32A" w14:textId="77777777" w:rsidR="00960CC5" w:rsidRDefault="00960CC5" w:rsidP="00F04E43">
      <w:pPr>
        <w:pStyle w:val="NormalWeb"/>
        <w:jc w:val="both"/>
      </w:pPr>
    </w:p>
    <w:p w14:paraId="5B2B8B16"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902"/>
      <w:r w:rsidRPr="00526707">
        <w:rPr>
          <w:rFonts w:asciiTheme="majorBidi" w:eastAsia="Calibri" w:hAnsiTheme="majorBidi"/>
          <w:b/>
          <w:bCs/>
          <w:color w:val="auto"/>
          <w:sz w:val="28"/>
          <w:szCs w:val="28"/>
        </w:rPr>
        <w:t>CHAPTER TWO</w:t>
      </w:r>
      <w:bookmarkEnd w:id="20"/>
      <w:bookmarkEnd w:id="21"/>
    </w:p>
    <w:p w14:paraId="3083BA1D" w14:textId="77777777" w:rsidR="00960CC5" w:rsidRPr="00526707" w:rsidRDefault="00960CC5" w:rsidP="006971C5">
      <w:pPr>
        <w:pStyle w:val="Heading2"/>
        <w:tabs>
          <w:tab w:val="center" w:pos="4513"/>
        </w:tabs>
        <w:rPr>
          <w:rFonts w:asciiTheme="majorBidi" w:hAnsiTheme="majorBidi"/>
          <w:b w:val="0"/>
          <w:bCs w:val="0"/>
          <w:sz w:val="24"/>
          <w:szCs w:val="24"/>
        </w:rPr>
      </w:pPr>
      <w:bookmarkStart w:id="22" w:name="_Toc201509700"/>
      <w:bookmarkStart w:id="23"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4887AC52" w14:textId="77777777" w:rsidR="0024403D" w:rsidRPr="00960CC5" w:rsidRDefault="0024403D" w:rsidP="00960CC5">
      <w:pPr>
        <w:pStyle w:val="Heading2"/>
        <w:tabs>
          <w:tab w:val="center" w:pos="4513"/>
        </w:tabs>
        <w:rPr>
          <w:rFonts w:asciiTheme="majorBidi" w:hAnsiTheme="majorBidi"/>
          <w:sz w:val="24"/>
          <w:szCs w:val="24"/>
        </w:rPr>
      </w:pPr>
      <w:bookmarkStart w:id="24" w:name="_Toc202853904"/>
      <w:r w:rsidRPr="00960CC5">
        <w:rPr>
          <w:rFonts w:asciiTheme="majorBidi" w:hAnsiTheme="majorBidi"/>
          <w:sz w:val="24"/>
          <w:szCs w:val="24"/>
        </w:rPr>
        <w:t>2.1 Overview of Antimicrobial Resistance</w:t>
      </w:r>
      <w:bookmarkEnd w:id="24"/>
    </w:p>
    <w:p w14:paraId="17EAB210" w14:textId="77777777" w:rsidR="0024403D" w:rsidRPr="00960CC5" w:rsidRDefault="0024403D" w:rsidP="00960CC5">
      <w:pPr>
        <w:pStyle w:val="Heading3"/>
        <w:rPr>
          <w:sz w:val="24"/>
          <w:szCs w:val="24"/>
        </w:rPr>
      </w:pPr>
      <w:bookmarkStart w:id="25" w:name="_Toc202853905"/>
      <w:r w:rsidRPr="00960CC5">
        <w:rPr>
          <w:sz w:val="24"/>
          <w:szCs w:val="24"/>
        </w:rPr>
        <w:t>2.1.1 Global Burden of Antibiotic Resistance</w:t>
      </w:r>
      <w:bookmarkEnd w:id="25"/>
    </w:p>
    <w:p w14:paraId="21BDD559"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AAE8064" w14:textId="77777777" w:rsidR="0024403D" w:rsidRPr="00960CC5" w:rsidRDefault="0024403D" w:rsidP="00960CC5">
      <w:pPr>
        <w:pStyle w:val="Heading3"/>
        <w:rPr>
          <w:sz w:val="24"/>
          <w:szCs w:val="24"/>
        </w:rPr>
      </w:pPr>
      <w:bookmarkStart w:id="26" w:name="_Toc202853906"/>
      <w:r w:rsidRPr="00960CC5">
        <w:rPr>
          <w:sz w:val="24"/>
          <w:szCs w:val="24"/>
        </w:rPr>
        <w:t>2.1.2 Emergence of Multidrug-Resistant Bacteria</w:t>
      </w:r>
      <w:bookmarkEnd w:id="26"/>
    </w:p>
    <w:p w14:paraId="638033A0"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8495CE9" w14:textId="77777777" w:rsidR="0024403D" w:rsidRPr="00960CC5" w:rsidRDefault="0024403D" w:rsidP="00960CC5">
      <w:pPr>
        <w:pStyle w:val="Heading3"/>
        <w:rPr>
          <w:sz w:val="24"/>
          <w:szCs w:val="24"/>
        </w:rPr>
      </w:pPr>
      <w:bookmarkStart w:id="27" w:name="_Toc202853907"/>
      <w:r w:rsidRPr="00960CC5">
        <w:rPr>
          <w:sz w:val="24"/>
          <w:szCs w:val="24"/>
        </w:rPr>
        <w:t>2.1.3 Need for Alternative Therapies</w:t>
      </w:r>
      <w:bookmarkEnd w:id="27"/>
    </w:p>
    <w:p w14:paraId="417E440A"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240514F7" w14:textId="77777777" w:rsidR="0024403D" w:rsidRPr="00960CC5" w:rsidRDefault="0024403D" w:rsidP="00960CC5">
      <w:pPr>
        <w:pStyle w:val="Heading2"/>
        <w:tabs>
          <w:tab w:val="center" w:pos="4513"/>
        </w:tabs>
        <w:rPr>
          <w:rFonts w:asciiTheme="majorBidi" w:hAnsiTheme="majorBidi"/>
          <w:sz w:val="24"/>
          <w:szCs w:val="24"/>
        </w:rPr>
      </w:pPr>
      <w:bookmarkStart w:id="28" w:name="_Toc202853908"/>
      <w:r w:rsidRPr="00960CC5">
        <w:rPr>
          <w:rFonts w:asciiTheme="majorBidi" w:hAnsiTheme="majorBidi"/>
          <w:sz w:val="24"/>
          <w:szCs w:val="24"/>
        </w:rPr>
        <w:t>2.2 Clinical Relevance of the Test Organisms</w:t>
      </w:r>
      <w:bookmarkEnd w:id="28"/>
    </w:p>
    <w:p w14:paraId="72021FB2" w14:textId="77777777" w:rsidR="0024403D" w:rsidRPr="00960CC5" w:rsidRDefault="0024403D" w:rsidP="00960CC5">
      <w:pPr>
        <w:pStyle w:val="Heading3"/>
        <w:rPr>
          <w:sz w:val="24"/>
          <w:szCs w:val="24"/>
        </w:rPr>
      </w:pPr>
      <w:bookmarkStart w:id="29" w:name="_Toc202853909"/>
      <w:r w:rsidRPr="00960CC5">
        <w:rPr>
          <w:sz w:val="24"/>
          <w:szCs w:val="24"/>
        </w:rPr>
        <w:t>2.2.1 Staphylococcus aureus (MRSA and MSSA)</w:t>
      </w:r>
      <w:bookmarkEnd w:id="29"/>
    </w:p>
    <w:p w14:paraId="5686D2F1"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indicating potential use as adjunct therapies (</w:t>
      </w:r>
      <w:proofErr w:type="spellStart"/>
      <w:r w:rsidRPr="0024403D">
        <w:rPr>
          <w:rFonts w:ascii="Times New Roman" w:hAnsi="Times New Roman" w:cs="Times New Roman"/>
          <w:sz w:val="24"/>
          <w:szCs w:val="24"/>
        </w:rPr>
        <w:t>Nassar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14:paraId="0D575B52" w14:textId="77777777" w:rsidR="0024403D" w:rsidRPr="00960CC5" w:rsidRDefault="0024403D" w:rsidP="006971C5">
      <w:pPr>
        <w:pStyle w:val="Heading3"/>
        <w:rPr>
          <w:sz w:val="24"/>
          <w:szCs w:val="24"/>
        </w:rPr>
      </w:pPr>
      <w:bookmarkStart w:id="30" w:name="_Toc202853910"/>
      <w:r w:rsidRPr="00960CC5">
        <w:rPr>
          <w:sz w:val="24"/>
          <w:szCs w:val="24"/>
        </w:rPr>
        <w:t>2.2.2 Escherichia coli</w:t>
      </w:r>
      <w:bookmarkEnd w:id="30"/>
    </w:p>
    <w:p w14:paraId="6B56FE40"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w:t>
      </w:r>
      <w:proofErr w:type="spellStart"/>
      <w:r w:rsidRPr="0024403D">
        <w:rPr>
          <w:rFonts w:ascii="Times New Roman" w:hAnsi="Times New Roman" w:cs="Times New Roman"/>
          <w:sz w:val="24"/>
          <w:szCs w:val="24"/>
        </w:rPr>
        <w:t>Enteropathogenic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w:t>
      </w:r>
      <w:proofErr w:type="spellStart"/>
      <w:r w:rsidRPr="0024403D">
        <w:rPr>
          <w:rFonts w:ascii="Times New Roman" w:hAnsi="Times New Roman" w:cs="Times New Roman"/>
          <w:sz w:val="24"/>
          <w:szCs w:val="24"/>
        </w:rPr>
        <w:t>Enterotoxigenic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w:t>
      </w:r>
      <w:proofErr w:type="spellStart"/>
      <w:r w:rsidRPr="0024403D">
        <w:rPr>
          <w:rFonts w:ascii="Times New Roman" w:hAnsi="Times New Roman" w:cs="Times New Roman"/>
          <w:sz w:val="24"/>
          <w:szCs w:val="24"/>
        </w:rPr>
        <w:t>eugenol</w:t>
      </w:r>
      <w:proofErr w:type="spellEnd"/>
      <w:r w:rsidRPr="0024403D">
        <w:rPr>
          <w:rFonts w:ascii="Times New Roman" w:hAnsi="Times New Roman" w:cs="Times New Roman"/>
          <w:sz w:val="24"/>
          <w:szCs w:val="24"/>
        </w:rPr>
        <w:t xml:space="preserve">,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w:t>
      </w:r>
      <w:proofErr w:type="spellStart"/>
      <w:r w:rsidRPr="0024403D">
        <w:rPr>
          <w:rFonts w:ascii="Times New Roman" w:hAnsi="Times New Roman" w:cs="Times New Roman"/>
          <w:sz w:val="24"/>
          <w:szCs w:val="24"/>
        </w:rPr>
        <w:t>Marchese</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0364D690" w14:textId="77777777" w:rsidR="0024403D" w:rsidRPr="00960CC5" w:rsidRDefault="0024403D" w:rsidP="006971C5">
      <w:pPr>
        <w:pStyle w:val="Heading3"/>
        <w:rPr>
          <w:sz w:val="24"/>
          <w:szCs w:val="24"/>
        </w:rPr>
      </w:pPr>
      <w:bookmarkStart w:id="31" w:name="_Toc202853911"/>
      <w:r w:rsidRPr="00960CC5">
        <w:rPr>
          <w:sz w:val="24"/>
          <w:szCs w:val="24"/>
        </w:rPr>
        <w:t>2.2.3 Pseudomonas aeruginosa</w:t>
      </w:r>
      <w:bookmarkEnd w:id="31"/>
    </w:p>
    <w:p w14:paraId="4E8808C9"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14:paraId="53C5E2E1" w14:textId="77777777" w:rsidR="0024403D" w:rsidRPr="00960CC5" w:rsidRDefault="0024403D" w:rsidP="006971C5">
      <w:pPr>
        <w:pStyle w:val="Heading3"/>
        <w:rPr>
          <w:sz w:val="24"/>
          <w:szCs w:val="24"/>
        </w:rPr>
      </w:pPr>
      <w:bookmarkStart w:id="32"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2"/>
      <w:proofErr w:type="spellEnd"/>
    </w:p>
    <w:p w14:paraId="699DC61A" w14:textId="77777777"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w:t>
      </w:r>
      <w:proofErr w:type="spellStart"/>
      <w:r w:rsidRPr="0024403D">
        <w:rPr>
          <w:rFonts w:ascii="Times New Roman" w:hAnsi="Times New Roman" w:cs="Times New Roman"/>
          <w:sz w:val="24"/>
          <w:szCs w:val="24"/>
        </w:rPr>
        <w:t>Navon-Venezia</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w:t>
      </w:r>
      <w:proofErr w:type="spellStart"/>
      <w:r w:rsidRPr="0024403D">
        <w:rPr>
          <w:rFonts w:ascii="Times New Roman" w:hAnsi="Times New Roman" w:cs="Times New Roman"/>
          <w:sz w:val="24"/>
          <w:szCs w:val="24"/>
        </w:rPr>
        <w:t>carbapenem</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14:paraId="64C5B0A7" w14:textId="77777777" w:rsidR="0024403D" w:rsidRPr="00960CC5" w:rsidRDefault="0024403D" w:rsidP="006971C5">
      <w:pPr>
        <w:pStyle w:val="Heading3"/>
        <w:rPr>
          <w:sz w:val="24"/>
          <w:szCs w:val="24"/>
        </w:rPr>
      </w:pPr>
      <w:bookmarkStart w:id="33" w:name="_Toc202853913"/>
      <w:r w:rsidRPr="00960CC5">
        <w:rPr>
          <w:sz w:val="24"/>
          <w:szCs w:val="24"/>
        </w:rPr>
        <w:t xml:space="preserve">2.2.5 Salmonella </w:t>
      </w:r>
      <w:proofErr w:type="spellStart"/>
      <w:r w:rsidRPr="00960CC5">
        <w:rPr>
          <w:sz w:val="24"/>
          <w:szCs w:val="24"/>
        </w:rPr>
        <w:t>typhi</w:t>
      </w:r>
      <w:bookmarkEnd w:id="33"/>
      <w:proofErr w:type="spellEnd"/>
    </w:p>
    <w:p w14:paraId="0F16F560"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w:t>
      </w:r>
      <w:proofErr w:type="spellStart"/>
      <w:r w:rsidRPr="0024403D">
        <w:rPr>
          <w:rFonts w:ascii="Times New Roman" w:hAnsi="Times New Roman" w:cs="Times New Roman"/>
          <w:sz w:val="24"/>
          <w:szCs w:val="24"/>
        </w:rPr>
        <w:t>sulfamethoxazole</w:t>
      </w:r>
      <w:proofErr w:type="spellEnd"/>
      <w:r w:rsidRPr="0024403D">
        <w:rPr>
          <w:rFonts w:ascii="Times New Roman" w:hAnsi="Times New Roman" w:cs="Times New Roman"/>
          <w:sz w:val="24"/>
          <w:szCs w:val="24"/>
        </w:rPr>
        <w:t xml:space="preserv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7ED01D44" w14:textId="77777777" w:rsidR="0097361E" w:rsidRPr="00960CC5" w:rsidRDefault="0097361E" w:rsidP="006971C5">
      <w:pPr>
        <w:pStyle w:val="Heading2"/>
        <w:tabs>
          <w:tab w:val="center" w:pos="4513"/>
        </w:tabs>
        <w:rPr>
          <w:rFonts w:asciiTheme="majorBidi" w:hAnsiTheme="majorBidi"/>
          <w:sz w:val="24"/>
          <w:szCs w:val="24"/>
        </w:rPr>
      </w:pPr>
      <w:bookmarkStart w:id="34"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10FFBF27"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 xml:space="preserve">food preservatives and as medicinal plants mainly due to its antioxidant and antimicrobial activities. Nowadays, many reports confirm the antibacterial, antifungal, antiviral and </w:t>
      </w:r>
      <w:proofErr w:type="spellStart"/>
      <w:r w:rsidRPr="00566374">
        <w:rPr>
          <w:rFonts w:asciiTheme="majorBidi" w:hAnsiTheme="majorBidi" w:cstheme="majorBidi"/>
          <w:sz w:val="24"/>
          <w:szCs w:val="24"/>
        </w:rPr>
        <w:t>anticarcinogenic</w:t>
      </w:r>
      <w:proofErr w:type="spellEnd"/>
      <w:r w:rsidRPr="00566374">
        <w:rPr>
          <w:rFonts w:asciiTheme="majorBidi" w:hAnsiTheme="majorBidi" w:cstheme="majorBidi"/>
          <w:sz w:val="24"/>
          <w:szCs w:val="24"/>
        </w:rPr>
        <w:t xml:space="preserve">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3E5501FA"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 xml:space="preserve">using a natural </w:t>
      </w:r>
      <w:proofErr w:type="spellStart"/>
      <w:r w:rsidRPr="00566374">
        <w:rPr>
          <w:rFonts w:asciiTheme="majorBidi" w:hAnsiTheme="majorBidi" w:cstheme="majorBidi"/>
          <w:sz w:val="24"/>
          <w:szCs w:val="24"/>
        </w:rPr>
        <w:t>phytohormone</w:t>
      </w:r>
      <w:proofErr w:type="spellEnd"/>
      <w:r w:rsidRPr="00566374">
        <w:rPr>
          <w:rFonts w:asciiTheme="majorBidi" w:hAnsiTheme="majorBidi" w:cstheme="majorBidi"/>
          <w:sz w:val="24"/>
          <w:szCs w:val="24"/>
        </w:rPr>
        <w:t xml:space="preserv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Filho</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5E39A03F"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63C57537" w14:textId="77777777" w:rsidR="0097361E" w:rsidRPr="00960CC5" w:rsidRDefault="0097361E" w:rsidP="006971C5">
      <w:pPr>
        <w:pStyle w:val="Heading2"/>
        <w:tabs>
          <w:tab w:val="center" w:pos="4513"/>
        </w:tabs>
        <w:rPr>
          <w:rFonts w:asciiTheme="majorBidi" w:hAnsiTheme="majorBidi"/>
          <w:sz w:val="24"/>
          <w:szCs w:val="24"/>
        </w:rPr>
      </w:pPr>
      <w:bookmarkStart w:id="35"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292EA123"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w:t>
      </w:r>
      <w:proofErr w:type="spellStart"/>
      <w:r w:rsidRPr="00566374">
        <w:rPr>
          <w:rFonts w:asciiTheme="majorBidi" w:hAnsiTheme="majorBidi" w:cstheme="majorBidi"/>
          <w:sz w:val="24"/>
          <w:szCs w:val="24"/>
        </w:rPr>
        <w:t>kaempferol</w:t>
      </w:r>
      <w:proofErr w:type="spellEnd"/>
      <w:r w:rsidRPr="00566374">
        <w:rPr>
          <w:rFonts w:asciiTheme="majorBidi" w:hAnsiTheme="majorBidi" w:cstheme="majorBidi"/>
          <w:sz w:val="24"/>
          <w:szCs w:val="24"/>
        </w:rPr>
        <w:t xml:space="preserve">,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7CE8939A" w14:textId="77777777" w:rsidR="0097361E" w:rsidRPr="00960CC5" w:rsidRDefault="0097361E" w:rsidP="006971C5">
      <w:pPr>
        <w:pStyle w:val="Heading3"/>
        <w:rPr>
          <w:sz w:val="24"/>
          <w:szCs w:val="24"/>
        </w:rPr>
      </w:pPr>
      <w:bookmarkStart w:id="36" w:name="_Toc202853916"/>
      <w:r w:rsidRPr="00960CC5">
        <w:rPr>
          <w:sz w:val="24"/>
          <w:szCs w:val="24"/>
        </w:rPr>
        <w:t>2.</w:t>
      </w:r>
      <w:r w:rsidR="0024403D" w:rsidRPr="00960CC5">
        <w:rPr>
          <w:sz w:val="24"/>
          <w:szCs w:val="24"/>
        </w:rPr>
        <w:t>4</w:t>
      </w:r>
      <w:r w:rsidRPr="00960CC5">
        <w:rPr>
          <w:sz w:val="24"/>
          <w:szCs w:val="24"/>
        </w:rPr>
        <w:t xml:space="preserve">.1 </w:t>
      </w:r>
      <w:proofErr w:type="spellStart"/>
      <w:r w:rsidRPr="00960CC5">
        <w:rPr>
          <w:sz w:val="24"/>
          <w:szCs w:val="24"/>
        </w:rPr>
        <w:t>Eugenol</w:t>
      </w:r>
      <w:bookmarkEnd w:id="36"/>
      <w:proofErr w:type="spellEnd"/>
      <w:r w:rsidRPr="00960CC5">
        <w:rPr>
          <w:sz w:val="24"/>
          <w:szCs w:val="24"/>
        </w:rPr>
        <w:t xml:space="preserve"> </w:t>
      </w:r>
    </w:p>
    <w:p w14:paraId="01737DA0"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as clear colorless pale yellow or amber-colored liquid. Odor of cloves. Spicy pungent taste. The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responsible for most of the characteristic aroma of cloves.</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has been found to have anti-inflammatory, </w:t>
      </w:r>
      <w:proofErr w:type="spellStart"/>
      <w:r w:rsidRPr="009E0E49">
        <w:rPr>
          <w:rFonts w:asciiTheme="majorBidi" w:hAnsiTheme="majorBidi" w:cstheme="majorBidi"/>
          <w:sz w:val="24"/>
          <w:szCs w:val="24"/>
        </w:rPr>
        <w:t>neuroprotective</w:t>
      </w:r>
      <w:proofErr w:type="spellEnd"/>
      <w:r w:rsidRPr="009E0E49">
        <w:rPr>
          <w:rFonts w:asciiTheme="majorBidi" w:hAnsiTheme="majorBidi" w:cstheme="majorBidi"/>
          <w:sz w:val="24"/>
          <w:szCs w:val="24"/>
        </w:rPr>
        <w:t>,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also called clove oil, is aromatic oil extracted from cloves that is used widely as a flavoring for foods and teas and as herbal oil used topically to treat toothache and more rarely to be taken orally to treat gastrointestinal and respiratory complaints.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an allyl chain</w:t>
      </w:r>
      <w:r>
        <w:rPr>
          <w:rFonts w:asciiTheme="majorBidi" w:hAnsiTheme="majorBidi" w:cstheme="majorBidi"/>
          <w:sz w:val="24"/>
          <w:szCs w:val="24"/>
        </w:rPr>
        <w:t>-</w:t>
      </w:r>
      <w:r w:rsidRPr="009E0E49">
        <w:rPr>
          <w:rFonts w:asciiTheme="majorBidi" w:hAnsiTheme="majorBidi" w:cstheme="majorBidi"/>
          <w:sz w:val="24"/>
          <w:szCs w:val="24"/>
        </w:rPr>
        <w:t xml:space="preserve">substituted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member of the </w:t>
      </w:r>
      <w:proofErr w:type="spellStart"/>
      <w:r w:rsidRPr="009E0E49">
        <w:rPr>
          <w:rFonts w:asciiTheme="majorBidi" w:hAnsiTheme="majorBidi" w:cstheme="majorBidi"/>
          <w:sz w:val="24"/>
          <w:szCs w:val="24"/>
        </w:rPr>
        <w:t>allylbenzene</w:t>
      </w:r>
      <w:proofErr w:type="spellEnd"/>
      <w:r w:rsidRPr="009E0E49">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sidRPr="009E0E49">
        <w:rPr>
          <w:rFonts w:asciiTheme="majorBidi" w:hAnsiTheme="majorBidi" w:cstheme="majorBidi"/>
          <w:sz w:val="24"/>
          <w:szCs w:val="24"/>
        </w:rPr>
        <w:t>isoeugenol</w:t>
      </w:r>
      <w:proofErr w:type="spellEnd"/>
      <w:r w:rsidRPr="009E0E49">
        <w:rPr>
          <w:rFonts w:asciiTheme="majorBidi" w:hAnsiTheme="majorBidi" w:cstheme="majorBidi"/>
          <w:sz w:val="24"/>
          <w:szCs w:val="24"/>
        </w:rPr>
        <w:t xml:space="preserve">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14:paraId="46A70E35"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formally derived from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with an allyl chain substituted para to the </w:t>
      </w:r>
      <w:proofErr w:type="spellStart"/>
      <w:r w:rsidRPr="009E0E49">
        <w:rPr>
          <w:rFonts w:asciiTheme="majorBidi" w:hAnsiTheme="majorBidi" w:cstheme="majorBidi"/>
          <w:sz w:val="24"/>
          <w:szCs w:val="24"/>
        </w:rPr>
        <w:t>hydroxy</w:t>
      </w:r>
      <w:proofErr w:type="spellEnd"/>
      <w:r w:rsidRPr="009E0E49">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11D8F21B" w14:textId="77777777" w:rsidR="0097361E" w:rsidRPr="00960CC5" w:rsidRDefault="0097361E" w:rsidP="00960CC5">
      <w:pPr>
        <w:pStyle w:val="Heading3"/>
        <w:rPr>
          <w:sz w:val="24"/>
          <w:szCs w:val="24"/>
        </w:rPr>
      </w:pPr>
      <w:bookmarkStart w:id="39" w:name="_Toc202853917"/>
      <w:r w:rsidRPr="00960CC5">
        <w:rPr>
          <w:sz w:val="24"/>
          <w:szCs w:val="24"/>
        </w:rPr>
        <w:t>2.</w:t>
      </w:r>
      <w:r w:rsidR="0024403D" w:rsidRPr="00960CC5">
        <w:rPr>
          <w:sz w:val="24"/>
          <w:szCs w:val="24"/>
        </w:rPr>
        <w:t>4</w:t>
      </w:r>
      <w:r w:rsidRPr="00960CC5">
        <w:rPr>
          <w:sz w:val="24"/>
          <w:szCs w:val="24"/>
        </w:rPr>
        <w:t xml:space="preserve">.2 Acetyl </w:t>
      </w:r>
      <w:proofErr w:type="spellStart"/>
      <w:r w:rsidRPr="00960CC5">
        <w:rPr>
          <w:sz w:val="24"/>
          <w:szCs w:val="24"/>
        </w:rPr>
        <w:t>Eugenol</w:t>
      </w:r>
      <w:bookmarkEnd w:id="39"/>
      <w:proofErr w:type="spellEnd"/>
    </w:p>
    <w:p w14:paraId="4ACCB57F"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compound found in cloves. It is the second in abundance to the related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tropicalis</w:t>
      </w:r>
      <w:proofErr w:type="spellEnd"/>
      <w:r w:rsidRPr="009E0E49">
        <w:rPr>
          <w:rFonts w:asciiTheme="majorBidi" w:hAnsiTheme="majorBidi" w:cstheme="majorBidi"/>
          <w:sz w:val="24"/>
          <w:szCs w:val="24"/>
        </w:rPr>
        <w:t xml:space="preserve">, and Candida </w:t>
      </w:r>
      <w:proofErr w:type="spellStart"/>
      <w:r w:rsidRPr="009E0E49">
        <w:rPr>
          <w:rFonts w:asciiTheme="majorBidi" w:hAnsiTheme="majorBidi" w:cstheme="majorBidi"/>
          <w:sz w:val="24"/>
          <w:szCs w:val="24"/>
        </w:rPr>
        <w:t>glabrata</w:t>
      </w:r>
      <w:proofErr w:type="spellEnd"/>
      <w:r w:rsidRPr="009E0E49">
        <w:rPr>
          <w:rFonts w:asciiTheme="majorBidi" w:hAnsiTheme="majorBidi" w:cstheme="majorBidi"/>
          <w:sz w:val="24"/>
          <w:szCs w:val="24"/>
        </w:rPr>
        <w:t>.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to be a direct </w:t>
      </w:r>
      <w:proofErr w:type="spellStart"/>
      <w:r w:rsidRPr="009E0E49">
        <w:rPr>
          <w:rFonts w:asciiTheme="majorBidi" w:hAnsiTheme="majorBidi" w:cstheme="majorBidi"/>
          <w:sz w:val="24"/>
          <w:szCs w:val="24"/>
        </w:rPr>
        <w:t>cytotoxin</w:t>
      </w:r>
      <w:proofErr w:type="spellEnd"/>
      <w:r w:rsidRPr="009E0E49">
        <w:rPr>
          <w:rFonts w:asciiTheme="majorBidi" w:hAnsiTheme="majorBidi" w:cstheme="majorBidi"/>
          <w:sz w:val="24"/>
          <w:szCs w:val="24"/>
        </w:rPr>
        <w:t xml:space="preserve"> and several instances of severe acute liver and kidney injury have been reported after accidental overdose of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2A5BB21D" w14:textId="77777777" w:rsidR="0097361E" w:rsidRPr="00960CC5" w:rsidRDefault="0097361E" w:rsidP="00960CC5">
      <w:pPr>
        <w:pStyle w:val="Heading3"/>
        <w:rPr>
          <w:sz w:val="24"/>
          <w:szCs w:val="24"/>
        </w:rPr>
      </w:pPr>
      <w:bookmarkStart w:id="40" w:name="_Toc202853918"/>
      <w:r w:rsidRPr="00960CC5">
        <w:rPr>
          <w:sz w:val="24"/>
          <w:szCs w:val="24"/>
        </w:rPr>
        <w:t>2.</w:t>
      </w:r>
      <w:r w:rsidR="0024403D" w:rsidRPr="00960CC5">
        <w:rPr>
          <w:sz w:val="24"/>
          <w:szCs w:val="24"/>
        </w:rPr>
        <w:t>4</w:t>
      </w:r>
      <w:r w:rsidRPr="00960CC5">
        <w:rPr>
          <w:sz w:val="24"/>
          <w:szCs w:val="24"/>
        </w:rPr>
        <w:t>.3 β-</w:t>
      </w:r>
      <w:proofErr w:type="spellStart"/>
      <w:r w:rsidRPr="00960CC5">
        <w:rPr>
          <w:sz w:val="24"/>
          <w:szCs w:val="24"/>
        </w:rPr>
        <w:t>Caryophyllene</w:t>
      </w:r>
      <w:bookmarkEnd w:id="40"/>
      <w:proofErr w:type="spellEnd"/>
    </w:p>
    <w:p w14:paraId="1ACCC85F"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more formally-β-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 bicyclic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14:paraId="3D2FA314" w14:textId="77777777" w:rsidR="0097361E" w:rsidRPr="00960CC5" w:rsidRDefault="0097361E" w:rsidP="006971C5">
      <w:pPr>
        <w:pStyle w:val="Heading3"/>
        <w:rPr>
          <w:sz w:val="24"/>
          <w:szCs w:val="24"/>
        </w:rPr>
      </w:pPr>
      <w:bookmarkStart w:id="41" w:name="_Toc202853919"/>
      <w:r w:rsidRPr="00960CC5">
        <w:rPr>
          <w:sz w:val="24"/>
          <w:szCs w:val="24"/>
        </w:rPr>
        <w:t>2.</w:t>
      </w:r>
      <w:r w:rsidR="0024403D" w:rsidRPr="00960CC5">
        <w:rPr>
          <w:sz w:val="24"/>
          <w:szCs w:val="24"/>
        </w:rPr>
        <w:t>4</w:t>
      </w:r>
      <w:r w:rsidRPr="00960CC5">
        <w:rPr>
          <w:sz w:val="24"/>
          <w:szCs w:val="24"/>
        </w:rPr>
        <w:t>.4 α-</w:t>
      </w:r>
      <w:proofErr w:type="spellStart"/>
      <w:r w:rsidRPr="00960CC5">
        <w:rPr>
          <w:sz w:val="24"/>
          <w:szCs w:val="24"/>
        </w:rPr>
        <w:t>Humulene</w:t>
      </w:r>
      <w:bookmarkEnd w:id="41"/>
      <w:proofErr w:type="spellEnd"/>
    </w:p>
    <w:p w14:paraId="67900371"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also known as α-</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or α-</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naturally occurring monocyclic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1AE0E357" w14:textId="77777777" w:rsidR="0097361E" w:rsidRPr="00960CC5" w:rsidRDefault="0097361E" w:rsidP="006971C5">
      <w:pPr>
        <w:pStyle w:val="Heading3"/>
        <w:rPr>
          <w:sz w:val="24"/>
          <w:szCs w:val="24"/>
        </w:rPr>
      </w:pPr>
      <w:bookmarkStart w:id="42" w:name="_Toc202853920"/>
      <w:r w:rsidRPr="00960CC5">
        <w:rPr>
          <w:sz w:val="24"/>
          <w:szCs w:val="24"/>
        </w:rPr>
        <w:t>2.</w:t>
      </w:r>
      <w:r w:rsidR="0024403D" w:rsidRPr="00960CC5">
        <w:rPr>
          <w:sz w:val="24"/>
          <w:szCs w:val="24"/>
        </w:rPr>
        <w:t>4</w:t>
      </w:r>
      <w:r w:rsidRPr="00960CC5">
        <w:rPr>
          <w:sz w:val="24"/>
          <w:szCs w:val="24"/>
        </w:rPr>
        <w:t>.5 α-</w:t>
      </w:r>
      <w:proofErr w:type="spellStart"/>
      <w:r w:rsidRPr="00960CC5">
        <w:rPr>
          <w:sz w:val="24"/>
          <w:szCs w:val="24"/>
        </w:rPr>
        <w:t>Caryophyllene</w:t>
      </w:r>
      <w:proofErr w:type="spellEnd"/>
      <w:r w:rsidRPr="00960CC5">
        <w:rPr>
          <w:sz w:val="24"/>
          <w:szCs w:val="24"/>
        </w:rPr>
        <w:t xml:space="preserve"> Oxide</w:t>
      </w:r>
      <w:bookmarkEnd w:id="42"/>
    </w:p>
    <w:p w14:paraId="407E398D"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oxide is a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results from the oxidation of 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Bajpai</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4572B1DC" w14:textId="77777777" w:rsidR="0097361E" w:rsidRPr="00960CC5" w:rsidRDefault="0097361E" w:rsidP="00960CC5">
      <w:pPr>
        <w:pStyle w:val="Heading3"/>
        <w:rPr>
          <w:sz w:val="24"/>
          <w:szCs w:val="24"/>
        </w:rPr>
      </w:pPr>
      <w:bookmarkStart w:id="43" w:name="_Toc202853921"/>
      <w:r w:rsidRPr="00960CC5">
        <w:rPr>
          <w:sz w:val="24"/>
          <w:szCs w:val="24"/>
        </w:rPr>
        <w:t>2.</w:t>
      </w:r>
      <w:r w:rsidR="0024403D" w:rsidRPr="00960CC5">
        <w:rPr>
          <w:sz w:val="24"/>
          <w:szCs w:val="24"/>
        </w:rPr>
        <w:t>4</w:t>
      </w:r>
      <w:r w:rsidRPr="00960CC5">
        <w:rPr>
          <w:sz w:val="24"/>
          <w:szCs w:val="24"/>
        </w:rPr>
        <w:t>.6 α-</w:t>
      </w:r>
      <w:proofErr w:type="spellStart"/>
      <w:r w:rsidRPr="00960CC5">
        <w:rPr>
          <w:sz w:val="24"/>
          <w:szCs w:val="24"/>
        </w:rPr>
        <w:t>Murolene</w:t>
      </w:r>
      <w:proofErr w:type="spellEnd"/>
      <w:r w:rsidRPr="00960CC5">
        <w:rPr>
          <w:sz w:val="24"/>
          <w:szCs w:val="24"/>
        </w:rPr>
        <w:t xml:space="preserve"> and γ-</w:t>
      </w:r>
      <w:proofErr w:type="spellStart"/>
      <w:r w:rsidRPr="00960CC5">
        <w:rPr>
          <w:sz w:val="24"/>
          <w:szCs w:val="24"/>
        </w:rPr>
        <w:t>Murolene</w:t>
      </w:r>
      <w:bookmarkEnd w:id="43"/>
      <w:proofErr w:type="spellEnd"/>
    </w:p>
    <w:p w14:paraId="5C1E2461"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w:t>
      </w:r>
      <w:proofErr w:type="spellStart"/>
      <w:r w:rsidRPr="009E0E49">
        <w:rPr>
          <w:rFonts w:asciiTheme="majorBidi" w:hAnsiTheme="majorBidi" w:cstheme="majorBidi"/>
          <w:sz w:val="24"/>
          <w:szCs w:val="24"/>
        </w:rPr>
        <w:t>Murolene</w:t>
      </w:r>
      <w:proofErr w:type="spellEnd"/>
      <w:r w:rsidRPr="009E0E49">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0B6686D1" w14:textId="77777777" w:rsidR="0097361E" w:rsidRPr="00960CC5" w:rsidRDefault="0097361E" w:rsidP="006971C5">
      <w:pPr>
        <w:pStyle w:val="Heading3"/>
        <w:rPr>
          <w:sz w:val="24"/>
          <w:szCs w:val="24"/>
        </w:rPr>
      </w:pPr>
      <w:bookmarkStart w:id="44" w:name="_Toc202853922"/>
      <w:r w:rsidRPr="00960CC5">
        <w:rPr>
          <w:sz w:val="24"/>
          <w:szCs w:val="24"/>
        </w:rPr>
        <w:t>2.</w:t>
      </w:r>
      <w:r w:rsidR="0024403D" w:rsidRPr="00960CC5">
        <w:rPr>
          <w:sz w:val="24"/>
          <w:szCs w:val="24"/>
        </w:rPr>
        <w:t>4</w:t>
      </w:r>
      <w:r w:rsidRPr="00960CC5">
        <w:rPr>
          <w:sz w:val="24"/>
          <w:szCs w:val="24"/>
        </w:rPr>
        <w:t>.7 α-Selinene and β-Selinene</w:t>
      </w:r>
      <w:bookmarkEnd w:id="44"/>
    </w:p>
    <w:p w14:paraId="774EB0C7"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 xml:space="preserve">are a group of closely related isomeric chemical compounds which are classified as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w:t>
      </w:r>
      <w:proofErr w:type="spellStart"/>
      <w:r w:rsidRPr="001C27BE">
        <w:rPr>
          <w:rFonts w:asciiTheme="majorBidi" w:hAnsiTheme="majorBidi" w:cstheme="majorBidi"/>
          <w:sz w:val="24"/>
          <w:szCs w:val="24"/>
        </w:rPr>
        <w:t>endocyclic</w:t>
      </w:r>
      <w:proofErr w:type="spellEnd"/>
      <w:r w:rsidRPr="001C27BE">
        <w:rPr>
          <w:rFonts w:asciiTheme="majorBidi" w:hAnsiTheme="majorBidi" w:cstheme="majorBidi"/>
          <w:sz w:val="24"/>
          <w:szCs w:val="24"/>
        </w:rPr>
        <w:t xml:space="preserve">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20E0AC9E" w14:textId="77777777" w:rsidR="0097361E" w:rsidRPr="00960CC5" w:rsidRDefault="0097361E" w:rsidP="006971C5">
      <w:pPr>
        <w:pStyle w:val="Heading3"/>
        <w:rPr>
          <w:sz w:val="24"/>
          <w:szCs w:val="24"/>
        </w:rPr>
      </w:pPr>
      <w:bookmarkStart w:id="45" w:name="_Toc202853923"/>
      <w:r w:rsidRPr="00960CC5">
        <w:rPr>
          <w:sz w:val="24"/>
          <w:szCs w:val="24"/>
        </w:rPr>
        <w:t>2.</w:t>
      </w:r>
      <w:r w:rsidR="0024403D" w:rsidRPr="00960CC5">
        <w:rPr>
          <w:sz w:val="24"/>
          <w:szCs w:val="24"/>
        </w:rPr>
        <w:t>4</w:t>
      </w:r>
      <w:r w:rsidRPr="00960CC5">
        <w:rPr>
          <w:sz w:val="24"/>
          <w:szCs w:val="24"/>
        </w:rPr>
        <w:t>.8 δ-</w:t>
      </w:r>
      <w:proofErr w:type="spellStart"/>
      <w:r w:rsidRPr="00960CC5">
        <w:rPr>
          <w:sz w:val="24"/>
          <w:szCs w:val="24"/>
        </w:rPr>
        <w:t>cadinene</w:t>
      </w:r>
      <w:bookmarkEnd w:id="45"/>
      <w:proofErr w:type="spellEnd"/>
    </w:p>
    <w:p w14:paraId="664AF9A5"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family of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in which the double bonds are located at the 4-4a and 7-8 positions, and in which the isopropyl group at position 1 is cis to the hydrogen at the adjacent bridgehead carbon (the 1R,8aS-enantiomer). δ-</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65581D62" w14:textId="77777777" w:rsidR="0097361E" w:rsidRPr="00960CC5" w:rsidRDefault="0097361E" w:rsidP="006971C5">
      <w:pPr>
        <w:pStyle w:val="Heading2"/>
        <w:tabs>
          <w:tab w:val="center" w:pos="4513"/>
        </w:tabs>
        <w:rPr>
          <w:rFonts w:asciiTheme="majorBidi" w:hAnsiTheme="majorBidi"/>
          <w:sz w:val="24"/>
          <w:szCs w:val="24"/>
        </w:rPr>
      </w:pPr>
      <w:bookmarkStart w:id="46"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006C2EC5"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514AD9D6" w14:textId="77777777" w:rsidR="0097361E" w:rsidRPr="00960CC5" w:rsidRDefault="0097361E" w:rsidP="00960CC5">
      <w:pPr>
        <w:pStyle w:val="Heading3"/>
        <w:rPr>
          <w:sz w:val="24"/>
          <w:szCs w:val="24"/>
        </w:rPr>
      </w:pPr>
      <w:bookmarkStart w:id="47" w:name="_Toc202853925"/>
      <w:r w:rsidRPr="00960CC5">
        <w:rPr>
          <w:sz w:val="24"/>
          <w:szCs w:val="24"/>
        </w:rPr>
        <w:t>2.</w:t>
      </w:r>
      <w:r w:rsidR="0024403D" w:rsidRPr="00960CC5">
        <w:rPr>
          <w:sz w:val="24"/>
          <w:szCs w:val="24"/>
        </w:rPr>
        <w:t>5</w:t>
      </w:r>
      <w:r w:rsidRPr="00960CC5">
        <w:rPr>
          <w:sz w:val="24"/>
          <w:szCs w:val="24"/>
        </w:rPr>
        <w:t>.1 Anti-Diabetic Activity</w:t>
      </w:r>
      <w:bookmarkEnd w:id="47"/>
    </w:p>
    <w:p w14:paraId="3F93CF45"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 xml:space="preserve">Clove extract acts like insulin in hepatocytes and </w:t>
      </w:r>
      <w:proofErr w:type="spellStart"/>
      <w:r w:rsidRPr="001213D2">
        <w:rPr>
          <w:rFonts w:asciiTheme="majorBidi" w:hAnsiTheme="majorBidi" w:cstheme="majorBidi"/>
          <w:sz w:val="24"/>
          <w:szCs w:val="24"/>
        </w:rPr>
        <w:t>hepatoma</w:t>
      </w:r>
      <w:proofErr w:type="spellEnd"/>
      <w:r w:rsidRPr="001213D2">
        <w:rPr>
          <w:rFonts w:asciiTheme="majorBidi" w:hAnsiTheme="majorBidi" w:cstheme="majorBidi"/>
          <w:sz w:val="24"/>
          <w:szCs w:val="24"/>
        </w:rPr>
        <w:t xml:space="preserve">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proofErr w:type="spellStart"/>
      <w:r w:rsidRPr="001213D2">
        <w:rPr>
          <w:rFonts w:asciiTheme="majorBidi" w:hAnsiTheme="majorBidi" w:cstheme="majorBidi"/>
          <w:sz w:val="24"/>
          <w:szCs w:val="24"/>
        </w:rPr>
        <w:t>acetylcysteine</w:t>
      </w:r>
      <w:proofErr w:type="spellEnd"/>
      <w:r w:rsidRPr="001213D2">
        <w:rPr>
          <w:rFonts w:asciiTheme="majorBidi" w:hAnsiTheme="majorBidi" w:cstheme="majorBidi"/>
          <w:sz w:val="24"/>
          <w:szCs w:val="24"/>
        </w:rPr>
        <w:t xml:space="preserv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248357EB" w14:textId="77777777" w:rsidR="0097361E" w:rsidRPr="00960CC5" w:rsidRDefault="0097361E" w:rsidP="006971C5">
      <w:pPr>
        <w:pStyle w:val="Heading3"/>
        <w:rPr>
          <w:sz w:val="24"/>
          <w:szCs w:val="24"/>
        </w:rPr>
      </w:pPr>
      <w:bookmarkStart w:id="48" w:name="_Toc202853926"/>
      <w:r w:rsidRPr="00960CC5">
        <w:rPr>
          <w:sz w:val="24"/>
          <w:szCs w:val="24"/>
        </w:rPr>
        <w:t>2.</w:t>
      </w:r>
      <w:r w:rsidR="0024403D" w:rsidRPr="00960CC5">
        <w:rPr>
          <w:sz w:val="24"/>
          <w:szCs w:val="24"/>
        </w:rPr>
        <w:t>5</w:t>
      </w:r>
      <w:r w:rsidRPr="00960CC5">
        <w:rPr>
          <w:sz w:val="24"/>
          <w:szCs w:val="24"/>
        </w:rPr>
        <w:t>.2 Antioxidant Activity</w:t>
      </w:r>
      <w:bookmarkEnd w:id="48"/>
    </w:p>
    <w:p w14:paraId="5DD0A1A5"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0.024) </w:t>
      </w:r>
      <w:proofErr w:type="spellStart"/>
      <w:r w:rsidRPr="00566374">
        <w:rPr>
          <w:rFonts w:asciiTheme="majorBidi" w:hAnsiTheme="majorBidi" w:cstheme="majorBidi"/>
          <w:sz w:val="24"/>
          <w:szCs w:val="24"/>
        </w:rPr>
        <w:t>tetraethylammonium</w:t>
      </w:r>
      <w:proofErr w:type="spellEnd"/>
      <w:r w:rsidRPr="00566374">
        <w:rPr>
          <w:rFonts w:asciiTheme="majorBidi" w:hAnsiTheme="majorBidi" w:cstheme="majorBidi"/>
          <w:sz w:val="24"/>
          <w:szCs w:val="24"/>
        </w:rPr>
        <w:t xml:space="preserve"> chloride (</w:t>
      </w:r>
      <w:proofErr w:type="spellStart"/>
      <w:r w:rsidRPr="00566374">
        <w:rPr>
          <w:rFonts w:asciiTheme="majorBidi" w:hAnsiTheme="majorBidi" w:cstheme="majorBidi"/>
          <w:sz w:val="24"/>
          <w:szCs w:val="24"/>
        </w:rPr>
        <w:t>mmol</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acetyl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w:t>
      </w:r>
      <w:proofErr w:type="spellStart"/>
      <w:r w:rsidRPr="00566374">
        <w:rPr>
          <w:rFonts w:asciiTheme="majorBidi" w:hAnsiTheme="majorBidi" w:cstheme="majorBidi"/>
          <w:sz w:val="24"/>
          <w:szCs w:val="24"/>
        </w:rPr>
        <w:t>hydroxytoluene</w:t>
      </w:r>
      <w:proofErr w:type="spellEnd"/>
      <w:r w:rsidRPr="00566374">
        <w:rPr>
          <w:rFonts w:asciiTheme="majorBidi" w:hAnsiTheme="majorBidi" w:cstheme="majorBidi"/>
          <w:sz w:val="24"/>
          <w:szCs w:val="24"/>
        </w:rPr>
        <w:t xml:space="preserv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 xml:space="preserve">&gt;butylated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27D61787"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by several in vitro methods and discusses the structure-activity relationship. Compared to 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w:t>
      </w:r>
      <w:proofErr w:type="spellStart"/>
      <w:r w:rsidRPr="00566374">
        <w:rPr>
          <w:rFonts w:asciiTheme="majorBidi" w:hAnsiTheme="majorBidi" w:cstheme="majorBidi"/>
          <w:sz w:val="24"/>
          <w:szCs w:val="24"/>
        </w:rPr>
        <w:t>tocopherol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w:t>
      </w:r>
      <w:proofErr w:type="spellStart"/>
      <w:r w:rsidRPr="00566374">
        <w:rPr>
          <w:rFonts w:asciiTheme="majorBidi" w:hAnsiTheme="majorBidi" w:cstheme="majorBidi"/>
          <w:sz w:val="24"/>
          <w:szCs w:val="24"/>
        </w:rPr>
        <w:t>phenylenediamine</w:t>
      </w:r>
      <w:proofErr w:type="spellEnd"/>
      <w:r w:rsidRPr="00566374">
        <w:rPr>
          <w:rFonts w:asciiTheme="majorBidi" w:hAnsiTheme="majorBidi" w:cstheme="majorBidi"/>
          <w:sz w:val="24"/>
          <w:szCs w:val="24"/>
        </w:rPr>
        <w:t>,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Aly, 2015)</w:t>
      </w:r>
      <w:r w:rsidRPr="00566374">
        <w:rPr>
          <w:rFonts w:asciiTheme="majorBidi" w:hAnsiTheme="majorBidi" w:cstheme="majorBidi"/>
          <w:sz w:val="24"/>
          <w:szCs w:val="24"/>
        </w:rPr>
        <w:t xml:space="preserve">. Antioxidants are important compounds for treatment of memory deficits caused by oxidative stress. Pretreatment with clove essential oil decreases the oxidative stress assessed by </w:t>
      </w:r>
      <w:proofErr w:type="spellStart"/>
      <w:r w:rsidRPr="00566374">
        <w:rPr>
          <w:rFonts w:asciiTheme="majorBidi" w:hAnsiTheme="majorBidi" w:cstheme="majorBidi"/>
          <w:sz w:val="24"/>
          <w:szCs w:val="24"/>
        </w:rPr>
        <w:t>malondialdehyde</w:t>
      </w:r>
      <w:proofErr w:type="spellEnd"/>
      <w:r w:rsidRPr="00566374">
        <w:rPr>
          <w:rFonts w:asciiTheme="majorBidi" w:hAnsiTheme="majorBidi" w:cstheme="majorBidi"/>
          <w:sz w:val="24"/>
          <w:szCs w:val="24"/>
        </w:rPr>
        <w:t xml:space="preserv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w:t>
      </w:r>
      <w:proofErr w:type="spellStart"/>
      <w:r w:rsidRPr="0094481B">
        <w:rPr>
          <w:rFonts w:asciiTheme="majorBidi" w:hAnsiTheme="majorBidi" w:cstheme="majorBidi"/>
          <w:sz w:val="24"/>
          <w:szCs w:val="24"/>
        </w:rPr>
        <w:t>Halder</w:t>
      </w:r>
      <w:proofErr w:type="spellEnd"/>
      <w:r w:rsidRPr="0094481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5B514EB0" w14:textId="77777777" w:rsidR="0097361E" w:rsidRPr="00960CC5" w:rsidRDefault="0097361E" w:rsidP="00960CC5">
      <w:pPr>
        <w:pStyle w:val="Heading3"/>
        <w:rPr>
          <w:sz w:val="24"/>
          <w:szCs w:val="24"/>
        </w:rPr>
      </w:pPr>
      <w:bookmarkStart w:id="49" w:name="_Toc202853927"/>
      <w:r w:rsidRPr="00960CC5">
        <w:rPr>
          <w:sz w:val="24"/>
          <w:szCs w:val="24"/>
        </w:rPr>
        <w:t>2.</w:t>
      </w:r>
      <w:r w:rsidR="0024403D" w:rsidRPr="00960CC5">
        <w:rPr>
          <w:sz w:val="24"/>
          <w:szCs w:val="24"/>
        </w:rPr>
        <w:t>5</w:t>
      </w:r>
      <w:r w:rsidRPr="00960CC5">
        <w:rPr>
          <w:sz w:val="24"/>
          <w:szCs w:val="24"/>
        </w:rPr>
        <w:t>.3 Antimicrobial Activity</w:t>
      </w:r>
      <w:bookmarkEnd w:id="49"/>
    </w:p>
    <w:p w14:paraId="59449C10"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 xml:space="preserve">(Burt and </w:t>
      </w:r>
      <w:proofErr w:type="spellStart"/>
      <w:r w:rsidRPr="00405AEF">
        <w:rPr>
          <w:rFonts w:asciiTheme="majorBidi" w:hAnsiTheme="majorBidi" w:cstheme="majorBidi"/>
          <w:sz w:val="24"/>
          <w:szCs w:val="24"/>
        </w:rPr>
        <w:t>Reinders</w:t>
      </w:r>
      <w:proofErr w:type="spellEnd"/>
      <w:r w:rsidRPr="00405AEF">
        <w:rPr>
          <w:rFonts w:asciiTheme="majorBidi" w:hAnsiTheme="majorBidi" w:cstheme="majorBidi"/>
          <w:sz w:val="24"/>
          <w:szCs w:val="24"/>
        </w:rPr>
        <w:t>,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reinforces the employment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(Pérez-</w:t>
      </w:r>
      <w:proofErr w:type="spellStart"/>
      <w:r w:rsidRPr="00405AEF">
        <w:rPr>
          <w:rFonts w:asciiTheme="majorBidi" w:hAnsiTheme="majorBidi" w:cstheme="majorBidi"/>
          <w:sz w:val="24"/>
          <w:szCs w:val="24"/>
        </w:rPr>
        <w:t>Conesa</w:t>
      </w:r>
      <w:proofErr w:type="spellEnd"/>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Rana</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rubrum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Aspergillus</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mentagrophytes</w:t>
      </w:r>
      <w:proofErr w:type="spellEnd"/>
      <w:r w:rsidRPr="00566374">
        <w:rPr>
          <w:rFonts w:asciiTheme="majorBidi" w:hAnsiTheme="majorBidi" w:cstheme="majorBidi"/>
          <w:sz w:val="24"/>
          <w:szCs w:val="24"/>
        </w:rPr>
        <w:t xml:space="preserve"> (KCTC 6077),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proofErr w:type="spellStart"/>
      <w:r w:rsidRPr="00405AEF">
        <w:rPr>
          <w:rFonts w:asciiTheme="majorBidi" w:hAnsiTheme="majorBidi" w:cstheme="majorBidi"/>
          <w:i/>
          <w:iCs/>
          <w:sz w:val="24"/>
          <w:szCs w:val="24"/>
        </w:rPr>
        <w:t>Rosmarinus</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officinalis</w:t>
      </w:r>
      <w:proofErr w:type="spellEnd"/>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382401C2"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w:t>
      </w:r>
      <w:proofErr w:type="spellStart"/>
      <w:r w:rsidRPr="00566374">
        <w:rPr>
          <w:rFonts w:asciiTheme="majorBidi" w:hAnsiTheme="majorBidi" w:cstheme="majorBidi"/>
          <w:sz w:val="24"/>
          <w:szCs w:val="24"/>
        </w:rPr>
        <w:t>anticandidal</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was tested in a vaginal candidiasis model, microbial and histological techniques were employed to compare the samples with the controls. The results suggest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against bacteria, a study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cinnamaldehyde</w:t>
      </w:r>
      <w:proofErr w:type="spellEnd"/>
      <w:r w:rsidRPr="00566374">
        <w:rPr>
          <w:rFonts w:asciiTheme="majorBidi" w:hAnsiTheme="majorBidi" w:cstheme="majorBidi"/>
          <w:sz w:val="24"/>
          <w:szCs w:val="24"/>
        </w:rPr>
        <w:t xml:space="preserv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w:t>
      </w:r>
      <w:proofErr w:type="spellStart"/>
      <w:r w:rsidRPr="00566374">
        <w:rPr>
          <w:rFonts w:asciiTheme="majorBidi" w:hAnsiTheme="majorBidi" w:cstheme="majorBidi"/>
          <w:sz w:val="24"/>
          <w:szCs w:val="24"/>
        </w:rPr>
        <w:t>caprylic</w:t>
      </w:r>
      <w:proofErr w:type="spellEnd"/>
      <w:r w:rsidRPr="00566374">
        <w:rPr>
          <w:rFonts w:asciiTheme="majorBidi" w:hAnsiTheme="majorBidi" w:cstheme="majorBidi"/>
          <w:sz w:val="24"/>
          <w:szCs w:val="24"/>
        </w:rPr>
        <w:t xml:space="preserve"> triglyceride and </w:t>
      </w:r>
      <w:proofErr w:type="spellStart"/>
      <w:r w:rsidRPr="00566374">
        <w:rPr>
          <w:rFonts w:asciiTheme="majorBidi" w:hAnsiTheme="majorBidi" w:cstheme="majorBidi"/>
          <w:sz w:val="24"/>
          <w:szCs w:val="24"/>
        </w:rPr>
        <w:t>Poloxamer</w:t>
      </w:r>
      <w:proofErr w:type="spellEnd"/>
      <w:r w:rsidRPr="00566374">
        <w:rPr>
          <w:rFonts w:asciiTheme="majorBidi" w:hAnsiTheme="majorBidi" w:cstheme="majorBidi"/>
          <w:sz w:val="24"/>
          <w:szCs w:val="24"/>
        </w:rPr>
        <w:t xml:space="preserve"> 188 in different concentrations by a modified hot homogenization </w:t>
      </w:r>
      <w:proofErr w:type="spellStart"/>
      <w:r w:rsidRPr="00566374">
        <w:rPr>
          <w:rFonts w:asciiTheme="majorBidi" w:hAnsiTheme="majorBidi" w:cstheme="majorBidi"/>
          <w:sz w:val="24"/>
          <w:szCs w:val="24"/>
        </w:rPr>
        <w:t>ultrasonication</w:t>
      </w:r>
      <w:proofErr w:type="spellEnd"/>
      <w:r w:rsidRPr="00566374">
        <w:rPr>
          <w:rFonts w:asciiTheme="majorBidi" w:hAnsiTheme="majorBidi" w:cstheme="majorBidi"/>
          <w:sz w:val="24"/>
          <w:szCs w:val="24"/>
        </w:rPr>
        <w:t xml:space="preserve">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58643130" w14:textId="77777777" w:rsidR="0097361E" w:rsidRPr="00960CC5" w:rsidRDefault="0097361E" w:rsidP="006971C5">
      <w:pPr>
        <w:pStyle w:val="Heading3"/>
        <w:rPr>
          <w:sz w:val="24"/>
          <w:szCs w:val="24"/>
        </w:rPr>
      </w:pPr>
      <w:bookmarkStart w:id="51" w:name="_Toc202853928"/>
      <w:r w:rsidRPr="00960CC5">
        <w:rPr>
          <w:sz w:val="24"/>
          <w:szCs w:val="24"/>
        </w:rPr>
        <w:t>2.</w:t>
      </w:r>
      <w:r w:rsidR="0024403D" w:rsidRPr="00960CC5">
        <w:rPr>
          <w:sz w:val="24"/>
          <w:szCs w:val="24"/>
        </w:rPr>
        <w:t>5</w:t>
      </w:r>
      <w:r w:rsidRPr="00960CC5">
        <w:rPr>
          <w:sz w:val="24"/>
          <w:szCs w:val="24"/>
        </w:rPr>
        <w:t xml:space="preserve">.4 </w:t>
      </w:r>
      <w:proofErr w:type="spellStart"/>
      <w:r w:rsidRPr="00960CC5">
        <w:rPr>
          <w:sz w:val="24"/>
          <w:szCs w:val="24"/>
        </w:rPr>
        <w:t>Antinociceptive</w:t>
      </w:r>
      <w:bookmarkEnd w:id="51"/>
      <w:proofErr w:type="spellEnd"/>
    </w:p>
    <w:p w14:paraId="16BFE3BE"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w:t>
      </w:r>
      <w:proofErr w:type="spellStart"/>
      <w:r w:rsidRPr="00566374">
        <w:rPr>
          <w:rFonts w:asciiTheme="majorBidi" w:hAnsiTheme="majorBidi" w:cstheme="majorBidi"/>
          <w:sz w:val="24"/>
          <w:szCs w:val="24"/>
        </w:rPr>
        <w:t>antinociceptive</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5A90B9AD" w14:textId="77777777" w:rsidR="0097361E" w:rsidRPr="00960CC5" w:rsidRDefault="0097361E" w:rsidP="006971C5">
      <w:pPr>
        <w:pStyle w:val="Heading3"/>
        <w:rPr>
          <w:sz w:val="24"/>
          <w:szCs w:val="24"/>
        </w:rPr>
      </w:pPr>
      <w:bookmarkStart w:id="52" w:name="_Toc202853929"/>
      <w:r w:rsidRPr="00960CC5">
        <w:rPr>
          <w:sz w:val="24"/>
          <w:szCs w:val="24"/>
        </w:rPr>
        <w:t>2.</w:t>
      </w:r>
      <w:r w:rsidR="0024403D" w:rsidRPr="00960CC5">
        <w:rPr>
          <w:sz w:val="24"/>
          <w:szCs w:val="24"/>
        </w:rPr>
        <w:t>5</w:t>
      </w:r>
      <w:r w:rsidRPr="00960CC5">
        <w:rPr>
          <w:sz w:val="24"/>
          <w:szCs w:val="24"/>
        </w:rPr>
        <w:t>.5 Antiviral Activity</w:t>
      </w:r>
      <w:bookmarkEnd w:id="52"/>
    </w:p>
    <w:p w14:paraId="7D3010E3" w14:textId="77777777"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w:t>
      </w:r>
      <w:proofErr w:type="spellStart"/>
      <w:r w:rsidRPr="001B7C9F">
        <w:rPr>
          <w:rFonts w:asciiTheme="majorBidi" w:hAnsiTheme="majorBidi" w:cstheme="majorBidi"/>
          <w:i/>
          <w:iCs/>
          <w:sz w:val="24"/>
          <w:szCs w:val="24"/>
        </w:rPr>
        <w:t>japonicum</w:t>
      </w:r>
      <w:proofErr w:type="spellEnd"/>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r w:rsidR="006971C5">
        <w:rPr>
          <w:rFonts w:asciiTheme="majorBidi" w:hAnsiTheme="majorBidi" w:cstheme="majorBidi"/>
          <w:sz w:val="24"/>
          <w:szCs w:val="24"/>
        </w:rPr>
        <w:t>.</w:t>
      </w:r>
    </w:p>
    <w:p w14:paraId="3804DC03" w14:textId="77777777"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930"/>
      <w:r w:rsidRPr="002148DC">
        <w:rPr>
          <w:rFonts w:asciiTheme="majorBidi" w:eastAsia="Calibri" w:hAnsiTheme="majorBidi"/>
          <w:b/>
          <w:bCs/>
          <w:color w:val="auto"/>
          <w:sz w:val="28"/>
          <w:szCs w:val="28"/>
        </w:rPr>
        <w:t>CHAPTER THREE</w:t>
      </w:r>
      <w:bookmarkEnd w:id="54"/>
      <w:bookmarkEnd w:id="55"/>
      <w:bookmarkEnd w:id="56"/>
    </w:p>
    <w:p w14:paraId="2D792932" w14:textId="77777777" w:rsidR="00960CC5" w:rsidRPr="00272C19" w:rsidRDefault="00960CC5" w:rsidP="00960CC5">
      <w:pPr>
        <w:jc w:val="center"/>
        <w:rPr>
          <w:rFonts w:ascii="Times New Roman" w:hAnsi="Times New Roman" w:cs="Times New Roman"/>
          <w:b/>
          <w:sz w:val="28"/>
          <w:szCs w:val="28"/>
        </w:rPr>
      </w:pPr>
    </w:p>
    <w:p w14:paraId="1C2E2F4B" w14:textId="77777777" w:rsidR="001278C9" w:rsidRPr="00960CC5" w:rsidRDefault="00960CC5" w:rsidP="006971C5">
      <w:pPr>
        <w:pStyle w:val="Heading2"/>
        <w:rPr>
          <w:rFonts w:asciiTheme="majorBidi" w:hAnsiTheme="majorBidi"/>
          <w:b w:val="0"/>
          <w:bCs w:val="0"/>
          <w:sz w:val="24"/>
          <w:szCs w:val="24"/>
        </w:rPr>
      </w:pPr>
      <w:bookmarkStart w:id="57" w:name="_Toc85116955"/>
      <w:bookmarkStart w:id="58" w:name="_Toc201509725"/>
      <w:bookmarkStart w:id="59" w:name="_Toc202853931"/>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32D918B4" w14:textId="77777777" w:rsidR="001278C9" w:rsidRPr="00960CC5" w:rsidRDefault="0024403D" w:rsidP="006971C5">
      <w:pPr>
        <w:pStyle w:val="Heading2"/>
        <w:rPr>
          <w:rFonts w:asciiTheme="majorBidi" w:hAnsiTheme="majorBidi"/>
          <w:sz w:val="24"/>
          <w:szCs w:val="24"/>
        </w:rPr>
      </w:pPr>
      <w:bookmarkStart w:id="60"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4D957DAB"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7B02DF83" w14:textId="77777777" w:rsidR="001278C9" w:rsidRPr="00B62DBB" w:rsidRDefault="0024403D" w:rsidP="006971C5">
      <w:pPr>
        <w:pStyle w:val="Heading2"/>
        <w:rPr>
          <w:rFonts w:asciiTheme="majorBidi" w:hAnsiTheme="majorBidi"/>
          <w:sz w:val="24"/>
          <w:szCs w:val="24"/>
        </w:rPr>
      </w:pPr>
      <w:bookmarkStart w:id="61"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1"/>
    </w:p>
    <w:p w14:paraId="38458EFD"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t>
      </w:r>
      <w:proofErr w:type="spellStart"/>
      <w:r w:rsidRPr="00F34B08">
        <w:rPr>
          <w:rFonts w:ascii="Times New Roman" w:hAnsi="Times New Roman"/>
          <w:sz w:val="24"/>
          <w:szCs w:val="24"/>
        </w:rPr>
        <w:t>Whatman</w:t>
      </w:r>
      <w:proofErr w:type="spellEnd"/>
      <w:r w:rsidRPr="00F34B08">
        <w:rPr>
          <w:rFonts w:ascii="Times New Roman" w:hAnsi="Times New Roman"/>
          <w:sz w:val="24"/>
          <w:szCs w:val="24"/>
        </w:rPr>
        <w:t xml:space="preserve">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w:t>
      </w:r>
      <w:proofErr w:type="spellStart"/>
      <w:r w:rsidRPr="00F34B08">
        <w:rPr>
          <w:rFonts w:ascii="Times New Roman" w:hAnsi="Times New Roman"/>
          <w:sz w:val="24"/>
          <w:szCs w:val="24"/>
        </w:rPr>
        <w:t>ethanolic</w:t>
      </w:r>
      <w:proofErr w:type="spellEnd"/>
      <w:r w:rsidRPr="00F34B08">
        <w:rPr>
          <w:rFonts w:ascii="Times New Roman" w:hAnsi="Times New Roman"/>
          <w:sz w:val="24"/>
          <w:szCs w:val="24"/>
        </w:rPr>
        <w:t xml:space="preserve"> and </w:t>
      </w:r>
      <w:proofErr w:type="spellStart"/>
      <w:r w:rsidRPr="00F34B08">
        <w:rPr>
          <w:rFonts w:ascii="Times New Roman" w:hAnsi="Times New Roman"/>
          <w:sz w:val="24"/>
          <w:szCs w:val="24"/>
        </w:rPr>
        <w:t>methanolic</w:t>
      </w:r>
      <w:proofErr w:type="spellEnd"/>
      <w:r w:rsidRPr="00F34B08">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14:paraId="5F8B570D" w14:textId="77777777" w:rsidR="001278C9" w:rsidRPr="00B62DBB" w:rsidRDefault="0024403D" w:rsidP="006971C5">
      <w:pPr>
        <w:pStyle w:val="Heading2"/>
        <w:rPr>
          <w:rFonts w:asciiTheme="majorBidi" w:hAnsiTheme="majorBidi"/>
          <w:sz w:val="24"/>
          <w:szCs w:val="24"/>
        </w:rPr>
      </w:pPr>
      <w:bookmarkStart w:id="62"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7F977113"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14:paraId="6FD9E08F" w14:textId="77777777" w:rsidR="001278C9" w:rsidRPr="00B62DBB" w:rsidRDefault="0024403D" w:rsidP="00B62DBB">
      <w:pPr>
        <w:pStyle w:val="Heading2"/>
        <w:rPr>
          <w:rFonts w:asciiTheme="majorBidi" w:hAnsiTheme="majorBidi"/>
          <w:sz w:val="24"/>
          <w:szCs w:val="24"/>
        </w:rPr>
      </w:pPr>
      <w:bookmarkStart w:id="63"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1488B521"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5B996B1C" w14:textId="77777777" w:rsidR="001278C9" w:rsidRPr="00B62DBB" w:rsidRDefault="0024403D" w:rsidP="006971C5">
      <w:pPr>
        <w:pStyle w:val="Heading2"/>
        <w:rPr>
          <w:rFonts w:asciiTheme="majorBidi" w:hAnsiTheme="majorBidi"/>
          <w:sz w:val="24"/>
          <w:szCs w:val="24"/>
        </w:rPr>
      </w:pPr>
      <w:bookmarkStart w:id="64"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27AEECE3"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7CC28086" w14:textId="77777777" w:rsidR="001278C9" w:rsidRPr="00B62DBB" w:rsidRDefault="0024403D" w:rsidP="006971C5">
      <w:pPr>
        <w:pStyle w:val="Heading2"/>
        <w:rPr>
          <w:rFonts w:asciiTheme="majorBidi" w:hAnsiTheme="majorBidi"/>
          <w:sz w:val="24"/>
          <w:szCs w:val="24"/>
        </w:rPr>
      </w:pPr>
      <w:bookmarkStart w:id="65"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4CC9A07F"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6E1EFFBA" w14:textId="77777777" w:rsidR="001278C9" w:rsidRPr="00B62DBB" w:rsidRDefault="0024403D" w:rsidP="006971C5">
      <w:pPr>
        <w:pStyle w:val="Heading2"/>
        <w:rPr>
          <w:rFonts w:asciiTheme="majorBidi" w:hAnsiTheme="majorBidi"/>
          <w:sz w:val="24"/>
          <w:szCs w:val="24"/>
        </w:rPr>
      </w:pPr>
      <w:bookmarkStart w:id="66"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3645695F"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1FE84372" w14:textId="77777777" w:rsidR="001278C9" w:rsidRDefault="001278C9" w:rsidP="006971C5">
      <w:pPr>
        <w:pStyle w:val="NormalWeb"/>
        <w:ind w:left="720" w:hanging="720"/>
        <w:jc w:val="both"/>
      </w:pPr>
    </w:p>
    <w:p w14:paraId="2C702F67" w14:textId="77777777" w:rsidR="00B23D8E" w:rsidRDefault="00B23D8E" w:rsidP="00B327ED">
      <w:pPr>
        <w:pStyle w:val="NormalWeb"/>
        <w:ind w:left="720" w:hanging="720"/>
        <w:jc w:val="both"/>
      </w:pPr>
    </w:p>
    <w:p w14:paraId="66D744BA" w14:textId="77777777" w:rsidR="00B23D8E" w:rsidRDefault="00B23D8E" w:rsidP="00B327ED">
      <w:pPr>
        <w:pStyle w:val="NormalWeb"/>
        <w:ind w:left="720" w:hanging="720"/>
        <w:jc w:val="both"/>
      </w:pPr>
    </w:p>
    <w:p w14:paraId="6B748A41" w14:textId="77777777" w:rsidR="00B23D8E" w:rsidRDefault="00B23D8E" w:rsidP="00B327ED">
      <w:pPr>
        <w:pStyle w:val="NormalWeb"/>
        <w:ind w:left="720" w:hanging="720"/>
        <w:jc w:val="both"/>
      </w:pPr>
    </w:p>
    <w:p w14:paraId="70E8D506" w14:textId="77777777" w:rsidR="00B23D8E" w:rsidRDefault="00B23D8E" w:rsidP="00B327ED">
      <w:pPr>
        <w:pStyle w:val="NormalWeb"/>
        <w:ind w:left="720" w:hanging="720"/>
        <w:jc w:val="both"/>
      </w:pPr>
    </w:p>
    <w:p w14:paraId="2F41394C" w14:textId="77777777" w:rsidR="00B23D8E" w:rsidRDefault="00B23D8E" w:rsidP="00B327ED">
      <w:pPr>
        <w:pStyle w:val="NormalWeb"/>
        <w:ind w:left="720" w:hanging="720"/>
        <w:jc w:val="both"/>
      </w:pPr>
    </w:p>
    <w:p w14:paraId="743FE4A9" w14:textId="77777777" w:rsidR="00F04E43" w:rsidRDefault="00F04E43" w:rsidP="00B327ED">
      <w:pPr>
        <w:pStyle w:val="NormalWeb"/>
        <w:ind w:left="720" w:hanging="720"/>
        <w:jc w:val="both"/>
      </w:pPr>
    </w:p>
    <w:p w14:paraId="52340F3F" w14:textId="77777777" w:rsidR="00F04E43" w:rsidRDefault="00F04E43" w:rsidP="00B327ED">
      <w:pPr>
        <w:pStyle w:val="NormalWeb"/>
        <w:ind w:left="720" w:hanging="720"/>
        <w:jc w:val="both"/>
      </w:pPr>
    </w:p>
    <w:p w14:paraId="3239B449" w14:textId="77777777" w:rsidR="00F04E43" w:rsidRDefault="00F04E43" w:rsidP="00B327ED">
      <w:pPr>
        <w:pStyle w:val="NormalWeb"/>
        <w:ind w:left="720" w:hanging="720"/>
        <w:jc w:val="both"/>
      </w:pPr>
    </w:p>
    <w:p w14:paraId="6AC62A89" w14:textId="77777777" w:rsidR="00B23D8E" w:rsidRDefault="00B23D8E" w:rsidP="006971C5">
      <w:pPr>
        <w:pStyle w:val="NormalWeb"/>
        <w:ind w:left="720" w:hanging="720"/>
        <w:jc w:val="both"/>
      </w:pPr>
    </w:p>
    <w:p w14:paraId="4F5AB7B0" w14:textId="77777777" w:rsidR="006971C5" w:rsidRDefault="006971C5" w:rsidP="006971C5">
      <w:pPr>
        <w:pStyle w:val="NormalWeb"/>
        <w:ind w:left="720" w:hanging="720"/>
        <w:jc w:val="both"/>
      </w:pPr>
    </w:p>
    <w:p w14:paraId="6645C6C2" w14:textId="77777777" w:rsidR="006971C5" w:rsidRDefault="006971C5" w:rsidP="006971C5">
      <w:pPr>
        <w:pStyle w:val="NormalWeb"/>
        <w:ind w:left="720" w:hanging="720"/>
        <w:jc w:val="both"/>
      </w:pPr>
    </w:p>
    <w:p w14:paraId="1DE6E8EE" w14:textId="77777777" w:rsidR="006971C5" w:rsidRDefault="006971C5" w:rsidP="006971C5">
      <w:pPr>
        <w:pStyle w:val="NormalWeb"/>
        <w:ind w:left="720" w:hanging="720"/>
        <w:jc w:val="both"/>
      </w:pPr>
    </w:p>
    <w:p w14:paraId="3E82ADE1" w14:textId="77777777" w:rsidR="006971C5" w:rsidRDefault="006971C5" w:rsidP="006971C5">
      <w:pPr>
        <w:pStyle w:val="NormalWeb"/>
        <w:ind w:left="720" w:hanging="720"/>
        <w:jc w:val="both"/>
      </w:pPr>
    </w:p>
    <w:p w14:paraId="36556C27" w14:textId="77777777" w:rsidR="00B56205" w:rsidRDefault="00B56205" w:rsidP="00B56205"/>
    <w:p w14:paraId="0622DEBA" w14:textId="77777777" w:rsidR="00B56205" w:rsidRPr="00B56205" w:rsidRDefault="00B56205" w:rsidP="00B56205"/>
    <w:p w14:paraId="02C72EC9" w14:textId="77777777" w:rsidR="00001C3B" w:rsidRPr="002148DC" w:rsidRDefault="00001C3B" w:rsidP="00B56205">
      <w:pPr>
        <w:pStyle w:val="Heading1"/>
        <w:jc w:val="center"/>
        <w:rPr>
          <w:rFonts w:asciiTheme="majorBidi" w:eastAsia="Calibri" w:hAnsiTheme="majorBidi"/>
          <w:b/>
          <w:bCs/>
          <w:color w:val="auto"/>
          <w:sz w:val="28"/>
          <w:szCs w:val="28"/>
        </w:rPr>
      </w:pPr>
      <w:bookmarkStart w:id="67" w:name="_Toc202853939"/>
      <w:r w:rsidRPr="002148DC">
        <w:rPr>
          <w:rFonts w:asciiTheme="majorBidi" w:eastAsia="Calibri" w:hAnsiTheme="majorBidi"/>
          <w:b/>
          <w:bCs/>
          <w:color w:val="auto"/>
          <w:sz w:val="28"/>
          <w:szCs w:val="28"/>
        </w:rPr>
        <w:t>CHAPTER FOUR</w:t>
      </w:r>
      <w:bookmarkEnd w:id="67"/>
    </w:p>
    <w:p w14:paraId="2E5A84C0" w14:textId="77777777" w:rsidR="00001C3B" w:rsidRPr="00272C19" w:rsidRDefault="00001C3B" w:rsidP="00001C3B">
      <w:pPr>
        <w:jc w:val="center"/>
        <w:rPr>
          <w:rFonts w:ascii="Times New Roman" w:hAnsi="Times New Roman" w:cs="Times New Roman"/>
          <w:b/>
          <w:sz w:val="28"/>
          <w:szCs w:val="28"/>
        </w:rPr>
      </w:pPr>
    </w:p>
    <w:p w14:paraId="61A38847" w14:textId="77777777" w:rsidR="00001C3B" w:rsidRPr="00EE444B" w:rsidRDefault="00001C3B" w:rsidP="00001C3B">
      <w:pPr>
        <w:pStyle w:val="Heading2"/>
        <w:tabs>
          <w:tab w:val="center" w:pos="4513"/>
        </w:tabs>
        <w:rPr>
          <w:rFonts w:asciiTheme="majorBidi" w:hAnsiTheme="majorBidi"/>
          <w:b w:val="0"/>
          <w:bCs w:val="0"/>
          <w:sz w:val="24"/>
          <w:szCs w:val="24"/>
        </w:rPr>
      </w:pPr>
      <w:bookmarkStart w:id="68"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59AFE40F" w14:textId="77777777" w:rsidR="00552ED0" w:rsidRPr="00001C3B" w:rsidRDefault="00001C3B" w:rsidP="00001C3B">
      <w:pPr>
        <w:pStyle w:val="Heading2"/>
        <w:rPr>
          <w:rFonts w:asciiTheme="majorBidi" w:hAnsiTheme="majorBidi"/>
          <w:sz w:val="24"/>
          <w:szCs w:val="24"/>
        </w:rPr>
      </w:pPr>
      <w:bookmarkStart w:id="69"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69"/>
    </w:p>
    <w:p w14:paraId="4BCCEC3D" w14:textId="77777777" w:rsidR="007F1B6A" w:rsidRPr="00B62DBB" w:rsidRDefault="00552ED0" w:rsidP="006971C5">
      <w:pPr>
        <w:pStyle w:val="NormalWeb"/>
        <w:spacing w:line="480" w:lineRule="auto"/>
        <w:jc w:val="both"/>
        <w:rPr>
          <w:rStyle w:val="Emphasis"/>
          <w:i w:val="0"/>
        </w:rPr>
      </w:pPr>
      <w:r w:rsidRPr="00B62DBB">
        <w:t xml:space="preserve">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14:paraId="0F8FC35E" w14:textId="77777777" w:rsidR="00001C3B" w:rsidRPr="00001C3B" w:rsidRDefault="00001C3B" w:rsidP="00001C3B">
      <w:pPr>
        <w:pStyle w:val="Heading2"/>
        <w:rPr>
          <w:rFonts w:asciiTheme="majorBidi" w:hAnsiTheme="majorBidi"/>
          <w:sz w:val="24"/>
          <w:szCs w:val="24"/>
        </w:rPr>
      </w:pPr>
      <w:bookmarkStart w:id="70" w:name="_Toc202853942"/>
      <w:r w:rsidRPr="00001C3B">
        <w:rPr>
          <w:rFonts w:asciiTheme="majorBidi" w:hAnsiTheme="majorBidi"/>
          <w:sz w:val="24"/>
          <w:szCs w:val="24"/>
        </w:rPr>
        <w:t>4.2 Minimum Inhibitory Concentration (MIC) and Minimum Bactericidal Concentration</w:t>
      </w:r>
      <w:bookmarkEnd w:id="70"/>
    </w:p>
    <w:p w14:paraId="1946B382" w14:textId="77777777"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14:paraId="48614B35" w14:textId="77777777" w:rsidR="007F1B6A" w:rsidRPr="00B62DBB" w:rsidRDefault="007F1B6A" w:rsidP="00B62DBB">
      <w:pPr>
        <w:pStyle w:val="NormalWeb"/>
        <w:spacing w:line="480" w:lineRule="auto"/>
        <w:jc w:val="both"/>
        <w:rPr>
          <w:rStyle w:val="Strong"/>
          <w:b w:val="0"/>
        </w:rPr>
      </w:pPr>
    </w:p>
    <w:p w14:paraId="578F06F2" w14:textId="77777777" w:rsidR="007F1B6A" w:rsidRPr="00B62DBB" w:rsidRDefault="007F1B6A" w:rsidP="00B62DBB">
      <w:pPr>
        <w:pStyle w:val="NormalWeb"/>
        <w:spacing w:line="480" w:lineRule="auto"/>
        <w:jc w:val="both"/>
        <w:rPr>
          <w:rStyle w:val="Strong"/>
          <w:b w:val="0"/>
        </w:rPr>
      </w:pPr>
    </w:p>
    <w:p w14:paraId="250A51D3" w14:textId="77777777" w:rsidR="007F1B6A" w:rsidRPr="00B62DBB" w:rsidRDefault="007F1B6A" w:rsidP="00B62DBB">
      <w:pPr>
        <w:pStyle w:val="NormalWeb"/>
        <w:spacing w:line="480" w:lineRule="auto"/>
        <w:jc w:val="both"/>
        <w:rPr>
          <w:rStyle w:val="Strong"/>
          <w:b w:val="0"/>
        </w:rPr>
      </w:pPr>
    </w:p>
    <w:p w14:paraId="17F1D250" w14:textId="77777777" w:rsidR="007F1B6A" w:rsidRPr="00B62DBB" w:rsidRDefault="007F1B6A" w:rsidP="00B62DBB">
      <w:pPr>
        <w:pStyle w:val="NormalWeb"/>
        <w:spacing w:line="480" w:lineRule="auto"/>
        <w:jc w:val="both"/>
        <w:rPr>
          <w:rStyle w:val="Strong"/>
          <w:b w:val="0"/>
        </w:rPr>
      </w:pPr>
    </w:p>
    <w:p w14:paraId="331E058E" w14:textId="77777777" w:rsidR="007F1B6A" w:rsidRDefault="007F1B6A" w:rsidP="00B62DBB">
      <w:pPr>
        <w:pStyle w:val="NormalWeb"/>
        <w:spacing w:line="480" w:lineRule="auto"/>
        <w:jc w:val="both"/>
        <w:rPr>
          <w:rStyle w:val="Strong"/>
          <w:b w:val="0"/>
        </w:rPr>
      </w:pPr>
    </w:p>
    <w:p w14:paraId="21C7DECC" w14:textId="77777777" w:rsidR="00B56205" w:rsidRDefault="00B56205" w:rsidP="00B62DBB">
      <w:pPr>
        <w:pStyle w:val="NormalWeb"/>
        <w:spacing w:line="480" w:lineRule="auto"/>
        <w:jc w:val="both"/>
        <w:rPr>
          <w:rStyle w:val="Strong"/>
          <w:b w:val="0"/>
        </w:rPr>
      </w:pPr>
    </w:p>
    <w:p w14:paraId="0BBAF328" w14:textId="77777777" w:rsidR="006971C5" w:rsidRPr="00B62DBB" w:rsidRDefault="006971C5" w:rsidP="00B62DBB">
      <w:pPr>
        <w:pStyle w:val="NormalWeb"/>
        <w:spacing w:line="480" w:lineRule="auto"/>
        <w:jc w:val="both"/>
        <w:rPr>
          <w:rStyle w:val="Strong"/>
          <w:b w:val="0"/>
        </w:rPr>
      </w:pPr>
    </w:p>
    <w:p w14:paraId="1E0EFE1B"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2272" behindDoc="0" locked="0" layoutInCell="1" allowOverlap="1" wp14:anchorId="3465A9E5" wp14:editId="3B3381F2">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41D17" id="Straight Connector 29"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mc:Fallback>
        </mc:AlternateContent>
      </w:r>
      <w:r w:rsidR="00552ED0" w:rsidRPr="00B62DBB">
        <w:rPr>
          <w:rStyle w:val="Strong"/>
          <w:b w:val="0"/>
        </w:rPr>
        <w:t>Table 1</w:t>
      </w:r>
      <w:r w:rsidR="00552ED0" w:rsidRPr="00B62DBB">
        <w:t xml:space="preserve">: Antibacterial Activity of Aqueous, </w:t>
      </w:r>
      <w:proofErr w:type="spellStart"/>
      <w:r w:rsidR="00552ED0" w:rsidRPr="00B62DBB">
        <w:t>Ethanolic</w:t>
      </w:r>
      <w:proofErr w:type="spellEnd"/>
      <w:r w:rsidR="00552ED0" w:rsidRPr="00B62DBB">
        <w:t xml:space="preserve">, and </w:t>
      </w:r>
      <w:proofErr w:type="spellStart"/>
      <w:r w:rsidR="00552ED0" w:rsidRPr="00B62DBB">
        <w:t>Methanolic</w:t>
      </w:r>
      <w:proofErr w:type="spellEnd"/>
      <w:r w:rsidR="00552ED0" w:rsidRPr="00B62DBB">
        <w:t xml:space="preserve">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firstRow="1" w:lastRow="0" w:firstColumn="1" w:lastColumn="0" w:noHBand="0" w:noVBand="1"/>
      </w:tblPr>
      <w:tblGrid>
        <w:gridCol w:w="1812"/>
        <w:gridCol w:w="3235"/>
        <w:gridCol w:w="1935"/>
        <w:gridCol w:w="954"/>
      </w:tblGrid>
      <w:tr w:rsidR="00552ED0" w:rsidRPr="00B62DBB" w14:paraId="2C9BB97F" w14:textId="77777777" w:rsidTr="007F1B6A">
        <w:trPr>
          <w:trHeight w:val="441"/>
          <w:tblHeader/>
          <w:tblCellSpacing w:w="15" w:type="dxa"/>
        </w:trPr>
        <w:tc>
          <w:tcPr>
            <w:tcW w:w="0" w:type="auto"/>
            <w:vAlign w:val="center"/>
            <w:hideMark/>
          </w:tcPr>
          <w:p w14:paraId="40370A9B"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420CECE4" wp14:editId="04E8C7B7">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1A75" id="Straight Connector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mc:Fallback>
              </mc:AlternateContent>
            </w:r>
            <w:r w:rsidR="00552ED0" w:rsidRPr="00B62DBB">
              <w:rPr>
                <w:rFonts w:ascii="Times New Roman" w:hAnsi="Times New Roman" w:cs="Times New Roman"/>
                <w:bCs/>
                <w:sz w:val="24"/>
                <w:szCs w:val="24"/>
              </w:rPr>
              <w:t>Extract Type</w:t>
            </w:r>
          </w:p>
        </w:tc>
        <w:tc>
          <w:tcPr>
            <w:tcW w:w="0" w:type="auto"/>
            <w:vAlign w:val="center"/>
            <w:hideMark/>
          </w:tcPr>
          <w:p w14:paraId="1A9EAA03"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53ECF66D"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14:paraId="44B69C6C"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14:paraId="17F7F714" w14:textId="77777777" w:rsidTr="007F1B6A">
        <w:trPr>
          <w:trHeight w:val="441"/>
          <w:tblCellSpacing w:w="15" w:type="dxa"/>
        </w:trPr>
        <w:tc>
          <w:tcPr>
            <w:tcW w:w="0" w:type="auto"/>
            <w:vAlign w:val="center"/>
            <w:hideMark/>
          </w:tcPr>
          <w:p w14:paraId="6D2803F1"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14:paraId="332C275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3FEE18E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14:paraId="2C3F6AF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14:paraId="167F1BFF" w14:textId="77777777" w:rsidTr="007F1B6A">
        <w:trPr>
          <w:trHeight w:val="441"/>
          <w:tblCellSpacing w:w="15" w:type="dxa"/>
        </w:trPr>
        <w:tc>
          <w:tcPr>
            <w:tcW w:w="0" w:type="auto"/>
            <w:vAlign w:val="center"/>
            <w:hideMark/>
          </w:tcPr>
          <w:p w14:paraId="1ECE703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0B3BF6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AC3A37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14:paraId="7E62270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14:paraId="3D121623" w14:textId="77777777" w:rsidTr="007F1B6A">
        <w:trPr>
          <w:trHeight w:val="441"/>
          <w:tblCellSpacing w:w="15" w:type="dxa"/>
        </w:trPr>
        <w:tc>
          <w:tcPr>
            <w:tcW w:w="0" w:type="auto"/>
            <w:vAlign w:val="center"/>
            <w:hideMark/>
          </w:tcPr>
          <w:p w14:paraId="2561B5D1"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088E4E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EC21A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14:paraId="477DB83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14:paraId="783D34CE" w14:textId="77777777" w:rsidTr="007F1B6A">
        <w:trPr>
          <w:trHeight w:val="441"/>
          <w:tblCellSpacing w:w="15" w:type="dxa"/>
        </w:trPr>
        <w:tc>
          <w:tcPr>
            <w:tcW w:w="0" w:type="auto"/>
            <w:vAlign w:val="center"/>
            <w:hideMark/>
          </w:tcPr>
          <w:p w14:paraId="79E820F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5945A54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5FE2973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14:paraId="12D1086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14:paraId="45D75B04" w14:textId="77777777" w:rsidTr="007F1B6A">
        <w:trPr>
          <w:trHeight w:val="441"/>
          <w:tblCellSpacing w:w="15" w:type="dxa"/>
        </w:trPr>
        <w:tc>
          <w:tcPr>
            <w:tcW w:w="0" w:type="auto"/>
            <w:vAlign w:val="center"/>
            <w:hideMark/>
          </w:tcPr>
          <w:p w14:paraId="5F1FC2A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07BC8F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07D9004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2AEC49C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14:paraId="2C11822F" w14:textId="77777777" w:rsidTr="007F1B6A">
        <w:trPr>
          <w:trHeight w:val="441"/>
          <w:tblCellSpacing w:w="15" w:type="dxa"/>
        </w:trPr>
        <w:tc>
          <w:tcPr>
            <w:tcW w:w="0" w:type="auto"/>
            <w:vAlign w:val="center"/>
            <w:hideMark/>
          </w:tcPr>
          <w:p w14:paraId="71CB8EBA"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14:paraId="292F737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1C6CE29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14:paraId="183E60B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14:paraId="58D91237" w14:textId="77777777" w:rsidTr="007F1B6A">
        <w:trPr>
          <w:trHeight w:val="441"/>
          <w:tblCellSpacing w:w="15" w:type="dxa"/>
        </w:trPr>
        <w:tc>
          <w:tcPr>
            <w:tcW w:w="0" w:type="auto"/>
            <w:vAlign w:val="center"/>
            <w:hideMark/>
          </w:tcPr>
          <w:p w14:paraId="36BC0AE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6FB4B3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518123C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14:paraId="6247000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14:paraId="51A41A00" w14:textId="77777777" w:rsidTr="007F1B6A">
        <w:trPr>
          <w:trHeight w:val="441"/>
          <w:tblCellSpacing w:w="15" w:type="dxa"/>
        </w:trPr>
        <w:tc>
          <w:tcPr>
            <w:tcW w:w="0" w:type="auto"/>
            <w:vAlign w:val="center"/>
            <w:hideMark/>
          </w:tcPr>
          <w:p w14:paraId="1A9CA39F"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63DC3D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A8F922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14:paraId="40E5F99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14:paraId="1CCF33B4" w14:textId="77777777" w:rsidTr="007F1B6A">
        <w:trPr>
          <w:trHeight w:val="441"/>
          <w:tblCellSpacing w:w="15" w:type="dxa"/>
        </w:trPr>
        <w:tc>
          <w:tcPr>
            <w:tcW w:w="0" w:type="auto"/>
            <w:vAlign w:val="center"/>
            <w:hideMark/>
          </w:tcPr>
          <w:p w14:paraId="1F86422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CA579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33177C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4BCD44A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14:paraId="08DA49B4" w14:textId="77777777" w:rsidTr="007F1B6A">
        <w:trPr>
          <w:trHeight w:val="441"/>
          <w:tblCellSpacing w:w="15" w:type="dxa"/>
        </w:trPr>
        <w:tc>
          <w:tcPr>
            <w:tcW w:w="0" w:type="auto"/>
            <w:vAlign w:val="center"/>
            <w:hideMark/>
          </w:tcPr>
          <w:p w14:paraId="53FF37F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113B63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6C41EC2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14:paraId="380DEA1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14:paraId="40E762E8" w14:textId="77777777" w:rsidTr="007F1B6A">
        <w:trPr>
          <w:trHeight w:val="441"/>
          <w:tblCellSpacing w:w="15" w:type="dxa"/>
        </w:trPr>
        <w:tc>
          <w:tcPr>
            <w:tcW w:w="0" w:type="auto"/>
            <w:vAlign w:val="center"/>
            <w:hideMark/>
          </w:tcPr>
          <w:p w14:paraId="394A2D99"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14:paraId="6DC40AB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14DB066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14:paraId="3191C96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14:paraId="3210D6D9" w14:textId="77777777" w:rsidTr="007F1B6A">
        <w:trPr>
          <w:trHeight w:val="441"/>
          <w:tblCellSpacing w:w="15" w:type="dxa"/>
        </w:trPr>
        <w:tc>
          <w:tcPr>
            <w:tcW w:w="0" w:type="auto"/>
            <w:vAlign w:val="center"/>
            <w:hideMark/>
          </w:tcPr>
          <w:p w14:paraId="07CA41D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54D7E1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8EC460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14:paraId="5B4646A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14:paraId="2575B9C6" w14:textId="77777777" w:rsidTr="007F1B6A">
        <w:trPr>
          <w:trHeight w:val="441"/>
          <w:tblCellSpacing w:w="15" w:type="dxa"/>
        </w:trPr>
        <w:tc>
          <w:tcPr>
            <w:tcW w:w="0" w:type="auto"/>
            <w:vAlign w:val="center"/>
            <w:hideMark/>
          </w:tcPr>
          <w:p w14:paraId="4B0F116E"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C1C97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FEF005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14:paraId="5EEC2C8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14:paraId="531FA559" w14:textId="77777777" w:rsidTr="007F1B6A">
        <w:trPr>
          <w:trHeight w:val="441"/>
          <w:tblCellSpacing w:w="15" w:type="dxa"/>
        </w:trPr>
        <w:tc>
          <w:tcPr>
            <w:tcW w:w="0" w:type="auto"/>
            <w:vAlign w:val="center"/>
            <w:hideMark/>
          </w:tcPr>
          <w:p w14:paraId="30649C46"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ECBFDE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2D7490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14:paraId="681A46E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14:paraId="150349CF" w14:textId="77777777" w:rsidTr="007F1B6A">
        <w:trPr>
          <w:trHeight w:val="441"/>
          <w:tblCellSpacing w:w="15" w:type="dxa"/>
        </w:trPr>
        <w:tc>
          <w:tcPr>
            <w:tcW w:w="0" w:type="auto"/>
            <w:vAlign w:val="center"/>
            <w:hideMark/>
          </w:tcPr>
          <w:p w14:paraId="00172A7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3C4D69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016A5ED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14:paraId="68C6284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14:paraId="3A33513B"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6368" behindDoc="0" locked="0" layoutInCell="1" allowOverlap="1" wp14:anchorId="714265A2" wp14:editId="1B41F3DC">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5AF0" id="Straight Connector 31"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mc:Fallback>
        </mc:AlternateContent>
      </w:r>
    </w:p>
    <w:p w14:paraId="5DC025C4" w14:textId="77777777" w:rsidR="007F1B6A" w:rsidRDefault="007F1B6A" w:rsidP="00B62DBB">
      <w:pPr>
        <w:pStyle w:val="NormalWeb"/>
        <w:spacing w:line="480" w:lineRule="auto"/>
        <w:jc w:val="both"/>
        <w:rPr>
          <w:rStyle w:val="Strong"/>
          <w:b w:val="0"/>
        </w:rPr>
      </w:pPr>
    </w:p>
    <w:p w14:paraId="2F75A82C" w14:textId="77777777" w:rsidR="00001C3B" w:rsidRPr="00B62DBB" w:rsidRDefault="00001C3B" w:rsidP="00B62DBB">
      <w:pPr>
        <w:pStyle w:val="NormalWeb"/>
        <w:spacing w:line="480" w:lineRule="auto"/>
        <w:jc w:val="both"/>
        <w:rPr>
          <w:rStyle w:val="Strong"/>
          <w:b w:val="0"/>
        </w:rPr>
      </w:pPr>
    </w:p>
    <w:p w14:paraId="4FC15CE7" w14:textId="77777777" w:rsidR="007F1B6A" w:rsidRPr="00B62DBB" w:rsidRDefault="007F1B6A" w:rsidP="00B62DBB">
      <w:pPr>
        <w:pStyle w:val="NormalWeb"/>
        <w:spacing w:line="480" w:lineRule="auto"/>
        <w:jc w:val="both"/>
        <w:rPr>
          <w:rStyle w:val="Strong"/>
          <w:b w:val="0"/>
        </w:rPr>
      </w:pPr>
    </w:p>
    <w:p w14:paraId="4815D73E" w14:textId="77777777" w:rsidR="006971C5" w:rsidRDefault="006971C5" w:rsidP="006971C5">
      <w:pPr>
        <w:pStyle w:val="NormalWeb"/>
        <w:spacing w:line="480" w:lineRule="auto"/>
        <w:jc w:val="both"/>
        <w:rPr>
          <w:rStyle w:val="Strong"/>
          <w:b w:val="0"/>
        </w:rPr>
      </w:pPr>
    </w:p>
    <w:p w14:paraId="08EF50C0"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8416" behindDoc="0" locked="0" layoutInCell="1" allowOverlap="1" wp14:anchorId="4C350A13" wp14:editId="29D05BDC">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A924" id="Straight Connector 32" o:spid="_x0000_s1026" style="position:absolute;z-index:251708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mc:Fallback>
        </mc:AlternateConten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firstRow="1" w:lastRow="0" w:firstColumn="1" w:lastColumn="0" w:noHBand="0" w:noVBand="1"/>
      </w:tblPr>
      <w:tblGrid>
        <w:gridCol w:w="1747"/>
        <w:gridCol w:w="1866"/>
        <w:gridCol w:w="1910"/>
        <w:gridCol w:w="2033"/>
      </w:tblGrid>
      <w:tr w:rsidR="00552ED0" w:rsidRPr="00B62DBB" w14:paraId="2044A367" w14:textId="77777777" w:rsidTr="007F1B6A">
        <w:trPr>
          <w:trHeight w:val="433"/>
          <w:tblHeader/>
          <w:tblCellSpacing w:w="15" w:type="dxa"/>
        </w:trPr>
        <w:tc>
          <w:tcPr>
            <w:tcW w:w="0" w:type="auto"/>
            <w:vAlign w:val="center"/>
            <w:hideMark/>
          </w:tcPr>
          <w:p w14:paraId="5FF98674"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14:paraId="02A7EC88"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3960E269" wp14:editId="54DAA7AA">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DBAF" id="Straight Connector 3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mc:Fallback>
              </mc:AlternateContent>
            </w:r>
            <w:r w:rsidR="00552ED0" w:rsidRPr="00B62DBB">
              <w:rPr>
                <w:rFonts w:ascii="Times New Roman" w:hAnsi="Times New Roman" w:cs="Times New Roman"/>
                <w:bCs/>
                <w:sz w:val="24"/>
                <w:szCs w:val="24"/>
              </w:rPr>
              <w:t>Organism</w:t>
            </w:r>
          </w:p>
        </w:tc>
        <w:tc>
          <w:tcPr>
            <w:tcW w:w="0" w:type="auto"/>
            <w:vAlign w:val="center"/>
            <w:hideMark/>
          </w:tcPr>
          <w:p w14:paraId="7F29CF74"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0208A23D"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14:paraId="07D0A2F0" w14:textId="77777777" w:rsidTr="007F1B6A">
        <w:trPr>
          <w:trHeight w:val="433"/>
          <w:tblCellSpacing w:w="15" w:type="dxa"/>
        </w:trPr>
        <w:tc>
          <w:tcPr>
            <w:tcW w:w="0" w:type="auto"/>
            <w:vAlign w:val="center"/>
            <w:hideMark/>
          </w:tcPr>
          <w:p w14:paraId="043D6477"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14:paraId="4243DCA2"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4073FD8E"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CD30E19"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6A816475" w14:textId="77777777" w:rsidTr="007F1B6A">
        <w:trPr>
          <w:trHeight w:val="433"/>
          <w:tblCellSpacing w:w="15" w:type="dxa"/>
        </w:trPr>
        <w:tc>
          <w:tcPr>
            <w:tcW w:w="0" w:type="auto"/>
            <w:vAlign w:val="center"/>
            <w:hideMark/>
          </w:tcPr>
          <w:p w14:paraId="6A077A1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BE3F1A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32BAE5C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70D765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390538DD" w14:textId="77777777" w:rsidTr="007F1B6A">
        <w:trPr>
          <w:trHeight w:val="433"/>
          <w:tblCellSpacing w:w="15" w:type="dxa"/>
        </w:trPr>
        <w:tc>
          <w:tcPr>
            <w:tcW w:w="0" w:type="auto"/>
            <w:vAlign w:val="center"/>
            <w:hideMark/>
          </w:tcPr>
          <w:p w14:paraId="00F7C495"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Ethanolic</w:t>
            </w:r>
            <w:proofErr w:type="spellEnd"/>
          </w:p>
        </w:tc>
        <w:tc>
          <w:tcPr>
            <w:tcW w:w="0" w:type="auto"/>
            <w:vAlign w:val="center"/>
            <w:hideMark/>
          </w:tcPr>
          <w:p w14:paraId="3C3D4712"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15DC473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EA41D4F"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17A7379B" w14:textId="77777777" w:rsidTr="007F1B6A">
        <w:trPr>
          <w:trHeight w:val="433"/>
          <w:tblCellSpacing w:w="15" w:type="dxa"/>
        </w:trPr>
        <w:tc>
          <w:tcPr>
            <w:tcW w:w="0" w:type="auto"/>
            <w:vAlign w:val="center"/>
            <w:hideMark/>
          </w:tcPr>
          <w:p w14:paraId="186355F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5E5E336"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4F4A5978"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2573C0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2B2898C1" w14:textId="77777777" w:rsidTr="007F1B6A">
        <w:trPr>
          <w:trHeight w:val="433"/>
          <w:tblCellSpacing w:w="15" w:type="dxa"/>
        </w:trPr>
        <w:tc>
          <w:tcPr>
            <w:tcW w:w="0" w:type="auto"/>
            <w:vAlign w:val="center"/>
            <w:hideMark/>
          </w:tcPr>
          <w:p w14:paraId="050D0569"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Methanolic</w:t>
            </w:r>
            <w:proofErr w:type="spellEnd"/>
          </w:p>
        </w:tc>
        <w:tc>
          <w:tcPr>
            <w:tcW w:w="0" w:type="auto"/>
            <w:vAlign w:val="center"/>
            <w:hideMark/>
          </w:tcPr>
          <w:p w14:paraId="5F95474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7CDCB9E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AD57CF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2A01746E" w14:textId="77777777" w:rsidTr="007F1B6A">
        <w:trPr>
          <w:trHeight w:val="433"/>
          <w:tblCellSpacing w:w="15" w:type="dxa"/>
        </w:trPr>
        <w:tc>
          <w:tcPr>
            <w:tcW w:w="0" w:type="auto"/>
            <w:vAlign w:val="center"/>
            <w:hideMark/>
          </w:tcPr>
          <w:p w14:paraId="4F78E95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6C9CCEE0"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635F1692" wp14:editId="51F1DBDE">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CA81F" id="Straight Connector 34"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mc:Fallback>
              </mc:AlternateContent>
            </w:r>
            <w:r w:rsidR="00552ED0" w:rsidRPr="00B62DBB">
              <w:rPr>
                <w:rStyle w:val="Emphasis"/>
                <w:rFonts w:ascii="Times New Roman" w:hAnsi="Times New Roman" w:cs="Times New Roman"/>
                <w:sz w:val="24"/>
                <w:szCs w:val="24"/>
              </w:rPr>
              <w:t>E. coli</w:t>
            </w:r>
          </w:p>
        </w:tc>
        <w:tc>
          <w:tcPr>
            <w:tcW w:w="0" w:type="auto"/>
            <w:vAlign w:val="center"/>
            <w:hideMark/>
          </w:tcPr>
          <w:p w14:paraId="56B9558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F12A99B"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14DC60A1" w14:textId="77777777" w:rsidR="00001C3B" w:rsidRDefault="00001C3B" w:rsidP="00001C3B">
      <w:pPr>
        <w:pStyle w:val="Heading1"/>
        <w:jc w:val="center"/>
        <w:rPr>
          <w:rFonts w:asciiTheme="majorBidi" w:eastAsia="Calibri" w:hAnsiTheme="majorBidi"/>
          <w:b/>
          <w:bCs/>
          <w:color w:val="auto"/>
          <w:sz w:val="28"/>
          <w:szCs w:val="28"/>
        </w:rPr>
      </w:pPr>
    </w:p>
    <w:p w14:paraId="6573AA99" w14:textId="77777777" w:rsidR="00001C3B" w:rsidRDefault="00001C3B" w:rsidP="00001C3B">
      <w:pPr>
        <w:pStyle w:val="Heading1"/>
        <w:jc w:val="center"/>
        <w:rPr>
          <w:rFonts w:asciiTheme="majorBidi" w:eastAsia="Calibri" w:hAnsiTheme="majorBidi"/>
          <w:b/>
          <w:bCs/>
          <w:color w:val="auto"/>
          <w:sz w:val="28"/>
          <w:szCs w:val="28"/>
        </w:rPr>
      </w:pPr>
    </w:p>
    <w:p w14:paraId="21648C92" w14:textId="77777777" w:rsidR="00001C3B" w:rsidRDefault="00001C3B" w:rsidP="00001C3B">
      <w:pPr>
        <w:pStyle w:val="Heading1"/>
        <w:jc w:val="center"/>
        <w:rPr>
          <w:rFonts w:asciiTheme="majorBidi" w:eastAsia="Calibri" w:hAnsiTheme="majorBidi"/>
          <w:b/>
          <w:bCs/>
          <w:color w:val="auto"/>
          <w:sz w:val="28"/>
          <w:szCs w:val="28"/>
        </w:rPr>
      </w:pPr>
    </w:p>
    <w:p w14:paraId="2971807A" w14:textId="77777777" w:rsidR="00001C3B" w:rsidRDefault="00001C3B" w:rsidP="00001C3B">
      <w:pPr>
        <w:pStyle w:val="Heading1"/>
        <w:jc w:val="center"/>
        <w:rPr>
          <w:rFonts w:asciiTheme="majorBidi" w:eastAsia="Calibri" w:hAnsiTheme="majorBidi"/>
          <w:b/>
          <w:bCs/>
          <w:color w:val="auto"/>
          <w:sz w:val="28"/>
          <w:szCs w:val="28"/>
        </w:rPr>
      </w:pPr>
    </w:p>
    <w:p w14:paraId="025A8E15" w14:textId="77777777" w:rsidR="00001C3B" w:rsidRDefault="00001C3B" w:rsidP="00001C3B">
      <w:pPr>
        <w:pStyle w:val="Heading1"/>
        <w:jc w:val="center"/>
        <w:rPr>
          <w:rFonts w:asciiTheme="majorBidi" w:eastAsia="Calibri" w:hAnsiTheme="majorBidi"/>
          <w:b/>
          <w:bCs/>
          <w:color w:val="auto"/>
          <w:sz w:val="28"/>
          <w:szCs w:val="28"/>
        </w:rPr>
      </w:pPr>
    </w:p>
    <w:p w14:paraId="67097339" w14:textId="77777777" w:rsidR="00001C3B" w:rsidRDefault="00001C3B" w:rsidP="00001C3B">
      <w:pPr>
        <w:pStyle w:val="Heading1"/>
        <w:jc w:val="center"/>
        <w:rPr>
          <w:rFonts w:asciiTheme="majorBidi" w:eastAsia="Calibri" w:hAnsiTheme="majorBidi"/>
          <w:b/>
          <w:bCs/>
          <w:color w:val="auto"/>
          <w:sz w:val="28"/>
          <w:szCs w:val="28"/>
        </w:rPr>
      </w:pPr>
    </w:p>
    <w:p w14:paraId="7096495E" w14:textId="77777777" w:rsidR="00001C3B" w:rsidRDefault="00001C3B" w:rsidP="00001C3B">
      <w:pPr>
        <w:pStyle w:val="Heading1"/>
        <w:jc w:val="center"/>
        <w:rPr>
          <w:rFonts w:asciiTheme="majorBidi" w:eastAsia="Calibri" w:hAnsiTheme="majorBidi"/>
          <w:b/>
          <w:bCs/>
          <w:color w:val="auto"/>
          <w:sz w:val="28"/>
          <w:szCs w:val="28"/>
        </w:rPr>
      </w:pPr>
    </w:p>
    <w:p w14:paraId="50898F10" w14:textId="77777777" w:rsidR="00001C3B" w:rsidRDefault="00001C3B" w:rsidP="00001C3B">
      <w:pPr>
        <w:pStyle w:val="Heading1"/>
        <w:jc w:val="center"/>
        <w:rPr>
          <w:rFonts w:asciiTheme="majorBidi" w:eastAsia="Calibri" w:hAnsiTheme="majorBidi"/>
          <w:b/>
          <w:bCs/>
          <w:color w:val="auto"/>
          <w:sz w:val="28"/>
          <w:szCs w:val="28"/>
        </w:rPr>
      </w:pPr>
    </w:p>
    <w:p w14:paraId="484232A7" w14:textId="77777777" w:rsidR="00001C3B" w:rsidRDefault="00001C3B" w:rsidP="00B56205">
      <w:pPr>
        <w:pStyle w:val="Heading1"/>
        <w:rPr>
          <w:rFonts w:asciiTheme="majorBidi" w:eastAsia="Calibri" w:hAnsiTheme="majorBidi"/>
          <w:b/>
          <w:bCs/>
          <w:color w:val="auto"/>
          <w:sz w:val="28"/>
          <w:szCs w:val="28"/>
        </w:rPr>
      </w:pPr>
    </w:p>
    <w:p w14:paraId="2E9E0257" w14:textId="77777777" w:rsidR="00B56205" w:rsidRDefault="00B56205" w:rsidP="00B56205"/>
    <w:p w14:paraId="7ECC9CFE" w14:textId="77777777" w:rsidR="006971C5" w:rsidRDefault="006971C5" w:rsidP="00B56205"/>
    <w:p w14:paraId="0AAFB0DE" w14:textId="77777777" w:rsidR="00B56205" w:rsidRPr="00B56205" w:rsidRDefault="00B56205" w:rsidP="00B56205"/>
    <w:p w14:paraId="1120DA0A" w14:textId="77777777" w:rsidR="00001C3B" w:rsidRPr="000205A5" w:rsidRDefault="00001C3B" w:rsidP="00001C3B">
      <w:pPr>
        <w:pStyle w:val="Heading1"/>
        <w:jc w:val="center"/>
        <w:rPr>
          <w:rFonts w:asciiTheme="majorBidi" w:eastAsia="Calibri" w:hAnsiTheme="majorBidi"/>
          <w:b/>
          <w:bCs/>
          <w:color w:val="auto"/>
          <w:sz w:val="28"/>
          <w:szCs w:val="28"/>
        </w:rPr>
      </w:pPr>
      <w:bookmarkStart w:id="71" w:name="_Toc202853943"/>
      <w:r w:rsidRPr="000205A5">
        <w:rPr>
          <w:rFonts w:asciiTheme="majorBidi" w:eastAsia="Calibri" w:hAnsiTheme="majorBidi"/>
          <w:b/>
          <w:bCs/>
          <w:color w:val="auto"/>
          <w:sz w:val="28"/>
          <w:szCs w:val="28"/>
        </w:rPr>
        <w:t>CHAPTER FIVE</w:t>
      </w:r>
      <w:bookmarkEnd w:id="71"/>
    </w:p>
    <w:p w14:paraId="34597D9C" w14:textId="77777777" w:rsidR="00001C3B" w:rsidRPr="00272C19" w:rsidRDefault="00001C3B" w:rsidP="00001C3B">
      <w:pPr>
        <w:rPr>
          <w:lang w:eastAsia="zh-CN"/>
        </w:rPr>
      </w:pPr>
    </w:p>
    <w:p w14:paraId="6834AA8D" w14:textId="77777777" w:rsidR="00001C3B" w:rsidRPr="000205A5" w:rsidRDefault="00001C3B" w:rsidP="00001C3B">
      <w:pPr>
        <w:pStyle w:val="Heading2"/>
        <w:rPr>
          <w:rFonts w:asciiTheme="majorBidi" w:hAnsiTheme="majorBidi"/>
          <w:b w:val="0"/>
          <w:bCs w:val="0"/>
          <w:sz w:val="24"/>
          <w:szCs w:val="24"/>
        </w:rPr>
      </w:pPr>
      <w:bookmarkStart w:id="72" w:name="_Toc202853944"/>
      <w:r w:rsidRPr="000205A5">
        <w:rPr>
          <w:rFonts w:asciiTheme="majorBidi" w:hAnsiTheme="majorBidi"/>
          <w:sz w:val="24"/>
          <w:szCs w:val="24"/>
        </w:rPr>
        <w:t>5.0 Discussion</w:t>
      </w:r>
      <w:bookmarkEnd w:id="72"/>
    </w:p>
    <w:p w14:paraId="477FDE1B"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demonstrated superior antibacterial activity, as evident from their broader zones of inhibition and comparable MIC/MBC values. This variation in extract potency can largely be attributed to the differential solubility of </w:t>
      </w:r>
      <w:proofErr w:type="spellStart"/>
      <w:r w:rsidRPr="00B62DBB">
        <w:rPr>
          <w:rFonts w:ascii="Times New Roman" w:eastAsia="Times New Roman" w:hAnsi="Times New Roman" w:cs="Times New Roman"/>
          <w:sz w:val="24"/>
          <w:szCs w:val="24"/>
        </w:rPr>
        <w:t>phytoconstituents</w:t>
      </w:r>
      <w:proofErr w:type="spellEnd"/>
      <w:r w:rsidRPr="00B62DBB">
        <w:rPr>
          <w:rFonts w:ascii="Times New Roman" w:eastAsia="Times New Roman" w:hAnsi="Times New Roman" w:cs="Times New Roman"/>
          <w:sz w:val="24"/>
          <w:szCs w:val="24"/>
        </w:rPr>
        <w:t xml:space="preserve"> in each solvent.</w:t>
      </w:r>
    </w:p>
    <w:p w14:paraId="0F788774"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can be explained by their ability to extract a broader range of bioactive compounds, including both polar and moderately non-polar molecules such as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 flavonoids, tannins, and </w:t>
      </w:r>
      <w:proofErr w:type="spellStart"/>
      <w:r w:rsidRPr="00B62DBB">
        <w:rPr>
          <w:rFonts w:ascii="Times New Roman" w:eastAsia="Times New Roman" w:hAnsi="Times New Roman" w:cs="Times New Roman"/>
          <w:sz w:val="24"/>
          <w:szCs w:val="24"/>
        </w:rPr>
        <w:t>saponins</w:t>
      </w:r>
      <w:proofErr w:type="spellEnd"/>
      <w:r w:rsidRPr="00B62DBB">
        <w:rPr>
          <w:rFonts w:ascii="Times New Roman" w:eastAsia="Times New Roman" w:hAnsi="Times New Roman" w:cs="Times New Roman"/>
          <w:sz w:val="24"/>
          <w:szCs w:val="24"/>
        </w:rPr>
        <w:t xml:space="preserve">. These compounds are known to disrupt bacterial membranes, denature proteins, interfere with nucleic acid synthesis, and ultimately lead to cell death (Burt, 2004; </w:t>
      </w:r>
      <w:proofErr w:type="spellStart"/>
      <w:r w:rsidRPr="00B62DBB">
        <w:rPr>
          <w:rFonts w:ascii="Times New Roman" w:eastAsia="Times New Roman" w:hAnsi="Times New Roman" w:cs="Times New Roman"/>
          <w:sz w:val="24"/>
          <w:szCs w:val="24"/>
        </w:rPr>
        <w:t>Marchese</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14:paraId="1DF13839"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14:paraId="4A069655"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14:paraId="79C21A7C"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as an antimicrobial agent.</w:t>
      </w:r>
    </w:p>
    <w:p w14:paraId="267EFE8F"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14:paraId="70F882FF"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14:paraId="08C662AE" w14:textId="77777777"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being more potent than the aqueous extract. These results suggest that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14:paraId="3DC47238" w14:textId="77777777" w:rsidR="00F04E43" w:rsidRDefault="00F04E43" w:rsidP="00001C3B">
      <w:pPr>
        <w:pStyle w:val="Heading2"/>
        <w:rPr>
          <w:rFonts w:asciiTheme="majorBidi" w:hAnsiTheme="majorBidi"/>
          <w:sz w:val="24"/>
          <w:szCs w:val="24"/>
        </w:rPr>
      </w:pPr>
    </w:p>
    <w:p w14:paraId="345EB359" w14:textId="77777777" w:rsidR="00F04E43" w:rsidRDefault="00F04E43" w:rsidP="00001C3B">
      <w:pPr>
        <w:pStyle w:val="Heading2"/>
        <w:rPr>
          <w:rFonts w:asciiTheme="majorBidi" w:hAnsiTheme="majorBidi"/>
          <w:sz w:val="24"/>
          <w:szCs w:val="24"/>
        </w:rPr>
      </w:pPr>
    </w:p>
    <w:p w14:paraId="3013317A" w14:textId="77777777" w:rsidR="00F04E43" w:rsidRDefault="00F04E43" w:rsidP="00001C3B">
      <w:pPr>
        <w:pStyle w:val="Heading2"/>
        <w:rPr>
          <w:rFonts w:asciiTheme="majorBidi" w:hAnsiTheme="majorBidi"/>
          <w:sz w:val="24"/>
          <w:szCs w:val="24"/>
        </w:rPr>
      </w:pPr>
    </w:p>
    <w:p w14:paraId="6B5DEE7C" w14:textId="77777777" w:rsidR="00F04E43" w:rsidRDefault="00F04E43" w:rsidP="00001C3B">
      <w:pPr>
        <w:pStyle w:val="Heading2"/>
        <w:rPr>
          <w:rFonts w:asciiTheme="majorBidi" w:hAnsiTheme="majorBidi"/>
          <w:sz w:val="24"/>
          <w:szCs w:val="24"/>
        </w:rPr>
      </w:pPr>
    </w:p>
    <w:p w14:paraId="0D92EABC" w14:textId="77777777" w:rsidR="00F04E43" w:rsidRDefault="00F04E43" w:rsidP="00001C3B">
      <w:pPr>
        <w:pStyle w:val="Heading2"/>
        <w:rPr>
          <w:rFonts w:asciiTheme="majorBidi" w:hAnsiTheme="majorBidi"/>
          <w:sz w:val="24"/>
          <w:szCs w:val="24"/>
        </w:rPr>
      </w:pPr>
    </w:p>
    <w:p w14:paraId="5843E01F" w14:textId="77777777" w:rsidR="00F04E43" w:rsidRDefault="00F04E43" w:rsidP="00001C3B">
      <w:pPr>
        <w:pStyle w:val="Heading2"/>
        <w:rPr>
          <w:rFonts w:asciiTheme="majorBidi" w:hAnsiTheme="majorBidi"/>
          <w:sz w:val="24"/>
          <w:szCs w:val="24"/>
        </w:rPr>
      </w:pPr>
    </w:p>
    <w:p w14:paraId="3EF9FD72" w14:textId="77777777" w:rsidR="00F04E43" w:rsidRDefault="00F04E43" w:rsidP="00001C3B">
      <w:pPr>
        <w:pStyle w:val="Heading2"/>
        <w:rPr>
          <w:rFonts w:asciiTheme="majorBidi" w:hAnsiTheme="majorBidi"/>
          <w:sz w:val="24"/>
          <w:szCs w:val="24"/>
        </w:rPr>
      </w:pPr>
    </w:p>
    <w:p w14:paraId="177CE5BE" w14:textId="77777777" w:rsidR="00F04E43" w:rsidRDefault="00F04E43" w:rsidP="00001C3B">
      <w:pPr>
        <w:pStyle w:val="Heading2"/>
        <w:rPr>
          <w:rFonts w:asciiTheme="majorBidi" w:hAnsiTheme="majorBidi"/>
          <w:sz w:val="24"/>
          <w:szCs w:val="24"/>
        </w:rPr>
      </w:pPr>
    </w:p>
    <w:p w14:paraId="2D867002" w14:textId="77777777" w:rsidR="00F04E43" w:rsidRDefault="00F04E43" w:rsidP="00001C3B">
      <w:pPr>
        <w:pStyle w:val="Heading2"/>
        <w:rPr>
          <w:rFonts w:asciiTheme="majorBidi" w:hAnsiTheme="majorBidi"/>
          <w:sz w:val="24"/>
          <w:szCs w:val="24"/>
        </w:rPr>
      </w:pPr>
    </w:p>
    <w:p w14:paraId="1983C93B" w14:textId="77777777" w:rsidR="00F04E43" w:rsidRDefault="00F04E43" w:rsidP="00001C3B">
      <w:pPr>
        <w:pStyle w:val="Heading2"/>
        <w:rPr>
          <w:rFonts w:asciiTheme="majorBidi" w:hAnsiTheme="majorBidi"/>
          <w:sz w:val="24"/>
          <w:szCs w:val="24"/>
        </w:rPr>
      </w:pPr>
    </w:p>
    <w:p w14:paraId="6FCBA15D" w14:textId="77777777" w:rsidR="00F04E43" w:rsidRDefault="00F04E43" w:rsidP="00001C3B">
      <w:pPr>
        <w:pStyle w:val="Heading2"/>
        <w:rPr>
          <w:rFonts w:asciiTheme="majorBidi" w:hAnsiTheme="majorBidi"/>
          <w:sz w:val="24"/>
          <w:szCs w:val="24"/>
        </w:rPr>
      </w:pPr>
    </w:p>
    <w:p w14:paraId="71FA712E" w14:textId="77777777" w:rsidR="006971C5" w:rsidRDefault="006971C5" w:rsidP="00001C3B">
      <w:pPr>
        <w:pStyle w:val="Heading2"/>
        <w:rPr>
          <w:rFonts w:asciiTheme="majorBidi" w:hAnsiTheme="majorBidi"/>
          <w:sz w:val="24"/>
          <w:szCs w:val="24"/>
        </w:rPr>
      </w:pPr>
    </w:p>
    <w:p w14:paraId="2FD4F06A" w14:textId="77777777" w:rsidR="006971C5" w:rsidRDefault="006971C5" w:rsidP="00001C3B">
      <w:pPr>
        <w:pStyle w:val="Heading2"/>
        <w:rPr>
          <w:rFonts w:asciiTheme="majorBidi" w:hAnsiTheme="majorBidi"/>
          <w:sz w:val="24"/>
          <w:szCs w:val="24"/>
        </w:rPr>
      </w:pPr>
    </w:p>
    <w:p w14:paraId="1717F258" w14:textId="77777777" w:rsidR="006971C5" w:rsidRDefault="006971C5" w:rsidP="00001C3B">
      <w:pPr>
        <w:pStyle w:val="Heading2"/>
        <w:rPr>
          <w:rFonts w:asciiTheme="majorBidi" w:hAnsiTheme="majorBidi"/>
          <w:sz w:val="24"/>
          <w:szCs w:val="24"/>
        </w:rPr>
      </w:pPr>
    </w:p>
    <w:p w14:paraId="0CB8D9A9" w14:textId="77777777" w:rsidR="006971C5" w:rsidRDefault="006971C5" w:rsidP="00001C3B">
      <w:pPr>
        <w:pStyle w:val="Heading2"/>
        <w:rPr>
          <w:rFonts w:asciiTheme="majorBidi" w:hAnsiTheme="majorBidi"/>
          <w:sz w:val="24"/>
          <w:szCs w:val="24"/>
        </w:rPr>
      </w:pPr>
    </w:p>
    <w:p w14:paraId="2A82EB02" w14:textId="77777777" w:rsidR="006971C5" w:rsidRDefault="006971C5" w:rsidP="00001C3B">
      <w:pPr>
        <w:pStyle w:val="Heading2"/>
        <w:rPr>
          <w:rFonts w:asciiTheme="majorBidi" w:hAnsiTheme="majorBidi"/>
          <w:sz w:val="24"/>
          <w:szCs w:val="24"/>
        </w:rPr>
      </w:pPr>
    </w:p>
    <w:p w14:paraId="7B7E718E" w14:textId="77777777" w:rsidR="00F04E43" w:rsidRDefault="00F04E43" w:rsidP="00001C3B">
      <w:pPr>
        <w:pStyle w:val="Heading2"/>
        <w:rPr>
          <w:rFonts w:asciiTheme="majorBidi" w:hAnsiTheme="majorBidi"/>
          <w:sz w:val="24"/>
          <w:szCs w:val="24"/>
        </w:rPr>
      </w:pPr>
    </w:p>
    <w:p w14:paraId="3CD75FE1" w14:textId="77777777" w:rsidR="00001C3B" w:rsidRPr="00001C3B" w:rsidRDefault="00001C3B" w:rsidP="00001C3B">
      <w:pPr>
        <w:pStyle w:val="Heading2"/>
        <w:rPr>
          <w:rFonts w:asciiTheme="majorBidi" w:hAnsiTheme="majorBidi"/>
          <w:b w:val="0"/>
          <w:bCs w:val="0"/>
          <w:sz w:val="24"/>
          <w:szCs w:val="24"/>
        </w:rPr>
      </w:pPr>
      <w:bookmarkStart w:id="73" w:name="_Toc202853945"/>
      <w:r w:rsidRPr="006714B6">
        <w:rPr>
          <w:rFonts w:asciiTheme="majorBidi" w:hAnsiTheme="majorBidi"/>
          <w:sz w:val="24"/>
          <w:szCs w:val="24"/>
        </w:rPr>
        <w:t>5.1 Conclusion</w:t>
      </w:r>
      <w:bookmarkEnd w:id="73"/>
    </w:p>
    <w:p w14:paraId="2D8607FE" w14:textId="77777777"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xml:space="preserve">.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consistently showed higher antibacterial efficacy compared to aqueous extracts, suggesting that organic solvents are more effective in extracting potent phytochemicals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09ED592B" w14:textId="77777777" w:rsidR="00F04E43" w:rsidRDefault="00F04E43" w:rsidP="00001C3B">
      <w:pPr>
        <w:pStyle w:val="Heading2"/>
        <w:rPr>
          <w:rFonts w:asciiTheme="majorBidi" w:hAnsiTheme="majorBidi"/>
          <w:sz w:val="24"/>
          <w:szCs w:val="24"/>
        </w:rPr>
      </w:pPr>
    </w:p>
    <w:p w14:paraId="71827B71" w14:textId="77777777" w:rsidR="00F04E43" w:rsidRDefault="00F04E43" w:rsidP="00001C3B">
      <w:pPr>
        <w:pStyle w:val="Heading2"/>
        <w:rPr>
          <w:rFonts w:asciiTheme="majorBidi" w:hAnsiTheme="majorBidi"/>
          <w:sz w:val="24"/>
          <w:szCs w:val="24"/>
        </w:rPr>
      </w:pPr>
    </w:p>
    <w:p w14:paraId="35C6A06D" w14:textId="77777777" w:rsidR="00F04E43" w:rsidRDefault="00F04E43" w:rsidP="00001C3B">
      <w:pPr>
        <w:pStyle w:val="Heading2"/>
        <w:rPr>
          <w:rFonts w:asciiTheme="majorBidi" w:hAnsiTheme="majorBidi"/>
          <w:sz w:val="24"/>
          <w:szCs w:val="24"/>
        </w:rPr>
      </w:pPr>
    </w:p>
    <w:p w14:paraId="20055189" w14:textId="77777777" w:rsidR="00F04E43" w:rsidRDefault="00F04E43" w:rsidP="00001C3B">
      <w:pPr>
        <w:pStyle w:val="Heading2"/>
        <w:rPr>
          <w:rFonts w:asciiTheme="majorBidi" w:hAnsiTheme="majorBidi"/>
          <w:sz w:val="24"/>
          <w:szCs w:val="24"/>
        </w:rPr>
      </w:pPr>
    </w:p>
    <w:p w14:paraId="0715C9BE" w14:textId="77777777" w:rsidR="00F04E43" w:rsidRDefault="00F04E43" w:rsidP="00001C3B">
      <w:pPr>
        <w:pStyle w:val="Heading2"/>
        <w:rPr>
          <w:rFonts w:asciiTheme="majorBidi" w:hAnsiTheme="majorBidi"/>
          <w:sz w:val="24"/>
          <w:szCs w:val="24"/>
        </w:rPr>
      </w:pPr>
    </w:p>
    <w:p w14:paraId="69E930BF" w14:textId="77777777" w:rsidR="00F04E43" w:rsidRDefault="00F04E43" w:rsidP="00001C3B">
      <w:pPr>
        <w:pStyle w:val="Heading2"/>
        <w:rPr>
          <w:rFonts w:asciiTheme="majorBidi" w:hAnsiTheme="majorBidi"/>
          <w:sz w:val="24"/>
          <w:szCs w:val="24"/>
        </w:rPr>
      </w:pPr>
    </w:p>
    <w:p w14:paraId="32000E77" w14:textId="77777777" w:rsidR="00F04E43" w:rsidRDefault="00F04E43" w:rsidP="00001C3B">
      <w:pPr>
        <w:pStyle w:val="Heading2"/>
        <w:rPr>
          <w:rFonts w:asciiTheme="majorBidi" w:hAnsiTheme="majorBidi"/>
          <w:sz w:val="24"/>
          <w:szCs w:val="24"/>
        </w:rPr>
      </w:pPr>
    </w:p>
    <w:p w14:paraId="4737C778" w14:textId="77777777" w:rsidR="00F04E43" w:rsidRDefault="00F04E43" w:rsidP="00001C3B">
      <w:pPr>
        <w:pStyle w:val="Heading2"/>
        <w:rPr>
          <w:rFonts w:asciiTheme="majorBidi" w:hAnsiTheme="majorBidi"/>
          <w:sz w:val="24"/>
          <w:szCs w:val="24"/>
        </w:rPr>
      </w:pPr>
    </w:p>
    <w:p w14:paraId="41EC1113" w14:textId="77777777" w:rsidR="00F04E43" w:rsidRDefault="00F04E43" w:rsidP="00001C3B">
      <w:pPr>
        <w:pStyle w:val="Heading2"/>
        <w:rPr>
          <w:rFonts w:asciiTheme="majorBidi" w:hAnsiTheme="majorBidi"/>
          <w:sz w:val="24"/>
          <w:szCs w:val="24"/>
        </w:rPr>
      </w:pPr>
    </w:p>
    <w:p w14:paraId="1857CE83" w14:textId="77777777" w:rsidR="00F04E43" w:rsidRDefault="00F04E43" w:rsidP="00001C3B">
      <w:pPr>
        <w:pStyle w:val="Heading2"/>
        <w:rPr>
          <w:rFonts w:asciiTheme="majorBidi" w:hAnsiTheme="majorBidi"/>
          <w:sz w:val="24"/>
          <w:szCs w:val="24"/>
        </w:rPr>
      </w:pPr>
    </w:p>
    <w:p w14:paraId="7B9A2B70" w14:textId="77777777" w:rsidR="00F04E43" w:rsidRDefault="00F04E43" w:rsidP="00001C3B">
      <w:pPr>
        <w:pStyle w:val="Heading2"/>
        <w:rPr>
          <w:rFonts w:asciiTheme="majorBidi" w:hAnsiTheme="majorBidi"/>
          <w:sz w:val="24"/>
          <w:szCs w:val="24"/>
        </w:rPr>
      </w:pPr>
    </w:p>
    <w:p w14:paraId="64815C33" w14:textId="77777777" w:rsidR="00F04E43" w:rsidRDefault="00F04E43" w:rsidP="00001C3B">
      <w:pPr>
        <w:pStyle w:val="Heading2"/>
        <w:rPr>
          <w:rFonts w:asciiTheme="majorBidi" w:hAnsiTheme="majorBidi"/>
          <w:sz w:val="24"/>
          <w:szCs w:val="24"/>
        </w:rPr>
      </w:pPr>
    </w:p>
    <w:p w14:paraId="51BAFBC0" w14:textId="77777777" w:rsidR="00F04E43" w:rsidRDefault="00F04E43" w:rsidP="00001C3B">
      <w:pPr>
        <w:pStyle w:val="Heading2"/>
        <w:rPr>
          <w:rFonts w:asciiTheme="majorBidi" w:hAnsiTheme="majorBidi"/>
          <w:sz w:val="24"/>
          <w:szCs w:val="24"/>
        </w:rPr>
      </w:pPr>
    </w:p>
    <w:p w14:paraId="0D58CBD2" w14:textId="77777777" w:rsidR="00F04E43" w:rsidRDefault="00F04E43" w:rsidP="00001C3B">
      <w:pPr>
        <w:pStyle w:val="Heading2"/>
        <w:rPr>
          <w:rFonts w:asciiTheme="majorBidi" w:hAnsiTheme="majorBidi"/>
          <w:sz w:val="24"/>
          <w:szCs w:val="24"/>
        </w:rPr>
      </w:pPr>
    </w:p>
    <w:p w14:paraId="228FED51" w14:textId="77777777" w:rsidR="00F04E43" w:rsidRDefault="00F04E43" w:rsidP="00001C3B">
      <w:pPr>
        <w:pStyle w:val="Heading2"/>
        <w:rPr>
          <w:rFonts w:asciiTheme="majorBidi" w:hAnsiTheme="majorBidi"/>
          <w:sz w:val="24"/>
          <w:szCs w:val="24"/>
        </w:rPr>
      </w:pPr>
    </w:p>
    <w:p w14:paraId="068FEE7B" w14:textId="77777777" w:rsidR="006971C5" w:rsidRDefault="006971C5" w:rsidP="00001C3B">
      <w:pPr>
        <w:pStyle w:val="Heading2"/>
        <w:rPr>
          <w:rFonts w:asciiTheme="majorBidi" w:hAnsiTheme="majorBidi"/>
          <w:sz w:val="24"/>
          <w:szCs w:val="24"/>
        </w:rPr>
      </w:pPr>
    </w:p>
    <w:p w14:paraId="5ABCA50C" w14:textId="77777777" w:rsidR="006971C5" w:rsidRDefault="006971C5" w:rsidP="00001C3B">
      <w:pPr>
        <w:pStyle w:val="Heading2"/>
        <w:rPr>
          <w:rFonts w:asciiTheme="majorBidi" w:hAnsiTheme="majorBidi"/>
          <w:sz w:val="24"/>
          <w:szCs w:val="24"/>
        </w:rPr>
      </w:pPr>
    </w:p>
    <w:p w14:paraId="12149853" w14:textId="77777777" w:rsidR="00001C3B" w:rsidRPr="006714B6" w:rsidRDefault="00001C3B" w:rsidP="00001C3B">
      <w:pPr>
        <w:pStyle w:val="Heading2"/>
        <w:rPr>
          <w:rFonts w:asciiTheme="majorBidi" w:hAnsiTheme="majorBidi"/>
          <w:b w:val="0"/>
          <w:bCs w:val="0"/>
          <w:sz w:val="24"/>
          <w:szCs w:val="24"/>
        </w:rPr>
      </w:pPr>
      <w:bookmarkStart w:id="74" w:name="_Toc202853946"/>
      <w:r w:rsidRPr="006714B6">
        <w:rPr>
          <w:rFonts w:asciiTheme="majorBidi" w:hAnsiTheme="majorBidi"/>
          <w:sz w:val="24"/>
          <w:szCs w:val="24"/>
        </w:rPr>
        <w:t>5.2 Recommendations</w:t>
      </w:r>
      <w:bookmarkEnd w:id="74"/>
    </w:p>
    <w:p w14:paraId="3B246F43" w14:textId="77777777"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7FCD1F46"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14:paraId="7B35BAA2" w14:textId="77777777"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all three extracts should be compared under standard pharmaceutical formulations (gel, ointment, etc.) to assess application potential.</w:t>
      </w:r>
    </w:p>
    <w:p w14:paraId="5745E2F1"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w:t>
      </w:r>
      <w:proofErr w:type="spellStart"/>
      <w:r w:rsidRPr="00B62DBB">
        <w:rPr>
          <w:rFonts w:ascii="Times New Roman" w:eastAsia="Times New Roman" w:hAnsi="Times New Roman" w:cs="Times New Roman"/>
          <w:sz w:val="24"/>
          <w:szCs w:val="24"/>
        </w:rPr>
        <w:t>carbapenem</w:t>
      </w:r>
      <w:proofErr w:type="spellEnd"/>
      <w:r w:rsidRPr="00B62DBB">
        <w:rPr>
          <w:rFonts w:ascii="Times New Roman" w:eastAsia="Times New Roman" w:hAnsi="Times New Roman" w:cs="Times New Roman"/>
          <w:sz w:val="24"/>
          <w:szCs w:val="24"/>
        </w:rPr>
        <w:t xml:space="preserve">-resistant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14:paraId="2F202EC3"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00AEC84F"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4C472D87"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1AA820A"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54B9172"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1F17BE1F"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CE580D4"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3B8C2F7D"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0C06AC99" w14:textId="77777777"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14:paraId="7718296B"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74F9E4C8"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31CAB0B0"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47E9164C" w14:textId="77777777" w:rsidR="006971C5" w:rsidRDefault="006971C5" w:rsidP="00CA7878">
      <w:pPr>
        <w:spacing w:line="480" w:lineRule="auto"/>
        <w:jc w:val="both"/>
      </w:pPr>
    </w:p>
    <w:p w14:paraId="54092A9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w:t>
      </w:r>
      <w:proofErr w:type="spellStart"/>
      <w:r w:rsidRPr="005F1DFA">
        <w:rPr>
          <w:rFonts w:ascii="Times New Roman" w:eastAsia="Times New Roman" w:hAnsi="Times New Roman" w:cs="Times New Roman"/>
          <w:sz w:val="24"/>
          <w:szCs w:val="24"/>
        </w:rPr>
        <w:t>aflatoxicosis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7EB3B98B" w14:textId="77777777" w:rsidR="006971C5" w:rsidRDefault="006971C5" w:rsidP="007E2F1E">
      <w:pPr>
        <w:pStyle w:val="NormalWeb"/>
        <w:ind w:left="720" w:hanging="720"/>
        <w:jc w:val="both"/>
      </w:pPr>
      <w:proofErr w:type="spellStart"/>
      <w:r>
        <w:t>Adeyemi</w:t>
      </w:r>
      <w:proofErr w:type="spellEnd"/>
      <w:r>
        <w:t xml:space="preserve">,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4FE20FC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Aguilar-González, A. E., Palou, E., &amp; </w:t>
      </w:r>
      <w:proofErr w:type="spellStart"/>
      <w:r w:rsidRPr="005F1DFA">
        <w:rPr>
          <w:rFonts w:ascii="Times New Roman" w:eastAsia="Times New Roman" w:hAnsi="Times New Roman" w:cs="Times New Roman"/>
          <w:sz w:val="24"/>
          <w:szCs w:val="24"/>
        </w:rPr>
        <w:t>López-Malo</w:t>
      </w:r>
      <w:proofErr w:type="spellEnd"/>
      <w:r w:rsidRPr="005F1DFA">
        <w:rPr>
          <w:rFonts w:ascii="Times New Roman" w:eastAsia="Times New Roman" w:hAnsi="Times New Roman" w:cs="Times New Roman"/>
          <w:sz w:val="24"/>
          <w:szCs w:val="24"/>
        </w:rPr>
        <w:t>,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2E83BF3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cinnamaldehyde</w:t>
      </w:r>
      <w:proofErr w:type="spellEnd"/>
      <w:r w:rsidRPr="005F1DFA">
        <w:rPr>
          <w:rFonts w:ascii="Times New Roman" w:eastAsia="Times New Roman" w:hAnsi="Times New Roman" w:cs="Times New Roman"/>
          <w:sz w:val="24"/>
          <w:szCs w:val="24"/>
        </w:rPr>
        <w:t xml:space="preserv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0F4BD29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6AD9A485" w14:textId="77777777"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3A8963B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43C38F24" w14:textId="77777777" w:rsidR="006971C5" w:rsidRDefault="006971C5" w:rsidP="007E2F1E">
      <w:pPr>
        <w:pStyle w:val="NormalWeb"/>
        <w:ind w:left="720" w:hanging="720"/>
        <w:jc w:val="both"/>
      </w:pPr>
      <w:r>
        <w:t xml:space="preserve">Aslam, B., </w:t>
      </w:r>
      <w:proofErr w:type="spellStart"/>
      <w:r>
        <w:t>Khurshid</w:t>
      </w:r>
      <w:proofErr w:type="spellEnd"/>
      <w:r>
        <w:t xml:space="preserve">, M., Arshad, M. I., </w:t>
      </w:r>
      <w:proofErr w:type="spellStart"/>
      <w:r>
        <w:t>Muzammil</w:t>
      </w:r>
      <w:proofErr w:type="spellEnd"/>
      <w:r>
        <w:t xml:space="preserve">, S., </w:t>
      </w:r>
      <w:proofErr w:type="spellStart"/>
      <w:r>
        <w:t>Rasool</w:t>
      </w:r>
      <w:proofErr w:type="spellEnd"/>
      <w:r>
        <w:t xml:space="preserve">,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4057373D"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(2019). A systematic review on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food bioactive ingredients and nutraceuticals by various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6CEEECD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25019BA0" w14:textId="77777777" w:rsidR="006971C5" w:rsidRDefault="006971C5"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49BC0B9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Bajpai</w:t>
      </w:r>
      <w:proofErr w:type="spellEnd"/>
      <w:r w:rsidRPr="005F1DFA">
        <w:rPr>
          <w:rFonts w:ascii="Times New Roman" w:eastAsia="Times New Roman" w:hAnsi="Times New Roman" w:cs="Times New Roman"/>
          <w:sz w:val="24"/>
          <w:szCs w:val="24"/>
        </w:rPr>
        <w:t xml:space="preserve">,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4E1557C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14:paraId="23D44DE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w:t>
      </w:r>
      <w:proofErr w:type="spellStart"/>
      <w:r w:rsidRPr="005F1DFA">
        <w:rPr>
          <w:rFonts w:ascii="Times New Roman" w:eastAsia="Times New Roman" w:hAnsi="Times New Roman" w:cs="Times New Roman"/>
          <w:sz w:val="24"/>
          <w:szCs w:val="24"/>
        </w:rPr>
        <w:t>Reinders</w:t>
      </w:r>
      <w:proofErr w:type="spellEnd"/>
      <w:r w:rsidRPr="005F1DFA">
        <w:rPr>
          <w:rFonts w:ascii="Times New Roman" w:eastAsia="Times New Roman" w:hAnsi="Times New Roman" w:cs="Times New Roman"/>
          <w:sz w:val="24"/>
          <w:szCs w:val="24"/>
        </w:rPr>
        <w:t xml:space="preserve">,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22BE232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7357C03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08762C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38A3F22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048E84A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Cimino</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w:t>
      </w:r>
      <w:proofErr w:type="spellStart"/>
      <w:r w:rsidRPr="005F1DFA">
        <w:rPr>
          <w:rFonts w:ascii="Times New Roman" w:eastAsia="Times New Roman" w:hAnsi="Times New Roman" w:cs="Times New Roman"/>
          <w:sz w:val="24"/>
          <w:szCs w:val="24"/>
        </w:rPr>
        <w:t>Drago</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6A8418D7" w14:textId="77777777"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68B9DAF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3D119D3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67C9AB0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3EB45B5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2821840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w:t>
      </w:r>
      <w:proofErr w:type="spellStart"/>
      <w:r w:rsidRPr="005F1DFA">
        <w:rPr>
          <w:rFonts w:ascii="Times New Roman" w:eastAsia="Times New Roman" w:hAnsi="Times New Roman" w:cs="Times New Roman"/>
          <w:sz w:val="24"/>
          <w:szCs w:val="24"/>
        </w:rPr>
        <w:t>Fernández</w:t>
      </w:r>
      <w:proofErr w:type="spellEnd"/>
      <w:r w:rsidRPr="005F1DFA">
        <w:rPr>
          <w:rFonts w:ascii="Times New Roman" w:eastAsia="Times New Roman" w:hAnsi="Times New Roman" w:cs="Times New Roman"/>
          <w:sz w:val="24"/>
          <w:szCs w:val="24"/>
        </w:rPr>
        <w:t xml:space="preserve">-León,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28D2F5C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w:t>
      </w:r>
      <w:proofErr w:type="spellStart"/>
      <w:r w:rsidRPr="005F1DFA">
        <w:rPr>
          <w:rFonts w:ascii="Times New Roman" w:eastAsia="Times New Roman" w:hAnsi="Times New Roman" w:cs="Times New Roman"/>
          <w:sz w:val="24"/>
          <w:szCs w:val="24"/>
        </w:rPr>
        <w:t>Nisha</w:t>
      </w:r>
      <w:proofErr w:type="spellEnd"/>
      <w:r w:rsidRPr="005F1DFA">
        <w:rPr>
          <w:rFonts w:ascii="Times New Roman" w:eastAsia="Times New Roman" w:hAnsi="Times New Roman" w:cs="Times New Roman"/>
          <w:sz w:val="24"/>
          <w:szCs w:val="24"/>
        </w:rPr>
        <w:t xml:space="preserve">, S. A., </w:t>
      </w:r>
      <w:proofErr w:type="spellStart"/>
      <w:r w:rsidRPr="005F1DFA">
        <w:rPr>
          <w:rFonts w:ascii="Times New Roman" w:eastAsia="Times New Roman" w:hAnsi="Times New Roman" w:cs="Times New Roman"/>
          <w:sz w:val="24"/>
          <w:szCs w:val="24"/>
        </w:rPr>
        <w:t>Sakthivel</w:t>
      </w:r>
      <w:proofErr w:type="spellEnd"/>
      <w:r w:rsidRPr="005F1DFA">
        <w:rPr>
          <w:rFonts w:ascii="Times New Roman" w:eastAsia="Times New Roman" w:hAnsi="Times New Roman" w:cs="Times New Roman"/>
          <w:sz w:val="24"/>
          <w:szCs w:val="24"/>
        </w:rPr>
        <w:t xml:space="preserve">, R., &amp; Pandian, S. K. (2010).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 essential oil of clove) acts as an antibacterial agent against </w:t>
      </w:r>
      <w:r w:rsidRPr="005F1DFA">
        <w:rPr>
          <w:rFonts w:ascii="Times New Roman" w:eastAsia="Times New Roman" w:hAnsi="Times New Roman" w:cs="Times New Roman"/>
          <w:i/>
          <w:iCs/>
          <w:sz w:val="24"/>
          <w:szCs w:val="24"/>
        </w:rPr>
        <w:t xml:space="preserve">Salmonella </w:t>
      </w:r>
      <w:proofErr w:type="spellStart"/>
      <w:r w:rsidRPr="005F1DFA">
        <w:rPr>
          <w:rFonts w:ascii="Times New Roman" w:eastAsia="Times New Roman" w:hAnsi="Times New Roman" w:cs="Times New Roman"/>
          <w:i/>
          <w:iCs/>
          <w:sz w:val="24"/>
          <w:szCs w:val="24"/>
        </w:rPr>
        <w:t>typhi</w:t>
      </w:r>
      <w:proofErr w:type="spellEnd"/>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 xml:space="preserve">Journal of </w:t>
      </w:r>
      <w:proofErr w:type="spellStart"/>
      <w:r w:rsidRPr="005F1DFA">
        <w:rPr>
          <w:rFonts w:ascii="Times New Roman" w:eastAsia="Times New Roman" w:hAnsi="Times New Roman" w:cs="Times New Roman"/>
          <w:i/>
          <w:iCs/>
          <w:sz w:val="24"/>
          <w:szCs w:val="24"/>
        </w:rPr>
        <w:t>Ethnopharmacology</w:t>
      </w:r>
      <w:proofErr w:type="spellEnd"/>
      <w:r w:rsidRPr="005F1DFA">
        <w:rPr>
          <w:rFonts w:ascii="Times New Roman" w:eastAsia="Times New Roman" w:hAnsi="Times New Roman" w:cs="Times New Roman"/>
          <w:i/>
          <w:iCs/>
          <w:sz w:val="24"/>
          <w:szCs w:val="24"/>
        </w:rPr>
        <w:t>, 130</w:t>
      </w:r>
      <w:r w:rsidRPr="005F1DFA">
        <w:rPr>
          <w:rFonts w:ascii="Times New Roman" w:eastAsia="Times New Roman" w:hAnsi="Times New Roman" w:cs="Times New Roman"/>
          <w:sz w:val="24"/>
          <w:szCs w:val="24"/>
        </w:rPr>
        <w:t>(1), 107–115.</w:t>
      </w:r>
    </w:p>
    <w:p w14:paraId="402CC3F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w:t>
      </w:r>
      <w:proofErr w:type="spellStart"/>
      <w:r w:rsidRPr="005F1DFA">
        <w:rPr>
          <w:rFonts w:ascii="Times New Roman" w:eastAsia="Times New Roman" w:hAnsi="Times New Roman" w:cs="Times New Roman"/>
          <w:sz w:val="24"/>
          <w:szCs w:val="24"/>
        </w:rPr>
        <w:t>Sessa</w:t>
      </w:r>
      <w:proofErr w:type="spellEnd"/>
      <w:r w:rsidRPr="005F1DFA">
        <w:rPr>
          <w:rFonts w:ascii="Times New Roman" w:eastAsia="Times New Roman" w:hAnsi="Times New Roman" w:cs="Times New Roman"/>
          <w:sz w:val="24"/>
          <w:szCs w:val="24"/>
        </w:rPr>
        <w:t xml:space="preserve">, M., &amp; Ferrari, G. (2011).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1065C1C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2AC8B9B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7189EFC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53BFC17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Filho</w:t>
      </w:r>
      <w:proofErr w:type="spellEnd"/>
      <w:r w:rsidRPr="005F1DFA">
        <w:rPr>
          <w:rFonts w:ascii="Times New Roman" w:eastAsia="Times New Roman" w:hAnsi="Times New Roman" w:cs="Times New Roman"/>
          <w:sz w:val="24"/>
          <w:szCs w:val="24"/>
        </w:rPr>
        <w:t>,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7E6EB4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78098F4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w:t>
      </w:r>
      <w:proofErr w:type="spellStart"/>
      <w:r w:rsidRPr="005F1DFA">
        <w:rPr>
          <w:rFonts w:ascii="Times New Roman" w:eastAsia="Times New Roman" w:hAnsi="Times New Roman" w:cs="Times New Roman"/>
          <w:sz w:val="24"/>
          <w:szCs w:val="24"/>
        </w:rPr>
        <w:t>Zu</w:t>
      </w:r>
      <w:proofErr w:type="spellEnd"/>
      <w:r w:rsidRPr="005F1DFA">
        <w:rPr>
          <w:rFonts w:ascii="Times New Roman" w:eastAsia="Times New Roman" w:hAnsi="Times New Roman" w:cs="Times New Roman"/>
          <w:sz w:val="24"/>
          <w:szCs w:val="24"/>
        </w:rPr>
        <w:t xml:space="preserve">,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14:paraId="21CB561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 immunosuppressed rats through lipid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10B17C9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0406032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75B3B586"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Halder</w:t>
      </w:r>
      <w:proofErr w:type="spellEnd"/>
      <w:r w:rsidRPr="005F1DFA">
        <w:rPr>
          <w:rFonts w:ascii="Times New Roman" w:eastAsia="Times New Roman" w:hAnsi="Times New Roman" w:cs="Times New Roman"/>
          <w:sz w:val="24"/>
          <w:szCs w:val="24"/>
        </w:rPr>
        <w:t xml:space="preserve">, S., Mehta, A. K., </w:t>
      </w:r>
      <w:proofErr w:type="spellStart"/>
      <w:r w:rsidRPr="005F1DFA">
        <w:rPr>
          <w:rFonts w:ascii="Times New Roman" w:eastAsia="Times New Roman" w:hAnsi="Times New Roman" w:cs="Times New Roman"/>
          <w:sz w:val="24"/>
          <w:szCs w:val="24"/>
        </w:rPr>
        <w:t>Kar</w:t>
      </w:r>
      <w:proofErr w:type="spellEnd"/>
      <w:r w:rsidRPr="005F1DFA">
        <w:rPr>
          <w:rFonts w:ascii="Times New Roman" w:eastAsia="Times New Roman" w:hAnsi="Times New Roman" w:cs="Times New Roman"/>
          <w:sz w:val="24"/>
          <w:szCs w:val="24"/>
        </w:rPr>
        <w:t xml:space="preserve">,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 xml:space="preserve">Planta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14:paraId="0A47C50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 xml:space="preserve">-González, J. N., Castillo-Herrera, G. A., </w:t>
      </w:r>
      <w:proofErr w:type="spellStart"/>
      <w:r w:rsidRPr="005F1DFA">
        <w:rPr>
          <w:rFonts w:ascii="Times New Roman" w:eastAsia="Times New Roman" w:hAnsi="Times New Roman" w:cs="Times New Roman"/>
          <w:sz w:val="24"/>
          <w:szCs w:val="24"/>
        </w:rPr>
        <w:t>Martínez</w:t>
      </w:r>
      <w:proofErr w:type="spellEnd"/>
      <w:r w:rsidRPr="005F1DFA">
        <w:rPr>
          <w:rFonts w:ascii="Times New Roman" w:eastAsia="Times New Roman" w:hAnsi="Times New Roman" w:cs="Times New Roman"/>
          <w:sz w:val="24"/>
          <w:szCs w:val="24"/>
        </w:rPr>
        <w:t>-Velázquez,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7E5E4D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02DE43E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Stoyanova</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23E07B6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75EA902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42AA3849"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w:t>
      </w:r>
      <w:proofErr w:type="spellStart"/>
      <w:r w:rsidRPr="005F1DFA">
        <w:rPr>
          <w:rFonts w:ascii="Times New Roman" w:eastAsia="Times New Roman" w:hAnsi="Times New Roman" w:cs="Times New Roman"/>
          <w:sz w:val="24"/>
          <w:szCs w:val="24"/>
        </w:rPr>
        <w:t>Viljoen</w:t>
      </w:r>
      <w:proofErr w:type="spellEnd"/>
      <w:r w:rsidRPr="005F1DFA">
        <w:rPr>
          <w:rFonts w:ascii="Times New Roman" w:eastAsia="Times New Roman" w:hAnsi="Times New Roman" w:cs="Times New Roman"/>
          <w:sz w:val="24"/>
          <w:szCs w:val="24"/>
        </w:rPr>
        <w:t xml:space="preserve">, A. M. (2012).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173E20D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w:t>
      </w:r>
      <w:proofErr w:type="spellStart"/>
      <w:r w:rsidRPr="005F1DFA">
        <w:rPr>
          <w:rFonts w:ascii="Times New Roman" w:eastAsia="Times New Roman" w:hAnsi="Times New Roman" w:cs="Times New Roman"/>
          <w:sz w:val="24"/>
          <w:szCs w:val="24"/>
        </w:rPr>
        <w:t>Darwish</w:t>
      </w:r>
      <w:proofErr w:type="spellEnd"/>
      <w:r w:rsidRPr="005F1DFA">
        <w:rPr>
          <w:rFonts w:ascii="Times New Roman" w:eastAsia="Times New Roman" w:hAnsi="Times New Roman" w:cs="Times New Roman"/>
          <w:sz w:val="24"/>
          <w:szCs w:val="24"/>
        </w:rPr>
        <w:t xml:space="preserve">,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457F77AE" w14:textId="77777777"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461F2D4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351983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2ED08C6E"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11A81A0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Matan</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Mawson</w:t>
      </w:r>
      <w:proofErr w:type="spellEnd"/>
      <w:r w:rsidRPr="005F1DFA">
        <w:rPr>
          <w:rFonts w:ascii="Times New Roman" w:eastAsia="Times New Roman" w:hAnsi="Times New Roman" w:cs="Times New Roman"/>
          <w:sz w:val="24"/>
          <w:szCs w:val="24"/>
        </w:rPr>
        <w:t xml:space="preserve">,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78FC202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w:t>
      </w:r>
      <w:proofErr w:type="spellStart"/>
      <w:r w:rsidRPr="005F1DFA">
        <w:rPr>
          <w:rFonts w:ascii="Times New Roman" w:eastAsia="Times New Roman" w:hAnsi="Times New Roman" w:cs="Times New Roman"/>
          <w:sz w:val="24"/>
          <w:szCs w:val="24"/>
        </w:rPr>
        <w:t>propoxur</w:t>
      </w:r>
      <w:proofErr w:type="spellEnd"/>
      <w:r w:rsidRPr="005F1DFA">
        <w:rPr>
          <w:rFonts w:ascii="Times New Roman" w:eastAsia="Times New Roman" w:hAnsi="Times New Roman" w:cs="Times New Roman"/>
          <w:sz w:val="24"/>
          <w:szCs w:val="24"/>
        </w:rPr>
        <w:t xml:space="preserve">-induced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14:paraId="7B69E07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27D60C5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w:t>
      </w:r>
      <w:proofErr w:type="spellStart"/>
      <w:r w:rsidRPr="005F1DFA">
        <w:rPr>
          <w:rFonts w:ascii="Times New Roman" w:eastAsia="Times New Roman" w:hAnsi="Times New Roman" w:cs="Times New Roman"/>
          <w:sz w:val="24"/>
          <w:szCs w:val="24"/>
        </w:rPr>
        <w:t>Vries</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Valkenburg</w:t>
      </w:r>
      <w:proofErr w:type="spellEnd"/>
      <w:r w:rsidRPr="005F1DFA">
        <w:rPr>
          <w:rFonts w:ascii="Times New Roman" w:eastAsia="Times New Roman" w:hAnsi="Times New Roman" w:cs="Times New Roman"/>
          <w:sz w:val="24"/>
          <w:szCs w:val="24"/>
        </w:rPr>
        <w:t xml:space="preserve">,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59A3C22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7A5CA251" w14:textId="77777777" w:rsidR="006971C5" w:rsidRDefault="006971C5"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4ECBEE3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007DB5E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guaiacol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71B737A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 xml:space="preserve">Bahia </w:t>
      </w:r>
      <w:proofErr w:type="spellStart"/>
      <w:r w:rsidRPr="005F1DFA">
        <w:rPr>
          <w:rFonts w:ascii="Times New Roman" w:eastAsia="Times New Roman" w:hAnsi="Times New Roman" w:cs="Times New Roman"/>
          <w:i/>
          <w:iCs/>
          <w:sz w:val="24"/>
          <w:szCs w:val="24"/>
        </w:rPr>
        <w:t>Agric</w:t>
      </w:r>
      <w:proofErr w:type="spellEnd"/>
      <w:r w:rsidRPr="005F1DFA">
        <w:rPr>
          <w:rFonts w:ascii="Times New Roman" w:eastAsia="Times New Roman" w:hAnsi="Times New Roman" w:cs="Times New Roman"/>
          <w:i/>
          <w:iCs/>
          <w:sz w:val="24"/>
          <w:szCs w:val="24"/>
        </w:rPr>
        <w:t>, 8</w:t>
      </w:r>
      <w:r w:rsidRPr="005F1DFA">
        <w:rPr>
          <w:rFonts w:ascii="Times New Roman" w:eastAsia="Times New Roman" w:hAnsi="Times New Roman" w:cs="Times New Roman"/>
          <w:sz w:val="24"/>
          <w:szCs w:val="24"/>
        </w:rPr>
        <w:t>(1), 46–48.</w:t>
      </w:r>
    </w:p>
    <w:p w14:paraId="1CDFD7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526933C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Pérez-</w:t>
      </w:r>
      <w:proofErr w:type="spellStart"/>
      <w:r w:rsidRPr="005F1DFA">
        <w:rPr>
          <w:rFonts w:ascii="Times New Roman" w:eastAsia="Times New Roman" w:hAnsi="Times New Roman" w:cs="Times New Roman"/>
          <w:sz w:val="24"/>
          <w:szCs w:val="24"/>
        </w:rPr>
        <w:t>Conesa</w:t>
      </w:r>
      <w:proofErr w:type="spellEnd"/>
      <w:r w:rsidRPr="005F1DFA">
        <w:rPr>
          <w:rFonts w:ascii="Times New Roman" w:eastAsia="Times New Roman" w:hAnsi="Times New Roman" w:cs="Times New Roman"/>
          <w:sz w:val="24"/>
          <w:szCs w:val="24"/>
        </w:rPr>
        <w:t xml:space="preserve">,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 xml:space="preserve">Listeria </w:t>
      </w:r>
      <w:proofErr w:type="spellStart"/>
      <w:r w:rsidRPr="005F1DFA">
        <w:rPr>
          <w:rFonts w:ascii="Times New Roman" w:eastAsia="Times New Roman" w:hAnsi="Times New Roman" w:cs="Times New Roman"/>
          <w:i/>
          <w:iCs/>
          <w:sz w:val="24"/>
          <w:szCs w:val="24"/>
        </w:rPr>
        <w:t>monocytogenes</w:t>
      </w:r>
      <w:proofErr w:type="spellEnd"/>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28F4CBE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w:t>
      </w:r>
      <w:proofErr w:type="spellStart"/>
      <w:r w:rsidRPr="005F1DFA">
        <w:rPr>
          <w:rFonts w:ascii="Times New Roman" w:eastAsia="Times New Roman" w:hAnsi="Times New Roman" w:cs="Times New Roman"/>
          <w:sz w:val="24"/>
          <w:szCs w:val="24"/>
        </w:rPr>
        <w:t>Vos</w:t>
      </w:r>
      <w:proofErr w:type="spellEnd"/>
      <w:r w:rsidRPr="005F1DFA">
        <w:rPr>
          <w:rFonts w:ascii="Times New Roman" w:eastAsia="Times New Roman" w:hAnsi="Times New Roman" w:cs="Times New Roman"/>
          <w:sz w:val="24"/>
          <w:szCs w:val="24"/>
        </w:rPr>
        <w:t xml:space="preserve">,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14:paraId="523F895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w:t>
      </w:r>
      <w:proofErr w:type="spellStart"/>
      <w:r w:rsidRPr="005F1DFA">
        <w:rPr>
          <w:rFonts w:ascii="Times New Roman" w:eastAsia="Times New Roman" w:hAnsi="Times New Roman" w:cs="Times New Roman"/>
          <w:sz w:val="24"/>
          <w:szCs w:val="24"/>
        </w:rPr>
        <w:t>Viswanathan</w:t>
      </w:r>
      <w:proofErr w:type="spellEnd"/>
      <w:r w:rsidRPr="005F1DFA">
        <w:rPr>
          <w:rFonts w:ascii="Times New Roman" w:eastAsia="Times New Roman" w:hAnsi="Times New Roman" w:cs="Times New Roman"/>
          <w:sz w:val="24"/>
          <w:szCs w:val="24"/>
        </w:rPr>
        <w:t xml:space="preserve">,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6A8433A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I. S., </w:t>
      </w: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6CBD98B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w:t>
      </w:r>
      <w:proofErr w:type="spellStart"/>
      <w:r w:rsidRPr="005F1DFA">
        <w:rPr>
          <w:rFonts w:ascii="Times New Roman" w:eastAsia="Times New Roman" w:hAnsi="Times New Roman" w:cs="Times New Roman"/>
          <w:sz w:val="24"/>
          <w:szCs w:val="24"/>
        </w:rPr>
        <w:t>Melo</w:t>
      </w:r>
      <w:proofErr w:type="spellEnd"/>
      <w:r w:rsidRPr="005F1DFA">
        <w:rPr>
          <w:rFonts w:ascii="Times New Roman" w:eastAsia="Times New Roman" w:hAnsi="Times New Roman" w:cs="Times New Roman"/>
          <w:sz w:val="24"/>
          <w:szCs w:val="24"/>
        </w:rPr>
        <w:t xml:space="preserve">,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40981CD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269729B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Malanda</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10282182" w14:textId="77777777" w:rsidR="006971C5" w:rsidRDefault="006971C5"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6E9A2B6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2B7FEA9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655719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w:t>
      </w:r>
      <w:proofErr w:type="spellStart"/>
      <w:r w:rsidRPr="005F1DFA">
        <w:rPr>
          <w:rFonts w:ascii="Times New Roman" w:eastAsia="Times New Roman" w:hAnsi="Times New Roman" w:cs="Times New Roman"/>
          <w:sz w:val="24"/>
          <w:szCs w:val="24"/>
        </w:rPr>
        <w:t>Cai</w:t>
      </w:r>
      <w:proofErr w:type="spellEnd"/>
      <w:r w:rsidRPr="005F1DFA">
        <w:rPr>
          <w:rFonts w:ascii="Times New Roman" w:eastAsia="Times New Roman" w:hAnsi="Times New Roman" w:cs="Times New Roman"/>
          <w:sz w:val="24"/>
          <w:szCs w:val="24"/>
        </w:rPr>
        <w:t xml:space="preserve">,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597F754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09C40B2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40ED8F05" w14:textId="77777777" w:rsidR="006971C5" w:rsidRDefault="006971C5"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14:paraId="74948C3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01D39B7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2E00897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Tahir, R. A., </w:t>
      </w:r>
      <w:proofErr w:type="spellStart"/>
      <w:r w:rsidRPr="005F1DFA">
        <w:rPr>
          <w:rFonts w:ascii="Times New Roman" w:eastAsia="Times New Roman" w:hAnsi="Times New Roman" w:cs="Times New Roman"/>
          <w:sz w:val="24"/>
          <w:szCs w:val="24"/>
        </w:rPr>
        <w:t>Sarfraz</w:t>
      </w:r>
      <w:proofErr w:type="spellEnd"/>
      <w:r w:rsidRPr="005F1DFA">
        <w:rPr>
          <w:rFonts w:ascii="Times New Roman" w:eastAsia="Times New Roman" w:hAnsi="Times New Roman" w:cs="Times New Roman"/>
          <w:sz w:val="24"/>
          <w:szCs w:val="24"/>
        </w:rPr>
        <w:t xml:space="preserve">, A., Ashraf, A., &amp; </w:t>
      </w:r>
      <w:proofErr w:type="spellStart"/>
      <w:r w:rsidRPr="005F1DFA">
        <w:rPr>
          <w:rFonts w:ascii="Times New Roman" w:eastAsia="Times New Roman" w:hAnsi="Times New Roman" w:cs="Times New Roman"/>
          <w:sz w:val="24"/>
          <w:szCs w:val="24"/>
        </w:rPr>
        <w:t>Adil</w:t>
      </w:r>
      <w:proofErr w:type="spellEnd"/>
      <w:r w:rsidRPr="005F1DFA">
        <w:rPr>
          <w:rFonts w:ascii="Times New Roman" w:eastAsia="Times New Roman" w:hAnsi="Times New Roman" w:cs="Times New Roman"/>
          <w:sz w:val="24"/>
          <w:szCs w:val="24"/>
        </w:rPr>
        <w:t>,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65A559AA" w14:textId="77777777" w:rsidR="006971C5" w:rsidRDefault="006971C5"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136DC6A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Cacciotti</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756A736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0FD9C02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2FADAFE6" w14:textId="77777777"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3541DD9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w:t>
      </w:r>
      <w:proofErr w:type="spellStart"/>
      <w:r w:rsidRPr="005F1DFA">
        <w:rPr>
          <w:rFonts w:ascii="Times New Roman" w:eastAsia="Times New Roman" w:hAnsi="Times New Roman" w:cs="Times New Roman"/>
          <w:sz w:val="24"/>
          <w:szCs w:val="24"/>
        </w:rPr>
        <w:t>Nishiyama</w:t>
      </w:r>
      <w:proofErr w:type="spellEnd"/>
      <w:r w:rsidRPr="005F1DFA">
        <w:rPr>
          <w:rFonts w:ascii="Times New Roman" w:eastAsia="Times New Roman" w:hAnsi="Times New Roman" w:cs="Times New Roman"/>
          <w:sz w:val="24"/>
          <w:szCs w:val="24"/>
        </w:rPr>
        <w:t xml:space="preserve">,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3ADE342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7982CD1F" w14:textId="77777777"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6E59" w14:textId="77777777" w:rsidR="008364CC" w:rsidRDefault="008364CC" w:rsidP="006F0C64">
      <w:pPr>
        <w:spacing w:after="0" w:line="240" w:lineRule="auto"/>
      </w:pPr>
      <w:r>
        <w:separator/>
      </w:r>
    </w:p>
  </w:endnote>
  <w:endnote w:type="continuationSeparator" w:id="0">
    <w:p w14:paraId="61BE1596" w14:textId="77777777" w:rsidR="008364CC" w:rsidRDefault="008364CC" w:rsidP="006F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2329"/>
      <w:docPartObj>
        <w:docPartGallery w:val="Page Numbers (Bottom of Page)"/>
        <w:docPartUnique/>
      </w:docPartObj>
    </w:sdtPr>
    <w:sdtEndPr>
      <w:rPr>
        <w:noProof/>
      </w:rPr>
    </w:sdtEndPr>
    <w:sdtContent>
      <w:p w14:paraId="78CF79E1" w14:textId="77777777" w:rsidR="006F0C64" w:rsidRDefault="006F0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3963D" w14:textId="77777777" w:rsidR="006F0C64" w:rsidRDefault="006F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FD7A" w14:textId="77777777" w:rsidR="008364CC" w:rsidRDefault="008364CC" w:rsidP="006F0C64">
      <w:pPr>
        <w:spacing w:after="0" w:line="240" w:lineRule="auto"/>
      </w:pPr>
      <w:r>
        <w:separator/>
      </w:r>
    </w:p>
  </w:footnote>
  <w:footnote w:type="continuationSeparator" w:id="0">
    <w:p w14:paraId="0417A6B7" w14:textId="77777777" w:rsidR="008364CC" w:rsidRDefault="008364CC" w:rsidP="006F0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355930">
    <w:abstractNumId w:val="20"/>
  </w:num>
  <w:num w:numId="2" w16cid:durableId="1630160643">
    <w:abstractNumId w:val="8"/>
  </w:num>
  <w:num w:numId="3" w16cid:durableId="1164734766">
    <w:abstractNumId w:val="29"/>
  </w:num>
  <w:num w:numId="4" w16cid:durableId="1290429258">
    <w:abstractNumId w:val="1"/>
  </w:num>
  <w:num w:numId="5" w16cid:durableId="2040356845">
    <w:abstractNumId w:val="19"/>
  </w:num>
  <w:num w:numId="6" w16cid:durableId="1108163496">
    <w:abstractNumId w:val="28"/>
  </w:num>
  <w:num w:numId="7" w16cid:durableId="1582908769">
    <w:abstractNumId w:val="26"/>
  </w:num>
  <w:num w:numId="8" w16cid:durableId="1489859249">
    <w:abstractNumId w:val="2"/>
  </w:num>
  <w:num w:numId="9" w16cid:durableId="20396556">
    <w:abstractNumId w:val="27"/>
  </w:num>
  <w:num w:numId="10" w16cid:durableId="2123181238">
    <w:abstractNumId w:val="15"/>
  </w:num>
  <w:num w:numId="11" w16cid:durableId="1250387274">
    <w:abstractNumId w:val="6"/>
  </w:num>
  <w:num w:numId="12" w16cid:durableId="1933708918">
    <w:abstractNumId w:val="18"/>
  </w:num>
  <w:num w:numId="13" w16cid:durableId="499928560">
    <w:abstractNumId w:val="5"/>
  </w:num>
  <w:num w:numId="14" w16cid:durableId="1342854619">
    <w:abstractNumId w:val="3"/>
  </w:num>
  <w:num w:numId="15" w16cid:durableId="1052072180">
    <w:abstractNumId w:val="9"/>
  </w:num>
  <w:num w:numId="16" w16cid:durableId="872232682">
    <w:abstractNumId w:val="22"/>
  </w:num>
  <w:num w:numId="17" w16cid:durableId="1134712327">
    <w:abstractNumId w:val="25"/>
  </w:num>
  <w:num w:numId="18" w16cid:durableId="653946944">
    <w:abstractNumId w:val="4"/>
  </w:num>
  <w:num w:numId="19" w16cid:durableId="783891055">
    <w:abstractNumId w:val="21"/>
  </w:num>
  <w:num w:numId="20" w16cid:durableId="2107574801">
    <w:abstractNumId w:val="23"/>
  </w:num>
  <w:num w:numId="21" w16cid:durableId="361715235">
    <w:abstractNumId w:val="14"/>
  </w:num>
  <w:num w:numId="22" w16cid:durableId="1179811536">
    <w:abstractNumId w:val="10"/>
  </w:num>
  <w:num w:numId="23" w16cid:durableId="357974989">
    <w:abstractNumId w:val="24"/>
  </w:num>
  <w:num w:numId="24" w16cid:durableId="1184051308">
    <w:abstractNumId w:val="16"/>
  </w:num>
  <w:num w:numId="25" w16cid:durableId="1190529746">
    <w:abstractNumId w:val="17"/>
  </w:num>
  <w:num w:numId="26" w16cid:durableId="2137941674">
    <w:abstractNumId w:val="11"/>
  </w:num>
  <w:num w:numId="27" w16cid:durableId="1336541784">
    <w:abstractNumId w:val="7"/>
  </w:num>
  <w:num w:numId="28" w16cid:durableId="651913070">
    <w:abstractNumId w:val="12"/>
  </w:num>
  <w:num w:numId="29" w16cid:durableId="95757271">
    <w:abstractNumId w:val="0"/>
  </w:num>
  <w:num w:numId="30" w16cid:durableId="1468007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03E84"/>
    <w:rsid w:val="000111B5"/>
    <w:rsid w:val="00021DDB"/>
    <w:rsid w:val="0006494C"/>
    <w:rsid w:val="00092689"/>
    <w:rsid w:val="000C6AE5"/>
    <w:rsid w:val="000C7998"/>
    <w:rsid w:val="001163D9"/>
    <w:rsid w:val="001243C0"/>
    <w:rsid w:val="001278C9"/>
    <w:rsid w:val="00134CE1"/>
    <w:rsid w:val="0015354F"/>
    <w:rsid w:val="00192707"/>
    <w:rsid w:val="001B29D3"/>
    <w:rsid w:val="0024403D"/>
    <w:rsid w:val="00283D2E"/>
    <w:rsid w:val="002D3AD5"/>
    <w:rsid w:val="002F4CB9"/>
    <w:rsid w:val="00323F52"/>
    <w:rsid w:val="003432E8"/>
    <w:rsid w:val="00391BEE"/>
    <w:rsid w:val="003B2DA8"/>
    <w:rsid w:val="003C7971"/>
    <w:rsid w:val="00425BFC"/>
    <w:rsid w:val="00431DF1"/>
    <w:rsid w:val="00463A22"/>
    <w:rsid w:val="0047014A"/>
    <w:rsid w:val="004B3BDD"/>
    <w:rsid w:val="004B46A7"/>
    <w:rsid w:val="004D7EB2"/>
    <w:rsid w:val="00525489"/>
    <w:rsid w:val="005433D5"/>
    <w:rsid w:val="00552ED0"/>
    <w:rsid w:val="00572797"/>
    <w:rsid w:val="0058550B"/>
    <w:rsid w:val="00586229"/>
    <w:rsid w:val="005A1D03"/>
    <w:rsid w:val="005B181E"/>
    <w:rsid w:val="005B2FC7"/>
    <w:rsid w:val="005B34FC"/>
    <w:rsid w:val="005B3872"/>
    <w:rsid w:val="005C62BB"/>
    <w:rsid w:val="0069360B"/>
    <w:rsid w:val="006971C5"/>
    <w:rsid w:val="006B41C6"/>
    <w:rsid w:val="006C07AB"/>
    <w:rsid w:val="006F0C64"/>
    <w:rsid w:val="00741AD4"/>
    <w:rsid w:val="00750E1E"/>
    <w:rsid w:val="007B24ED"/>
    <w:rsid w:val="007E2F1E"/>
    <w:rsid w:val="007F1B6A"/>
    <w:rsid w:val="008364CC"/>
    <w:rsid w:val="00850CF5"/>
    <w:rsid w:val="0085333B"/>
    <w:rsid w:val="00871BB7"/>
    <w:rsid w:val="00883A3A"/>
    <w:rsid w:val="008A7691"/>
    <w:rsid w:val="008C3374"/>
    <w:rsid w:val="008D67C7"/>
    <w:rsid w:val="008E0C45"/>
    <w:rsid w:val="00911FA9"/>
    <w:rsid w:val="00953152"/>
    <w:rsid w:val="00960CC5"/>
    <w:rsid w:val="009722CD"/>
    <w:rsid w:val="0097361E"/>
    <w:rsid w:val="009B1462"/>
    <w:rsid w:val="009D5585"/>
    <w:rsid w:val="009F2E4D"/>
    <w:rsid w:val="00A138A4"/>
    <w:rsid w:val="00A21B4A"/>
    <w:rsid w:val="00A60872"/>
    <w:rsid w:val="00A87C39"/>
    <w:rsid w:val="00AB1E7A"/>
    <w:rsid w:val="00AC362F"/>
    <w:rsid w:val="00B0493F"/>
    <w:rsid w:val="00B23D8E"/>
    <w:rsid w:val="00B32022"/>
    <w:rsid w:val="00B327ED"/>
    <w:rsid w:val="00B43DEE"/>
    <w:rsid w:val="00B56205"/>
    <w:rsid w:val="00B62241"/>
    <w:rsid w:val="00B62DBB"/>
    <w:rsid w:val="00B77055"/>
    <w:rsid w:val="00B80796"/>
    <w:rsid w:val="00B97A04"/>
    <w:rsid w:val="00BA3B38"/>
    <w:rsid w:val="00BD3E8C"/>
    <w:rsid w:val="00C106FA"/>
    <w:rsid w:val="00C1582F"/>
    <w:rsid w:val="00C438C2"/>
    <w:rsid w:val="00C730E9"/>
    <w:rsid w:val="00CA7556"/>
    <w:rsid w:val="00CA7878"/>
    <w:rsid w:val="00D10887"/>
    <w:rsid w:val="00D10AF3"/>
    <w:rsid w:val="00D8755D"/>
    <w:rsid w:val="00D90BA7"/>
    <w:rsid w:val="00D91145"/>
    <w:rsid w:val="00DC1ADE"/>
    <w:rsid w:val="00DD637F"/>
    <w:rsid w:val="00E04684"/>
    <w:rsid w:val="00E0490F"/>
    <w:rsid w:val="00E2796F"/>
    <w:rsid w:val="00EE444B"/>
    <w:rsid w:val="00EE5E6A"/>
    <w:rsid w:val="00EF19E9"/>
    <w:rsid w:val="00F04E43"/>
    <w:rsid w:val="00F3166A"/>
    <w:rsid w:val="00FC2937"/>
    <w:rsid w:val="00FC37DF"/>
    <w:rsid w:val="00FD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8DA5"/>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16/s0924-8579(99)00074-6" TargetMode="External" /><Relationship Id="rId18" Type="http://schemas.openxmlformats.org/officeDocument/2006/relationships/hyperlink" Target="http://www.cabi.org/pc/datasheet/52412" TargetMode="External" /><Relationship Id="rId26" Type="http://schemas.openxmlformats.org/officeDocument/2006/relationships/hyperlink" Target="http://www.ceplac.gov.br/radar.htm" TargetMode="External" /><Relationship Id="rId39" Type="http://schemas.openxmlformats.org/officeDocument/2006/relationships/hyperlink" Target="https://doi.org/10.1080/14786419.2022.2043527" TargetMode="External" /><Relationship Id="rId3" Type="http://schemas.openxmlformats.org/officeDocument/2006/relationships/styles" Target="styles.xml" /><Relationship Id="rId21" Type="http://schemas.openxmlformats.org/officeDocument/2006/relationships/hyperlink" Target="https://doi.org/10.1111/j.1541-4337.2011.00169.x" TargetMode="External" /><Relationship Id="rId34" Type="http://schemas.openxmlformats.org/officeDocument/2006/relationships/hyperlink" Target="https://doi.org/10.1016/j.tifs.2016.11.021" TargetMode="External" /><Relationship Id="rId42" Type="http://schemas.openxmlformats.org/officeDocument/2006/relationships/hyperlink" Target="https://www.who.int/publications/i/item/9789240070140" TargetMode="Externa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3390/molecules27217244" TargetMode="External" /><Relationship Id="rId17" Type="http://schemas.openxmlformats.org/officeDocument/2006/relationships/hyperlink" Target="https://doi.org/10.1016/j.foodres.2011.04.052" TargetMode="External" /><Relationship Id="rId25" Type="http://schemas.openxmlformats.org/officeDocument/2006/relationships/hyperlink" Target="https://doi.org/10.3389/fphar.2013.00177" TargetMode="External" /><Relationship Id="rId33" Type="http://schemas.openxmlformats.org/officeDocument/2006/relationships/hyperlink" Target="https://doi.org/10.1590/S1517-83822012000400003" TargetMode="External" /><Relationship Id="rId38" Type="http://schemas.openxmlformats.org/officeDocument/2006/relationships/hyperlink" Target="https://doi.org/10.1080/10942912.2015.1110166"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155/2023/5586473" TargetMode="External" /><Relationship Id="rId20" Type="http://schemas.openxmlformats.org/officeDocument/2006/relationships/hyperlink" Target="https://doi.org/10.1016/j.foodchem.2016.07.101" TargetMode="External" /><Relationship Id="rId29" Type="http://schemas.openxmlformats.org/officeDocument/2006/relationships/hyperlink" Target="https://doi.org/10.4239/wjd.v6.i6.850" TargetMode="External" /><Relationship Id="rId41" Type="http://schemas.openxmlformats.org/officeDocument/2006/relationships/hyperlink" Target="https://doi.org/10.1111/j.1541-4337.2011.00169.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ifset.2015.09.003" TargetMode="External" /><Relationship Id="rId24" Type="http://schemas.openxmlformats.org/officeDocument/2006/relationships/hyperlink" Target="https://doi.org/10.1016/j.lwt.2011.03.003" TargetMode="External" /><Relationship Id="rId32" Type="http://schemas.openxmlformats.org/officeDocument/2006/relationships/hyperlink" Target="https://doi.org/10.3390/microorganisms10020354" TargetMode="External" /><Relationship Id="rId37" Type="http://schemas.openxmlformats.org/officeDocument/2006/relationships/hyperlink" Target="https://doi.org/10.1016/j.foodchem.2015.01.067" TargetMode="External" /><Relationship Id="rId40" Type="http://schemas.openxmlformats.org/officeDocument/2006/relationships/hyperlink" Target="https://doi.org/10.1016/j.colsurfb.2019.01.045" TargetMode="External" /><Relationship Id="rId45" Type="http://schemas.openxmlformats.org/officeDocument/2006/relationships/hyperlink" Target="https://doi.org/10.33263/BRIAC124.46034612" TargetMode="External" /><Relationship Id="rId5" Type="http://schemas.openxmlformats.org/officeDocument/2006/relationships/webSettings" Target="webSettings.xml" /><Relationship Id="rId15" Type="http://schemas.openxmlformats.org/officeDocument/2006/relationships/hyperlink" Target="https://doi.org/10.1080/10408398.2018.1484687" TargetMode="External" /><Relationship Id="rId23" Type="http://schemas.openxmlformats.org/officeDocument/2006/relationships/hyperlink" Target="https://doi.org/10.1016/j.fct.2012.02.024" TargetMode="External" /><Relationship Id="rId28" Type="http://schemas.openxmlformats.org/officeDocument/2006/relationships/hyperlink" Target="https://doi.org/10.3390/molecules17066953" TargetMode="External" /><Relationship Id="rId36" Type="http://schemas.openxmlformats.org/officeDocument/2006/relationships/hyperlink" Target="https://doi.org/10.1038/s41598-022-19944-0" TargetMode="External" /><Relationship Id="rId10" Type="http://schemas.openxmlformats.org/officeDocument/2006/relationships/hyperlink" Target="https://doi.org/10.1111/jam.14883" TargetMode="External" /><Relationship Id="rId19" Type="http://schemas.openxmlformats.org/officeDocument/2006/relationships/hyperlink" Target="https://doi.org/10.1016/j.ajpath.2013.10.020" TargetMode="External" /><Relationship Id="rId31" Type="http://schemas.openxmlformats.org/officeDocument/2006/relationships/hyperlink" Target="https://doi.org/10.1016/j.ijfoodmicro.2005.07.007" TargetMode="External" /><Relationship Id="rId44" Type="http://schemas.openxmlformats.org/officeDocument/2006/relationships/hyperlink" Target="https://doi.org/10.1210/jc.2010-0449"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47/IDR.S346547" TargetMode="External" /><Relationship Id="rId22" Type="http://schemas.openxmlformats.org/officeDocument/2006/relationships/hyperlink" Target="https://doi.org/10.1016/S2221-1691(14)60215-X" TargetMode="External" /><Relationship Id="rId27" Type="http://schemas.openxmlformats.org/officeDocument/2006/relationships/hyperlink" Target="https://doi.org/10.3390/molecules26216387" TargetMode="External" /><Relationship Id="rId30" Type="http://schemas.openxmlformats.org/officeDocument/2006/relationships/hyperlink" Target="https://doi.org/10.1016/j.fct.2011.12.011" TargetMode="External" /><Relationship Id="rId35" Type="http://schemas.openxmlformats.org/officeDocument/2006/relationships/hyperlink" Target="https://doi.org/10.1016/j.diabres.2019.107843" TargetMode="External" /><Relationship Id="rId43" Type="http://schemas.openxmlformats.org/officeDocument/2006/relationships/hyperlink" Target="https://doi.org/10.1038/s41440-017-000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0BCB-BA72-4707-87E5-BDB4F4F4D4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11411</Words>
  <Characters>65044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ramonkehinde1234@gmail.com</cp:lastModifiedBy>
  <cp:revision>2</cp:revision>
  <dcterms:created xsi:type="dcterms:W3CDTF">2025-07-11T14:10:00Z</dcterms:created>
  <dcterms:modified xsi:type="dcterms:W3CDTF">2025-07-11T14:10:00Z</dcterms:modified>
</cp:coreProperties>
</file>