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keepNext/>
        <w:keepLines/>
        <w:spacing w:lineRule="auto" w:line="480"/>
        <w:jc w:val="center"/>
        <w:outlineLvl w:val="0"/>
        <w:rPr/>
      </w:pPr>
      <w:bookmarkStart w:id="0" w:name="_GoBack"/>
      <w:bookmarkEnd w:id="0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</w:p>
    <w:bookmarkStart w:id="1" w:name="_Toc198702600"/>
    <w:p>
      <w:pPr>
        <w:keepNext/>
        <w:keepLines/>
        <w:spacing w:lineRule="auto" w:line="480"/>
        <w:jc w:val="center"/>
        <w:outlineLvl w:val="0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  <w:bookmarkEnd w:id="1"/>
    </w:p>
    <w:bookmarkStart w:id="2" w:name="_Toc198702601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bookmarkEnd w:id="2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cornerstone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1970s,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shield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global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volatility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despite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producer.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introduced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affordable,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living,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low-income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households.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strain,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diverting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billions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naira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annually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healthcare,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(Usman,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2019).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continued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allocation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limiting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goals.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maintaining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coupled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fluctuating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global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successive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attempts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backlash,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stemming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widespread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ordinary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utilize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Ibrahim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transparency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consistently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undermined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confidence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pivotal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choice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techniques.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(Okeke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Yusuf,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2020).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predominantly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short-term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widespread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(Johnson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agenda-setter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powerful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determinant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failure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policymakers,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living.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low-income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households,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exacerbate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existing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financial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struggles.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goods,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heighten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(Afolabi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Etim,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Amadi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Nwaorgu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feelings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insecurity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clarity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savings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reinvested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welfare.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sensitivity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socio-political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disparity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elites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population,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pronounced.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acutely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ripple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directly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translate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serves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reflects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Aliyu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tailors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population.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approach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ensures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resonate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struggles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low-income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earners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business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owners,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intensifies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hand,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growth,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response.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Moreover,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complicated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spaces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frustrations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organize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protests,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sensationalized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underscores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evolving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mobilization.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Balogun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Omotosho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argue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reliance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younger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demographics,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heightened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subsidy-related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area’s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diverse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composition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investigate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demographic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seeks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broader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contentious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crucial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managing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ensuring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success.</w:t>
      </w:r>
    </w:p>
    <w:bookmarkStart w:id="3" w:name="_Toc198702602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bookmarkEnd w:id="3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recurring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backlash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Historically,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backlash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driven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changes,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accompany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(Afolabi,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infrastructure,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healthcare,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implementation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financial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burden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low-income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households.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sentiment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financial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burdens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encourage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(Onuoha,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2020).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harmful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decisions.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provoke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Conversely,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short-term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gains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mitigate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backlash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debate.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argue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vulnerable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deepen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skepticism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skepticism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historical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mistrust,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question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savings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genuinely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populace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mismanaged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officials.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struggles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small-scale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low-income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earners,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ensures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relevance,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overemphasized.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Aliyu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promote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constructive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dialogue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people’s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fairness,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diverse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(Okeke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Yusuf,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2020).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nuances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sentiment,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aims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uncover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bridge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exacerbate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existing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tensions.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crucial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ensuring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implemented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successfully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buy-in.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Ultimately,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persistence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points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deeper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disconnect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disconnect,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magnified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underscores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attitudes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contentious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continue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undermining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governance.</w:t>
      </w:r>
    </w:p>
    <w:bookmarkStart w:id="4" w:name="_Toc198702603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1.3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bookmarkEnd w:id="4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regarding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aims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to: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views,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policymakers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smooth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implementation.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Investigate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(radio,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TV,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newspapers,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attitudes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5.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Assess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South.</w:t>
      </w:r>
    </w:p>
    <w:bookmarkStart w:id="5" w:name="_Toc198702604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1.4</w:t>
      </w:r>
      <w:bookmarkEnd w:id="5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guide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study: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State?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techniques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removal?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South?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(radio,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TV,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newspapers,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removal?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5.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South?</w:t>
      </w:r>
    </w:p>
    <w:bookmarkStart w:id="6" w:name="_Toc198702605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bookmarkEnd w:id="6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Hypotheses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hypotheses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tested: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(radio,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TV,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print)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5.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techniques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neutral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framing.</w:t>
      </w:r>
    </w:p>
    <w:bookmarkStart w:id="7" w:name="_Toc198702606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1.6</w:t>
      </w:r>
      <w:bookmarkEnd w:id="7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regarding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media—such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television,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newspapers,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media—frame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considering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background,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habits,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alongside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post-policy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involves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surveys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interviews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residents,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comprehensive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topic.</w:t>
      </w:r>
    </w:p>
    <w:bookmarkStart w:id="8" w:name="_Toc198702607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1.7</w:t>
      </w:r>
      <w:bookmarkEnd w:id="8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Operational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television,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newspapers,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discontinuing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financial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consumers.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attitudes,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issue.</w:t>
      </w:r>
    </w:p>
    <w:bookmarkStart w:id="9" w:name="_Toc198702608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1.8</w:t>
      </w:r>
      <w:bookmarkEnd w:id="9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helps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policymakers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create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(Afolabi,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views,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encouraging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misinformation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(Okeke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Yusuf,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2020).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empowers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evaluate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biased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(Onuoha,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2020).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(Usman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2022).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bookmarkStart w:id="10" w:name="_Toc198702609"/>
    <w:p>
      <w:pPr>
        <w:keepNext/>
        <w:keepLines/>
        <w:spacing w:lineRule="auto" w:line="480"/>
        <w:jc w:val="center"/>
        <w:outlineLvl w:val="0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bookmarkEnd w:id="10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</w:p>
    <w:bookmarkStart w:id="11" w:name="_Toc198702610"/>
    <w:p>
      <w:pPr>
        <w:keepNext/>
        <w:keepLines/>
        <w:spacing w:lineRule="auto" w:line="480"/>
        <w:jc w:val="center"/>
        <w:outlineLvl w:val="0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bookmarkEnd w:id="11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bookmarkStart w:id="12" w:name="_Toc198702611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bookmarkEnd w:id="12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crucial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determines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dominate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discourse,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understood,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debated,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received.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contentious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living,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serving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policies—whether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impose—has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sentiment.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consequences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tangible.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skepticism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hand,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short-term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difficulties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constructive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debate.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interconnections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implications.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theoretical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frameworks,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agenda-setting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document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pronounced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sentiment,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identifies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existing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addresses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unique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underscores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level,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heavily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review,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aims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build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comprehensive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seeks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exploring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ensuring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capable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understanding.</w:t>
      </w:r>
    </w:p>
    <w:bookmarkStart w:id="13" w:name="_Toc198702612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bookmarkEnd w:id="13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conceptual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intricate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regarding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delineates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variables—media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opinion—and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elucidates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interrelationships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theoretical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underpinnings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insights.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structured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approach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agenda-setting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encompasses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articles,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television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broadcasts,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segments,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Okeke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Yusuf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tone,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frequency,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pivotal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controversial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consistent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framing—such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costs—can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heighten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Conversely,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showcasing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acceptance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tolerance.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across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official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enables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grassroots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dissent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Afolabi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argue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accessibility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polarizing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build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consensus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deepen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divisions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issues.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eliminate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financial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aims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promote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foreign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investment,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fiscal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deficits,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sparks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outcry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adverse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necessity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implications.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Johnson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rationale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behind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removal—such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healthcare—public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lessen.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purchasing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power,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dissatisfaction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Adebayo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points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remains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politically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sensitive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historical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experiences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corruption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governance.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short-term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build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mitigate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expression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attitudes,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beliefs,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levels,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values,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Amadi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Nwaorgu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argue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linked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fairness,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necessity,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execution.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run—such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job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creation—public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cautious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optimism.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Conversely,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inefficiency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corruption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deepen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skepticism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evolves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dialogue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debate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facilitated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Aliyu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discussions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forums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attitudes,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reflecting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realities.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Variables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conceptual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(independent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variable)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(dependent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variable)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agenda,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constructs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resonate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experiences.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Agenda-setting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(McCombs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Shaw,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1972)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suggests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prioritizing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removal—such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versus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hardships—the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determines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dominate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discourse.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Similarly,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(Goffman,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1974)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failure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attitudes.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(2019)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shifts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fiscal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burdens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growth.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widespread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disapproval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protests.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underscores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shaper.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conceptual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framework.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reflects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unique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population.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Aliyu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argues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persuasive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concerns.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discussions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productivity,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businesses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resonate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disparities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urban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populations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turn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messages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received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context-dependent.</w:t>
      </w:r>
    </w:p>
    <w:p>
      <w:pPr>
        <w:spacing w:lineRule="auto" w:line="480"/>
        <w:jc w:val="both"/>
        <w:rPr/>
      </w:pPr>
    </w:p>
    <w:bookmarkStart w:id="14" w:name="_Toc198702613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bookmarkEnd w:id="14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grounded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prominent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theories: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Agenda-Setting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Responsibility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Gratifications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Theory,Two-Step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Dependency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elucidate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changes,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Agenda-Setting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Agenda-setting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McCombs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(1972),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prioritizing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topics.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suggests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prominence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importance.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scarcity,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directs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conversations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sidelining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Beyond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salience,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attribute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agenda-setting,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inefficiencies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managing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corruption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process.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selective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thinks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complexity.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relevance.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Okeke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Yusuf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shifts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protests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Furthermore,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comparative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reveal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newspapers,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pivotal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marginalized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groups,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ensuring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heard.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introduced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Goffman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(1974),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structuring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aligns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pro-government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aligns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determines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detrimental.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Johnson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argue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operate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cognitive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emotional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levels,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think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feel.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growth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corruption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evoke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optimism,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unemployment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provoke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anger.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emotional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drive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protests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campaigns.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Afolabi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historical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repeatedly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failures,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reinforce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skepticism,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diverse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newspapers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employ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creating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fragmented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discourse.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Responsibility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responsibility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formulated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Siebert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(1956),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asserts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serve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stresses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ethical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obligation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journalists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promote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decision-making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societal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progress.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demands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educate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short-term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funding.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Amadi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Nwaorgu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argue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responsibility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extends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beyond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contextualizing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risen,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underlying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global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market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fluctuations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domestic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fiscal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approach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helps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broader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implications,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misinformation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panic.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implementation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politically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polarized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environments.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succumb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biases,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uncritically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solely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perspectives.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partisanship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undermines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indicates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expert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grassroots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voices,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constructive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debates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contentious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Gratifications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gratifications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introduced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Blumler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Katz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(1974),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shifts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agency.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engage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emotional,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needs.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turn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implications,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frustrations,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solidarity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like-minded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demographics.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younger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real-time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updates,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older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newspapers.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satisfies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needs—social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offers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interactivity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immediacy,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reliability.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selective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exposure.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Afolabi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gravitate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preexisting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beliefs.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phenomenon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create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chambers,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repeatedly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exposed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reinforcing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perspectives.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Consequently,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becomes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choose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engage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Sphere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articulated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Habermas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(1989),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creating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civic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engagement.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democratic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societies,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debate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crucial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acceptance.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serves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critique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decisions,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alternatives.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Aliyu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unique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reflecting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realities.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prioritize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grassroots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voices,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small-scale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farmers,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workers.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perspectives,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ensures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encompasses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diverse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viewpoints,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debate.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facilitate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misinformation.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Unverified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claims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quickly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requires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robust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fact-checking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mechanisms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literacy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programs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evaluate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Furthermore,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underscores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civil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organizations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debates.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collaborate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organize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halls,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launch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advocacy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campaigns,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creating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richer,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expanded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theoretical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comprehensive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Two-Step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Two-Step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introduced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Katz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Lazarsfeld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(1955),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suggests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receive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messages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directly;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instead,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leaders)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disseminate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messages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religious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figures,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personalities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crucial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figures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complex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details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simplified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manner,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contradict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original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message.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prominent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activist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favorable.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indicates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credibility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acceptance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views.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religious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mainstream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populations.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phenomenon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underscores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intermediaries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reception.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(1980),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messages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backgrounds.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messages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encoded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meanings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producers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decoded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diverse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interpretations.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depending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status.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wealthier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modernization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step,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lower-income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financial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burden.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contexts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Hall's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dominant,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negotiated,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relevant.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(dominant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reading),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others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questioning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(negotiated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reading),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others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outright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(oppositional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reading).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complicates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build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consensus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controversial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.8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Dependency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Dependency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proposed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Ball-Rokeach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DeFleur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(1976),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societal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structures.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uncertainty,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susceptible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dependency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lives.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heightened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dependency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heightens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anxiety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interconnectedness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societal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institutions.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closely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Biased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favor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exacerbate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polarization.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Conversely,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mitigate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discussions.</w:t>
      </w:r>
    </w:p>
    <w:bookmarkStart w:id="15" w:name="_Toc198702614"/>
    <w:p>
      <w:pPr>
        <w:keepNext/>
        <w:keepLines/>
        <w:spacing w:lineRule="auto" w:line="480"/>
        <w:jc w:val="left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bookmarkEnd w:id="15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Reports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Numerous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explored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offering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diverse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perspectives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valuable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pivotal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societal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Attitudes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Okeke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Yusuf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underscores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attitudes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newspaper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2012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68%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articles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expenses.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persistent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widespread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protests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deep-seated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authors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demonstrations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civic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unrest.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Similarly,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Johnson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citizens'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intensified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skepticism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struggles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societal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inequality,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existing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frustrations,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mobilizing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underscores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catalyst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sentiment.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Afolabi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expanded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techniques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infrastructure,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investments,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greater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acceptance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contrast,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hardships,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surging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escalating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heightened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suggest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addresses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short-term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benefits,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resistance.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Perspectives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Aliyu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tailored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reflect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concerns.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frequently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discussed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low-income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earners,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businesses,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overwhelmingly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outlets,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dialects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community-focused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resonate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Aliyu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attitudes,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distinct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Balogun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Omotosho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perspective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demonstrating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audiences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engage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believe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experiences,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life.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policymakers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crafting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implementation.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Mobilization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Amadi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Nwaorgu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investigated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mobilizing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protests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against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sensationalized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galvanizing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large-scale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protests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urban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areas.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dissent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rapid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emotionally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videos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protests,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interviews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critiques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mirrored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sentiments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creating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feedback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loop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intensified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pronounced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urban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centers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connected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Amadi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Nwaorgu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serve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accountability,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undermining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complicating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implementation.</w:t>
      </w:r>
    </w:p>
    <w:p>
      <w:pPr>
        <w:keepNext/>
        <w:spacing w:lineRule="auto" w:line="480"/>
        <w:jc w:val="left"/>
        <w:outlineLvl w:val="3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Media’s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emphasized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complex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Adebayo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(2023)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explanations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rationale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behind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redirected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infrastructure,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healthcare,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skepticism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decreased.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evident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experts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featured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discussions,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credibility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narratives.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Conversely,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sensational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solely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consequences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erode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complicates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build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consensus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reforms.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Adebayo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confidence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ensuring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acceptance.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Conclusion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reviewed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multifaceted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techniques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amplification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dissent,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serves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opposition,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sensationalized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biased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risks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exacerbating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undermining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implementation.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insights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underscore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strategic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engagement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facilitate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successful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execution.</w:t>
      </w:r>
    </w:p>
    <w:bookmarkStart w:id="16" w:name="_Toc198702615"/>
    <w:p>
      <w:pPr>
        <w:keepNext/>
        <w:keepLines/>
        <w:spacing w:lineRule="auto" w:line="480"/>
        <w:jc w:val="center"/>
        <w:outlineLvl w:val="0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CHAPTER</w:t>
      </w:r>
      <w:bookmarkEnd w:id="16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THREE</w:t>
      </w:r>
    </w:p>
    <w:bookmarkStart w:id="17" w:name="_Toc198702616"/>
    <w:bookmarkStart w:id="18" w:name="_Toc198701715"/>
    <w:p>
      <w:pPr>
        <w:keepNext/>
        <w:keepLines/>
        <w:spacing w:lineRule="auto" w:line="480"/>
        <w:jc w:val="center"/>
        <w:outlineLvl w:val="0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RESAECRH</w:t>
      </w:r>
      <w:bookmarkEnd w:id="17"/>
      <w:bookmarkEnd w:id="18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METHODOLOGY</w:t>
      </w:r>
    </w:p>
    <w:bookmarkStart w:id="19" w:name="_Toc198702617"/>
    <w:bookmarkStart w:id="20" w:name="_Toc198701716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bookmarkEnd w:id="19"/>
      <w:bookmarkEnd w:id="20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Design</w:t>
      </w:r>
    </w:p>
    <w:p>
      <w:pPr>
        <w:spacing w:after="200" w:lineRule="auto" w:line="480"/>
        <w:ind w:firstLine="500" w:firstLineChars="20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quantitative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employed.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approach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suitable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collecting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analyzing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numerical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removal.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enable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gather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structured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was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chosen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efficiency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obtaining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quantify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opinions,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attitudes,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perceptions.</w:t>
      </w:r>
    </w:p>
    <w:bookmarkStart w:id="21" w:name="_Toc198702618"/>
    <w:bookmarkStart w:id="22" w:name="_Toc198701717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bookmarkEnd w:id="21"/>
      <w:bookmarkEnd w:id="22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Analysis</w:t>
      </w:r>
    </w:p>
    <w:p>
      <w:pPr>
        <w:spacing w:after="200" w:lineRule="auto" w:line="480"/>
        <w:ind w:firstLine="500" w:firstLineChars="20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consists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consume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platforms,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radio,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television,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newspapers,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media.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journalists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practitioners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operating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region.</w:t>
      </w:r>
    </w:p>
    <w:bookmarkStart w:id="23" w:name="_Toc198702619"/>
    <w:bookmarkStart w:id="24" w:name="_Toc198701718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bookmarkEnd w:id="23"/>
      <w:bookmarkEnd w:id="24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Techniques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100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selected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multistage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technique.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First,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divided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clusters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wards.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select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individuals.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  </w:t>
      </w:r>
    </w:p>
    <w:bookmarkStart w:id="25" w:name="_Toc198702620"/>
    <w:bookmarkStart w:id="26" w:name="_Toc198701719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bookmarkEnd w:id="25"/>
      <w:bookmarkEnd w:id="26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Instrumentation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Collection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principal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instrument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designed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needed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achieve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study.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divided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parts: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focuse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demographic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gender,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occupation,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level.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addresse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consumption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habits,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preferred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usage.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explore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opinions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perceptions,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policies,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opinions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reports.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statement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required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choice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indicating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agreement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disagreement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statement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tick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appropriately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applie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columns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presented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</w:p>
    <w:bookmarkStart w:id="27" w:name="_Toc198702621"/>
    <w:bookmarkStart w:id="28" w:name="_Toc198701720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bookmarkEnd w:id="27"/>
      <w:bookmarkEnd w:id="28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Instrument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instrument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validated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approval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researcher's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supervisor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amendment.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correction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approval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researcher's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supervisor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regarded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enough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validity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instrument.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</w:p>
    <w:bookmarkStart w:id="29" w:name="_Toc198702622"/>
    <w:bookmarkStart w:id="30" w:name="_Toc198701721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bookmarkEnd w:id="29"/>
      <w:bookmarkEnd w:id="30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Instrument</w:t>
      </w:r>
    </w:p>
    <w:p>
      <w:pPr>
        <w:spacing w:after="200"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reliability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instruments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“Effects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firs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administered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pilot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share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similar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population.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weeks,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re-administered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group.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administrations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correlation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coefficient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Pearson's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determine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reliability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instrument.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correlation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coefficient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0.79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indicat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ed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instrument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reliable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consistent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time.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approach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ensures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measures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intended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variables,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consumption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habits,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policies,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dependable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manner.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interview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guide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checklist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pre-tested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clarity,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relevance,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generate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consistent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qualitative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data.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steps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reinforce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credibility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dependability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instruments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research.</w:t>
      </w:r>
    </w:p>
    <w:bookmarkStart w:id="31" w:name="_Toc198702623"/>
    <w:bookmarkStart w:id="32" w:name="_Toc198701722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7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bookmarkEnd w:id="31"/>
      <w:bookmarkEnd w:id="32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Collection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was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administered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himself.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personally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involved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giving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collecting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respondents,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establish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clear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day.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Also,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enough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thorough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careful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responses.</w:t>
      </w:r>
    </w:p>
    <w:bookmarkStart w:id="33" w:name="_Toc198702624"/>
    <w:bookmarkStart w:id="34" w:name="_Toc198701723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8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bookmarkEnd w:id="33"/>
      <w:bookmarkEnd w:id="34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Analysis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gathered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analysed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returned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questionnaires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forms.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analyze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answer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raise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zh-CN"/>
        </w:rPr>
        <w:t>one.</w:t>
      </w: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keepNext/>
        <w:keepLines/>
        <w:spacing w:lineRule="auto" w:line="276"/>
        <w:jc w:val="center"/>
        <w:outlineLvl w:val="0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bookmarkStart w:id="35" w:name="_Toc198702625"/>
    <w:bookmarkStart w:id="36" w:name="_Toc198701724"/>
    <w:p>
      <w:pPr>
        <w:keepNext/>
        <w:keepLines/>
        <w:spacing w:lineRule="auto" w:line="276"/>
        <w:jc w:val="center"/>
        <w:outlineLvl w:val="0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8"/>
          <w:highlight w:val="none"/>
          <w:vertAlign w:val="baseline"/>
          <w:em w:val="none"/>
          <w:lang w:val="en-US" w:eastAsia="en-US"/>
        </w:rPr>
        <w:t>CHAPTER</w:t>
      </w:r>
      <w:bookmarkEnd w:id="35"/>
      <w:bookmarkEnd w:id="36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8"/>
          <w:highlight w:val="none"/>
          <w:vertAlign w:val="baseline"/>
          <w:em w:val="none"/>
          <w:lang w:val="en-US" w:eastAsia="en-US"/>
        </w:rPr>
        <w:t>FOUR</w:t>
      </w:r>
    </w:p>
    <w:p>
      <w:pPr>
        <w:spacing w:after="200" w:lineRule="auto" w:line="276"/>
        <w:jc w:val="left"/>
        <w:rPr/>
      </w:pPr>
    </w:p>
    <w:bookmarkStart w:id="37" w:name="_Toc198702626"/>
    <w:bookmarkStart w:id="38" w:name="_Toc198701725"/>
    <w:p>
      <w:pPr>
        <w:keepNext/>
        <w:keepLines/>
        <w:spacing w:lineRule="auto" w:line="480"/>
        <w:jc w:val="center"/>
        <w:outlineLvl w:val="0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bookmarkEnd w:id="37"/>
      <w:bookmarkEnd w:id="38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RESULTS</w:t>
      </w:r>
    </w:p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opinion.</w:t>
      </w:r>
    </w:p>
    <w:bookmarkStart w:id="39" w:name="_Toc198702627"/>
    <w:bookmarkStart w:id="40" w:name="_Toc198701726"/>
    <w:p>
      <w:pPr>
        <w:keepNext/>
        <w:keepLines/>
        <w:spacing w:before="200" w:lineRule="auto" w:line="480"/>
        <w:jc w:val="left"/>
        <w:outlineLvl w:val="1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bookmarkEnd w:id="39"/>
      <w:bookmarkEnd w:id="40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A: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Demographic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Profile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Variable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Category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Frequency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Percentage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Age</w:t>
            </w:r>
          </w:p>
        </w:tc>
        <w:tc>
          <w:tcPr>
            <w:tcW w:w="216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Below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</w:p>
        </w:tc>
        <w:tc>
          <w:tcPr>
            <w:tcW w:w="216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20–29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30–39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40–49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50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years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above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Gender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Male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Female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Occupation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Student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Civil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Servant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Businessperson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Artisan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Others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Educational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Qualification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Primary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Secondary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</w:t>
            </w:r>
          </w:p>
        </w:tc>
        <w:tc>
          <w:tcPr>
            <w:tcW w:w="21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Tertiary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70</w:t>
            </w:r>
          </w:p>
        </w:tc>
        <w:tc>
          <w:tcPr>
            <w:tcW w:w="21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0" w:type="dxa"/>
            <w:tcBorders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None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36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5%</w:t>
            </w:r>
          </w:p>
        </w:tc>
      </w:tr>
    </w:tbl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demographic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reveals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largest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proportion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(40%)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20–29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years,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predominantly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youthful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population.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(60%)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females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(40%).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occupation,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businesspersons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civil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servants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artisans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(15%),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others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(15%).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(70%)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attained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tertiary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suggesting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largely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educated,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subsidy-related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</w:p>
    <w:bookmarkStart w:id="41" w:name="_Toc198702628"/>
    <w:bookmarkStart w:id="42" w:name="_Toc198701727"/>
    <w:p>
      <w:pPr>
        <w:keepNext/>
        <w:keepLines/>
        <w:spacing w:before="200" w:lineRule="auto" w:line="480"/>
        <w:jc w:val="left"/>
        <w:outlineLvl w:val="1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bookmarkEnd w:id="41"/>
      <w:bookmarkEnd w:id="42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B: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Consumption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Habits</w:t>
      </w:r>
    </w:p>
    <w:tbl>
      <w:tblPr>
        <w:tblW w:w="9018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1440"/>
        <w:gridCol w:w="810"/>
        <w:gridCol w:w="1170"/>
        <w:gridCol w:w="810"/>
      </w:tblGrid>
      <w:tr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prefer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social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primary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source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news.</w:t>
            </w:r>
          </w:p>
        </w:tc>
        <w:tc>
          <w:tcPr>
            <w:tcW w:w="144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45</w:t>
            </w:r>
          </w:p>
        </w:tc>
        <w:tc>
          <w:tcPr>
            <w:tcW w:w="81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81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consume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news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related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government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policies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daily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basis.</w:t>
            </w:r>
          </w:p>
        </w:tc>
        <w:tc>
          <w:tcPr>
            <w:tcW w:w="144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</w:t>
            </w:r>
          </w:p>
        </w:tc>
        <w:tc>
          <w:tcPr>
            <w:tcW w:w="81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35</w:t>
            </w:r>
          </w:p>
        </w:tc>
        <w:tc>
          <w:tcPr>
            <w:tcW w:w="117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81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trust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radio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more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than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other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platforms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accurate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news.</w:t>
            </w:r>
          </w:p>
        </w:tc>
        <w:tc>
          <w:tcPr>
            <w:tcW w:w="144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</w:t>
            </w:r>
          </w:p>
        </w:tc>
        <w:tc>
          <w:tcPr>
            <w:tcW w:w="81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</w:t>
            </w:r>
          </w:p>
        </w:tc>
        <w:tc>
          <w:tcPr>
            <w:tcW w:w="117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</w:t>
            </w:r>
          </w:p>
        </w:tc>
        <w:tc>
          <w:tcPr>
            <w:tcW w:w="81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frequently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across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news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about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fuel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subsidy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removal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through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media.</w:t>
            </w:r>
          </w:p>
        </w:tc>
        <w:tc>
          <w:tcPr>
            <w:tcW w:w="144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55</w:t>
            </w:r>
          </w:p>
        </w:tc>
        <w:tc>
          <w:tcPr>
            <w:tcW w:w="81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</w:t>
            </w:r>
          </w:p>
        </w:tc>
        <w:tc>
          <w:tcPr>
            <w:tcW w:w="117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8" w:type="dxa"/>
            <w:tcBorders>
              <w:bottom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reports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fuel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subsidy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removal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are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very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frequent.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50</w:t>
            </w:r>
          </w:p>
        </w:tc>
        <w:tc>
          <w:tcPr>
            <w:tcW w:w="810" w:type="dxa"/>
            <w:tcBorders>
              <w:bottom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35</w:t>
            </w:r>
          </w:p>
        </w:tc>
        <w:tc>
          <w:tcPr>
            <w:tcW w:w="1170" w:type="dxa"/>
            <w:tcBorders>
              <w:bottom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bottom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indicates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substantial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(75%)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reflecting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reliance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combined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75%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(40%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agree),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suggesting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engagement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matters.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mixed,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55%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(85%)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frequent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exposure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reinforcing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prominence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topic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coverage.</w:t>
      </w:r>
    </w:p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Question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two.</w:t>
      </w:r>
    </w:p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habits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removal?</w:t>
      </w:r>
    </w:p>
    <w:bookmarkStart w:id="43" w:name="_Toc198702629"/>
    <w:bookmarkStart w:id="44" w:name="_Toc198701728"/>
    <w:p>
      <w:pPr>
        <w:keepNext/>
        <w:keepLines/>
        <w:spacing w:before="200" w:lineRule="auto" w:line="480"/>
        <w:jc w:val="left"/>
        <w:outlineLvl w:val="1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bookmarkEnd w:id="43"/>
      <w:bookmarkEnd w:id="44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C: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Fuel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Subsidy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Removal</w:t>
      </w:r>
    </w:p>
    <w:tbl>
      <w:tblPr>
        <w:tblW w:w="10224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1260"/>
        <w:gridCol w:w="1350"/>
        <w:gridCol w:w="1728"/>
        <w:gridCol w:w="1728"/>
      </w:tblGrid>
      <w:tr>
        <w:trPr>
          <w:cantSplit w:val="false"/>
          <w:tblHeader w:val="false"/>
          <w:jc w:val="left"/>
        </w:trPr>
        <w:tc>
          <w:tcPr>
            <w:tcW w:w="4158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58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coverage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has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influenced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opinion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fuel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subsidy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removal.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ind w:left="-36" w:firstLine="2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50</w:t>
            </w:r>
          </w:p>
        </w:tc>
        <w:tc>
          <w:tcPr>
            <w:tcW w:w="1350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</w:t>
            </w:r>
          </w:p>
        </w:tc>
        <w:tc>
          <w:tcPr>
            <w:tcW w:w="1728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1728" w:type="dxa"/>
            <w:tcBorders>
              <w:top w:val="single" w:sz="8" w:space="0" w:color="000000"/>
            </w:tcBorders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5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tone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coverage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fuel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subsidy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removal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mostly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negative.</w:t>
            </w:r>
          </w:p>
        </w:tc>
        <w:tc>
          <w:tcPr>
            <w:tcW w:w="12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45</w:t>
            </w:r>
          </w:p>
        </w:tc>
        <w:tc>
          <w:tcPr>
            <w:tcW w:w="135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</w:t>
            </w:r>
          </w:p>
        </w:tc>
        <w:tc>
          <w:tcPr>
            <w:tcW w:w="172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</w:t>
            </w:r>
          </w:p>
        </w:tc>
        <w:tc>
          <w:tcPr>
            <w:tcW w:w="172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5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portrayal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fuel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subsidy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removal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affects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public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trust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government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policies.</w:t>
            </w:r>
          </w:p>
        </w:tc>
        <w:tc>
          <w:tcPr>
            <w:tcW w:w="12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48</w:t>
            </w:r>
          </w:p>
        </w:tc>
        <w:tc>
          <w:tcPr>
            <w:tcW w:w="135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32</w:t>
            </w:r>
          </w:p>
        </w:tc>
        <w:tc>
          <w:tcPr>
            <w:tcW w:w="172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172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5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trust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government’s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justification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removing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fuel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subsidy.</w:t>
            </w:r>
          </w:p>
        </w:tc>
        <w:tc>
          <w:tcPr>
            <w:tcW w:w="12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</w:t>
            </w:r>
          </w:p>
        </w:tc>
        <w:tc>
          <w:tcPr>
            <w:tcW w:w="135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</w:t>
            </w:r>
          </w:p>
        </w:tc>
        <w:tc>
          <w:tcPr>
            <w:tcW w:w="172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</w:t>
            </w:r>
          </w:p>
        </w:tc>
        <w:tc>
          <w:tcPr>
            <w:tcW w:w="172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5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type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platform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consume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influences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perception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fuel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subsidy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removal.</w:t>
            </w:r>
          </w:p>
        </w:tc>
        <w:tc>
          <w:tcPr>
            <w:tcW w:w="12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52</w:t>
            </w:r>
          </w:p>
        </w:tc>
        <w:tc>
          <w:tcPr>
            <w:tcW w:w="135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28</w:t>
            </w:r>
          </w:p>
        </w:tc>
        <w:tc>
          <w:tcPr>
            <w:tcW w:w="172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172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5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socio-economic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background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influences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perception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coverage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subsidy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removal.</w:t>
            </w:r>
          </w:p>
        </w:tc>
        <w:tc>
          <w:tcPr>
            <w:tcW w:w="126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</w:t>
            </w:r>
          </w:p>
        </w:tc>
        <w:tc>
          <w:tcPr>
            <w:tcW w:w="1350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35</w:t>
            </w:r>
          </w:p>
        </w:tc>
        <w:tc>
          <w:tcPr>
            <w:tcW w:w="172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1728" w:type="dxa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5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support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fuel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subsidy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removal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policy.</w:t>
            </w:r>
          </w:p>
        </w:tc>
        <w:tc>
          <w:tcPr>
            <w:tcW w:w="126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</w:p>
        </w:tc>
        <w:tc>
          <w:tcPr>
            <w:tcW w:w="1350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</w:t>
            </w:r>
          </w:p>
        </w:tc>
        <w:tc>
          <w:tcPr>
            <w:tcW w:w="172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35</w:t>
            </w:r>
          </w:p>
        </w:tc>
        <w:tc>
          <w:tcPr>
            <w:tcW w:w="1728" w:type="dxa"/>
            <w:tcBorders/>
            <w:shd w:val="clear" w:color="ffffff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58" w:type="dxa"/>
            <w:tcBorders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Public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trust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government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policies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can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improved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through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more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balanced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media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coverage.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</w:t>
            </w:r>
          </w:p>
        </w:tc>
        <w:tc>
          <w:tcPr>
            <w:tcW w:w="1728" w:type="dxa"/>
            <w:tcBorders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</w:t>
            </w:r>
          </w:p>
        </w:tc>
        <w:tc>
          <w:tcPr>
            <w:tcW w:w="1728" w:type="dxa"/>
            <w:tcBorders>
              <w:bottom w:val="single" w:sz="8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480"/>
              <w:jc w:val="left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</w:p>
        </w:tc>
      </w:tr>
    </w:tbl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believe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regarding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(80%).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75%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80%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believe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Notably,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45%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justification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60%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disagree.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80%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platform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75%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contributing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(40%),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85%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believe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</w:p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Question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three.</w:t>
      </w:r>
    </w:p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South?</w:t>
      </w:r>
    </w:p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Summary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Findings</w:t>
      </w:r>
    </w:p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young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educated,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engage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interpret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frequent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exposure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</w:p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engagement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radio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mixed.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suggest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sensitive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participants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portrayals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policies.</w:t>
      </w:r>
    </w:p>
    <w:p>
      <w:pPr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noticeable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government's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reasons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removing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subsidy,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balanced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rebuild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trust.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consumed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issue.</w:t>
      </w:r>
    </w:p>
    <w:p>
      <w:pPr>
        <w:spacing w:lineRule="auto" w:line="480"/>
        <w:jc w:val="left"/>
        <w:rPr/>
      </w:pPr>
    </w:p>
    <w:p>
      <w:pPr>
        <w:spacing w:lineRule="auto" w:line="480"/>
        <w:jc w:val="left"/>
        <w:rPr/>
      </w:pPr>
    </w:p>
    <w:p>
      <w:pPr>
        <w:spacing w:lineRule="auto" w:line="480"/>
        <w:jc w:val="left"/>
        <w:rPr/>
      </w:pPr>
    </w:p>
    <w:bookmarkStart w:id="45" w:name="_Toc198701729"/>
    <w:bookmarkStart w:id="46" w:name="_Toc198702630"/>
    <w:p>
      <w:pPr>
        <w:keepNext/>
        <w:keepLines/>
        <w:spacing w:lineRule="auto" w:line="480"/>
        <w:jc w:val="center"/>
        <w:outlineLvl w:val="0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CHAPTER</w:t>
      </w:r>
      <w:bookmarkEnd w:id="45"/>
      <w:bookmarkEnd w:id="46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FIVE</w:t>
      </w:r>
    </w:p>
    <w:bookmarkStart w:id="47" w:name="_Toc198701730"/>
    <w:bookmarkStart w:id="48" w:name="_Toc198702631"/>
    <w:p>
      <w:pPr>
        <w:keepNext/>
        <w:keepLines/>
        <w:spacing w:lineRule="auto" w:line="480"/>
        <w:jc w:val="center"/>
        <w:outlineLvl w:val="1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SUMMARY,</w:t>
      </w:r>
      <w:bookmarkEnd w:id="47"/>
      <w:bookmarkEnd w:id="48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RECOMMENDATIONS</w:t>
      </w:r>
    </w:p>
    <w:bookmarkStart w:id="49" w:name="_Toc198701731"/>
    <w:bookmarkStart w:id="50" w:name="_Toc198702632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5.1</w:t>
      </w:r>
      <w:bookmarkEnd w:id="49"/>
      <w:bookmarkEnd w:id="50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Summary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investigated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motivated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increasing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issues,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citizens'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(Ojebode,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2011;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Yusuf,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2022).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introduced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historical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relevance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reasons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behind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removal.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outlined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problem—how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interpret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questions,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objectives,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significance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established.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comprehensive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literature,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opinion.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Agenda-Setting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(McCombs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Shaw,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1972)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explored,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emphasizing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decides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prominent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presented.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Asemah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Nwabueze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Ebeze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supported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assertion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perceive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negatively.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methodology.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descriptive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employed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obtain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quantitative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South.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structured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regarding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removal,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opinion.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population,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size,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technique,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(Udoakah,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described.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analyzed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interpreted.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heavily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influenced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relied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television,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radio,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newspapers,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influenced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significantly—some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frustration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negatively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portrayed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(Yusuf,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2022).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Overall,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confirmed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economically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sensitive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controversial.</w:t>
      </w:r>
    </w:p>
    <w:bookmarkStart w:id="51" w:name="_Toc198701732"/>
    <w:bookmarkStart w:id="52" w:name="_Toc198702633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5.2</w:t>
      </w:r>
      <w:bookmarkEnd w:id="51"/>
      <w:bookmarkEnd w:id="52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Conclusion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findings,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concludes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perceive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subsidy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debate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demonstrates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repetitive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exposure,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emphasis,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emotional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(McCombs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Shaw,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1972).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South,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media-reliant,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narratives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profound.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judged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represented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(Asemah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2013).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underscores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responsibility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practitioners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sensitively,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implications.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Furthermore,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reinforces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transparent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crucial.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biased,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misinformation,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outrage,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(Ojebode,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2011).</w:t>
      </w:r>
    </w:p>
    <w:p>
      <w:pPr>
        <w:spacing w:after="200" w:lineRule="auto" w:line="480"/>
        <w:jc w:val="both"/>
        <w:rPr/>
      </w:pPr>
    </w:p>
    <w:bookmarkStart w:id="53" w:name="_Toc198701733"/>
    <w:bookmarkStart w:id="54" w:name="_Toc198702634"/>
    <w:p>
      <w:pPr>
        <w:keepNext/>
        <w:keepLines/>
        <w:spacing w:lineRule="auto" w:line="480"/>
        <w:jc w:val="both"/>
        <w:outlineLvl w:val="2"/>
        <w:rPr/>
      </w:pP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5.3</w:t>
      </w:r>
      <w:bookmarkEnd w:id="53"/>
      <w:bookmarkEnd w:id="54"/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Gothic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Recommendations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findings,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recommendations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proposed:</w:t>
      </w:r>
    </w:p>
    <w:p>
      <w:pPr>
        <w:spacing w:after="200" w:lineRule="auto" w:line="480"/>
        <w:ind w:left="720"/>
        <w:jc w:val="both"/>
        <w:rPr/>
      </w:pP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Professionals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Prioritize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Balanced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Reporting: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practitioners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avoid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sensationalism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reporting,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addressing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reforms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affect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(Nwabueze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Ebeze,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2013).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Ethical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journalism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precedence.</w:t>
      </w:r>
    </w:p>
    <w:p>
      <w:pPr>
        <w:spacing w:after="200" w:lineRule="auto" w:line="480"/>
        <w:ind w:left="720"/>
        <w:jc w:val="both"/>
        <w:rPr/>
      </w:pP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Strategic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Communication: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collaborate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houses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clear,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consistent,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transparent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policies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fuel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subsidy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removal.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build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trust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resistance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(Ojebode,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2011).</w:t>
      </w:r>
    </w:p>
    <w:p>
      <w:pPr>
        <w:spacing w:after="200" w:lineRule="auto" w:line="480"/>
        <w:ind w:left="720"/>
        <w:jc w:val="both"/>
        <w:rPr/>
      </w:pP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Sensitization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Programs: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educated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interpret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critically.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Schools,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NGOs,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religious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roles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literacy,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helping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recognize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bias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misinformation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(Udoakah,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2010).</w:t>
      </w:r>
    </w:p>
    <w:p>
      <w:pPr>
        <w:spacing w:after="200" w:lineRule="auto" w:line="480"/>
        <w:ind w:left="720"/>
        <w:jc w:val="both"/>
        <w:rPr/>
      </w:pP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Media: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leverage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radio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language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broadcasts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wider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culturally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understandable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format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(Asemah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2013).</w:t>
      </w:r>
    </w:p>
    <w:p>
      <w:pPr>
        <w:spacing w:after="200" w:lineRule="auto" w:line="480"/>
        <w:ind w:left="720"/>
        <w:jc w:val="both"/>
        <w:rPr/>
      </w:pP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Feedback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Mechanisms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Encouraged: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feedback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controversial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policies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Talk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shows,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forums,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dialogue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give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inclusion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hostility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(Yusuf,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2022).</w:t>
      </w:r>
    </w:p>
    <w:p>
      <w:pPr>
        <w:spacing w:after="200" w:lineRule="auto" w:line="480"/>
        <w:ind w:left="720"/>
        <w:jc w:val="both"/>
        <w:rPr/>
      </w:pP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Needed: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opinion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geopolitical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zones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areas.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Comparative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holistic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populations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perceive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MS Mincho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decisions.</w:t>
      </w:r>
    </w:p>
    <w:p>
      <w:pPr>
        <w:spacing w:lineRule="auto" w:line="480"/>
        <w:jc w:val="left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mbria">
    <w:altName w:val="Cambria"/>
    <w:panose1 w:val="02040503050006030204"/>
    <w:charset w:val="00"/>
    <w:family w:val="roman"/>
    <w:pitch w:val="default"/>
    <w:sig w:usb0="E00002FF" w:usb1="400004FF" w:usb2="00000000" w:usb3="00000000" w:csb0="2000019F" w:csb1="00000000"/>
  </w:font>
  <w:font w:name="MS Mincho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">
    <w:name w:val="heading 1"/>
    <w:basedOn w:val="style0"/>
    <w:next w:val="style4094"/>
    <w:qFormat/>
    <w:pPr>
      <w:keepNext/>
      <w:keepLines/>
      <w:widowControl w:val="false"/>
      <w:spacing w:before="480" w:after="0" w:lineRule="auto" w:line="276"/>
      <w:ind w:left="0" w:right="0"/>
      <w:outlineLvl w:val="0"/>
    </w:pPr>
    <w:rPr>
      <w:rFonts w:ascii="Times New Roman" w:cs="SimSun" w:eastAsia="MS Gothic" w:hAnsi="Times New Roman"/>
      <w:b/>
      <w:bCs/>
      <w:color w:val="365f91"/>
      <w:sz w:val="28"/>
      <w:szCs w:val="28"/>
      <w:lang w:eastAsia="en-US"/>
    </w:rPr>
  </w:style>
  <w:style w:type="paragraph" w:styleId="style2">
    <w:name w:val="heading 2"/>
    <w:basedOn w:val="style0"/>
    <w:next w:val="style4094"/>
    <w:qFormat/>
    <w:pPr>
      <w:keepNext/>
      <w:keepLines/>
      <w:widowControl w:val="false"/>
      <w:spacing w:before="200" w:after="0" w:lineRule="auto" w:line="276"/>
      <w:ind w:left="0" w:right="0"/>
      <w:outlineLvl w:val="1"/>
    </w:pPr>
    <w:rPr>
      <w:rFonts w:ascii="Times New Roman" w:cs="SimSun" w:eastAsia="MS Gothic" w:hAnsi="Times New Roman"/>
      <w:b/>
      <w:bCs/>
      <w:color w:val="4f81bd"/>
      <w:sz w:val="26"/>
      <w:szCs w:val="26"/>
      <w:lang w:eastAsia="en-US"/>
    </w:rPr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200" w:lineRule="auto" w:line="276"/>
      <w:ind w:left="0" w:right="0"/>
    </w:pPr>
    <w:rPr>
      <w:rFonts w:ascii="Times New Roman" w:cs="Times New Roman" w:eastAsia="宋体" w:hAnsi="Times New Roman"/>
      <w:sz w:val="22"/>
      <w:szCs w:val="22"/>
      <w:lang w:eastAsia="zh-CN"/>
    </w:rPr>
  </w:style>
  <w:style w:type="paragraph" w:styleId="style3">
    <w:name w:val="heading 3"/>
    <w:basedOn w:val="style0"/>
    <w:next w:val="style4094"/>
    <w:qFormat/>
    <w:pPr>
      <w:keepNext/>
      <w:keepLines/>
      <w:widowControl w:val="false"/>
      <w:spacing w:before="200" w:after="0" w:lineRule="auto" w:line="276"/>
      <w:ind w:left="0" w:right="0"/>
      <w:outlineLvl w:val="2"/>
    </w:pPr>
    <w:rPr>
      <w:rFonts w:ascii="Times New Roman" w:cs="Times New Roman" w:eastAsia="MS Gothic" w:hAnsi="Times New Roman"/>
      <w:b/>
      <w:color w:val="4f81bd"/>
      <w:sz w:val="22"/>
      <w:szCs w:val="22"/>
      <w:lang w:eastAsia="en-US"/>
    </w:rPr>
  </w:style>
  <w:style w:type="paragraph" w:styleId="style4">
    <w:name w:val="heading 4"/>
    <w:basedOn w:val="style0"/>
    <w:next w:val="style4094"/>
    <w:qFormat/>
    <w:pPr>
      <w:keepNext/>
      <w:spacing w:before="240" w:after="60" w:lineRule="auto" w:line="276"/>
      <w:ind w:left="0" w:right="0"/>
      <w:outlineLvl w:val="3"/>
    </w:pPr>
    <w:rPr>
      <w:rFonts w:ascii="Times New Roman" w:cs="Times New Roman" w:eastAsia="宋体" w:hAnsi="Times New Roman"/>
      <w:b/>
      <w:sz w:val="28"/>
      <w:szCs w:val="28"/>
      <w:lang w:eastAsia="zh-CN"/>
    </w:rPr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/>
    </w:pPr>
    <w:rPr>
      <w:rFonts w:ascii="Cambria" w:cs="Cambria" w:eastAsia="MS Mincho" w:hAnsi="Cambria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7974</Words>
  <Characters>47596</Characters>
  <Application>WPS Office</Application>
  <Paragraphs>391</Paragraphs>
  <CharactersWithSpaces>55456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2025-07-11T12:29:44Z</dcterms:created>
  <dc:creator>itel A665L</dc:creator>
  <lastModifiedBy>itel A665L</lastModifiedBy>
  <dcterms:modified xsi:type="dcterms:W3CDTF">2025-07-11T12:31:04Z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656ecf0e1f11464dbda59c0996f3e3f4</vt:lpwstr>
  </property>
</Properties>
</file>