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EFFECT OF ORGANIC AMENDMENTS ON SOIL MYCOBIOME</w:t>
      </w:r>
    </w:p>
    <w:p>
      <w:pPr>
        <w:pStyle w:val="style0"/>
        <w:spacing w:after="0" w:lineRule="auto" w:line="480"/>
        <w:jc w:val="center"/>
        <w:rPr>
          <w:rFonts w:ascii="Times New Roman" w:cs="Times New Roman" w:hAnsi="Times New Roman"/>
          <w:b/>
          <w:bCs/>
          <w:sz w:val="32"/>
          <w:szCs w:val="32"/>
        </w:rPr>
      </w:pPr>
      <w:r>
        <w:rPr>
          <w:rFonts w:ascii="Times New Roman" w:cs="Times New Roman" w:hAnsi="Times New Roman"/>
          <w:b/>
          <w:bCs/>
          <w:sz w:val="32"/>
          <w:szCs w:val="32"/>
        </w:rPr>
        <w:t>BY</w:t>
      </w:r>
    </w:p>
    <w:p>
      <w:pPr>
        <w:pStyle w:val="style0"/>
        <w:spacing w:after="0" w:lineRule="auto" w:line="240"/>
        <w:rPr>
          <w:rFonts w:ascii="Times New Roman" w:cs="Times New Roman" w:hAnsi="Times New Roman"/>
          <w:b/>
          <w:bCs/>
          <w:sz w:val="28"/>
          <w:szCs w:val="28"/>
        </w:rPr>
      </w:pPr>
      <w:r>
        <w:rPr>
          <w:rFonts w:ascii="Times New Roman" w:cs="Times New Roman" w:hAnsi="Times New Roman"/>
          <w:b/>
          <w:bCs/>
          <w:sz w:val="28"/>
          <w:szCs w:val="28"/>
          <w:lang w:val="en-US"/>
        </w:rPr>
        <w:t xml:space="preserve">                                 TAJUDEEN RUKAYAT GBEMISOLA</w:t>
      </w:r>
    </w:p>
    <w:p>
      <w:pPr>
        <w:pStyle w:val="style0"/>
        <w:spacing w:after="0" w:lineRule="auto" w:line="240"/>
        <w:rPr>
          <w:rFonts w:ascii="Times New Roman" w:cs="Times New Roman" w:hAnsi="Times New Roman"/>
          <w:b/>
          <w:bCs/>
          <w:sz w:val="28"/>
          <w:szCs w:val="28"/>
        </w:rPr>
      </w:pPr>
    </w:p>
    <w:p>
      <w:pPr>
        <w:pStyle w:val="style0"/>
        <w:spacing w:after="0" w:lineRule="auto" w:line="240"/>
        <w:rPr>
          <w:rFonts w:ascii="Times New Roman" w:cs="Times New Roman" w:hAnsi="Times New Roman"/>
          <w:b/>
          <w:bCs/>
          <w:sz w:val="28"/>
          <w:szCs w:val="28"/>
        </w:rPr>
      </w:pPr>
      <w:r>
        <w:rPr>
          <w:rFonts w:ascii="Times New Roman" w:cs="Times New Roman" w:hAnsi="Times New Roman"/>
          <w:b/>
          <w:bCs/>
          <w:sz w:val="28"/>
          <w:szCs w:val="28"/>
          <w:lang w:val="en-US"/>
        </w:rPr>
        <w:t xml:space="preserve">                                      HND/23/SLT/FT/0633</w:t>
      </w:r>
    </w:p>
    <w:p>
      <w:pPr>
        <w:pStyle w:val="style0"/>
        <w:spacing w:after="0" w:lineRule="auto" w:line="240"/>
        <w:rPr>
          <w:rFonts w:ascii="Times New Roman" w:cs="Times New Roman" w:hAnsi="Times New Roman"/>
          <w:b/>
          <w:bCs/>
          <w:sz w:val="28"/>
          <w:szCs w:val="28"/>
        </w:rPr>
      </w:pPr>
    </w:p>
    <w:p>
      <w:pPr>
        <w:pStyle w:val="style0"/>
        <w:spacing w:after="0" w:lineRule="auto" w:line="480"/>
        <w:rPr>
          <w:rFonts w:ascii="Times New Roman" w:cs="Times New Roman" w:hAnsi="Times New Roman"/>
          <w:b/>
          <w:sz w:val="28"/>
          <w:szCs w:val="28"/>
        </w:rPr>
      </w:pPr>
      <w:r>
        <w:rPr>
          <w:rFonts w:ascii="Times New Roman" w:cs="Times New Roman" w:hAnsi="Times New Roman"/>
          <w:b/>
          <w:sz w:val="28"/>
          <w:szCs w:val="28"/>
        </w:rPr>
        <w:t>A PROJECT SUBMITTED TO THE DEPARTMENT OF SCIENCE LABORATORY TECHNOLOGY, INSTITUTE OF APPLIED SCIENCES (IAS), KWARA STATE POLYTECHNIC, ILORIN,</w:t>
      </w:r>
    </w:p>
    <w:p>
      <w:pPr>
        <w:pStyle w:val="style94"/>
        <w:spacing w:after="150" w:afterAutospacing="false" w:lineRule="atLeast" w:line="21"/>
        <w:jc w:val="center"/>
        <w:rPr>
          <w:b/>
          <w:sz w:val="28"/>
          <w:szCs w:val="28"/>
        </w:rPr>
      </w:pPr>
      <w:r>
        <w:rPr>
          <w:b/>
          <w:sz w:val="28"/>
          <w:szCs w:val="28"/>
        </w:rPr>
        <w:t>IN PARTIAL FULFILMENT OF THE REQUIREMENTS FOR THE AWARD OF HIGHER NATIONAL DIPLOMA (HND) IN SCIENCE LABORATORY TECHNOLOGY, INSTITUTE OF APPLIED SCIENCES (IAS),</w:t>
      </w:r>
      <w:r>
        <w:rPr>
          <w:b/>
          <w:sz w:val="28"/>
          <w:szCs w:val="28"/>
        </w:rPr>
        <w:t xml:space="preserve"> </w:t>
      </w:r>
      <w:r>
        <w:rPr>
          <w:b/>
          <w:sz w:val="28"/>
          <w:szCs w:val="28"/>
        </w:rPr>
        <w:t>MICROBIOLOGY UNIT</w:t>
      </w:r>
    </w:p>
    <w:p>
      <w:pPr>
        <w:pStyle w:val="style94"/>
        <w:spacing w:after="150" w:afterAutospacing="false" w:lineRule="atLeast" w:line="21"/>
        <w:jc w:val="center"/>
        <w:rPr>
          <w:b/>
          <w:sz w:val="28"/>
          <w:szCs w:val="28"/>
        </w:rPr>
      </w:pPr>
      <w:r>
        <w:rPr>
          <w:b/>
          <w:sz w:val="28"/>
          <w:szCs w:val="28"/>
        </w:rPr>
        <w:t>KWARA STATE POLYTECHNIC ILORIN</w:t>
      </w:r>
    </w:p>
    <w:p>
      <w:pPr>
        <w:pStyle w:val="style94"/>
        <w:spacing w:after="150" w:afterAutospacing="false" w:lineRule="atLeast" w:line="21"/>
        <w:ind w:left="6480" w:firstLine="720"/>
        <w:jc w:val="center"/>
        <w:rPr>
          <w:b/>
          <w:sz w:val="28"/>
          <w:szCs w:val="28"/>
        </w:rPr>
      </w:pPr>
      <w:r>
        <w:rPr>
          <w:b/>
          <w:sz w:val="28"/>
          <w:szCs w:val="28"/>
        </w:rPr>
        <w:t>JULY, 2025</w:t>
      </w:r>
    </w:p>
    <w:p>
      <w:pPr>
        <w:pStyle w:val="style94"/>
        <w:spacing w:after="150" w:afterAutospacing="false" w:lineRule="atLeast" w:line="21"/>
        <w:jc w:val="center"/>
        <w:rPr>
          <w:sz w:val="26"/>
          <w:szCs w:val="26"/>
        </w:rPr>
      </w:pPr>
      <w:r>
        <w:rPr>
          <w:rFonts w:eastAsia="-webkit-standard"/>
          <w:sz w:val="28"/>
          <w:szCs w:val="28"/>
        </w:rPr>
        <w:t> </w:t>
      </w:r>
    </w:p>
    <w:p>
      <w:pPr>
        <w:pStyle w:val="style0"/>
        <w:spacing w:after="0" w:lineRule="auto" w:line="480"/>
        <w:jc w:val="center"/>
        <w:rPr>
          <w:rFonts w:ascii="Times New Roman" w:cs="Times New Roman" w:hAnsi="Times New Roman"/>
          <w:b/>
          <w:bCs/>
          <w:sz w:val="26"/>
          <w:szCs w:val="26"/>
        </w:rPr>
      </w:pPr>
    </w:p>
    <w:p>
      <w:pPr>
        <w:pStyle w:val="style0"/>
        <w:spacing w:after="0" w:lineRule="auto" w:line="480"/>
        <w:jc w:val="center"/>
        <w:rPr>
          <w:rFonts w:ascii="Times New Roman" w:cs="Times New Roman" w:hAnsi="Times New Roman"/>
          <w:b/>
          <w:bCs/>
          <w:sz w:val="28"/>
          <w:szCs w:val="28"/>
        </w:rPr>
      </w:pPr>
      <w:r>
        <w:rPr>
          <w:rFonts w:ascii="Times New Roman" w:cs="Times New Roman" w:hAnsi="Times New Roman"/>
          <w:b/>
          <w:bCs/>
          <w:sz w:val="28"/>
          <w:szCs w:val="28"/>
        </w:rPr>
        <w:t>C</w:t>
      </w:r>
      <w:r>
        <w:rPr>
          <w:rFonts w:ascii="Times New Roman" w:cs="Times New Roman" w:hAnsi="Times New Roman"/>
          <w:b/>
          <w:bCs/>
          <w:sz w:val="28"/>
          <w:szCs w:val="28"/>
          <w:lang w:val="en-US"/>
        </w:rPr>
        <w:t>ERTIFICATION</w:t>
      </w:r>
    </w:p>
    <w:p>
      <w:pPr>
        <w:pStyle w:val="style0"/>
        <w:spacing w:lineRule="auto" w:line="259"/>
        <w:jc w:val="both"/>
        <w:rPr>
          <w:rFonts w:ascii="Times New Roman" w:cs="Times New Roman" w:hAnsi="Times New Roman"/>
          <w:b/>
          <w:bCs/>
          <w:sz w:val="28"/>
          <w:szCs w:val="28"/>
        </w:rPr>
      </w:pPr>
      <w:r>
        <w:rPr>
          <w:rFonts w:ascii="Times New Roman" w:cs="Times New Roman" w:hAnsi="Times New Roman"/>
          <w:b/>
          <w:bCs/>
          <w:sz w:val="28"/>
          <w:szCs w:val="28"/>
          <w:lang w:val="en-US"/>
        </w:rPr>
        <w:t xml:space="preserve"> This is to certified that this project is the original work carried out and reported  by TAJUDEEN RUKAYAT GBEMISOLA with matric number HND/23/SLT/FT/0633 to the department of SCIENCE LABORATORY TECHNOLOGY (MICROBIOLOGY UNIT), INSTITUTE OF APPLIED SCIENCE (IAS) KWARA STATE POLYTECHNIC ILORIN and it has been approved in partial fulfilment of the requirements for the award of Higher National Diploma (HND) in Science Laboratory Technology.</w:t>
      </w:r>
    </w:p>
    <w:p>
      <w:pPr>
        <w:pStyle w:val="style0"/>
        <w:spacing w:after="0" w:lineRule="auto" w:line="480"/>
        <w:jc w:val="center"/>
        <w:rPr>
          <w:rFonts w:ascii="Times New Roman" w:cs="Times New Roman" w:hAnsi="Times New Roman"/>
          <w:b/>
          <w:bCs/>
          <w:sz w:val="28"/>
          <w:szCs w:val="28"/>
        </w:rPr>
      </w:pPr>
    </w:p>
    <w:p>
      <w:pPr>
        <w:pStyle w:val="style0"/>
        <w:spacing w:after="0"/>
        <w:jc w:val="both"/>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__________________________                                   __________________</w:t>
      </w: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M</w:t>
      </w:r>
      <w:r>
        <w:rPr>
          <w:rFonts w:ascii="Times New Roman" w:cs="Times New Roman" w:hAnsi="Times New Roman"/>
          <w:b/>
          <w:sz w:val="28"/>
          <w:szCs w:val="28"/>
          <w:lang w:val="en-US"/>
        </w:rPr>
        <w:t>I</w:t>
      </w:r>
      <w:r>
        <w:rPr>
          <w:rFonts w:ascii="Times New Roman" w:cs="Times New Roman" w:hAnsi="Times New Roman"/>
          <w:b/>
          <w:sz w:val="28"/>
          <w:szCs w:val="28"/>
        </w:rPr>
        <w:t>S</w:t>
      </w:r>
      <w:r>
        <w:rPr>
          <w:rFonts w:ascii="Times New Roman" w:cs="Times New Roman" w:hAnsi="Times New Roman"/>
          <w:b/>
          <w:sz w:val="28"/>
          <w:szCs w:val="28"/>
          <w:lang w:val="en-US"/>
        </w:rPr>
        <w:t>S</w:t>
      </w:r>
      <w:r>
        <w:rPr>
          <w:rFonts w:ascii="Times New Roman" w:cs="Times New Roman" w:hAnsi="Times New Roman"/>
          <w:b/>
          <w:sz w:val="28"/>
          <w:szCs w:val="28"/>
        </w:rPr>
        <w:t>. AHMED T.</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 xml:space="preserve">     DATE</w:t>
      </w: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(PROJECT SUPERVISOR)</w:t>
      </w:r>
    </w:p>
    <w:p>
      <w:pPr>
        <w:pStyle w:val="style0"/>
        <w:spacing w:after="0" w:lineRule="auto" w:line="240"/>
        <w:rPr>
          <w:rFonts w:ascii="Times New Roman" w:cs="Times New Roman" w:hAnsi="Times New Roman"/>
          <w:b/>
          <w:sz w:val="28"/>
          <w:szCs w:val="28"/>
        </w:rPr>
      </w:pPr>
    </w:p>
    <w:p>
      <w:pPr>
        <w:pStyle w:val="style0"/>
        <w:spacing w:after="0" w:lineRule="auto" w:line="240"/>
        <w:rPr>
          <w:rFonts w:ascii="Times New Roman" w:cs="Times New Roman" w:hAnsi="Times New Roman"/>
          <w:b/>
          <w:sz w:val="28"/>
          <w:szCs w:val="28"/>
        </w:rPr>
      </w:pPr>
    </w:p>
    <w:p>
      <w:pPr>
        <w:pStyle w:val="style0"/>
        <w:spacing w:after="0" w:lineRule="auto" w:line="240"/>
        <w:rPr>
          <w:rFonts w:ascii="Times New Roman" w:cs="Times New Roman" w:hAnsi="Times New Roman"/>
          <w:b/>
          <w:sz w:val="28"/>
          <w:szCs w:val="28"/>
        </w:rPr>
      </w:pP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______________________</w:t>
      </w:r>
      <w:r>
        <w:rPr>
          <w:rFonts w:ascii="Times New Roman" w:cs="Times New Roman" w:hAnsi="Times New Roman"/>
          <w:b/>
          <w:sz w:val="28"/>
          <w:szCs w:val="28"/>
        </w:rPr>
        <w:tab/>
      </w:r>
      <w:r>
        <w:rPr>
          <w:rFonts w:ascii="Times New Roman" w:cs="Times New Roman" w:hAnsi="Times New Roman"/>
          <w:b/>
          <w:sz w:val="28"/>
          <w:szCs w:val="28"/>
        </w:rPr>
        <w:t xml:space="preserve">                         </w:t>
      </w:r>
      <w:r>
        <w:rPr>
          <w:rFonts w:ascii="Times New Roman" w:cs="Times New Roman" w:hAnsi="Times New Roman"/>
          <w:b/>
          <w:sz w:val="28"/>
          <w:szCs w:val="28"/>
        </w:rPr>
        <w:tab/>
      </w:r>
      <w:r>
        <w:rPr>
          <w:rFonts w:ascii="Times New Roman" w:cs="Times New Roman" w:hAnsi="Times New Roman"/>
          <w:b/>
          <w:sz w:val="28"/>
          <w:szCs w:val="28"/>
        </w:rPr>
        <w:t xml:space="preserve"> ____________________</w:t>
      </w: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M</w:t>
      </w:r>
      <w:r>
        <w:rPr>
          <w:rFonts w:ascii="Times New Roman" w:cs="Times New Roman" w:hAnsi="Times New Roman"/>
          <w:b/>
          <w:sz w:val="28"/>
          <w:szCs w:val="28"/>
          <w:lang w:val="en-US"/>
        </w:rPr>
        <w:t>IS</w:t>
      </w:r>
      <w:r>
        <w:rPr>
          <w:rFonts w:ascii="Times New Roman" w:cs="Times New Roman" w:hAnsi="Times New Roman"/>
          <w:b/>
          <w:sz w:val="28"/>
          <w:szCs w:val="28"/>
        </w:rPr>
        <w:t xml:space="preserve">S. AHMED T. </w:t>
      </w:r>
      <w:r>
        <w:rPr>
          <w:rFonts w:ascii="Times New Roman" w:cs="Times New Roman" w:hAnsi="Times New Roman"/>
          <w:b/>
          <w:sz w:val="28"/>
          <w:szCs w:val="28"/>
        </w:rPr>
        <w:tab/>
      </w:r>
      <w:r>
        <w:rPr>
          <w:rFonts w:ascii="Times New Roman" w:cs="Times New Roman" w:hAnsi="Times New Roman"/>
          <w:b/>
          <w:sz w:val="28"/>
          <w:szCs w:val="28"/>
        </w:rPr>
        <w:t xml:space="preserve">                                                        DATE</w:t>
      </w: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 xml:space="preserve">(HOU MICROBIOLOGY) </w:t>
      </w: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__________________________                                 ___________________</w:t>
      </w: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DR. USMAN A.</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 xml:space="preserve">                  DATE</w:t>
      </w: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 xml:space="preserve">(HEAD OF DEPARTMENT) </w:t>
      </w: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r>
        <w:rPr>
          <w:rFonts w:ascii="Times New Roman" w:cs="Times New Roman" w:hAnsi="Times New Roman"/>
          <w:sz w:val="28"/>
          <w:szCs w:val="28"/>
        </w:rPr>
        <w:t>___________________</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__________________</w:t>
      </w: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External Examiner</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 xml:space="preserve">     DATE</w:t>
      </w:r>
    </w:p>
    <w:p>
      <w:pPr>
        <w:pStyle w:val="style0"/>
        <w:spacing w:after="0" w:lineRule="auto" w:line="480"/>
        <w:jc w:val="center"/>
        <w:rPr>
          <w:rFonts w:ascii="Times New Roman" w:cs="Times New Roman" w:hAnsi="Times New Roman"/>
          <w:b/>
          <w:bCs/>
          <w:sz w:val="28"/>
          <w:szCs w:val="28"/>
        </w:rPr>
      </w:pPr>
    </w:p>
    <w:p>
      <w:pPr>
        <w:pStyle w:val="style0"/>
        <w:jc w:val="left"/>
        <w:rPr>
          <w:rFonts w:ascii="Times New Roman" w:cs="Times New Roman" w:hAnsi="Times New Roman"/>
          <w:b/>
          <w:bCs/>
          <w:color w:val="000000"/>
          <w:sz w:val="28"/>
          <w:szCs w:val="28"/>
        </w:rPr>
      </w:pPr>
    </w:p>
    <w:p>
      <w:pPr>
        <w:spacing w:after="160" w:lineRule="auto" w:line="480"/>
        <w:jc w:val="left"/>
        <w:rPr>
          <w:rFonts w:ascii="Times New Roman" w:cs="Times New Roman" w:hAnsi="Times New Roman"/>
          <w:b/>
          <w:bCs/>
          <w:color w:val="000000"/>
          <w:sz w:val="28"/>
          <w:szCs w:val="28"/>
        </w:rPr>
      </w:pPr>
      <w:r>
        <w:rPr>
          <w:rFonts w:ascii="Times New Roman" w:cs="Times New Roman" w:hAnsi="Times New Roman"/>
          <w:b/>
          <w:bCs/>
          <w:color w:val="000000"/>
          <w:sz w:val="28"/>
          <w:szCs w:val="28"/>
          <w:lang w:val="en-US"/>
        </w:rPr>
        <w:t xml:space="preserve">                                                            DEDICATION</w:t>
      </w:r>
    </w:p>
    <w:p>
      <w:pPr>
        <w:pStyle w:val="style0"/>
        <w:spacing w:after="160" w:lineRule="auto" w:line="480"/>
        <w:jc w:val="left"/>
        <w:rPr>
          <w:rFonts w:ascii="Times New Roman" w:cs="Times New Roman" w:hAnsi="Times New Roman"/>
          <w:b/>
          <w:bCs/>
          <w:color w:val="000000"/>
          <w:sz w:val="28"/>
          <w:szCs w:val="28"/>
        </w:rPr>
      </w:pPr>
    </w:p>
    <w:p>
      <w:pPr>
        <w:pStyle w:val="style0"/>
        <w:spacing w:after="160" w:lineRule="auto" w:line="480"/>
        <w:jc w:val="left"/>
        <w:rPr>
          <w:rFonts w:ascii="Times New Roman" w:cs="Times New Roman" w:hAnsi="Times New Roman"/>
          <w:b/>
          <w:bCs/>
          <w:color w:val="000000"/>
          <w:sz w:val="28"/>
          <w:szCs w:val="28"/>
        </w:rPr>
      </w:pPr>
      <w:r>
        <w:rPr>
          <w:rFonts w:ascii="Times New Roman" w:cs="Times New Roman" w:hAnsi="Times New Roman"/>
          <w:b/>
          <w:bCs/>
          <w:color w:val="000000"/>
          <w:sz w:val="28"/>
          <w:szCs w:val="28"/>
          <w:lang w:val="en-US"/>
        </w:rPr>
        <w:t>I dedicate this project to the Almighty God, the giver of wisdom, strength, and good health, for His unfailing love and grace throughout the journey of my academic pursuit.</w:t>
      </w:r>
    </w:p>
    <w:p>
      <w:pPr>
        <w:pStyle w:val="style0"/>
        <w:spacing w:after="160" w:lineRule="auto" w:line="480"/>
        <w:jc w:val="left"/>
        <w:rPr>
          <w:rFonts w:ascii="Times New Roman" w:cs="Times New Roman" w:hAnsi="Times New Roman"/>
          <w:b/>
          <w:bCs/>
          <w:color w:val="000000"/>
          <w:sz w:val="28"/>
          <w:szCs w:val="28"/>
        </w:rPr>
      </w:pPr>
      <w:r>
        <w:rPr>
          <w:rFonts w:ascii="Times New Roman" w:cs="Times New Roman" w:hAnsi="Times New Roman"/>
          <w:b/>
          <w:bCs/>
          <w:color w:val="000000"/>
          <w:sz w:val="28"/>
          <w:szCs w:val="28"/>
          <w:lang w:val="en-US"/>
        </w:rPr>
        <w:t>I also dedicate it to my beloved parents, whose prayers, support, and sacrifices have laid the foundation of my success.</w:t>
      </w:r>
    </w:p>
    <w:p>
      <w:pPr>
        <w:pStyle w:val="style0"/>
        <w:spacing w:after="160" w:lineRule="auto" w:line="480"/>
        <w:jc w:val="left"/>
        <w:rPr>
          <w:rFonts w:ascii="Times New Roman" w:cs="Times New Roman" w:hAnsi="Times New Roman"/>
          <w:b/>
          <w:bCs/>
          <w:color w:val="000000"/>
          <w:sz w:val="28"/>
          <w:szCs w:val="28"/>
        </w:rPr>
      </w:pPr>
      <w:r>
        <w:rPr>
          <w:rFonts w:ascii="Times New Roman" w:cs="Times New Roman" w:hAnsi="Times New Roman"/>
          <w:b/>
          <w:bCs/>
          <w:color w:val="000000"/>
          <w:sz w:val="28"/>
          <w:szCs w:val="28"/>
          <w:lang w:val="en-US"/>
        </w:rPr>
        <w:t>To my siblings and friends who stood by me with words of encouragement, and to all those who believe in me—this is for you.</w:t>
      </w:r>
    </w:p>
    <w:p>
      <w:pPr>
        <w:pStyle w:val="style0"/>
        <w:spacing w:after="0" w:lineRule="auto" w:line="480"/>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rPr>
          <w:rFonts w:ascii="Times New Roman" w:cs="Times New Roman" w:hAnsi="Times New Roman"/>
          <w:color w:val="000000"/>
          <w:sz w:val="28"/>
          <w:szCs w:val="28"/>
        </w:rPr>
      </w:pPr>
      <w:r>
        <w:rPr>
          <w:rFonts w:ascii="Times New Roman" w:cs="Times New Roman" w:hAnsi="Times New Roman"/>
          <w:color w:val="000000"/>
          <w:sz w:val="28"/>
          <w:szCs w:val="28"/>
          <w:lang w:val="en-US"/>
        </w:rPr>
        <w:t xml:space="preserve">                                                ACKNOWLEDGEMENT</w:t>
      </w:r>
    </w:p>
    <w:p>
      <w:pPr>
        <w:pStyle w:val="style0"/>
        <w:rPr>
          <w:rFonts w:ascii="Times New Roman" w:cs="Times New Roman" w:hAnsi="Times New Roman"/>
          <w:color w:val="000000"/>
          <w:sz w:val="28"/>
          <w:szCs w:val="28"/>
        </w:rPr>
      </w:pPr>
    </w:p>
    <w:p>
      <w:pPr>
        <w:pStyle w:val="style0"/>
        <w:rPr>
          <w:rFonts w:ascii="Times New Roman" w:cs="Times New Roman" w:hAnsi="Times New Roman"/>
          <w:color w:val="000000"/>
          <w:sz w:val="28"/>
          <w:szCs w:val="28"/>
        </w:rPr>
      </w:pPr>
      <w:r>
        <w:rPr>
          <w:rFonts w:ascii="Times New Roman" w:cs="Times New Roman" w:hAnsi="Times New Roman"/>
          <w:color w:val="000000"/>
          <w:sz w:val="28"/>
          <w:szCs w:val="28"/>
          <w:lang w:val="en-US"/>
        </w:rPr>
        <w:t>All praise and gratitude belong to Almighty Allah, the Most Merciful and Most Compassionate, for His divine guidance, strength, and grace that sustained me throughout this academic journey.</w:t>
      </w:r>
    </w:p>
    <w:p>
      <w:pPr>
        <w:pStyle w:val="style0"/>
        <w:rPr>
          <w:rFonts w:ascii="Times New Roman" w:cs="Times New Roman" w:hAnsi="Times New Roman"/>
          <w:color w:val="000000"/>
          <w:sz w:val="28"/>
          <w:szCs w:val="28"/>
        </w:rPr>
      </w:pPr>
    </w:p>
    <w:p>
      <w:pPr>
        <w:pStyle w:val="style0"/>
        <w:rPr>
          <w:rFonts w:ascii="Times New Roman" w:cs="Times New Roman" w:hAnsi="Times New Roman"/>
          <w:color w:val="000000"/>
          <w:sz w:val="28"/>
          <w:szCs w:val="28"/>
        </w:rPr>
      </w:pPr>
      <w:r>
        <w:rPr>
          <w:rFonts w:ascii="Times New Roman" w:cs="Times New Roman" w:hAnsi="Times New Roman"/>
          <w:color w:val="000000"/>
          <w:sz w:val="28"/>
          <w:szCs w:val="28"/>
          <w:lang w:val="en-US"/>
        </w:rPr>
        <w:t>My heartfelt appreciation goes first to my beloved parents, Mr. and Mrs. Tajudeen, for their endless love, sacrifices, prayers, and unwavering support. Your faith in me has been the foundation of my success, and I am forever indebted to you.And to my brothers and sisters I really appreciate your full support.</w:t>
      </w:r>
    </w:p>
    <w:p>
      <w:pPr>
        <w:pStyle w:val="style0"/>
        <w:rPr>
          <w:rFonts w:ascii="Times New Roman" w:cs="Times New Roman" w:hAnsi="Times New Roman"/>
          <w:color w:val="000000"/>
          <w:sz w:val="28"/>
          <w:szCs w:val="28"/>
        </w:rPr>
      </w:pPr>
    </w:p>
    <w:p>
      <w:pPr>
        <w:pStyle w:val="style0"/>
        <w:rPr>
          <w:rFonts w:ascii="Times New Roman" w:cs="Times New Roman" w:hAnsi="Times New Roman"/>
          <w:color w:val="000000"/>
          <w:sz w:val="28"/>
          <w:szCs w:val="28"/>
        </w:rPr>
      </w:pPr>
      <w:r>
        <w:rPr>
          <w:rFonts w:ascii="Times New Roman" w:cs="Times New Roman" w:hAnsi="Times New Roman"/>
          <w:color w:val="000000"/>
          <w:sz w:val="28"/>
          <w:szCs w:val="28"/>
          <w:lang w:val="en-US"/>
        </w:rPr>
        <w:t>I extend my sincere gratitude to my project supervisor, Miss Ahmed T., for her tireless efforts, guidance, and constructive feedback that greatly enriched this work. Her dedication and encouragement were truly invaluable.Her patient and guidance which helped shape this project from conception to completion.</w:t>
      </w:r>
    </w:p>
    <w:p>
      <w:pPr>
        <w:pStyle w:val="style0"/>
        <w:rPr>
          <w:rFonts w:ascii="Times New Roman" w:cs="Times New Roman" w:hAnsi="Times New Roman"/>
          <w:color w:val="000000"/>
          <w:sz w:val="28"/>
          <w:szCs w:val="28"/>
        </w:rPr>
      </w:pPr>
    </w:p>
    <w:p>
      <w:pPr>
        <w:pStyle w:val="style0"/>
        <w:rPr>
          <w:rFonts w:ascii="Times New Roman" w:cs="Times New Roman" w:hAnsi="Times New Roman"/>
          <w:color w:val="000000"/>
          <w:sz w:val="28"/>
          <w:szCs w:val="28"/>
        </w:rPr>
      </w:pPr>
      <w:r>
        <w:rPr>
          <w:rFonts w:ascii="Times New Roman" w:cs="Times New Roman" w:hAnsi="Times New Roman"/>
          <w:color w:val="000000"/>
          <w:sz w:val="28"/>
          <w:szCs w:val="28"/>
          <w:lang w:val="en-US"/>
        </w:rPr>
        <w:t>Special thanks to the Head of Department, [Dr usman .A.) and all the lecturers in the  department for their knowledge, guidance, and contributions to my academic development.</w:t>
      </w:r>
    </w:p>
    <w:p>
      <w:pPr>
        <w:pStyle w:val="style0"/>
        <w:rPr>
          <w:rFonts w:ascii="Times New Roman" w:cs="Times New Roman" w:hAnsi="Times New Roman"/>
          <w:color w:val="000000"/>
          <w:sz w:val="28"/>
          <w:szCs w:val="28"/>
        </w:rPr>
      </w:pPr>
    </w:p>
    <w:p>
      <w:pPr>
        <w:pStyle w:val="style0"/>
        <w:rPr>
          <w:rFonts w:ascii="Times New Roman" w:cs="Times New Roman" w:hAnsi="Times New Roman"/>
          <w:color w:val="000000"/>
          <w:sz w:val="28"/>
          <w:szCs w:val="28"/>
        </w:rPr>
      </w:pPr>
      <w:r>
        <w:rPr>
          <w:rFonts w:ascii="Times New Roman" w:cs="Times New Roman" w:hAnsi="Times New Roman"/>
          <w:color w:val="000000"/>
          <w:sz w:val="28"/>
          <w:szCs w:val="28"/>
          <w:lang w:val="en-US"/>
        </w:rPr>
        <w:t>To the man who stood firmly by me in every season, Ibrahim Akinloye Akanji, thank you for your financial support, constant encouragement, and genuine love. Your presence made this journey easier.</w:t>
      </w:r>
    </w:p>
    <w:p>
      <w:pPr>
        <w:pStyle w:val="style0"/>
        <w:rPr>
          <w:rFonts w:ascii="Times New Roman" w:cs="Times New Roman" w:hAnsi="Times New Roman"/>
          <w:color w:val="000000"/>
          <w:sz w:val="28"/>
          <w:szCs w:val="28"/>
        </w:rPr>
      </w:pPr>
    </w:p>
    <w:p>
      <w:pPr>
        <w:pStyle w:val="style0"/>
        <w:rPr>
          <w:rFonts w:ascii="Times New Roman" w:cs="Times New Roman" w:hAnsi="Times New Roman"/>
          <w:color w:val="000000"/>
          <w:sz w:val="28"/>
          <w:szCs w:val="28"/>
        </w:rPr>
      </w:pPr>
      <w:r>
        <w:rPr>
          <w:rFonts w:ascii="Times New Roman" w:cs="Times New Roman" w:hAnsi="Times New Roman"/>
          <w:color w:val="000000"/>
          <w:sz w:val="28"/>
          <w:szCs w:val="28"/>
          <w:lang w:val="en-US"/>
        </w:rPr>
        <w:t>I am also grateful to my school mothers and dedicated reading mates, Mrs. Badmus and Ummu Balqees, for their academic companionship, motivation, and sisterly care. You both played a vital role in helping me stay focused.</w:t>
      </w:r>
    </w:p>
    <w:p>
      <w:pPr>
        <w:pStyle w:val="style0"/>
        <w:rPr>
          <w:rFonts w:ascii="Times New Roman" w:cs="Times New Roman" w:hAnsi="Times New Roman"/>
          <w:color w:val="000000"/>
          <w:sz w:val="28"/>
          <w:szCs w:val="28"/>
        </w:rPr>
      </w:pPr>
    </w:p>
    <w:p>
      <w:pPr>
        <w:pStyle w:val="style0"/>
        <w:rPr>
          <w:rFonts w:ascii="Times New Roman" w:cs="Times New Roman" w:hAnsi="Times New Roman"/>
          <w:color w:val="000000"/>
          <w:sz w:val="28"/>
          <w:szCs w:val="28"/>
        </w:rPr>
      </w:pPr>
      <w:r>
        <w:rPr>
          <w:rFonts w:ascii="Times New Roman" w:cs="Times New Roman" w:hAnsi="Times New Roman"/>
          <w:color w:val="000000"/>
          <w:sz w:val="28"/>
          <w:szCs w:val="28"/>
          <w:lang w:val="en-US"/>
        </w:rPr>
        <w:t>Lastly, to all my dear friends and coursemates, thank you for the laughter, shared experiences, support, and companionship throughout this journey. You made my academic years worthwhile.</w:t>
      </w:r>
    </w:p>
    <w:p>
      <w:pPr>
        <w:pStyle w:val="style0"/>
        <w:rPr>
          <w:rFonts w:ascii="Times New Roman" w:cs="Times New Roman" w:hAnsi="Times New Roman"/>
          <w:color w:val="000000"/>
          <w:sz w:val="28"/>
          <w:szCs w:val="28"/>
        </w:rPr>
      </w:pPr>
    </w:p>
    <w:p>
      <w:pPr>
        <w:pStyle w:val="style0"/>
        <w:rPr>
          <w:rFonts w:ascii="Times New Roman" w:cs="Times New Roman" w:hAnsi="Times New Roman"/>
          <w:color w:val="000000"/>
          <w:sz w:val="28"/>
          <w:szCs w:val="28"/>
        </w:rPr>
      </w:pPr>
      <w:r>
        <w:rPr>
          <w:rFonts w:ascii="Times New Roman" w:cs="Times New Roman" w:hAnsi="Times New Roman"/>
          <w:color w:val="000000"/>
          <w:sz w:val="28"/>
          <w:szCs w:val="28"/>
          <w:lang w:val="en-US"/>
        </w:rPr>
        <w:t>May Almighty Allah reward you all abundantly.</w:t>
      </w:r>
      <w:r>
        <w:rPr>
          <w:rFonts w:ascii="Times New Roman" w:cs="Times New Roman" w:hAnsi="Times New Roman"/>
          <w:color w:val="000000"/>
          <w:sz w:val="28"/>
          <w:szCs w:val="28"/>
        </w:rPr>
        <w:br w:type="page"/>
      </w:r>
    </w:p>
    <w:p>
      <w:pPr>
        <w:pStyle w:val="style266"/>
        <w:jc w:val="center"/>
        <w:rPr>
          <w:rFonts w:ascii="Times New Roman" w:cs="Times New Roman" w:hAnsi="Times New Roman"/>
          <w:b/>
          <w:color w:val="auto"/>
          <w:sz w:val="28"/>
          <w:szCs w:val="28"/>
        </w:rPr>
      </w:pPr>
      <w:r>
        <w:rPr>
          <w:rFonts w:ascii="Times New Roman" w:cs="Times New Roman" w:hAnsi="Times New Roman"/>
          <w:b/>
          <w:color w:val="auto"/>
          <w:sz w:val="28"/>
          <w:szCs w:val="28"/>
        </w:rPr>
        <w:t>TABLE OF CONTENTS</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TITLE PAGE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 xml:space="preserve"> i</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CERTIFICATION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ii</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DEDICATION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iii</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ACKNOWLEDGEMENTS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iv</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TABLE OF CONTENTS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v-vi</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LIST OF TABLES                                                                              </w:t>
      </w:r>
      <w:r>
        <w:rPr>
          <w:rFonts w:ascii="Times New Roman" w:cs="Times New Roman" w:hAnsi="Times New Roman"/>
          <w:color w:val="000000"/>
          <w:sz w:val="28"/>
          <w:szCs w:val="28"/>
        </w:rPr>
        <w:tab/>
      </w:r>
      <w:r>
        <w:rPr>
          <w:rFonts w:ascii="Times New Roman" w:cs="Times New Roman" w:hAnsi="Times New Roman"/>
          <w:color w:val="000000"/>
          <w:sz w:val="28"/>
          <w:szCs w:val="28"/>
        </w:rPr>
        <w:t>vii</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ABSTRACT                                                                                  </w:t>
      </w:r>
      <w:r>
        <w:rPr>
          <w:rFonts w:ascii="Times New Roman" w:cs="Times New Roman" w:hAnsi="Times New Roman"/>
          <w:color w:val="000000"/>
          <w:sz w:val="28"/>
          <w:szCs w:val="28"/>
        </w:rPr>
        <w:tab/>
      </w:r>
      <w:r>
        <w:rPr>
          <w:rFonts w:ascii="Times New Roman" w:cs="Times New Roman" w:hAnsi="Times New Roman"/>
          <w:color w:val="000000"/>
          <w:sz w:val="28"/>
          <w:szCs w:val="28"/>
        </w:rPr>
        <w:t>viii</w:t>
      </w:r>
    </w:p>
    <w:p>
      <w:pPr>
        <w:pStyle w:val="style19"/>
        <w:tabs>
          <w:tab w:val="right" w:leader="dot" w:pos="9350"/>
        </w:tabs>
        <w:rPr>
          <w:rFonts w:ascii="Times New Roman" w:cs="Times New Roman" w:hAnsi="Times New Roman"/>
          <w:noProof/>
          <w:sz w:val="28"/>
          <w:szCs w:val="28"/>
        </w:rPr>
      </w:pPr>
      <w:r>
        <w:rPr>
          <w:rFonts w:ascii="Times New Roman" w:cs="Times New Roman" w:hAnsi="Times New Roman"/>
          <w:sz w:val="28"/>
          <w:szCs w:val="28"/>
        </w:rPr>
        <w:fldChar w:fldCharType="begin"/>
      </w:r>
      <w:r>
        <w:rPr>
          <w:rFonts w:ascii="Times New Roman" w:cs="Times New Roman" w:hAnsi="Times New Roman"/>
          <w:sz w:val="28"/>
          <w:szCs w:val="28"/>
        </w:rPr>
        <w:instrText xml:space="preserve"> TOC \o "1-3" \h \z \u </w:instrText>
      </w:r>
      <w:r>
        <w:rPr>
          <w:rFonts w:ascii="Times New Roman" w:cs="Times New Roman" w:hAnsi="Times New Roman"/>
          <w:sz w:val="28"/>
          <w:szCs w:val="28"/>
        </w:rPr>
        <w:fldChar w:fldCharType="separate"/>
      </w:r>
      <w:r>
        <w:rPr/>
        <w:fldChar w:fldCharType="begin"/>
      </w:r>
      <w:r>
        <w:instrText xml:space="preserve"> HYPERLINK \l "_Toc202974597" </w:instrText>
      </w:r>
      <w:r>
        <w:rPr/>
        <w:fldChar w:fldCharType="separate"/>
      </w:r>
      <w:r>
        <w:rPr>
          <w:rStyle w:val="style85"/>
          <w:rFonts w:ascii="Times New Roman" w:cs="Times New Roman" w:hAnsi="Times New Roman"/>
          <w:b/>
          <w:noProof/>
          <w:sz w:val="28"/>
          <w:szCs w:val="28"/>
        </w:rPr>
        <w:t>CHAPTER ONE</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_Toc202974597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"_Toc202974598" </w:instrText>
      </w:r>
      <w:r>
        <w:rPr/>
        <w:fldChar w:fldCharType="separate"/>
      </w:r>
      <w:r>
        <w:rPr>
          <w:rStyle w:val="style85"/>
          <w:rFonts w:ascii="Times New Roman" w:cs="Times New Roman" w:hAnsi="Times New Roman"/>
          <w:b/>
          <w:noProof/>
          <w:sz w:val="28"/>
          <w:szCs w:val="28"/>
        </w:rPr>
        <w:t>1.0 INTRODUCTION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_Toc202974598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"_Toc202974599" </w:instrText>
      </w:r>
      <w:r>
        <w:rPr/>
        <w:fldChar w:fldCharType="separate"/>
      </w:r>
      <w:r>
        <w:rPr>
          <w:rStyle w:val="style85"/>
          <w:rFonts w:ascii="Times New Roman" w:cs="Times New Roman" w:hAnsi="Times New Roman"/>
          <w:b/>
          <w:noProof/>
          <w:sz w:val="28"/>
          <w:szCs w:val="28"/>
        </w:rPr>
        <w:t>1.1 Literature review</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_Toc202974599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7</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"_Toc202974600" </w:instrText>
      </w:r>
      <w:r>
        <w:rPr/>
        <w:fldChar w:fldCharType="separate"/>
      </w:r>
      <w:r>
        <w:rPr>
          <w:rStyle w:val="style85"/>
          <w:rFonts w:ascii="Times New Roman" w:cs="Times New Roman" w:hAnsi="Times New Roman"/>
          <w:b/>
          <w:noProof/>
          <w:sz w:val="28"/>
          <w:szCs w:val="28"/>
        </w:rPr>
        <w:t>1.2 Statement of problem</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_Toc202974600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10</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"_Toc202974601" </w:instrText>
      </w:r>
      <w:r>
        <w:rPr/>
        <w:fldChar w:fldCharType="separate"/>
      </w:r>
      <w:r>
        <w:rPr>
          <w:rStyle w:val="style85"/>
          <w:rFonts w:ascii="Times New Roman" w:cs="Times New Roman" w:hAnsi="Times New Roman"/>
          <w:b/>
          <w:noProof/>
          <w:sz w:val="28"/>
          <w:szCs w:val="28"/>
        </w:rPr>
        <w:t>1.3 Aim</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_Toc202974601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11</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"_Toc202974602" </w:instrText>
      </w:r>
      <w:r>
        <w:rPr/>
        <w:fldChar w:fldCharType="separate"/>
      </w:r>
      <w:r>
        <w:rPr>
          <w:rStyle w:val="style85"/>
          <w:rFonts w:ascii="Times New Roman" w:cs="Times New Roman" w:hAnsi="Times New Roman"/>
          <w:b/>
          <w:noProof/>
          <w:sz w:val="28"/>
          <w:szCs w:val="28"/>
        </w:rPr>
        <w:t>1.4 Objectives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_Toc202974602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11</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"_Toc202974603" </w:instrText>
      </w:r>
      <w:r>
        <w:rPr/>
        <w:fldChar w:fldCharType="separate"/>
      </w:r>
      <w:r>
        <w:rPr>
          <w:rStyle w:val="style85"/>
          <w:rFonts w:ascii="Times New Roman" w:cs="Times New Roman" w:eastAsia="Times New Roman" w:hAnsi="Times New Roman"/>
          <w:b/>
          <w:noProof/>
          <w:sz w:val="28"/>
          <w:szCs w:val="28"/>
        </w:rPr>
        <w:t>CHAPTER TWO</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_Toc202974603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12</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"_Toc202974604" </w:instrText>
      </w:r>
      <w:r>
        <w:rPr/>
        <w:fldChar w:fldCharType="separate"/>
      </w:r>
      <w:r>
        <w:rPr>
          <w:rStyle w:val="style85"/>
          <w:rFonts w:ascii="Times New Roman" w:cs="Times New Roman" w:eastAsia="Times New Roman" w:hAnsi="Times New Roman"/>
          <w:b/>
          <w:noProof/>
          <w:sz w:val="28"/>
          <w:szCs w:val="28"/>
        </w:rPr>
        <w:t>2.0 Materials and Methods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_Toc202974604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12</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"_Toc202974605" </w:instrText>
      </w:r>
      <w:r>
        <w:rPr/>
        <w:fldChar w:fldCharType="separate"/>
      </w:r>
      <w:r>
        <w:rPr>
          <w:rStyle w:val="style85"/>
          <w:rFonts w:ascii="Times New Roman" w:cs="Times New Roman" w:eastAsia="Times New Roman" w:hAnsi="Times New Roman"/>
          <w:noProof/>
          <w:sz w:val="28"/>
          <w:szCs w:val="28"/>
        </w:rPr>
        <w:t>2.1 Materials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_Toc202974605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12</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"_Toc202974606" </w:instrText>
      </w:r>
      <w:r>
        <w:rPr/>
        <w:fldChar w:fldCharType="separate"/>
      </w:r>
      <w:r>
        <w:rPr>
          <w:rStyle w:val="style85"/>
          <w:rFonts w:ascii="Times New Roman" w:cs="Times New Roman" w:eastAsia="Times New Roman" w:hAnsi="Times New Roman"/>
          <w:noProof/>
          <w:sz w:val="28"/>
          <w:szCs w:val="28"/>
        </w:rPr>
        <w:t>2.1.1 Media and Reagents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_Toc202974606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12</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"_Toc202974607" </w:instrText>
      </w:r>
      <w:r>
        <w:rPr/>
        <w:fldChar w:fldCharType="separate"/>
      </w:r>
      <w:r>
        <w:rPr>
          <w:rStyle w:val="style85"/>
          <w:rFonts w:ascii="Times New Roman" w:cs="Times New Roman" w:eastAsia="Times New Roman" w:hAnsi="Times New Roman"/>
          <w:noProof/>
          <w:sz w:val="28"/>
          <w:szCs w:val="28"/>
        </w:rPr>
        <w:t>2.2 Preparation of Sample</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_Toc202974607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13</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"_Toc202974608" </w:instrText>
      </w:r>
      <w:r>
        <w:rPr/>
        <w:fldChar w:fldCharType="separate"/>
      </w:r>
      <w:r>
        <w:rPr>
          <w:rStyle w:val="style85"/>
          <w:rFonts w:ascii="Times New Roman" w:cs="Times New Roman" w:eastAsia="Times New Roman" w:hAnsi="Times New Roman"/>
          <w:noProof/>
          <w:sz w:val="28"/>
          <w:szCs w:val="28"/>
        </w:rPr>
        <w:t>2.3 Preparation of Media</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_Toc202974608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14</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"_Toc202974609" </w:instrText>
      </w:r>
      <w:r>
        <w:rPr/>
        <w:fldChar w:fldCharType="separate"/>
      </w:r>
      <w:r>
        <w:rPr>
          <w:rStyle w:val="style85"/>
          <w:rFonts w:ascii="Times New Roman" w:cs="Times New Roman" w:eastAsia="Times New Roman" w:hAnsi="Times New Roman"/>
          <w:noProof/>
          <w:sz w:val="28"/>
          <w:szCs w:val="28"/>
        </w:rPr>
        <w:t>2.4 Isolation of Fungi</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_Toc202974609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14</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"_Toc202974610" </w:instrText>
      </w:r>
      <w:r>
        <w:rPr/>
        <w:fldChar w:fldCharType="separate"/>
      </w:r>
      <w:r>
        <w:rPr>
          <w:rStyle w:val="style85"/>
          <w:rFonts w:ascii="Times New Roman" w:cs="Times New Roman" w:eastAsia="Times New Roman" w:hAnsi="Times New Roman"/>
          <w:noProof/>
          <w:sz w:val="28"/>
          <w:szCs w:val="28"/>
        </w:rPr>
        <w:t>2.5 Macroscopic Examination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_Toc202974610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15</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"_Toc202974612" </w:instrText>
      </w:r>
      <w:r>
        <w:rPr/>
        <w:fldChar w:fldCharType="separate"/>
      </w:r>
      <w:r>
        <w:rPr>
          <w:rStyle w:val="style85"/>
          <w:rFonts w:ascii="Times New Roman" w:cs="Times New Roman" w:eastAsia="Times New Roman" w:hAnsi="Times New Roman"/>
          <w:noProof/>
          <w:sz w:val="28"/>
          <w:szCs w:val="28"/>
        </w:rPr>
        <w:t>2.</w:t>
      </w:r>
      <w:r>
        <w:rPr>
          <w:rStyle w:val="style85"/>
          <w:rFonts w:ascii="Times New Roman" w:cs="Times New Roman" w:eastAsia="Times New Roman" w:hAnsi="Times New Roman"/>
          <w:noProof/>
          <w:sz w:val="28"/>
          <w:szCs w:val="28"/>
        </w:rPr>
        <w:t xml:space="preserve">6 </w:t>
      </w:r>
      <w:r>
        <w:rPr>
          <w:rStyle w:val="style85"/>
          <w:rFonts w:ascii="Times New Roman" w:cs="Times New Roman" w:eastAsia="Times New Roman" w:hAnsi="Times New Roman"/>
          <w:noProof/>
          <w:sz w:val="28"/>
          <w:szCs w:val="28"/>
        </w:rPr>
        <w:t>Microscopic Examination of Fungi</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_Toc202974612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16</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"_Toc202974613" </w:instrText>
      </w:r>
      <w:r>
        <w:rPr/>
        <w:fldChar w:fldCharType="separate"/>
      </w:r>
      <w:r>
        <w:rPr>
          <w:rStyle w:val="style85"/>
          <w:rFonts w:ascii="Times New Roman" w:cs="Times New Roman" w:hAnsi="Times New Roman"/>
          <w:b/>
          <w:noProof/>
          <w:sz w:val="28"/>
          <w:szCs w:val="28"/>
        </w:rPr>
        <w:t>CHAPTER THREE</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_Toc202974613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17</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"_Toc202974614" </w:instrText>
      </w:r>
      <w:r>
        <w:rPr/>
        <w:fldChar w:fldCharType="separate"/>
      </w:r>
      <w:r>
        <w:rPr>
          <w:rStyle w:val="style85"/>
          <w:rFonts w:ascii="Times New Roman" w:cs="Times New Roman" w:hAnsi="Times New Roman"/>
          <w:b/>
          <w:noProof/>
          <w:sz w:val="28"/>
          <w:szCs w:val="28"/>
        </w:rPr>
        <w:t>3.0 RESULTS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_Toc202974614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17</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"_Toc202974615" </w:instrText>
      </w:r>
      <w:r>
        <w:rPr/>
        <w:fldChar w:fldCharType="separate"/>
      </w:r>
      <w:r>
        <w:rPr>
          <w:rStyle w:val="style85"/>
          <w:rFonts w:ascii="Times New Roman" w:cs="Times New Roman" w:hAnsi="Times New Roman"/>
          <w:noProof/>
          <w:sz w:val="28"/>
          <w:szCs w:val="28"/>
        </w:rPr>
        <w:t>3.1 P</w:t>
      </w:r>
      <w:r>
        <w:rPr>
          <w:rStyle w:val="style85"/>
          <w:rFonts w:ascii="Times New Roman" w:cs="Times New Roman" w:hAnsi="Times New Roman"/>
          <w:noProof/>
          <w:sz w:val="28"/>
          <w:szCs w:val="28"/>
        </w:rPr>
        <w:t>hysicochemical Characteristics of t</w:t>
      </w:r>
      <w:r>
        <w:rPr>
          <w:rStyle w:val="style85"/>
          <w:rFonts w:ascii="Times New Roman" w:cs="Times New Roman" w:hAnsi="Times New Roman"/>
          <w:noProof/>
          <w:sz w:val="28"/>
          <w:szCs w:val="28"/>
        </w:rPr>
        <w:t>he Soil.</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_Toc202974615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17</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"_Toc202974617" </w:instrText>
      </w:r>
      <w:r>
        <w:rPr/>
        <w:fldChar w:fldCharType="separate"/>
      </w:r>
      <w:r>
        <w:rPr>
          <w:rStyle w:val="style85"/>
          <w:rFonts w:ascii="Times New Roman" w:cs="Times New Roman" w:eastAsia="Times New Roman" w:hAnsi="Times New Roman"/>
          <w:noProof/>
          <w:sz w:val="28"/>
          <w:szCs w:val="28"/>
        </w:rPr>
        <w:t>3.2 Fungal Colony Count in Soil Samples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_Toc202974617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18</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"_Toc202974619" </w:instrText>
      </w:r>
      <w:r>
        <w:rPr/>
        <w:fldChar w:fldCharType="separate"/>
      </w:r>
      <w:r>
        <w:rPr>
          <w:rStyle w:val="style85"/>
          <w:rFonts w:ascii="Times New Roman" w:cs="Times New Roman" w:hAnsi="Times New Roman"/>
          <w:noProof/>
          <w:sz w:val="28"/>
          <w:szCs w:val="28"/>
        </w:rPr>
        <w:t>3.3:   Fungal Colony Characteristics and Enumeration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_Toc202974619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18</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"_Toc202974622" </w:instrText>
      </w:r>
      <w:r>
        <w:rPr/>
        <w:fldChar w:fldCharType="separate"/>
      </w:r>
      <w:r>
        <w:rPr>
          <w:rStyle w:val="style85"/>
          <w:rFonts w:ascii="Times New Roman" w:cs="Times New Roman" w:eastAsia="Times New Roman" w:hAnsi="Times New Roman"/>
          <w:b/>
          <w:noProof/>
          <w:sz w:val="28"/>
          <w:szCs w:val="28"/>
        </w:rPr>
        <w:t>CHAPTER FOUR</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_Toc202974622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21</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"_Toc202974623" </w:instrText>
      </w:r>
      <w:r>
        <w:rPr/>
        <w:fldChar w:fldCharType="separate"/>
      </w:r>
      <w:r>
        <w:rPr>
          <w:rStyle w:val="style85"/>
          <w:rFonts w:ascii="Times New Roman" w:cs="Times New Roman" w:eastAsia="Times New Roman" w:hAnsi="Times New Roman"/>
          <w:b/>
          <w:noProof/>
          <w:sz w:val="28"/>
          <w:szCs w:val="28"/>
        </w:rPr>
        <w:t>4.0 DISCUSSION AND CONCLUSION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_Toc202974623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21</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"_Toc202974624" </w:instrText>
      </w:r>
      <w:r>
        <w:rPr/>
        <w:fldChar w:fldCharType="separate"/>
      </w:r>
      <w:r>
        <w:rPr>
          <w:rStyle w:val="style85"/>
          <w:rFonts w:ascii="Times New Roman" w:cs="Times New Roman" w:eastAsia="Times New Roman" w:hAnsi="Times New Roman"/>
          <w:b/>
          <w:noProof/>
          <w:sz w:val="28"/>
          <w:szCs w:val="28"/>
        </w:rPr>
        <w:t>4.1 DISCUSSION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_Toc202974624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21</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"_Toc202974625" </w:instrText>
      </w:r>
      <w:r>
        <w:rPr/>
        <w:fldChar w:fldCharType="separate"/>
      </w:r>
      <w:r>
        <w:rPr>
          <w:rStyle w:val="style85"/>
          <w:rFonts w:ascii="Times New Roman" w:cs="Times New Roman" w:eastAsia="Times New Roman" w:hAnsi="Times New Roman"/>
          <w:b/>
          <w:noProof/>
          <w:sz w:val="28"/>
          <w:szCs w:val="28"/>
        </w:rPr>
        <w:t>4.2 CONCLUSION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_Toc202974625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24</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"_Toc202974626" </w:instrText>
      </w:r>
      <w:r>
        <w:rPr/>
        <w:fldChar w:fldCharType="separate"/>
      </w:r>
      <w:r>
        <w:rPr>
          <w:rStyle w:val="style85"/>
          <w:rFonts w:ascii="Times New Roman" w:cs="Times New Roman" w:hAnsi="Times New Roman"/>
          <w:b/>
          <w:noProof/>
          <w:sz w:val="28"/>
          <w:szCs w:val="28"/>
        </w:rPr>
        <w:t>REFERENCES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_Toc202974626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25</w:t>
      </w:r>
      <w:r>
        <w:rPr>
          <w:rFonts w:ascii="Times New Roman" w:cs="Times New Roman" w:hAnsi="Times New Roman"/>
          <w:noProof/>
          <w:webHidden/>
          <w:sz w:val="28"/>
          <w:szCs w:val="28"/>
        </w:rPr>
        <w:fldChar w:fldCharType="end"/>
      </w:r>
      <w:r>
        <w:rPr/>
        <w:fldChar w:fldCharType="end"/>
      </w:r>
    </w:p>
    <w:p>
      <w:pPr>
        <w:pStyle w:val="style0"/>
        <w:rPr/>
      </w:pPr>
      <w:r>
        <w:rPr>
          <w:rFonts w:ascii="Times New Roman" w:cs="Times New Roman" w:hAnsi="Times New Roman"/>
          <w:b/>
          <w:bCs/>
          <w:noProof/>
          <w:sz w:val="28"/>
          <w:szCs w:val="28"/>
        </w:rPr>
        <w:fldChar w:fldCharType="end"/>
      </w:r>
    </w:p>
    <w:p>
      <w:pPr>
        <w:pStyle w:val="style0"/>
        <w:rPr>
          <w:rFonts w:ascii="Times New Roman" w:cs="Times New Roman" w:hAnsi="Times New Roman"/>
          <w:b/>
          <w:sz w:val="28"/>
          <w:szCs w:val="28"/>
        </w:rPr>
      </w:pPr>
      <w:r>
        <w:rPr>
          <w:rFonts w:ascii="Times New Roman" w:cs="Times New Roman" w:hAnsi="Times New Roman"/>
          <w:b/>
          <w:sz w:val="28"/>
          <w:szCs w:val="28"/>
        </w:rPr>
        <w:br w:type="page"/>
      </w:r>
    </w:p>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LIST OF TABLES</w:t>
      </w:r>
    </w:p>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Table 1: Physico-Chemical Characteristics of the Soil………………...</w:t>
      </w:r>
      <w:r>
        <w:rPr>
          <w:rFonts w:ascii="Times New Roman" w:cs="Times New Roman" w:hAnsi="Times New Roman"/>
          <w:sz w:val="28"/>
          <w:szCs w:val="28"/>
        </w:rPr>
        <w:t>17</w:t>
      </w:r>
    </w:p>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Table 2: Colony Count on Fertilized and Non-Fertilized Soil Samples.</w:t>
      </w:r>
      <w:r>
        <w:rPr>
          <w:rFonts w:ascii="Times New Roman" w:cs="Times New Roman" w:hAnsi="Times New Roman"/>
          <w:sz w:val="28"/>
          <w:szCs w:val="28"/>
        </w:rPr>
        <w:t>18</w:t>
      </w:r>
    </w:p>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Table 3: Fungal Observation in Fertilized Soil Samples……………….</w:t>
      </w:r>
      <w:r>
        <w:rPr>
          <w:rFonts w:ascii="Times New Roman" w:cs="Times New Roman" w:hAnsi="Times New Roman"/>
          <w:sz w:val="28"/>
          <w:szCs w:val="28"/>
        </w:rPr>
        <w:t>19</w:t>
      </w:r>
    </w:p>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Table 4: Fungal Observation in Non-Fertilized Soil Samples………….</w:t>
      </w:r>
      <w:r>
        <w:rPr>
          <w:rFonts w:ascii="Times New Roman" w:cs="Times New Roman" w:hAnsi="Times New Roman"/>
          <w:sz w:val="28"/>
          <w:szCs w:val="28"/>
        </w:rPr>
        <w:t>20</w:t>
      </w:r>
    </w:p>
    <w:p>
      <w:pPr>
        <w:pStyle w:val="style0"/>
        <w:spacing w:lineRule="auto" w:line="480"/>
        <w:rPr>
          <w:rFonts w:ascii="Times New Roman" w:cs="Times New Roman" w:hAnsi="Times New Roman"/>
          <w:b/>
          <w:sz w:val="28"/>
          <w:szCs w:val="28"/>
        </w:rPr>
      </w:pPr>
    </w:p>
    <w:p>
      <w:pPr>
        <w:pStyle w:val="style0"/>
        <w:jc w:val="center"/>
        <w:rPr>
          <w:rFonts w:ascii="Times New Roman" w:cs="Times New Roman" w:hAnsi="Times New Roman"/>
          <w:b/>
          <w:sz w:val="28"/>
          <w:szCs w:val="28"/>
        </w:rPr>
      </w:pPr>
      <w:r>
        <w:rPr>
          <w:rFonts w:ascii="Times New Roman" w:cs="Times New Roman" w:hAnsi="Times New Roman"/>
          <w:b/>
          <w:sz w:val="28"/>
          <w:szCs w:val="28"/>
        </w:rPr>
        <w:br w:type="page"/>
      </w:r>
      <w:r>
        <w:rPr>
          <w:rFonts w:ascii="Times New Roman" w:cs="Times New Roman" w:hAnsi="Times New Roman"/>
          <w:b/>
          <w:sz w:val="28"/>
          <w:szCs w:val="28"/>
        </w:rPr>
        <w:t>ABSTRACT</w:t>
      </w:r>
    </w:p>
    <w:p>
      <w:pPr>
        <w:pStyle w:val="style0"/>
        <w:spacing w:lineRule="auto" w:line="360"/>
        <w:jc w:val="both"/>
        <w:rPr>
          <w:rFonts w:ascii="Times New Roman" w:cs="Times New Roman" w:hAnsi="Times New Roman"/>
          <w:sz w:val="28"/>
          <w:szCs w:val="28"/>
        </w:rPr>
        <w:sectPr>
          <w:footerReference w:type="default" r:id="rId2"/>
          <w:pgSz w:w="11520" w:h="14400" w:orient="portrait"/>
          <w:pgMar w:top="1440" w:right="1440" w:bottom="1440" w:left="1440" w:header="706" w:footer="706" w:gutter="0"/>
          <w:pgNumType w:fmt="lowerRoman" w:start="1"/>
          <w:cols w:space="708"/>
          <w:docGrid w:linePitch="360"/>
        </w:sectPr>
      </w:pPr>
      <w:r>
        <w:rPr>
          <w:rFonts w:ascii="Times New Roman" w:cs="Times New Roman" w:hAnsi="Times New Roman"/>
          <w:sz w:val="28"/>
          <w:szCs w:val="28"/>
        </w:rPr>
        <w:t xml:space="preserve">Soil mycobiomes </w:t>
      </w:r>
      <w:r>
        <w:rPr>
          <w:rFonts w:ascii="Times New Roman" w:cs="Times New Roman" w:hAnsi="Times New Roman"/>
          <w:sz w:val="28"/>
          <w:szCs w:val="28"/>
        </w:rPr>
        <w:t>fungal communities that reside within the soil—play an essential role in nutrient cycling, soil structure stabilization, and overall plant health. This study investigated the impact of different organic amendments (including cow dung, poultry waste, and liquid fertilizers such as Disza and Foliar) on the diversity, structure, and activity of fungal communities in soil samples collected from five agricultural sites within Kwara State Polytechnic, Ilorin, Nigeria. Physicochemical analyses revealed that organic amendments significantly influenced soil properties, particularly pH</w:t>
      </w:r>
      <w:r>
        <w:rPr>
          <w:rFonts w:ascii="Times New Roman" w:cs="Times New Roman" w:hAnsi="Times New Roman"/>
          <w:sz w:val="28"/>
          <w:szCs w:val="28"/>
        </w:rPr>
        <w:t xml:space="preserve"> ranging</w:t>
      </w:r>
      <w:r>
        <w:rPr>
          <w:rFonts w:ascii="Times New Roman" w:cs="Times New Roman" w:hAnsi="Times New Roman"/>
          <w:sz w:val="28"/>
          <w:szCs w:val="28"/>
        </w:rPr>
        <w:t xml:space="preserve"> from </w:t>
      </w:r>
      <w:r>
        <w:rPr>
          <w:rFonts w:ascii="Times New Roman" w:cs="Times New Roman" w:hAnsi="Times New Roman"/>
          <w:sz w:val="28"/>
          <w:szCs w:val="28"/>
        </w:rPr>
        <w:t>5.0 to 6.0</w:t>
      </w:r>
      <w:r>
        <w:rPr>
          <w:rFonts w:ascii="Times New Roman" w:cs="Times New Roman" w:hAnsi="Times New Roman"/>
          <w:sz w:val="28"/>
          <w:szCs w:val="28"/>
        </w:rPr>
        <w:t>, texture</w:t>
      </w:r>
      <w:r>
        <w:rPr>
          <w:rFonts w:ascii="Times New Roman" w:cs="Times New Roman" w:hAnsi="Times New Roman"/>
          <w:sz w:val="28"/>
          <w:szCs w:val="28"/>
        </w:rPr>
        <w:t xml:space="preserve"> was </w:t>
      </w:r>
      <w:r>
        <w:rPr>
          <w:rFonts w:ascii="Times New Roman" w:cs="Times New Roman" w:hAnsi="Times New Roman"/>
          <w:sz w:val="28"/>
          <w:szCs w:val="28"/>
        </w:rPr>
        <w:t xml:space="preserve">crumbly </w:t>
      </w:r>
      <w:r>
        <w:rPr>
          <w:rFonts w:ascii="Times New Roman" w:cs="Times New Roman" w:hAnsi="Times New Roman"/>
          <w:sz w:val="28"/>
          <w:szCs w:val="28"/>
        </w:rPr>
        <w:t>and</w:t>
      </w:r>
      <w:r>
        <w:rPr>
          <w:rFonts w:ascii="Times New Roman" w:cs="Times New Roman" w:hAnsi="Times New Roman"/>
          <w:sz w:val="28"/>
          <w:szCs w:val="28"/>
        </w:rPr>
        <w:t xml:space="preserve"> Gritt</w:t>
      </w:r>
      <w:r>
        <w:rPr>
          <w:rFonts w:ascii="Times New Roman" w:cs="Times New Roman" w:hAnsi="Times New Roman"/>
          <w:sz w:val="28"/>
          <w:szCs w:val="28"/>
        </w:rPr>
        <w:t>y</w:t>
      </w:r>
      <w:r>
        <w:rPr>
          <w:rFonts w:ascii="Times New Roman" w:cs="Times New Roman" w:hAnsi="Times New Roman"/>
          <w:sz w:val="28"/>
          <w:szCs w:val="28"/>
        </w:rPr>
        <w:t>. The fungal colony count was consistently higher in amended soils,</w:t>
      </w:r>
      <w:r>
        <w:rPr>
          <w:rFonts w:ascii="Times New Roman" w:cs="Times New Roman" w:hAnsi="Times New Roman"/>
          <w:sz w:val="28"/>
          <w:szCs w:val="28"/>
        </w:rPr>
        <w:t xml:space="preserve"> </w:t>
      </w:r>
      <w:r>
        <w:rPr>
          <w:rFonts w:ascii="Times New Roman" w:cs="Times New Roman" w:hAnsi="Times New Roman"/>
          <w:sz w:val="28"/>
          <w:szCs w:val="28"/>
        </w:rPr>
        <w:t>showing greater fungal biomass</w:t>
      </w:r>
      <w:r>
        <w:rPr>
          <w:rFonts w:ascii="Times New Roman" w:cs="Times New Roman" w:hAnsi="Times New Roman"/>
          <w:sz w:val="28"/>
          <w:szCs w:val="28"/>
        </w:rPr>
        <w:t xml:space="preserve"> </w:t>
      </w:r>
      <w:r>
        <w:rPr>
          <w:rFonts w:ascii="Times New Roman" w:cs="Times New Roman" w:hAnsi="Times New Roman"/>
          <w:sz w:val="28"/>
          <w:szCs w:val="28"/>
        </w:rPr>
        <w:t>4</w:t>
      </w:r>
      <w:r>
        <w:rPr>
          <w:rFonts w:ascii="Times New Roman" w:cs="Times New Roman" w:hAnsi="Times New Roman"/>
          <w:sz w:val="28"/>
          <w:szCs w:val="28"/>
        </w:rPr>
        <w:t>.</w:t>
      </w:r>
      <w:r>
        <w:rPr>
          <w:rFonts w:ascii="Times New Roman" w:cs="Times New Roman" w:hAnsi="Times New Roman"/>
          <w:sz w:val="28"/>
          <w:szCs w:val="28"/>
        </w:rPr>
        <w:t>5x10</w:t>
      </w:r>
      <w:r>
        <w:rPr>
          <w:rFonts w:ascii="Times New Roman" w:cs="Times New Roman" w:hAnsi="Times New Roman"/>
          <w:sz w:val="28"/>
          <w:szCs w:val="28"/>
          <w:vertAlign w:val="superscript"/>
        </w:rPr>
        <w:t>-</w:t>
      </w:r>
      <w:r>
        <w:rPr>
          <w:rFonts w:ascii="Times New Roman" w:cs="Times New Roman" w:hAnsi="Times New Roman"/>
          <w:sz w:val="28"/>
          <w:szCs w:val="28"/>
          <w:vertAlign w:val="superscript"/>
        </w:rPr>
        <w:t>4</w:t>
      </w:r>
      <w:r>
        <w:rPr>
          <w:rFonts w:ascii="Times New Roman" w:cs="Times New Roman" w:hAnsi="Times New Roman"/>
          <w:sz w:val="28"/>
          <w:szCs w:val="28"/>
        </w:rPr>
        <w:t xml:space="preserve"> </w:t>
      </w:r>
      <w:r>
        <w:rPr>
          <w:rFonts w:ascii="Times New Roman" w:cs="Times New Roman" w:hAnsi="Times New Roman"/>
          <w:sz w:val="28"/>
          <w:szCs w:val="28"/>
        </w:rPr>
        <w:t>c</w:t>
      </w:r>
      <w:r>
        <w:rPr>
          <w:rFonts w:ascii="Times New Roman" w:cs="Times New Roman" w:hAnsi="Times New Roman"/>
          <w:sz w:val="28"/>
          <w:szCs w:val="28"/>
        </w:rPr>
        <w:t>olonies</w:t>
      </w:r>
      <w:r>
        <w:rPr>
          <w:rFonts w:ascii="Times New Roman" w:cs="Times New Roman" w:hAnsi="Times New Roman"/>
          <w:sz w:val="28"/>
          <w:szCs w:val="28"/>
        </w:rPr>
        <w:t xml:space="preserve"> </w:t>
      </w:r>
      <w:r>
        <w:rPr>
          <w:rFonts w:ascii="Times New Roman" w:cs="Times New Roman" w:hAnsi="Times New Roman"/>
          <w:sz w:val="28"/>
          <w:szCs w:val="28"/>
        </w:rPr>
        <w:t>compared</w:t>
      </w:r>
      <w:r>
        <w:rPr>
          <w:rFonts w:ascii="Times New Roman" w:cs="Times New Roman" w:hAnsi="Times New Roman"/>
          <w:sz w:val="28"/>
          <w:szCs w:val="28"/>
        </w:rPr>
        <w:t xml:space="preserve"> </w:t>
      </w:r>
      <w:r>
        <w:rPr>
          <w:rFonts w:ascii="Times New Roman" w:cs="Times New Roman" w:hAnsi="Times New Roman"/>
          <w:sz w:val="28"/>
          <w:szCs w:val="28"/>
        </w:rPr>
        <w:t>to</w:t>
      </w:r>
      <w:r>
        <w:rPr>
          <w:rFonts w:ascii="Times New Roman" w:cs="Times New Roman" w:hAnsi="Times New Roman"/>
          <w:sz w:val="28"/>
          <w:szCs w:val="28"/>
        </w:rPr>
        <w:t xml:space="preserve"> </w:t>
      </w:r>
      <w:r>
        <w:rPr>
          <w:rFonts w:ascii="Times New Roman" w:cs="Times New Roman" w:hAnsi="Times New Roman"/>
          <w:sz w:val="28"/>
          <w:szCs w:val="28"/>
        </w:rPr>
        <w:t>control</w:t>
      </w:r>
      <w:r>
        <w:rPr>
          <w:rFonts w:ascii="Times New Roman" w:cs="Times New Roman" w:hAnsi="Times New Roman"/>
          <w:sz w:val="28"/>
          <w:szCs w:val="28"/>
        </w:rPr>
        <w:t xml:space="preserve"> soil </w:t>
      </w:r>
      <w:r>
        <w:rPr>
          <w:rFonts w:ascii="Times New Roman" w:cs="Times New Roman" w:hAnsi="Times New Roman"/>
          <w:sz w:val="28"/>
          <w:szCs w:val="28"/>
        </w:rPr>
        <w:t>5</w:t>
      </w:r>
      <w:r>
        <w:rPr>
          <w:rFonts w:ascii="Times New Roman" w:cs="Times New Roman" w:hAnsi="Times New Roman"/>
          <w:sz w:val="28"/>
          <w:szCs w:val="28"/>
        </w:rPr>
        <w:t>.0x10</w:t>
      </w:r>
      <w:r>
        <w:rPr>
          <w:rFonts w:ascii="Times New Roman" w:cs="Times New Roman" w:hAnsi="Times New Roman"/>
          <w:sz w:val="28"/>
          <w:szCs w:val="28"/>
          <w:vertAlign w:val="superscript"/>
        </w:rPr>
        <w:t>-3</w:t>
      </w:r>
      <w:r>
        <w:rPr>
          <w:rFonts w:ascii="Times New Roman" w:cs="Times New Roman" w:hAnsi="Times New Roman"/>
          <w:sz w:val="28"/>
          <w:szCs w:val="28"/>
        </w:rPr>
        <w:t>c</w:t>
      </w:r>
      <w:r>
        <w:rPr>
          <w:rFonts w:ascii="Times New Roman" w:cs="Times New Roman" w:hAnsi="Times New Roman"/>
          <w:sz w:val="28"/>
          <w:szCs w:val="28"/>
        </w:rPr>
        <w:t>olon</w:t>
      </w:r>
      <w:r>
        <w:rPr>
          <w:rFonts w:ascii="Times New Roman" w:cs="Times New Roman" w:hAnsi="Times New Roman"/>
          <w:sz w:val="28"/>
          <w:szCs w:val="28"/>
        </w:rPr>
        <w:t>y</w:t>
      </w:r>
      <w:r>
        <w:rPr>
          <w:rFonts w:ascii="Times New Roman" w:cs="Times New Roman" w:hAnsi="Times New Roman"/>
          <w:sz w:val="28"/>
          <w:szCs w:val="28"/>
        </w:rPr>
        <w:t xml:space="preserve">. Microscopic and macroscopic identification confirmed the dominance of fungal genera such as </w:t>
      </w:r>
      <w:r>
        <w:rPr>
          <w:rFonts w:ascii="Times New Roman" w:cs="Times New Roman" w:hAnsi="Times New Roman"/>
          <w:i/>
          <w:iCs/>
          <w:sz w:val="28"/>
          <w:szCs w:val="28"/>
        </w:rPr>
        <w:t>Aspergillus</w:t>
      </w:r>
      <w:r>
        <w:rPr>
          <w:rFonts w:ascii="Times New Roman" w:cs="Times New Roman" w:hAnsi="Times New Roman"/>
          <w:sz w:val="28"/>
          <w:szCs w:val="28"/>
        </w:rPr>
        <w:t xml:space="preserve">, </w:t>
      </w:r>
      <w:r>
        <w:rPr>
          <w:rFonts w:ascii="Times New Roman" w:cs="Times New Roman" w:hAnsi="Times New Roman"/>
          <w:i/>
          <w:iCs/>
          <w:sz w:val="28"/>
          <w:szCs w:val="28"/>
        </w:rPr>
        <w:t>Rhizopus</w:t>
      </w:r>
      <w:r>
        <w:rPr>
          <w:rFonts w:ascii="Times New Roman" w:cs="Times New Roman" w:hAnsi="Times New Roman"/>
          <w:sz w:val="28"/>
          <w:szCs w:val="28"/>
        </w:rPr>
        <w:t xml:space="preserve">, </w:t>
      </w:r>
      <w:r>
        <w:rPr>
          <w:rFonts w:ascii="Times New Roman" w:cs="Times New Roman" w:hAnsi="Times New Roman"/>
          <w:i/>
          <w:iCs/>
          <w:sz w:val="28"/>
          <w:szCs w:val="28"/>
        </w:rPr>
        <w:t>Mucor</w:t>
      </w:r>
      <w:r>
        <w:rPr>
          <w:rFonts w:ascii="Times New Roman" w:cs="Times New Roman" w:hAnsi="Times New Roman"/>
          <w:sz w:val="28"/>
          <w:szCs w:val="28"/>
        </w:rPr>
        <w:t xml:space="preserve">, </w:t>
      </w:r>
      <w:r>
        <w:rPr>
          <w:rFonts w:ascii="Times New Roman" w:cs="Times New Roman" w:hAnsi="Times New Roman"/>
          <w:i/>
          <w:iCs/>
          <w:sz w:val="28"/>
          <w:szCs w:val="28"/>
        </w:rPr>
        <w:t>Penicillium</w:t>
      </w:r>
      <w:r>
        <w:rPr>
          <w:rFonts w:ascii="Times New Roman" w:cs="Times New Roman" w:hAnsi="Times New Roman"/>
          <w:sz w:val="28"/>
          <w:szCs w:val="28"/>
        </w:rPr>
        <w:t xml:space="preserve">, and </w:t>
      </w:r>
      <w:r>
        <w:rPr>
          <w:rFonts w:ascii="Times New Roman" w:cs="Times New Roman" w:hAnsi="Times New Roman"/>
          <w:i/>
          <w:iCs/>
          <w:sz w:val="28"/>
          <w:szCs w:val="28"/>
        </w:rPr>
        <w:t>Trichoderma</w:t>
      </w:r>
      <w:r>
        <w:rPr>
          <w:rFonts w:ascii="Times New Roman" w:cs="Times New Roman" w:hAnsi="Times New Roman"/>
          <w:sz w:val="28"/>
          <w:szCs w:val="28"/>
        </w:rPr>
        <w:t>, particularly in organically enriched environments. Results indicate that organic inputs promote the proliferation of beneficial saprophytic fungi and enhance soil biodiversity, aligning with recent studies that highlight the ecological benefits of organic amendments over synthetic alternatives. However, shifts in fungal composition also depended on soil type and the nature of the organic input. This study underscores the potential of organic amendments to sustainably enrich soil fungal communities, improve soil fertility, and support eco-</w:t>
      </w:r>
      <w:r>
        <w:rPr>
          <w:rFonts w:ascii="Times New Roman" w:cs="Times New Roman" w:hAnsi="Times New Roman"/>
          <w:sz w:val="28"/>
          <w:szCs w:val="28"/>
        </w:rPr>
        <w:t>friendly agricultural practices</w:t>
      </w:r>
    </w:p>
    <w:bookmarkStart w:id="0" w:name="_Toc202974597"/>
    <w:p>
      <w:pPr>
        <w:pStyle w:val="style0"/>
        <w:jc w:val="center"/>
        <w:rPr>
          <w:rFonts w:ascii="Times New Roman" w:cs="Times New Roman" w:hAnsi="Times New Roman"/>
          <w:b/>
          <w:sz w:val="28"/>
          <w:szCs w:val="28"/>
        </w:rPr>
      </w:pPr>
      <w:r>
        <w:rPr>
          <w:rFonts w:ascii="Times New Roman" w:cs="Times New Roman" w:hAnsi="Times New Roman"/>
          <w:b/>
          <w:sz w:val="28"/>
          <w:szCs w:val="28"/>
        </w:rPr>
        <w:t>CHAPTER ONE</w:t>
      </w:r>
      <w:bookmarkEnd w:id="0"/>
    </w:p>
    <w:bookmarkStart w:id="1" w:name="_Toc202974598"/>
    <w:p>
      <w:pPr>
        <w:pStyle w:val="style1"/>
        <w:rPr>
          <w:rFonts w:ascii="Times New Roman" w:cs="Times New Roman" w:hAnsi="Times New Roman"/>
          <w:b/>
          <w:color w:val="auto"/>
          <w:sz w:val="28"/>
          <w:szCs w:val="28"/>
        </w:rPr>
      </w:pPr>
      <w:r>
        <w:rPr>
          <w:rFonts w:ascii="Times New Roman" w:cs="Times New Roman" w:hAnsi="Times New Roman"/>
          <w:b/>
          <w:color w:val="auto"/>
          <w:sz w:val="28"/>
          <w:szCs w:val="28"/>
        </w:rPr>
        <w:t>1.0 INTRODUCTION</w:t>
      </w:r>
      <w:bookmarkEnd w:id="1"/>
    </w:p>
    <w:p>
      <w:pPr>
        <w:pStyle w:val="style94"/>
        <w:spacing w:lineRule="auto" w:line="480"/>
        <w:jc w:val="both"/>
        <w:rPr>
          <w:sz w:val="28"/>
          <w:szCs w:val="28"/>
        </w:rPr>
      </w:pPr>
      <w:r>
        <w:rPr>
          <w:sz w:val="28"/>
          <w:szCs w:val="28"/>
        </w:rPr>
        <w:t xml:space="preserve">Soil mycobiome refers to the diverse community of fungi inhabiting the soil ecosystem, playing critical roles in nutrient cycling, soil structure maintenance, and plant health (Li </w:t>
      </w:r>
      <w:r>
        <w:rPr>
          <w:i/>
          <w:sz w:val="28"/>
          <w:szCs w:val="28"/>
        </w:rPr>
        <w:t>et al</w:t>
      </w:r>
      <w:r>
        <w:rPr>
          <w:sz w:val="28"/>
          <w:szCs w:val="28"/>
        </w:rPr>
        <w:t xml:space="preserve">., 2021). Fungi in soil act as decomposers, pathogens, symbionts, and saprophytes, influencing the biotic and abiotic properties of soil. Understanding the dynamics of soil fungal communities is essential to improving soil fertility and sustainable agricultural productivity (Zhang </w:t>
      </w:r>
      <w:r>
        <w:rPr>
          <w:i/>
          <w:sz w:val="28"/>
          <w:szCs w:val="28"/>
        </w:rPr>
        <w:t>et al</w:t>
      </w:r>
      <w:r>
        <w:rPr>
          <w:sz w:val="28"/>
          <w:szCs w:val="28"/>
        </w:rPr>
        <w:t xml:space="preserve">., 2020). Organic amendments, including compost, manure, biochar, and green manure, have been widely recognized for their capacity to alter soil microbial communities and improve soil health (Kaur </w:t>
      </w:r>
      <w:r>
        <w:rPr>
          <w:i/>
          <w:sz w:val="28"/>
          <w:szCs w:val="28"/>
        </w:rPr>
        <w:t>et al</w:t>
      </w:r>
      <w:r>
        <w:rPr>
          <w:sz w:val="28"/>
          <w:szCs w:val="28"/>
        </w:rPr>
        <w:t>., 2022).</w:t>
      </w:r>
    </w:p>
    <w:p>
      <w:pPr>
        <w:pStyle w:val="style94"/>
        <w:spacing w:lineRule="auto" w:line="480"/>
        <w:jc w:val="both"/>
        <w:rPr>
          <w:sz w:val="28"/>
          <w:szCs w:val="28"/>
        </w:rPr>
      </w:pPr>
      <w:r>
        <w:rPr>
          <w:sz w:val="28"/>
          <w:szCs w:val="28"/>
        </w:rPr>
        <w:t xml:space="preserve">Organic amendments serve as a source of nutrients and organic carbon, fostering beneficial microbial growth, especially fungi, which contribute to the breakdown of complex organic materials (Wang </w:t>
      </w:r>
      <w:r>
        <w:rPr>
          <w:i/>
          <w:sz w:val="28"/>
          <w:szCs w:val="28"/>
        </w:rPr>
        <w:t>et al</w:t>
      </w:r>
      <w:r>
        <w:rPr>
          <w:sz w:val="28"/>
          <w:szCs w:val="28"/>
        </w:rPr>
        <w:t xml:space="preserve">., 2021). They enhance soil physicochemical properties such as water retention, porosity, and pH, indirectly affecting fungal community structure and functions (Singh </w:t>
      </w:r>
      <w:r>
        <w:rPr>
          <w:i/>
          <w:sz w:val="28"/>
          <w:szCs w:val="28"/>
        </w:rPr>
        <w:t>et al</w:t>
      </w:r>
      <w:r>
        <w:rPr>
          <w:sz w:val="28"/>
          <w:szCs w:val="28"/>
        </w:rPr>
        <w:t xml:space="preserve">., 2021). These amendments differ from synthetic fertilizers by improving </w:t>
      </w:r>
      <w:r>
        <w:rPr>
          <w:sz w:val="28"/>
          <w:szCs w:val="28"/>
        </w:rPr>
        <w:t xml:space="preserve">microbial diversity and activity sustainably, which is vital for long-term soil health (He </w:t>
      </w:r>
      <w:r>
        <w:rPr>
          <w:i/>
          <w:sz w:val="28"/>
          <w:szCs w:val="28"/>
        </w:rPr>
        <w:t>et al</w:t>
      </w:r>
      <w:r>
        <w:rPr>
          <w:sz w:val="28"/>
          <w:szCs w:val="28"/>
        </w:rPr>
        <w:t xml:space="preserve">., 2022). Given their eco-friendly nature, organic amendments have gained interest for mitigating the negative impacts of intensive agriculture on soil microbial ecosystems (Zhou </w:t>
      </w:r>
      <w:r>
        <w:rPr>
          <w:i/>
          <w:sz w:val="28"/>
          <w:szCs w:val="28"/>
        </w:rPr>
        <w:t>et al</w:t>
      </w:r>
      <w:r>
        <w:rPr>
          <w:sz w:val="28"/>
          <w:szCs w:val="28"/>
        </w:rPr>
        <w:t>., 2020).</w:t>
      </w:r>
    </w:p>
    <w:p>
      <w:pPr>
        <w:pStyle w:val="style94"/>
        <w:spacing w:lineRule="auto" w:line="480"/>
        <w:jc w:val="both"/>
        <w:rPr>
          <w:sz w:val="28"/>
          <w:szCs w:val="28"/>
        </w:rPr>
      </w:pPr>
      <w:r>
        <w:rPr>
          <w:sz w:val="28"/>
          <w:szCs w:val="28"/>
        </w:rPr>
        <w:t xml:space="preserve">The soil mycobiome includes diverse functional groups such as mycorrhizal fungi, saprotrophs, and pathogens (Niu </w:t>
      </w:r>
      <w:r>
        <w:rPr>
          <w:i/>
          <w:sz w:val="28"/>
          <w:szCs w:val="28"/>
        </w:rPr>
        <w:t>et al</w:t>
      </w:r>
      <w:r>
        <w:rPr>
          <w:sz w:val="28"/>
          <w:szCs w:val="28"/>
        </w:rPr>
        <w:t xml:space="preserve">., 2021). Mycorrhizal fungi establish symbiotic relationships with plant roots, enhancing nutrient uptake and stress tolerance (Gupta </w:t>
      </w:r>
      <w:r>
        <w:rPr>
          <w:i/>
          <w:sz w:val="28"/>
          <w:szCs w:val="28"/>
        </w:rPr>
        <w:t>et al</w:t>
      </w:r>
      <w:r>
        <w:rPr>
          <w:sz w:val="28"/>
          <w:szCs w:val="28"/>
        </w:rPr>
        <w:t xml:space="preserve">., 2023). Saprotrophic fungi decompose organic residues, recycling nutrients into the soil, while pathogenic fungi can cause diseases detrimental to crops (Yang </w:t>
      </w:r>
      <w:r>
        <w:rPr>
          <w:i/>
          <w:sz w:val="28"/>
          <w:szCs w:val="28"/>
        </w:rPr>
        <w:t>et al</w:t>
      </w:r>
      <w:r>
        <w:rPr>
          <w:sz w:val="28"/>
          <w:szCs w:val="28"/>
        </w:rPr>
        <w:t xml:space="preserve">., 2022). The balance among these groups is crucial and influenced by soil management practices, including organic amendments (Mendes </w:t>
      </w:r>
      <w:r>
        <w:rPr>
          <w:i/>
          <w:sz w:val="28"/>
          <w:szCs w:val="28"/>
        </w:rPr>
        <w:t>et al</w:t>
      </w:r>
      <w:r>
        <w:rPr>
          <w:sz w:val="28"/>
          <w:szCs w:val="28"/>
        </w:rPr>
        <w:t>., 2021).</w:t>
      </w:r>
    </w:p>
    <w:p>
      <w:pPr>
        <w:pStyle w:val="style94"/>
        <w:spacing w:lineRule="auto" w:line="480"/>
        <w:jc w:val="both"/>
        <w:rPr>
          <w:sz w:val="28"/>
          <w:szCs w:val="28"/>
        </w:rPr>
      </w:pPr>
      <w:r>
        <w:rPr>
          <w:sz w:val="28"/>
          <w:szCs w:val="28"/>
        </w:rPr>
        <w:t xml:space="preserve">Organic amendments can stimulate beneficial fungal taxa, enhancing nutrient cycling and soil aggregation (Raza </w:t>
      </w:r>
      <w:r>
        <w:rPr>
          <w:i/>
          <w:sz w:val="28"/>
          <w:szCs w:val="28"/>
        </w:rPr>
        <w:t>et al</w:t>
      </w:r>
      <w:r>
        <w:rPr>
          <w:sz w:val="28"/>
          <w:szCs w:val="28"/>
        </w:rPr>
        <w:t xml:space="preserve">., 2020). For instance, the addition of compost has been shown to increase fungal biomass and diversity, promoting soil health and plant growth (Chen </w:t>
      </w:r>
      <w:r>
        <w:rPr>
          <w:i/>
          <w:sz w:val="28"/>
          <w:szCs w:val="28"/>
        </w:rPr>
        <w:t>et al</w:t>
      </w:r>
      <w:r>
        <w:rPr>
          <w:sz w:val="28"/>
          <w:szCs w:val="28"/>
        </w:rPr>
        <w:t xml:space="preserve">., 2021). Biochar, a form of charcoal applied to soils, alters soil pH and nutrient availability, which in turn affects </w:t>
      </w:r>
      <w:r>
        <w:rPr>
          <w:sz w:val="28"/>
          <w:szCs w:val="28"/>
        </w:rPr>
        <w:t xml:space="preserve">fungal community composition and functions (Li </w:t>
      </w:r>
      <w:r>
        <w:rPr>
          <w:i/>
          <w:sz w:val="28"/>
          <w:szCs w:val="28"/>
        </w:rPr>
        <w:t>et al</w:t>
      </w:r>
      <w:r>
        <w:rPr>
          <w:sz w:val="28"/>
          <w:szCs w:val="28"/>
        </w:rPr>
        <w:t xml:space="preserve">., 2022). These shifts in the mycobiome can lead to improved soil resilience against environmental stresses such as drought and pathogen invasion (Khan </w:t>
      </w:r>
      <w:r>
        <w:rPr>
          <w:i/>
          <w:sz w:val="28"/>
          <w:szCs w:val="28"/>
        </w:rPr>
        <w:t>et al</w:t>
      </w:r>
      <w:r>
        <w:rPr>
          <w:sz w:val="28"/>
          <w:szCs w:val="28"/>
        </w:rPr>
        <w:t>., 2023).</w:t>
      </w:r>
    </w:p>
    <w:p>
      <w:pPr>
        <w:pStyle w:val="style94"/>
        <w:spacing w:lineRule="auto" w:line="480"/>
        <w:jc w:val="both"/>
        <w:rPr>
          <w:sz w:val="28"/>
          <w:szCs w:val="28"/>
        </w:rPr>
      </w:pPr>
      <w:r>
        <w:rPr>
          <w:sz w:val="28"/>
          <w:szCs w:val="28"/>
        </w:rPr>
        <w:t xml:space="preserve">The impact of organic amendments on the soil mycobiome is not uniform and depends on factors such as amendment type, application rate, soil type, and climatic conditions (Wang </w:t>
      </w:r>
      <w:r>
        <w:rPr>
          <w:i/>
          <w:sz w:val="28"/>
          <w:szCs w:val="28"/>
        </w:rPr>
        <w:t>et al</w:t>
      </w:r>
      <w:r>
        <w:rPr>
          <w:sz w:val="28"/>
          <w:szCs w:val="28"/>
        </w:rPr>
        <w:t xml:space="preserve">., 2022). For example, manure amendments can increase the abundance of coprophilous fungi, which specialize in degrading animal waste, while green manures may boost arbuscular mycorrhizal fungi associated with plant roots (Zhao </w:t>
      </w:r>
      <w:r>
        <w:rPr>
          <w:i/>
          <w:sz w:val="28"/>
          <w:szCs w:val="28"/>
        </w:rPr>
        <w:t>et al</w:t>
      </w:r>
      <w:r>
        <w:rPr>
          <w:sz w:val="28"/>
          <w:szCs w:val="28"/>
        </w:rPr>
        <w:t>., 2021). Hence, it is critical to understand these interactions to optimize organic amendment use in various agricultural contexts.</w:t>
      </w:r>
    </w:p>
    <w:p>
      <w:pPr>
        <w:pStyle w:val="style94"/>
        <w:spacing w:lineRule="auto" w:line="480"/>
        <w:jc w:val="both"/>
        <w:rPr>
          <w:sz w:val="28"/>
          <w:szCs w:val="28"/>
        </w:rPr>
      </w:pPr>
      <w:r>
        <w:rPr>
          <w:sz w:val="28"/>
          <w:szCs w:val="28"/>
        </w:rPr>
        <w:t xml:space="preserve">Advances in high-throughput sequencing and metagenomics have revolutionized the study of soil fungal communities (Xu </w:t>
      </w:r>
      <w:r>
        <w:rPr>
          <w:i/>
          <w:sz w:val="28"/>
          <w:szCs w:val="28"/>
        </w:rPr>
        <w:t>et al</w:t>
      </w:r>
      <w:r>
        <w:rPr>
          <w:sz w:val="28"/>
          <w:szCs w:val="28"/>
        </w:rPr>
        <w:t xml:space="preserve">., 2020). These techniques allow detailed characterization of the mycobiome, revealing shifts in fungal diversity and functional potential in response to organic amendments (Fernández </w:t>
      </w:r>
      <w:r>
        <w:rPr>
          <w:i/>
          <w:sz w:val="28"/>
          <w:szCs w:val="28"/>
        </w:rPr>
        <w:t>et al</w:t>
      </w:r>
      <w:r>
        <w:rPr>
          <w:sz w:val="28"/>
          <w:szCs w:val="28"/>
        </w:rPr>
        <w:t xml:space="preserve">., 2022). Metagenomic data also help identify key fungal taxa </w:t>
      </w:r>
      <w:r>
        <w:rPr>
          <w:sz w:val="28"/>
          <w:szCs w:val="28"/>
        </w:rPr>
        <w:t xml:space="preserve">involved in nutrient cycling and disease suppression, guiding management strategies to promote beneficial fungi (Patel </w:t>
      </w:r>
      <w:r>
        <w:rPr>
          <w:i/>
          <w:sz w:val="28"/>
          <w:szCs w:val="28"/>
        </w:rPr>
        <w:t>et al</w:t>
      </w:r>
      <w:r>
        <w:rPr>
          <w:sz w:val="28"/>
          <w:szCs w:val="28"/>
        </w:rPr>
        <w:t>., 2021).</w:t>
      </w:r>
    </w:p>
    <w:p>
      <w:pPr>
        <w:pStyle w:val="style94"/>
        <w:spacing w:lineRule="auto" w:line="480"/>
        <w:jc w:val="both"/>
        <w:rPr>
          <w:sz w:val="28"/>
          <w:szCs w:val="28"/>
        </w:rPr>
      </w:pPr>
      <w:r>
        <w:rPr>
          <w:sz w:val="28"/>
          <w:szCs w:val="28"/>
        </w:rPr>
        <w:t xml:space="preserve">Soil fungi contribute significantly to carbon sequestration by decomposing organic matter and stabilizing soil organic carbon (SOC) pools (Zhang </w:t>
      </w:r>
      <w:r>
        <w:rPr>
          <w:i/>
          <w:sz w:val="28"/>
          <w:szCs w:val="28"/>
        </w:rPr>
        <w:t>et al</w:t>
      </w:r>
      <w:r>
        <w:rPr>
          <w:sz w:val="28"/>
          <w:szCs w:val="28"/>
        </w:rPr>
        <w:t xml:space="preserve">., 2021). Organic amendments can enhance fungal-mediated carbon stabilization processes, contributing to climate change mitigation (Sun </w:t>
      </w:r>
      <w:r>
        <w:rPr>
          <w:i/>
          <w:sz w:val="28"/>
          <w:szCs w:val="28"/>
        </w:rPr>
        <w:t>et al</w:t>
      </w:r>
      <w:r>
        <w:rPr>
          <w:sz w:val="28"/>
          <w:szCs w:val="28"/>
        </w:rPr>
        <w:t xml:space="preserve">., 2023). By fostering a diverse mycobiome, these amendments improve soil carbon storage and reduce greenhouse gas emissions from soils (Wang </w:t>
      </w:r>
      <w:r>
        <w:rPr>
          <w:i/>
          <w:sz w:val="28"/>
          <w:szCs w:val="28"/>
        </w:rPr>
        <w:t>et al</w:t>
      </w:r>
      <w:r>
        <w:rPr>
          <w:sz w:val="28"/>
          <w:szCs w:val="28"/>
        </w:rPr>
        <w:t>., 2023).</w:t>
      </w:r>
    </w:p>
    <w:p>
      <w:pPr>
        <w:pStyle w:val="style94"/>
        <w:spacing w:lineRule="auto" w:line="480"/>
        <w:jc w:val="both"/>
        <w:rPr>
          <w:sz w:val="28"/>
          <w:szCs w:val="28"/>
        </w:rPr>
      </w:pPr>
      <w:r>
        <w:rPr>
          <w:sz w:val="28"/>
          <w:szCs w:val="28"/>
        </w:rPr>
        <w:t xml:space="preserve">The use of organic amendments also influences fungal-pathogen dynamics in soil ecosystems (Liu </w:t>
      </w:r>
      <w:r>
        <w:rPr>
          <w:i/>
          <w:sz w:val="28"/>
          <w:szCs w:val="28"/>
        </w:rPr>
        <w:t>et al</w:t>
      </w:r>
      <w:r>
        <w:rPr>
          <w:sz w:val="28"/>
          <w:szCs w:val="28"/>
        </w:rPr>
        <w:t xml:space="preserve">., 2020). Amendments such as compost can suppress soil-borne pathogens by promoting antagonistic fungi and enhancing microbial competition (Guo </w:t>
      </w:r>
      <w:r>
        <w:rPr>
          <w:i/>
          <w:sz w:val="28"/>
          <w:szCs w:val="28"/>
        </w:rPr>
        <w:t>et al</w:t>
      </w:r>
      <w:r>
        <w:rPr>
          <w:sz w:val="28"/>
          <w:szCs w:val="28"/>
        </w:rPr>
        <w:t xml:space="preserve">., 2022). This disease-suppressive effect reduces the need for chemical fungicides, supporting sustainable crop production (Chen </w:t>
      </w:r>
      <w:r>
        <w:rPr>
          <w:i/>
          <w:sz w:val="28"/>
          <w:szCs w:val="28"/>
        </w:rPr>
        <w:t>et al</w:t>
      </w:r>
      <w:r>
        <w:rPr>
          <w:sz w:val="28"/>
          <w:szCs w:val="28"/>
        </w:rPr>
        <w:t>., 2023). Understanding these mechanisms is key to developing integrated pest management strategies using organic inputs.</w:t>
      </w:r>
    </w:p>
    <w:p>
      <w:pPr>
        <w:pStyle w:val="style94"/>
        <w:spacing w:lineRule="auto" w:line="480"/>
        <w:jc w:val="both"/>
        <w:rPr>
          <w:sz w:val="28"/>
          <w:szCs w:val="28"/>
        </w:rPr>
      </w:pPr>
      <w:r>
        <w:rPr>
          <w:sz w:val="28"/>
          <w:szCs w:val="28"/>
        </w:rPr>
        <w:t xml:space="preserve">Organic amendments impact soil enzyme activities linked to fungal metabolism, such as cellulases and ligninases, which break down complex plant materials (Sharma </w:t>
      </w:r>
      <w:r>
        <w:rPr>
          <w:i/>
          <w:sz w:val="28"/>
          <w:szCs w:val="28"/>
        </w:rPr>
        <w:t>et al</w:t>
      </w:r>
      <w:r>
        <w:rPr>
          <w:sz w:val="28"/>
          <w:szCs w:val="28"/>
        </w:rPr>
        <w:t xml:space="preserve">., 2021). Enhanced enzymatic activity improves nutrient release and availability, facilitating plant growth (Patil </w:t>
      </w:r>
      <w:r>
        <w:rPr>
          <w:i/>
          <w:sz w:val="28"/>
          <w:szCs w:val="28"/>
        </w:rPr>
        <w:t>et al</w:t>
      </w:r>
      <w:r>
        <w:rPr>
          <w:sz w:val="28"/>
          <w:szCs w:val="28"/>
        </w:rPr>
        <w:t xml:space="preserve">., 2022). Thus, changes in fungal enzyme production under organic amendment regimes are indicators of improved soil health and fertility (Wang </w:t>
      </w:r>
      <w:r>
        <w:rPr>
          <w:i/>
          <w:sz w:val="28"/>
          <w:szCs w:val="28"/>
        </w:rPr>
        <w:t>et al</w:t>
      </w:r>
      <w:r>
        <w:rPr>
          <w:sz w:val="28"/>
          <w:szCs w:val="28"/>
        </w:rPr>
        <w:t>., 2020).</w:t>
      </w:r>
    </w:p>
    <w:p>
      <w:pPr>
        <w:pStyle w:val="style94"/>
        <w:spacing w:lineRule="auto" w:line="480"/>
        <w:jc w:val="both"/>
        <w:rPr>
          <w:sz w:val="28"/>
          <w:szCs w:val="28"/>
        </w:rPr>
      </w:pPr>
      <w:r>
        <w:rPr>
          <w:sz w:val="28"/>
          <w:szCs w:val="28"/>
        </w:rPr>
        <w:t xml:space="preserve">In addition to nutrient cycling, fungi contribute to soil aggregation by producing extracellular polysaccharides that bind soil particles (Kumar </w:t>
      </w:r>
      <w:r>
        <w:rPr>
          <w:i/>
          <w:sz w:val="28"/>
          <w:szCs w:val="28"/>
        </w:rPr>
        <w:t>et al</w:t>
      </w:r>
      <w:r>
        <w:rPr>
          <w:sz w:val="28"/>
          <w:szCs w:val="28"/>
        </w:rPr>
        <w:t xml:space="preserve">., 2021). Organic amendments increase fungal biomass and activity, which strengthens soil structure and reduces erosion (Zhao </w:t>
      </w:r>
      <w:r>
        <w:rPr>
          <w:i/>
          <w:sz w:val="28"/>
          <w:szCs w:val="28"/>
        </w:rPr>
        <w:t>et al</w:t>
      </w:r>
      <w:r>
        <w:rPr>
          <w:sz w:val="28"/>
          <w:szCs w:val="28"/>
        </w:rPr>
        <w:t xml:space="preserve">., 2022). Better soil aggregation improves aeration and water infiltration, critical for root development and microbial habitat stability (Singh </w:t>
      </w:r>
      <w:r>
        <w:rPr>
          <w:i/>
          <w:sz w:val="28"/>
          <w:szCs w:val="28"/>
        </w:rPr>
        <w:t>et al</w:t>
      </w:r>
      <w:r>
        <w:rPr>
          <w:sz w:val="28"/>
          <w:szCs w:val="28"/>
        </w:rPr>
        <w:t>., 2023).</w:t>
      </w:r>
    </w:p>
    <w:p>
      <w:pPr>
        <w:pStyle w:val="style94"/>
        <w:spacing w:lineRule="auto" w:line="480"/>
        <w:jc w:val="both"/>
        <w:rPr>
          <w:sz w:val="28"/>
          <w:szCs w:val="28"/>
        </w:rPr>
      </w:pPr>
      <w:r>
        <w:rPr>
          <w:sz w:val="28"/>
          <w:szCs w:val="28"/>
        </w:rPr>
        <w:t xml:space="preserve">While organic amendments benefit the soil mycobiome, improper or excessive use can lead to nutrient imbalances and promote opportunistic fungal pathogens (Cheng </w:t>
      </w:r>
      <w:r>
        <w:rPr>
          <w:i/>
          <w:sz w:val="28"/>
          <w:szCs w:val="28"/>
        </w:rPr>
        <w:t>et al</w:t>
      </w:r>
      <w:r>
        <w:rPr>
          <w:sz w:val="28"/>
          <w:szCs w:val="28"/>
        </w:rPr>
        <w:t xml:space="preserve">., 2022). For example, excessive manure application may increase the abundance of fungi associated with antibiotic </w:t>
      </w:r>
      <w:r>
        <w:rPr>
          <w:sz w:val="28"/>
          <w:szCs w:val="28"/>
        </w:rPr>
        <w:t xml:space="preserve">resistance genes, posing environmental and health risks (Wang </w:t>
      </w:r>
      <w:r>
        <w:rPr>
          <w:i/>
          <w:sz w:val="28"/>
          <w:szCs w:val="28"/>
        </w:rPr>
        <w:t>et al</w:t>
      </w:r>
      <w:r>
        <w:rPr>
          <w:sz w:val="28"/>
          <w:szCs w:val="28"/>
        </w:rPr>
        <w:t xml:space="preserve">., 2021). Therefore, balanced and well-managed application rates are essential to harness benefits while minimizing negative impacts (Li </w:t>
      </w:r>
      <w:r>
        <w:rPr>
          <w:i/>
          <w:sz w:val="28"/>
          <w:szCs w:val="28"/>
        </w:rPr>
        <w:t>et al</w:t>
      </w:r>
      <w:r>
        <w:rPr>
          <w:sz w:val="28"/>
          <w:szCs w:val="28"/>
        </w:rPr>
        <w:t>., 2020).</w:t>
      </w:r>
    </w:p>
    <w:p>
      <w:pPr>
        <w:pStyle w:val="style94"/>
        <w:spacing w:lineRule="auto" w:line="480"/>
        <w:jc w:val="both"/>
        <w:rPr>
          <w:sz w:val="28"/>
          <w:szCs w:val="28"/>
        </w:rPr>
      </w:pPr>
      <w:r>
        <w:rPr>
          <w:sz w:val="28"/>
          <w:szCs w:val="28"/>
        </w:rPr>
        <w:t xml:space="preserve">Climate change and land use changes further complicate the effects of organic amendments on soil fungi (Zhou </w:t>
      </w:r>
      <w:r>
        <w:rPr>
          <w:i/>
          <w:sz w:val="28"/>
          <w:szCs w:val="28"/>
        </w:rPr>
        <w:t>et al</w:t>
      </w:r>
      <w:r>
        <w:rPr>
          <w:sz w:val="28"/>
          <w:szCs w:val="28"/>
        </w:rPr>
        <w:t xml:space="preserve">., 2021). Rising temperatures and altered precipitation patterns influence fungal growth and community dynamics (Gao </w:t>
      </w:r>
      <w:r>
        <w:rPr>
          <w:i/>
          <w:sz w:val="28"/>
          <w:szCs w:val="28"/>
        </w:rPr>
        <w:t>et al</w:t>
      </w:r>
      <w:r>
        <w:rPr>
          <w:sz w:val="28"/>
          <w:szCs w:val="28"/>
        </w:rPr>
        <w:t xml:space="preserve">., 2023). Organic amendments may buffer some of these impacts by maintaining soil moisture and organic carbon, but adaptive management practices are needed to sustain fungal diversity under changing conditions (Luo </w:t>
      </w:r>
      <w:r>
        <w:rPr>
          <w:i/>
          <w:sz w:val="28"/>
          <w:szCs w:val="28"/>
        </w:rPr>
        <w:t>et al</w:t>
      </w:r>
      <w:r>
        <w:rPr>
          <w:sz w:val="28"/>
          <w:szCs w:val="28"/>
        </w:rPr>
        <w:t>., 2022).</w:t>
      </w:r>
    </w:p>
    <w:p>
      <w:pPr>
        <w:pStyle w:val="style94"/>
        <w:spacing w:lineRule="auto" w:line="480"/>
        <w:jc w:val="both"/>
        <w:rPr>
          <w:sz w:val="28"/>
          <w:szCs w:val="28"/>
        </w:rPr>
      </w:pPr>
      <w:r>
        <w:rPr>
          <w:sz w:val="28"/>
          <w:szCs w:val="28"/>
        </w:rPr>
        <w:t xml:space="preserve">This study aims to elucidate the specific effects of different organic amendments on the diversity, structure, and functional potential of soil mycobiomes under controlled agricultural conditions. Understanding these interactions will support the development of sustainable soil management practices that enhance soil fertility and crop productivity while preserving microbial biodiversity (Singh </w:t>
      </w:r>
      <w:r>
        <w:rPr>
          <w:i/>
          <w:sz w:val="28"/>
          <w:szCs w:val="28"/>
        </w:rPr>
        <w:t>et al</w:t>
      </w:r>
      <w:r>
        <w:rPr>
          <w:sz w:val="28"/>
          <w:szCs w:val="28"/>
        </w:rPr>
        <w:t>., 2020). It also aligns with global efforts to promote eco-friendly agriculture and mitigate environmental degradation.</w:t>
      </w:r>
    </w:p>
    <w:p>
      <w:pPr>
        <w:pStyle w:val="style94"/>
        <w:spacing w:lineRule="auto" w:line="480"/>
        <w:jc w:val="both"/>
        <w:rPr>
          <w:sz w:val="28"/>
          <w:szCs w:val="28"/>
        </w:rPr>
      </w:pPr>
      <w:r>
        <w:rPr>
          <w:sz w:val="28"/>
          <w:szCs w:val="28"/>
        </w:rPr>
        <w:t xml:space="preserve">The soil mycobiome is a crucial component of soil ecosystems, significantly influenced by organic amendments. These amendments can enhance beneficial fungi, improve soil health, and contribute to sustainable agriculture (Kaur </w:t>
      </w:r>
      <w:r>
        <w:rPr>
          <w:i/>
          <w:sz w:val="28"/>
          <w:szCs w:val="28"/>
        </w:rPr>
        <w:t>et al</w:t>
      </w:r>
      <w:r>
        <w:rPr>
          <w:sz w:val="28"/>
          <w:szCs w:val="28"/>
        </w:rPr>
        <w:t>., 2022). However, their effects depend on multiple factors requiring detailed study to optimize their use. This project will contribute to filling the knowledge gap on organic amendments’ role in shaping the soil mycobiome and provide practical recommendations for agricultural management.</w:t>
      </w:r>
    </w:p>
    <w:p>
      <w:pPr>
        <w:pStyle w:val="style1"/>
        <w:rPr>
          <w:rFonts w:ascii="Times New Roman" w:cs="Times New Roman" w:hAnsi="Times New Roman"/>
          <w:b/>
          <w:color w:val="auto"/>
        </w:rPr>
      </w:pPr>
      <w:r>
        <w:rPr>
          <w:rFonts w:ascii="Times New Roman" w:cs="Times New Roman" w:hAnsi="Times New Roman"/>
          <w:b/>
          <w:color w:val="auto"/>
        </w:rPr>
        <w:t xml:space="preserve"> </w:t>
      </w:r>
      <w:bookmarkStart w:id="2" w:name="_Toc202974599"/>
      <w:r>
        <w:rPr>
          <w:rFonts w:ascii="Times New Roman" w:cs="Times New Roman" w:hAnsi="Times New Roman"/>
          <w:b/>
          <w:color w:val="auto"/>
        </w:rPr>
        <w:t xml:space="preserve">1.1 </w:t>
      </w:r>
      <w:r>
        <w:rPr>
          <w:rFonts w:ascii="Times New Roman" w:cs="Times New Roman" w:hAnsi="Times New Roman"/>
          <w:b/>
          <w:color w:val="auto"/>
        </w:rPr>
        <w:t>Literature review</w:t>
      </w:r>
      <w:bookmarkEnd w:id="2"/>
      <w:r>
        <w:rPr>
          <w:rFonts w:ascii="Times New Roman" w:cs="Times New Roman" w:hAnsi="Times New Roman"/>
          <w:b/>
          <w:color w:val="auto"/>
        </w:rPr>
        <w:t xml:space="preserve"> </w:t>
      </w:r>
    </w:p>
    <w:p>
      <w:pPr>
        <w:pStyle w:val="style94"/>
        <w:spacing w:lineRule="auto" w:line="480"/>
        <w:jc w:val="both"/>
        <w:rPr>
          <w:sz w:val="28"/>
          <w:szCs w:val="28"/>
        </w:rPr>
      </w:pPr>
      <w:r>
        <w:rPr>
          <w:sz w:val="28"/>
          <w:szCs w:val="28"/>
        </w:rPr>
        <w:t xml:space="preserve">According to Zhang </w:t>
      </w:r>
      <w:r>
        <w:rPr>
          <w:i/>
          <w:sz w:val="28"/>
          <w:szCs w:val="28"/>
        </w:rPr>
        <w:t>et al</w:t>
      </w:r>
      <w:r>
        <w:rPr>
          <w:sz w:val="28"/>
          <w:szCs w:val="28"/>
        </w:rPr>
        <w:t xml:space="preserve">. (2019), organic amendments such as compost, green manure, animal waste, and crop residues significantly influence the soil mycobiome by enriching fungal populations and enhancing diversity. These amendments provide organic carbon and essential nutrients that support fungal growth and activity. Fungi play a pivotal role in decomposing organic matter and facilitating nutrient cycling in the soil. The increased availability of energy sources in organically amended soils creates a favorable environment for symbiotic fungi like arbuscular mycorrhizal fungi (AMF) and </w:t>
      </w:r>
      <w:r>
        <w:rPr>
          <w:sz w:val="28"/>
          <w:szCs w:val="28"/>
        </w:rPr>
        <w:t>saprophytic fungi, thereby contributing to soil fertility and structure improvement.</w:t>
      </w:r>
    </w:p>
    <w:p>
      <w:pPr>
        <w:pStyle w:val="style94"/>
        <w:spacing w:lineRule="auto" w:line="480"/>
        <w:jc w:val="both"/>
        <w:rPr>
          <w:sz w:val="28"/>
          <w:szCs w:val="28"/>
        </w:rPr>
      </w:pPr>
      <w:r>
        <w:rPr>
          <w:sz w:val="28"/>
          <w:szCs w:val="28"/>
        </w:rPr>
        <w:t xml:space="preserve">According to Bonanomi </w:t>
      </w:r>
      <w:r>
        <w:rPr>
          <w:i/>
          <w:sz w:val="28"/>
          <w:szCs w:val="28"/>
        </w:rPr>
        <w:t>et al</w:t>
      </w:r>
      <w:r>
        <w:rPr>
          <w:sz w:val="28"/>
          <w:szCs w:val="28"/>
        </w:rPr>
        <w:t xml:space="preserve">. (2020), the composition of the soil fungal community is often reshaped following the application of organic amendments. For example, compost application has been found to stimulate the growth of beneficial fungal genera such as </w:t>
      </w:r>
      <w:r>
        <w:rPr>
          <w:i/>
          <w:iCs/>
          <w:sz w:val="28"/>
          <w:szCs w:val="28"/>
        </w:rPr>
        <w:t>Trichoderma</w:t>
      </w:r>
      <w:r>
        <w:rPr>
          <w:sz w:val="28"/>
          <w:szCs w:val="28"/>
        </w:rPr>
        <w:t xml:space="preserve"> and </w:t>
      </w:r>
      <w:r>
        <w:rPr>
          <w:i/>
          <w:iCs/>
          <w:sz w:val="28"/>
          <w:szCs w:val="28"/>
        </w:rPr>
        <w:t>Penicillium</w:t>
      </w:r>
      <w:r>
        <w:rPr>
          <w:sz w:val="28"/>
          <w:szCs w:val="28"/>
        </w:rPr>
        <w:t>, which possess antagonistic properties against plant pathogens. These fungi help protect crops by producing antibiotics, competing for nutrients and space, and improving plant immune responses. In contrast, synthetic fertilizers may suppress fungal diversity by altering soil pH and creating nutrient imbalances, thereby underscoring the ecological benefits of organic alternatives.</w:t>
      </w:r>
    </w:p>
    <w:p>
      <w:pPr>
        <w:pStyle w:val="style94"/>
        <w:spacing w:lineRule="auto" w:line="480"/>
        <w:jc w:val="both"/>
        <w:rPr>
          <w:sz w:val="28"/>
          <w:szCs w:val="28"/>
        </w:rPr>
      </w:pPr>
      <w:r>
        <w:rPr>
          <w:sz w:val="28"/>
          <w:szCs w:val="28"/>
        </w:rPr>
        <w:t xml:space="preserve">According to recent ecological assessments, enhanced fungal diversity resulting from organic amendment use contributes significantly to various soil ecosystem functions. Fungi, especially mycorrhizal species, help stabilize soil structure by producing glomalin and forming hyphal networks that bind soil particles. This structural stability improves water retention and aeration, while also reducing erosion. Moreover, the fungal-mediated increase in soil organic </w:t>
      </w:r>
      <w:r>
        <w:rPr>
          <w:sz w:val="28"/>
          <w:szCs w:val="28"/>
        </w:rPr>
        <w:t>matter aids in carbon sequestration, which contributes positively to climate change mitigation and overall environmental health.</w:t>
      </w:r>
    </w:p>
    <w:p>
      <w:pPr>
        <w:pStyle w:val="style94"/>
        <w:spacing w:lineRule="auto" w:line="480"/>
        <w:jc w:val="both"/>
        <w:rPr>
          <w:sz w:val="28"/>
          <w:szCs w:val="28"/>
        </w:rPr>
      </w:pPr>
      <w:r>
        <w:rPr>
          <w:sz w:val="28"/>
          <w:szCs w:val="28"/>
        </w:rPr>
        <w:t xml:space="preserve">According to Sun </w:t>
      </w:r>
      <w:r>
        <w:rPr>
          <w:i/>
          <w:sz w:val="28"/>
          <w:szCs w:val="28"/>
        </w:rPr>
        <w:t>et al</w:t>
      </w:r>
      <w:r>
        <w:rPr>
          <w:sz w:val="28"/>
          <w:szCs w:val="28"/>
        </w:rPr>
        <w:t xml:space="preserve">. (2021), however, not all effects of organic amendments on the soil mycobiome are beneficial. The type, source, and decomposition stage of the amendment influence whether it promotes beneficial or harmful fungi. For instance, the application of raw or partially decomposed animal manure has been associated with the proliferation of fungal pathogens such as </w:t>
      </w:r>
      <w:r>
        <w:rPr>
          <w:i/>
          <w:iCs/>
          <w:sz w:val="28"/>
          <w:szCs w:val="28"/>
        </w:rPr>
        <w:t>Fusarium</w:t>
      </w:r>
      <w:r>
        <w:rPr>
          <w:sz w:val="28"/>
          <w:szCs w:val="28"/>
        </w:rPr>
        <w:t xml:space="preserve"> and </w:t>
      </w:r>
      <w:r>
        <w:rPr>
          <w:i/>
          <w:iCs/>
          <w:sz w:val="28"/>
          <w:szCs w:val="28"/>
        </w:rPr>
        <w:t>Aspergillus</w:t>
      </w:r>
      <w:r>
        <w:rPr>
          <w:sz w:val="28"/>
          <w:szCs w:val="28"/>
        </w:rPr>
        <w:t>, which can negatively affect crop productivity and soil quality. Therefore, it is essential to ensure that organic amendments are properly composted and applied at appropriate rates to prevent unintended ecological disturbances.</w:t>
      </w:r>
    </w:p>
    <w:p>
      <w:pPr>
        <w:pStyle w:val="style94"/>
        <w:spacing w:lineRule="auto" w:line="480"/>
        <w:jc w:val="both"/>
        <w:rPr>
          <w:sz w:val="28"/>
          <w:szCs w:val="28"/>
        </w:rPr>
      </w:pPr>
      <w:r>
        <w:rPr>
          <w:sz w:val="28"/>
          <w:szCs w:val="28"/>
        </w:rPr>
        <w:t xml:space="preserve">According to Lazcano </w:t>
      </w:r>
      <w:r>
        <w:rPr>
          <w:i/>
          <w:sz w:val="28"/>
          <w:szCs w:val="28"/>
        </w:rPr>
        <w:t>et al</w:t>
      </w:r>
      <w:r>
        <w:rPr>
          <w:sz w:val="28"/>
          <w:szCs w:val="28"/>
        </w:rPr>
        <w:t xml:space="preserve">. (2020), the advent of molecular tools such as high-throughput sequencing has expanded our understanding of how organic amendments affect the soil fungal community at both structural and functional levels. These tools have revealed that even short-term application of compost or manure can lead to significant changes in fungal diversity and function. For example, long-term organic input has been associated with an increase in </w:t>
      </w:r>
      <w:r>
        <w:rPr>
          <w:sz w:val="28"/>
          <w:szCs w:val="28"/>
        </w:rPr>
        <w:t>lignin- and cellulose-degrading fungi, which are critical for organic matter turnover and the formation of stable soil carbon pools.</w:t>
      </w:r>
    </w:p>
    <w:p>
      <w:pPr>
        <w:pStyle w:val="style94"/>
        <w:spacing w:lineRule="auto" w:line="480"/>
        <w:jc w:val="both"/>
        <w:rPr>
          <w:sz w:val="28"/>
          <w:szCs w:val="28"/>
        </w:rPr>
      </w:pPr>
      <w:r>
        <w:rPr>
          <w:sz w:val="28"/>
          <w:szCs w:val="28"/>
        </w:rPr>
        <w:t>According to multiple studies, the judicious application of organic amendments holds great promise for sustaining soil health and microbial balance. When used correctly, these inputs enrich the soil mycobiome, enhance plant-microbe interactions, suppress pathogens, and improve nutrient availability. However, their effectiveness is context-dependent, requiring careful consideration of local soil conditions, crop needs, and amendment quality. Thus, understanding the dynamics between organic amendments and the soil mycobiome is crucial for developing sustainable agricultural practices and minimizing negative environmental impacts.</w:t>
      </w:r>
    </w:p>
    <w:p>
      <w:pPr>
        <w:pStyle w:val="style94"/>
        <w:spacing w:lineRule="auto" w:line="480"/>
        <w:jc w:val="both"/>
        <w:rPr>
          <w:sz w:val="28"/>
          <w:szCs w:val="28"/>
        </w:rPr>
      </w:pPr>
    </w:p>
    <w:bookmarkStart w:id="3" w:name="_Toc202974600"/>
    <w:p>
      <w:pPr>
        <w:pStyle w:val="style1"/>
        <w:rPr>
          <w:rFonts w:ascii="Times New Roman" w:cs="Times New Roman" w:hAnsi="Times New Roman"/>
          <w:b/>
          <w:color w:val="auto"/>
        </w:rPr>
      </w:pPr>
      <w:r>
        <w:rPr>
          <w:rFonts w:ascii="Times New Roman" w:cs="Times New Roman" w:hAnsi="Times New Roman"/>
          <w:b/>
          <w:color w:val="auto"/>
        </w:rPr>
        <w:t>1.2 Statement of problem</w:t>
      </w:r>
      <w:bookmarkEnd w:id="3"/>
    </w:p>
    <w:p>
      <w:pPr>
        <w:pStyle w:val="style94"/>
        <w:spacing w:lineRule="auto" w:line="480"/>
        <w:jc w:val="both"/>
        <w:rPr>
          <w:sz w:val="28"/>
          <w:szCs w:val="28"/>
        </w:rPr>
      </w:pPr>
      <w:r>
        <w:rPr>
          <w:sz w:val="28"/>
          <w:szCs w:val="28"/>
        </w:rPr>
        <w:t xml:space="preserve">Despite the vital role of soil fungi in nutrient cycling and plant health, modern agricultural practices often degrade fungal diversity and function. The excessive use of chemical fertilizers disrupts the natural soil mycobiome, leading to reduced soil fertility and ecosystem imbalance. There is limited </w:t>
      </w:r>
      <w:r>
        <w:rPr>
          <w:sz w:val="28"/>
          <w:szCs w:val="28"/>
        </w:rPr>
        <w:t>understanding of how various organic amendments influence fungal communities in different soil types. This gap hinders the development of sustainable soil management strategies.</w:t>
      </w:r>
    </w:p>
    <w:p>
      <w:pPr>
        <w:pStyle w:val="style1"/>
        <w:rPr>
          <w:rFonts w:ascii="Times New Roman" w:cs="Times New Roman" w:hAnsi="Times New Roman"/>
          <w:b/>
          <w:color w:val="auto"/>
        </w:rPr>
      </w:pPr>
      <w:r>
        <w:rPr>
          <w:rFonts w:ascii="Times New Roman" w:cs="Times New Roman" w:hAnsi="Times New Roman"/>
          <w:b/>
          <w:color w:val="auto"/>
        </w:rPr>
        <w:t xml:space="preserve"> </w:t>
      </w:r>
      <w:bookmarkStart w:id="4" w:name="_Toc202974601"/>
      <w:r>
        <w:rPr>
          <w:rFonts w:ascii="Times New Roman" w:cs="Times New Roman" w:hAnsi="Times New Roman"/>
          <w:b/>
          <w:color w:val="auto"/>
        </w:rPr>
        <w:t xml:space="preserve">1.3 </w:t>
      </w:r>
      <w:r>
        <w:rPr>
          <w:rFonts w:ascii="Times New Roman" w:cs="Times New Roman" w:hAnsi="Times New Roman"/>
          <w:b/>
          <w:color w:val="auto"/>
        </w:rPr>
        <w:t>Aim</w:t>
      </w:r>
      <w:bookmarkEnd w:id="4"/>
      <w:r>
        <w:rPr>
          <w:rFonts w:ascii="Times New Roman" w:cs="Times New Roman" w:hAnsi="Times New Roman"/>
          <w:b/>
          <w:color w:val="auto"/>
        </w:rPr>
        <w:t xml:space="preserve"> </w:t>
      </w:r>
    </w:p>
    <w:p>
      <w:pPr>
        <w:pStyle w:val="style94"/>
        <w:spacing w:lineRule="auto" w:line="480"/>
        <w:jc w:val="both"/>
        <w:rPr>
          <w:sz w:val="28"/>
          <w:szCs w:val="28"/>
        </w:rPr>
      </w:pPr>
      <w:r>
        <w:rPr>
          <w:sz w:val="28"/>
          <w:szCs w:val="28"/>
        </w:rPr>
        <w:t>To investigate the impact of different organic amendments on the diversity, composition, and functional activity of the soil mycobiome, with the goal of enhancing soil health and sustainable agricultural productivity.</w:t>
      </w:r>
    </w:p>
    <w:p>
      <w:pPr>
        <w:pStyle w:val="style1"/>
        <w:rPr>
          <w:rFonts w:ascii="Times New Roman" w:cs="Times New Roman" w:eastAsia="Times New Roman" w:hAnsi="Times New Roman"/>
          <w:b/>
          <w:color w:val="auto"/>
        </w:rPr>
      </w:pPr>
      <w:r>
        <w:rPr>
          <w:rFonts w:ascii="Times New Roman" w:cs="Times New Roman" w:hAnsi="Times New Roman"/>
          <w:b/>
          <w:color w:val="auto"/>
        </w:rPr>
        <w:t xml:space="preserve"> </w:t>
      </w:r>
      <w:bookmarkStart w:id="5" w:name="_Toc202974602"/>
      <w:r>
        <w:rPr>
          <w:rFonts w:ascii="Times New Roman" w:cs="Times New Roman" w:hAnsi="Times New Roman"/>
          <w:b/>
          <w:color w:val="auto"/>
        </w:rPr>
        <w:t xml:space="preserve">1.4 </w:t>
      </w:r>
      <w:r>
        <w:rPr>
          <w:rFonts w:ascii="Times New Roman" w:cs="Times New Roman" w:hAnsi="Times New Roman"/>
          <w:b/>
          <w:color w:val="auto"/>
        </w:rPr>
        <w:t>Objectives</w:t>
      </w:r>
      <w:bookmarkEnd w:id="5"/>
    </w:p>
    <w:p>
      <w:pPr>
        <w:pStyle w:val="style179"/>
        <w:numPr>
          <w:ilvl w:val="0"/>
          <w:numId w:val="1"/>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Cs/>
          <w:sz w:val="28"/>
          <w:szCs w:val="28"/>
        </w:rPr>
        <w:t>To evaluate the impact of different organic amendments on the diversity and abundance of soil fungal communities.</w:t>
      </w:r>
    </w:p>
    <w:p>
      <w:pPr>
        <w:pStyle w:val="style179"/>
        <w:numPr>
          <w:ilvl w:val="0"/>
          <w:numId w:val="1"/>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Cs/>
          <w:sz w:val="28"/>
          <w:szCs w:val="28"/>
        </w:rPr>
        <w:t xml:space="preserve"> To assess the changes in soil physicochemical properties following the application of organic amendments.</w:t>
      </w:r>
    </w:p>
    <w:p>
      <w:pPr>
        <w:pStyle w:val="style179"/>
        <w:numPr>
          <w:ilvl w:val="0"/>
          <w:numId w:val="1"/>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Cs/>
          <w:sz w:val="28"/>
          <w:szCs w:val="28"/>
        </w:rPr>
        <w:t xml:space="preserve"> To determine the correlation between soil mycobiome structure and soil fertility indicators under organic amendment treatments.</w:t>
      </w:r>
    </w:p>
    <w:p>
      <w:pPr>
        <w:pStyle w:val="style1"/>
        <w:spacing w:lineRule="auto" w:line="480"/>
        <w:jc w:val="center"/>
        <w:rPr>
          <w:rFonts w:ascii="Times New Roman" w:cs="Times New Roman" w:eastAsia="Times New Roman" w:hAnsi="Times New Roman"/>
          <w:b/>
          <w:color w:val="auto"/>
        </w:rPr>
      </w:pPr>
      <w:r>
        <w:rPr>
          <w:rFonts w:ascii="Times New Roman" w:cs="Times New Roman" w:hAnsi="Times New Roman"/>
          <w:color w:val="auto"/>
        </w:rPr>
        <w:br w:type="page"/>
      </w:r>
      <w:bookmarkStart w:id="6" w:name="_Toc202974603"/>
      <w:r>
        <w:rPr>
          <w:rFonts w:ascii="Times New Roman" w:cs="Times New Roman" w:eastAsia="Times New Roman" w:hAnsi="Times New Roman"/>
          <w:b/>
          <w:color w:val="auto"/>
        </w:rPr>
        <w:t>CHAPTER TWO</w:t>
      </w:r>
      <w:bookmarkEnd w:id="6"/>
    </w:p>
    <w:bookmarkStart w:id="7" w:name="_Toc202974604"/>
    <w:p>
      <w:pPr>
        <w:pStyle w:val="style1"/>
        <w:spacing w:lineRule="auto" w:line="480"/>
        <w:rPr>
          <w:rFonts w:ascii="Times New Roman" w:cs="Times New Roman" w:eastAsia="Times New Roman" w:hAnsi="Times New Roman"/>
          <w:b/>
          <w:color w:val="auto"/>
        </w:rPr>
      </w:pPr>
      <w:r>
        <w:rPr>
          <w:rFonts w:ascii="Times New Roman" w:cs="Times New Roman" w:eastAsia="Times New Roman" w:hAnsi="Times New Roman"/>
          <w:b/>
          <w:color w:val="auto"/>
        </w:rPr>
        <w:t>2.0 Materials and Methods</w:t>
      </w:r>
      <w:bookmarkEnd w:id="7"/>
    </w:p>
    <w:bookmarkStart w:id="8" w:name="_Toc202974605"/>
    <w:p>
      <w:pPr>
        <w:pStyle w:val="style1"/>
        <w:spacing w:lineRule="auto" w:line="480"/>
        <w:rPr>
          <w:rFonts w:ascii="Times New Roman" w:cs="Times New Roman" w:eastAsia="Times New Roman" w:hAnsi="Times New Roman"/>
          <w:b/>
          <w:color w:val="auto"/>
        </w:rPr>
      </w:pPr>
      <w:r>
        <w:rPr>
          <w:rFonts w:ascii="Times New Roman" w:cs="Times New Roman" w:eastAsia="Times New Roman" w:hAnsi="Times New Roman"/>
          <w:b/>
          <w:color w:val="auto"/>
        </w:rPr>
        <w:t>2.1 Materials</w:t>
      </w:r>
      <w:bookmarkEnd w:id="8"/>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materials used in this study included sterile glassware such as conical flasks, Petri dishes, foil paper, test tubes, dissecting trays, beakers, weighing balances, test tube racks, syringes, pipettes, and wire loops. Additional materials included aluminum foil for sealing containers, sterile polythene bags for soil sample collection, and cotton wool soaked in 70% ethanol for surface sterilization. Personal protective equipment (PPE) such as lab coats, gloves, and face masks were used to ensure aseptic conditions and the safety of laboratory personnel (Ali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2021).</w:t>
      </w:r>
    </w:p>
    <w:bookmarkStart w:id="9" w:name="_Toc202974606"/>
    <w:p>
      <w:pPr>
        <w:pStyle w:val="style1"/>
        <w:spacing w:lineRule="auto" w:line="480"/>
        <w:rPr>
          <w:rFonts w:ascii="Times New Roman" w:cs="Times New Roman" w:eastAsia="Times New Roman" w:hAnsi="Times New Roman"/>
          <w:b/>
          <w:color w:val="auto"/>
        </w:rPr>
      </w:pPr>
      <w:r>
        <w:rPr>
          <w:rFonts w:ascii="Times New Roman" w:cs="Times New Roman" w:eastAsia="Times New Roman" w:hAnsi="Times New Roman"/>
          <w:b/>
          <w:color w:val="auto"/>
        </w:rPr>
        <w:t>2.1.1 Media and Reagents</w:t>
      </w:r>
      <w:bookmarkEnd w:id="9"/>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culture media used included Potato Dextrose Agar (PDA) for fungal isolation and Nutrient Agar (NA) for bacterial growth. PDA was supplemented with streptomycin to suppress bacterial contamination. Other reagents included sterile normal saline for dilution, lactophenol cotton blue </w:t>
      </w:r>
      <w:r>
        <w:rPr>
          <w:rFonts w:ascii="Times New Roman" w:cs="Times New Roman" w:eastAsia="Times New Roman" w:hAnsi="Times New Roman"/>
          <w:sz w:val="28"/>
          <w:szCs w:val="28"/>
        </w:rPr>
        <w:t xml:space="preserve">for fungal staining, and Gram staining reagents such as crystal violet, iodine, decolorizer, and safranin for bacterial identification (Adegbeye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2020).</w:t>
      </w:r>
    </w:p>
    <w:bookmarkStart w:id="10" w:name="_Toc202974607"/>
    <w:p>
      <w:pPr>
        <w:pStyle w:val="style1"/>
        <w:spacing w:lineRule="auto" w:line="480"/>
        <w:rPr>
          <w:rFonts w:ascii="Times New Roman" w:cs="Times New Roman" w:eastAsia="Times New Roman" w:hAnsi="Times New Roman"/>
          <w:b/>
          <w:color w:val="auto"/>
        </w:rPr>
      </w:pPr>
      <w:r>
        <w:rPr>
          <w:rFonts w:ascii="Times New Roman" w:cs="Times New Roman" w:eastAsia="Times New Roman" w:hAnsi="Times New Roman"/>
          <w:b/>
          <w:color w:val="auto"/>
        </w:rPr>
        <w:t>2.2 Preparation of Sample</w:t>
      </w:r>
      <w:bookmarkEnd w:id="10"/>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Soil samples were collected from five agriculturally active sites within Kwara State Polytechnic, Ilorin, Nigeria, using sterile trowels and dissecting trays. The trowels were wrapped with aluminum foil during sampling, and soil was taken from a 5 cm depth to minimize surface contamination. Samples were stored in sterile polythene bags, labelled according to their collection sites (West End Region, Polytechnic Secondary School, Polytechnic Roundabout, Agricultural Garden, and IFMS Region), and transported immediately to the laboratory. Each soil sample (7 g) was sieved, moistened with 5 ml of distilled water, and incubated for 7 days. Following incubation, organic amendments were introduced: 0.1 ml of liquid fertilizers (Disza, Foliar, and floral fertilizer) and 5 g of organic wastes (cow dung and poultry droppings). Samples were further incubated at room temperature for 3 days to enhance microbial activity (Zhou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xml:space="preserve">., 2020; Oladele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2022).</w:t>
      </w:r>
    </w:p>
    <w:bookmarkStart w:id="11" w:name="_Toc202974608"/>
    <w:p>
      <w:pPr>
        <w:pStyle w:val="style1"/>
        <w:spacing w:lineRule="auto" w:line="480"/>
        <w:rPr>
          <w:rFonts w:ascii="Times New Roman" w:cs="Times New Roman" w:eastAsia="Times New Roman" w:hAnsi="Times New Roman"/>
          <w:b/>
          <w:color w:val="auto"/>
        </w:rPr>
      </w:pPr>
      <w:r>
        <w:rPr>
          <w:rFonts w:ascii="Times New Roman" w:cs="Times New Roman" w:eastAsia="Times New Roman" w:hAnsi="Times New Roman"/>
          <w:b/>
          <w:color w:val="auto"/>
        </w:rPr>
        <w:t>2.3 Preparation of Media</w:t>
      </w:r>
      <w:bookmarkEnd w:id="11"/>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Work surfaces were sterilized with 70% ethanol. PDA (19.5 g) was dissolved in 500 ml of distilled water, stirred until fully mixed, boiled, and autoclaved at 121°C for 15 minutes. Nutrient Agar (14 g) was prepared similarly. After sterilization, PDA was cooled to approximately 45–50°C before adding 2.5 ml of streptomycin to inhibit bacterial contamination. The prepared media were poured aseptically into sterile Petri dishes and allowed to solidify (Yadav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2021).</w:t>
      </w:r>
    </w:p>
    <w:bookmarkStart w:id="12" w:name="_Toc202974609"/>
    <w:p>
      <w:pPr>
        <w:pStyle w:val="style1"/>
        <w:spacing w:lineRule="auto" w:line="480"/>
        <w:rPr>
          <w:rFonts w:ascii="Times New Roman" w:cs="Times New Roman" w:eastAsia="Times New Roman" w:hAnsi="Times New Roman"/>
          <w:b/>
          <w:color w:val="auto"/>
        </w:rPr>
      </w:pPr>
      <w:r>
        <w:rPr>
          <w:rFonts w:ascii="Times New Roman" w:cs="Times New Roman" w:eastAsia="Times New Roman" w:hAnsi="Times New Roman"/>
          <w:b/>
          <w:color w:val="auto"/>
        </w:rPr>
        <w:t>2.4 Isolation of Fungi</w:t>
      </w:r>
      <w:bookmarkEnd w:id="12"/>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spread plate technique was used for microbial isolation. One gram of each soil sample was homogenized in 9 ml of sterile normal saline. Serial dilutions (typically 10⁻³ and 10⁻⁵) were made, and 0.1 ml of the appropriate dilution was aseptically inoculated onto PDA (for fungi) and NA (for bacteria). Samples were spread evenly using a sterile glass spreader. Plates were incubated at 25°C for 72 hours for fungal growth and at 37°C for 24 hours for bacterial growth (Lal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2020).</w:t>
      </w:r>
    </w:p>
    <w:bookmarkStart w:id="13" w:name="_Toc202974610"/>
    <w:p>
      <w:pPr>
        <w:pStyle w:val="style1"/>
        <w:spacing w:lineRule="auto" w:line="480"/>
        <w:rPr>
          <w:rFonts w:ascii="Times New Roman" w:cs="Times New Roman" w:eastAsia="Times New Roman" w:hAnsi="Times New Roman"/>
          <w:b/>
          <w:color w:val="auto"/>
        </w:rPr>
      </w:pPr>
      <w:r>
        <w:rPr>
          <w:rFonts w:ascii="Times New Roman" w:cs="Times New Roman" w:eastAsia="Times New Roman" w:hAnsi="Times New Roman"/>
          <w:b/>
          <w:color w:val="auto"/>
        </w:rPr>
        <w:t>2.5 Macroscopic Examination</w:t>
      </w:r>
      <w:bookmarkEnd w:id="13"/>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After incubation, microbial colonies were examined for morphological features such as colony color, margin, elevation, and texture. Distinct colonies were subcultured onto freshly prepared media to obtain pure isolates. Fresh PDA (19.75 g in 250 ml) and NA (7 g in 250 ml) were prepared, sterilized, and poured into 20 sterile Petri dishes each. Colonies were transferred using sterile wire loops and streaked on fresh media, labelled by location, and incubated (fungi at 25°C for 72 h; bacteria at 37°C for 24 h) (Amanullah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2023).</w:t>
      </w:r>
    </w:p>
    <w:bookmarkStart w:id="14" w:name="_Toc202974612"/>
    <w:p>
      <w:pPr>
        <w:pStyle w:val="style1"/>
        <w:spacing w:lineRule="auto" w:line="480"/>
        <w:rPr>
          <w:rFonts w:ascii="Times New Roman" w:cs="Times New Roman" w:eastAsia="Times New Roman" w:hAnsi="Times New Roman"/>
          <w:b/>
          <w:color w:val="auto"/>
        </w:rPr>
      </w:pPr>
      <w:r>
        <w:rPr>
          <w:rFonts w:ascii="Times New Roman" w:cs="Times New Roman" w:eastAsia="Times New Roman" w:hAnsi="Times New Roman"/>
          <w:b/>
          <w:color w:val="auto"/>
        </w:rPr>
        <w:t xml:space="preserve">2.6 </w:t>
      </w:r>
      <w:r>
        <w:rPr>
          <w:rFonts w:ascii="Times New Roman" w:cs="Times New Roman" w:eastAsia="Times New Roman" w:hAnsi="Times New Roman"/>
          <w:b/>
          <w:color w:val="auto"/>
        </w:rPr>
        <w:t>Microscopic Examination of Fungi</w:t>
      </w:r>
      <w:bookmarkEnd w:id="14"/>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Fungal isolates were examined microscopically using lactophenol cotton blue staining. A loopful of fungal colony was placed on a clean slide, stained with a drop of lactophenol cotton blue, and covered with a coverslip. The slide was examined under a microscope for structural features such as hyphae, spores, and fruiting bodies, which aided in fungal identification (Chakdar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2021).</w:t>
      </w:r>
    </w:p>
    <w:p>
      <w:pPr>
        <w:pStyle w:val="style0"/>
        <w:rPr>
          <w:rFonts w:ascii="Times New Roman" w:cs="Times New Roman" w:eastAsia="Times New Roman" w:hAnsi="Times New Roman"/>
          <w:sz w:val="28"/>
          <w:szCs w:val="28"/>
        </w:rPr>
      </w:pPr>
      <w:r>
        <w:rPr>
          <w:rFonts w:ascii="Times New Roman" w:cs="Times New Roman" w:eastAsia="Times New Roman" w:hAnsi="Times New Roman"/>
          <w:sz w:val="28"/>
          <w:szCs w:val="28"/>
        </w:rPr>
        <w:br w:type="page"/>
      </w:r>
    </w:p>
    <w:bookmarkStart w:id="15" w:name="_Toc202974613"/>
    <w:p>
      <w:pPr>
        <w:pStyle w:val="style1"/>
        <w:jc w:val="center"/>
        <w:rPr>
          <w:rFonts w:ascii="Times New Roman" w:cs="Times New Roman" w:hAnsi="Times New Roman"/>
          <w:color w:val="auto"/>
        </w:rPr>
      </w:pPr>
      <w:r>
        <w:rPr>
          <w:rStyle w:val="style87"/>
          <w:rFonts w:ascii="Times New Roman" w:cs="Times New Roman" w:hAnsi="Times New Roman"/>
          <w:bCs w:val="false"/>
          <w:color w:val="auto"/>
          <w:sz w:val="28"/>
          <w:szCs w:val="28"/>
        </w:rPr>
        <w:t>CHAPTER THREE</w:t>
      </w:r>
      <w:bookmarkEnd w:id="15"/>
    </w:p>
    <w:bookmarkStart w:id="16" w:name="_Toc202974614"/>
    <w:p>
      <w:pPr>
        <w:pStyle w:val="style1"/>
        <w:rPr>
          <w:rFonts w:ascii="Times New Roman" w:cs="Times New Roman" w:hAnsi="Times New Roman"/>
          <w:color w:val="auto"/>
        </w:rPr>
      </w:pPr>
      <w:r>
        <w:rPr>
          <w:rStyle w:val="style87"/>
          <w:rFonts w:ascii="Times New Roman" w:cs="Times New Roman" w:hAnsi="Times New Roman"/>
          <w:bCs w:val="false"/>
          <w:color w:val="auto"/>
          <w:sz w:val="28"/>
          <w:szCs w:val="28"/>
        </w:rPr>
        <w:t xml:space="preserve">3.0 </w:t>
      </w:r>
      <w:r>
        <w:rPr>
          <w:rStyle w:val="style87"/>
          <w:rFonts w:ascii="Times New Roman" w:cs="Times New Roman" w:hAnsi="Times New Roman"/>
          <w:bCs w:val="false"/>
          <w:color w:val="auto"/>
          <w:sz w:val="28"/>
          <w:szCs w:val="28"/>
        </w:rPr>
        <w:t>RESULTS</w:t>
      </w:r>
      <w:bookmarkEnd w:id="16"/>
    </w:p>
    <w:bookmarkStart w:id="17" w:name="_Toc202974615"/>
    <w:p>
      <w:pPr>
        <w:pStyle w:val="style1"/>
        <w:rPr>
          <w:rFonts w:ascii="Times New Roman" w:cs="Times New Roman" w:hAnsi="Times New Roman"/>
          <w:b/>
          <w:color w:val="auto"/>
        </w:rPr>
      </w:pPr>
      <w:r>
        <w:rPr>
          <w:rFonts w:ascii="Times New Roman" w:cs="Times New Roman" w:hAnsi="Times New Roman"/>
          <w:b/>
          <w:color w:val="auto"/>
        </w:rPr>
        <w:t>3.1 PHYSICOCHEMICAL CHARACTERISTICS SOIL</w:t>
      </w:r>
      <w:r>
        <w:rPr>
          <w:rFonts w:ascii="Times New Roman" w:cs="Times New Roman" w:hAnsi="Times New Roman"/>
          <w:b/>
          <w:color w:val="auto"/>
        </w:rPr>
        <w:t xml:space="preserve"> SAMPLE</w:t>
      </w:r>
      <w:r>
        <w:rPr>
          <w:rFonts w:ascii="Times New Roman" w:cs="Times New Roman" w:hAnsi="Times New Roman"/>
          <w:b/>
          <w:color w:val="auto"/>
        </w:rPr>
        <w:t>.</w:t>
      </w:r>
      <w:bookmarkEnd w:id="17"/>
    </w:p>
    <w:bookmarkStart w:id="18" w:name="_Toc202974616"/>
    <w:p>
      <w:pPr>
        <w:pStyle w:val="style1"/>
        <w:rPr>
          <w:rFonts w:ascii="Times New Roman" w:cs="Times New Roman" w:eastAsia="Times New Roman" w:hAnsi="Times New Roman"/>
          <w:b/>
          <w:color w:val="auto"/>
        </w:rPr>
      </w:pPr>
      <w:r>
        <w:rPr>
          <w:rFonts w:ascii="Times New Roman" w:cs="Times New Roman" w:eastAsia="Times New Roman" w:hAnsi="Times New Roman"/>
          <w:b/>
          <w:color w:val="auto"/>
        </w:rPr>
        <w:t>Table</w:t>
      </w:r>
      <w:r>
        <w:rPr>
          <w:rFonts w:ascii="Times New Roman" w:cs="Times New Roman" w:eastAsia="Times New Roman" w:hAnsi="Times New Roman"/>
          <w:b/>
          <w:color w:val="auto"/>
        </w:rPr>
        <w:t xml:space="preserve"> 1</w:t>
      </w:r>
      <w:r>
        <w:rPr>
          <w:rFonts w:ascii="Times New Roman" w:cs="Times New Roman" w:eastAsia="Times New Roman" w:hAnsi="Times New Roman"/>
          <w:b/>
          <w:color w:val="auto"/>
        </w:rPr>
        <w:t>: Physico-Chemical Characteristics of the Soil</w:t>
      </w:r>
      <w:bookmarkEnd w:id="18"/>
    </w:p>
    <w:tbl>
      <w:tblPr>
        <w:tblStyle w:val="style4103"/>
        <w:tblW w:w="9558" w:type="dxa"/>
        <w:tblInd w:w="-675" w:type="dxa"/>
        <w:tblLook w:val="04A0" w:firstRow="1" w:lastRow="0" w:firstColumn="1" w:lastColumn="0" w:noHBand="0" w:noVBand="1"/>
      </w:tblPr>
      <w:tblGrid>
        <w:gridCol w:w="1512"/>
        <w:gridCol w:w="1214"/>
        <w:gridCol w:w="1039"/>
        <w:gridCol w:w="996"/>
        <w:gridCol w:w="1677"/>
        <w:gridCol w:w="917"/>
        <w:gridCol w:w="1102"/>
        <w:gridCol w:w="1178"/>
      </w:tblGrid>
      <w:tr>
        <w:trPr/>
        <w:tc>
          <w:tcPr>
            <w:tcW w:w="0" w:type="auto"/>
            <w:tcBorders/>
            <w:shd w:val="clear" w:color="auto" w:fill="auto"/>
            <w:hideMark/>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Sample Location</w:t>
            </w:r>
          </w:p>
        </w:tc>
        <w:tc>
          <w:tcPr>
            <w:tcW w:w="0" w:type="auto"/>
            <w:tcBorders/>
            <w:shd w:val="clear" w:color="auto" w:fill="auto"/>
            <w:hideMark/>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Fertilizer Used</w:t>
            </w:r>
          </w:p>
        </w:tc>
        <w:tc>
          <w:tcPr>
            <w:tcW w:w="0" w:type="auto"/>
            <w:tcBorders/>
            <w:shd w:val="clear" w:color="auto" w:fill="auto"/>
            <w:hideMark/>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Treated pH</w:t>
            </w:r>
          </w:p>
        </w:tc>
        <w:tc>
          <w:tcPr>
            <w:tcW w:w="0" w:type="auto"/>
            <w:tcBorders/>
            <w:shd w:val="clear" w:color="auto" w:fill="auto"/>
            <w:hideMark/>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Control pH</w:t>
            </w:r>
          </w:p>
        </w:tc>
        <w:tc>
          <w:tcPr>
            <w:tcW w:w="0" w:type="auto"/>
            <w:tcBorders/>
            <w:shd w:val="clear" w:color="auto" w:fill="auto"/>
            <w:hideMark/>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Soil Type</w:t>
            </w:r>
          </w:p>
        </w:tc>
        <w:tc>
          <w:tcPr>
            <w:tcW w:w="0" w:type="auto"/>
            <w:tcBorders/>
            <w:shd w:val="clear" w:color="auto" w:fill="auto"/>
            <w:hideMark/>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Colour</w:t>
            </w:r>
          </w:p>
        </w:tc>
        <w:tc>
          <w:tcPr>
            <w:tcW w:w="0" w:type="auto"/>
            <w:tcBorders/>
            <w:shd w:val="clear" w:color="auto" w:fill="auto"/>
            <w:hideMark/>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Texture</w:t>
            </w:r>
          </w:p>
        </w:tc>
        <w:tc>
          <w:tcPr>
            <w:tcW w:w="1123" w:type="dxa"/>
            <w:tcBorders/>
            <w:shd w:val="clear" w:color="auto" w:fill="auto"/>
            <w:hideMark/>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Nature</w:t>
            </w:r>
          </w:p>
        </w:tc>
      </w:tr>
      <w:tr>
        <w:tblPrEx/>
        <w:trPr/>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Roundabout</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Floral organic manure</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5.58</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4.48</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Loamy soil (Roundabout)</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Dark brown</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Crumbly</w:t>
            </w:r>
          </w:p>
        </w:tc>
        <w:tc>
          <w:tcPr>
            <w:tcW w:w="1123" w:type="dxa"/>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Excellent</w:t>
            </w:r>
          </w:p>
        </w:tc>
      </w:tr>
      <w:tr>
        <w:tblPrEx/>
        <w:trPr/>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Agric Tech. Farm</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Disza liquid fertilizer</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5.58</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4.48</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Loamy soil (Agricultural Farm)</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Dark brown</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Crumbly</w:t>
            </w:r>
          </w:p>
        </w:tc>
        <w:tc>
          <w:tcPr>
            <w:tcW w:w="1123" w:type="dxa"/>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Excellent</w:t>
            </w:r>
          </w:p>
        </w:tc>
      </w:tr>
      <w:tr>
        <w:tblPrEx/>
        <w:trPr/>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IFMS</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Foliar plus complete fertilizer</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5.58</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3.78</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Sandy soil (IFMS)</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Light brown</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Gritty</w:t>
            </w:r>
          </w:p>
        </w:tc>
        <w:tc>
          <w:tcPr>
            <w:tcW w:w="1123" w:type="dxa"/>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Low</w:t>
            </w:r>
          </w:p>
        </w:tc>
      </w:tr>
      <w:tr>
        <w:tblPrEx/>
        <w:trPr/>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Secondary School</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Poultry waste</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5.01</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6.10</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Sandy soil (Secondary School)</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Light brown</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Gritty</w:t>
            </w:r>
          </w:p>
        </w:tc>
        <w:tc>
          <w:tcPr>
            <w:tcW w:w="1123" w:type="dxa"/>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Low</w:t>
            </w:r>
          </w:p>
        </w:tc>
      </w:tr>
      <w:tr>
        <w:tblPrEx/>
        <w:trPr/>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Western</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Cow dung</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5.28</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6.01</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Loamy soil (Western)</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Dark brown</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Crumbly</w:t>
            </w:r>
          </w:p>
        </w:tc>
        <w:tc>
          <w:tcPr>
            <w:tcW w:w="1123" w:type="dxa"/>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Excellent</w:t>
            </w:r>
          </w:p>
        </w:tc>
      </w:tr>
    </w:tbl>
    <w:p>
      <w:pPr>
        <w:pStyle w:val="style3"/>
        <w:spacing w:lineRule="auto" w:line="276"/>
        <w:rPr>
          <w:sz w:val="28"/>
          <w:szCs w:val="28"/>
        </w:rPr>
      </w:pPr>
    </w:p>
    <w:p>
      <w:pPr>
        <w:pStyle w:val="style3"/>
        <w:spacing w:lineRule="auto" w:line="276"/>
        <w:rPr>
          <w:sz w:val="28"/>
          <w:szCs w:val="28"/>
        </w:rPr>
      </w:pPr>
    </w:p>
    <w:p>
      <w:pPr>
        <w:pStyle w:val="style0"/>
        <w:rPr>
          <w:rFonts w:ascii="Times New Roman" w:cs="Times New Roman" w:eastAsia="Times New Roman" w:hAnsi="Times New Roman"/>
          <w:b/>
          <w:bCs/>
          <w:sz w:val="28"/>
          <w:szCs w:val="28"/>
        </w:rPr>
      </w:pPr>
      <w:r>
        <w:rPr>
          <w:rFonts w:ascii="Times New Roman" w:cs="Times New Roman" w:hAnsi="Times New Roman"/>
          <w:sz w:val="28"/>
          <w:szCs w:val="28"/>
        </w:rPr>
        <w:br w:type="page"/>
      </w:r>
    </w:p>
    <w:bookmarkStart w:id="19" w:name="_Toc202974617"/>
    <w:p>
      <w:pPr>
        <w:pStyle w:val="style1"/>
        <w:rPr>
          <w:rFonts w:ascii="Times New Roman" w:cs="Times New Roman" w:eastAsia="Times New Roman" w:hAnsi="Times New Roman"/>
          <w:b/>
          <w:color w:val="auto"/>
        </w:rPr>
      </w:pPr>
      <w:r>
        <w:rPr>
          <w:rFonts w:ascii="Times New Roman" w:cs="Times New Roman" w:eastAsia="Times New Roman" w:hAnsi="Times New Roman"/>
          <w:b/>
          <w:color w:val="auto"/>
        </w:rPr>
        <w:t>3.2 Fungal Colony Count in Soil Samples</w:t>
      </w:r>
      <w:bookmarkEnd w:id="19"/>
    </w:p>
    <w:bookmarkStart w:id="20" w:name="_Toc202974618"/>
    <w:p>
      <w:pPr>
        <w:pStyle w:val="style1"/>
        <w:rPr>
          <w:rFonts w:ascii="Times New Roman" w:cs="Times New Roman" w:eastAsia="Times New Roman" w:hAnsi="Times New Roman"/>
          <w:b/>
          <w:color w:val="auto"/>
        </w:rPr>
      </w:pPr>
      <w:r>
        <w:rPr>
          <w:rFonts w:ascii="Times New Roman" w:cs="Times New Roman" w:eastAsia="Times New Roman" w:hAnsi="Times New Roman"/>
          <w:b/>
          <w:color w:val="auto"/>
        </w:rPr>
        <w:t>Table 2</w:t>
      </w:r>
      <w:r>
        <w:rPr>
          <w:rFonts w:ascii="Times New Roman" w:cs="Times New Roman" w:eastAsia="Times New Roman" w:hAnsi="Times New Roman"/>
          <w:b/>
          <w:color w:val="auto"/>
        </w:rPr>
        <w:t xml:space="preserve">: Colony Count on </w:t>
      </w:r>
      <w:r>
        <w:rPr>
          <w:rFonts w:ascii="Times New Roman" w:cs="Times New Roman" w:eastAsia="Times New Roman" w:hAnsi="Times New Roman"/>
          <w:b/>
          <w:color w:val="auto"/>
        </w:rPr>
        <w:t>Treated</w:t>
      </w:r>
      <w:r>
        <w:rPr>
          <w:rFonts w:ascii="Times New Roman" w:cs="Times New Roman" w:eastAsia="Times New Roman" w:hAnsi="Times New Roman"/>
          <w:b/>
          <w:color w:val="auto"/>
        </w:rPr>
        <w:t xml:space="preserve"> and </w:t>
      </w:r>
      <w:r>
        <w:rPr>
          <w:rFonts w:ascii="Times New Roman" w:cs="Times New Roman" w:eastAsia="Times New Roman" w:hAnsi="Times New Roman"/>
          <w:b/>
          <w:color w:val="auto"/>
        </w:rPr>
        <w:t>Control</w:t>
      </w:r>
      <w:r>
        <w:rPr>
          <w:rFonts w:ascii="Times New Roman" w:cs="Times New Roman" w:eastAsia="Times New Roman" w:hAnsi="Times New Roman"/>
          <w:b/>
          <w:color w:val="auto"/>
        </w:rPr>
        <w:t xml:space="preserve"> Soil Samples</w:t>
      </w:r>
      <w:bookmarkEnd w:id="20"/>
    </w:p>
    <w:tbl>
      <w:tblPr>
        <w:tblStyle w:val="style4103"/>
        <w:tblW w:w="0" w:type="auto"/>
        <w:shd w:val="clear" w:color="auto" w:fill="ffffff"/>
        <w:tblLook w:val="04A0" w:firstRow="1" w:lastRow="0" w:firstColumn="1" w:lastColumn="0" w:noHBand="0" w:noVBand="1"/>
      </w:tblPr>
      <w:tblGrid>
        <w:gridCol w:w="1902"/>
        <w:gridCol w:w="2547"/>
        <w:gridCol w:w="2095"/>
        <w:gridCol w:w="2095"/>
      </w:tblGrid>
      <w:tr>
        <w:trPr/>
        <w:tc>
          <w:tcPr>
            <w:tcW w:w="0" w:type="auto"/>
            <w:tcBorders/>
            <w:shd w:val="clear" w:color="auto" w:fill="ffffff"/>
            <w:hideMark/>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Sample Location</w:t>
            </w:r>
          </w:p>
        </w:tc>
        <w:tc>
          <w:tcPr>
            <w:tcW w:w="0" w:type="auto"/>
            <w:tcBorders/>
            <w:shd w:val="clear" w:color="auto" w:fill="ffffff"/>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Fertilizer Used</w:t>
            </w:r>
          </w:p>
        </w:tc>
        <w:tc>
          <w:tcPr>
            <w:tcW w:w="0" w:type="auto"/>
            <w:tcBorders/>
            <w:shd w:val="clear" w:color="auto" w:fill="ffffff"/>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Treated soil</w:t>
            </w:r>
          </w:p>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(n</w:t>
            </w:r>
            <w:r>
              <w:rPr>
                <w:rFonts w:ascii="Times New Roman" w:cs="Times New Roman" w:eastAsia="Times New Roman" w:hAnsi="Times New Roman"/>
                <w:color w:val="auto"/>
                <w:sz w:val="24"/>
                <w:szCs w:val="24"/>
              </w:rPr>
              <w:t>umber of colon</w:t>
            </w:r>
            <w:r>
              <w:rPr>
                <w:rFonts w:ascii="Times New Roman" w:cs="Times New Roman" w:eastAsia="Times New Roman" w:hAnsi="Times New Roman"/>
                <w:color w:val="auto"/>
                <w:sz w:val="24"/>
                <w:szCs w:val="24"/>
              </w:rPr>
              <w:t>y</w:t>
            </w:r>
            <w:r>
              <w:rPr>
                <w:rFonts w:ascii="Times New Roman" w:cs="Times New Roman" w:eastAsia="Times New Roman" w:hAnsi="Times New Roman"/>
                <w:color w:val="auto"/>
                <w:sz w:val="24"/>
                <w:szCs w:val="24"/>
              </w:rPr>
              <w:t xml:space="preserve"> 10</w:t>
            </w:r>
            <w:r>
              <w:rPr>
                <w:rFonts w:ascii="Times New Roman" w:cs="Times New Roman" w:eastAsia="Times New Roman" w:hAnsi="Times New Roman"/>
                <w:color w:val="auto"/>
                <w:sz w:val="24"/>
                <w:szCs w:val="24"/>
                <w:vertAlign w:val="superscript"/>
              </w:rPr>
              <w:t>3</w:t>
            </w:r>
            <w:r>
              <w:rPr>
                <w:rFonts w:ascii="Times New Roman" w:cs="Times New Roman" w:eastAsia="Times New Roman" w:hAnsi="Times New Roman"/>
                <w:color w:val="auto"/>
                <w:sz w:val="24"/>
                <w:szCs w:val="24"/>
              </w:rPr>
              <w:t>)</w:t>
            </w:r>
          </w:p>
        </w:tc>
        <w:tc>
          <w:tcPr>
            <w:tcW w:w="0" w:type="auto"/>
            <w:tcBorders/>
            <w:shd w:val="clear" w:color="auto" w:fill="ffffff"/>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Control soil</w:t>
            </w:r>
          </w:p>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(n</w:t>
            </w:r>
            <w:r>
              <w:rPr>
                <w:rFonts w:ascii="Times New Roman" w:cs="Times New Roman" w:eastAsia="Times New Roman" w:hAnsi="Times New Roman"/>
                <w:color w:val="auto"/>
                <w:sz w:val="24"/>
                <w:szCs w:val="24"/>
              </w:rPr>
              <w:t xml:space="preserve">umber of </w:t>
            </w:r>
            <w:r>
              <w:rPr>
                <w:rFonts w:ascii="Times New Roman" w:cs="Times New Roman" w:eastAsia="Times New Roman" w:hAnsi="Times New Roman"/>
                <w:color w:val="auto"/>
                <w:sz w:val="24"/>
                <w:szCs w:val="24"/>
              </w:rPr>
              <w:t>c</w:t>
            </w:r>
            <w:r>
              <w:rPr>
                <w:rFonts w:ascii="Times New Roman" w:cs="Times New Roman" w:eastAsia="Times New Roman" w:hAnsi="Times New Roman"/>
                <w:color w:val="auto"/>
                <w:sz w:val="24"/>
                <w:szCs w:val="24"/>
              </w:rPr>
              <w:t>olon</w:t>
            </w:r>
            <w:r>
              <w:rPr>
                <w:rFonts w:ascii="Times New Roman" w:cs="Times New Roman" w:eastAsia="Times New Roman" w:hAnsi="Times New Roman"/>
                <w:color w:val="auto"/>
                <w:sz w:val="24"/>
                <w:szCs w:val="24"/>
              </w:rPr>
              <w:t>y</w:t>
            </w:r>
            <w:r>
              <w:rPr>
                <w:rFonts w:ascii="Times New Roman" w:cs="Times New Roman" w:eastAsia="Times New Roman" w:hAnsi="Times New Roman"/>
                <w:color w:val="auto"/>
                <w:sz w:val="24"/>
                <w:szCs w:val="24"/>
              </w:rPr>
              <w:t xml:space="preserve"> 1</w:t>
            </w:r>
            <w:r>
              <w:rPr>
                <w:rFonts w:ascii="Times New Roman" w:cs="Times New Roman" w:eastAsia="Times New Roman" w:hAnsi="Times New Roman"/>
                <w:color w:val="auto"/>
                <w:sz w:val="24"/>
                <w:szCs w:val="24"/>
              </w:rPr>
              <w:t>0</w:t>
            </w:r>
            <w:bookmarkStart w:id="21" w:name="_GoBack"/>
            <w:bookmarkEnd w:id="21"/>
            <w:r>
              <w:rPr>
                <w:rFonts w:ascii="Times New Roman" w:cs="Times New Roman" w:eastAsia="Times New Roman" w:hAnsi="Times New Roman"/>
                <w:color w:val="auto"/>
                <w:sz w:val="24"/>
                <w:szCs w:val="24"/>
                <w:vertAlign w:val="superscript"/>
              </w:rPr>
              <w:t>4</w:t>
            </w:r>
            <w:r>
              <w:rPr>
                <w:rFonts w:ascii="Times New Roman" w:cs="Times New Roman" w:eastAsia="Times New Roman" w:hAnsi="Times New Roman"/>
                <w:color w:val="auto"/>
                <w:sz w:val="24"/>
                <w:szCs w:val="24"/>
              </w:rPr>
              <w:t>)</w:t>
            </w:r>
          </w:p>
        </w:tc>
      </w:tr>
      <w:tr>
        <w:tblPrEx/>
        <w:trPr/>
        <w:tc>
          <w:tcPr>
            <w:tcW w:w="0" w:type="auto"/>
            <w:tcBorders/>
            <w:shd w:val="clear" w:color="auto" w:fill="ffffff"/>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Secondary School</w:t>
            </w:r>
          </w:p>
        </w:tc>
        <w:tc>
          <w:tcPr>
            <w:tcW w:w="0" w:type="auto"/>
            <w:tcBorders/>
            <w:shd w:val="clear" w:color="auto" w:fill="ffffff"/>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Poultry waste</w:t>
            </w:r>
          </w:p>
        </w:tc>
        <w:tc>
          <w:tcPr>
            <w:tcW w:w="0" w:type="auto"/>
            <w:tcBorders/>
            <w:shd w:val="clear" w:color="auto" w:fill="ffffff"/>
            <w:hideMark/>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10</w:t>
            </w:r>
          </w:p>
        </w:tc>
        <w:tc>
          <w:tcPr>
            <w:tcW w:w="0" w:type="auto"/>
            <w:tcBorders/>
            <w:shd w:val="clear" w:color="auto" w:fill="ffffff"/>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15</w:t>
            </w:r>
          </w:p>
        </w:tc>
      </w:tr>
      <w:tr>
        <w:tblPrEx/>
        <w:trPr/>
        <w:tc>
          <w:tcPr>
            <w:tcW w:w="0" w:type="auto"/>
            <w:tcBorders/>
            <w:shd w:val="clear" w:color="auto" w:fill="ffffff"/>
            <w:hideMark/>
          </w:tcPr>
          <w:p>
            <w:pPr>
              <w:pStyle w:val="style0"/>
              <w:rPr>
                <w:rFonts w:ascii="Times New Roman" w:cs="Times New Roman" w:eastAsia="Times New Roman" w:hAnsi="Times New Roman"/>
                <w:color w:val="auto"/>
                <w:sz w:val="20"/>
                <w:szCs w:val="20"/>
              </w:rPr>
            </w:pPr>
          </w:p>
        </w:tc>
        <w:tc>
          <w:tcPr>
            <w:tcW w:w="0" w:type="auto"/>
            <w:tcBorders/>
            <w:shd w:val="clear" w:color="auto" w:fill="ffffff"/>
          </w:tcPr>
          <w:p>
            <w:pPr>
              <w:pStyle w:val="style0"/>
              <w:rPr>
                <w:rFonts w:ascii="Times New Roman" w:cs="Times New Roman" w:eastAsia="Times New Roman" w:hAnsi="Times New Roman"/>
                <w:color w:val="auto"/>
                <w:sz w:val="20"/>
                <w:szCs w:val="20"/>
              </w:rPr>
            </w:pPr>
          </w:p>
        </w:tc>
        <w:tc>
          <w:tcPr>
            <w:tcW w:w="0" w:type="auto"/>
            <w:tcBorders/>
            <w:shd w:val="clear" w:color="auto" w:fill="ffffff"/>
            <w:hideMark/>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5</w:t>
            </w:r>
          </w:p>
        </w:tc>
        <w:tc>
          <w:tcPr>
            <w:tcW w:w="0" w:type="auto"/>
            <w:tcBorders/>
            <w:shd w:val="clear" w:color="auto" w:fill="ffffff"/>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20</w:t>
            </w:r>
          </w:p>
        </w:tc>
      </w:tr>
      <w:tr>
        <w:tblPrEx/>
        <w:trPr/>
        <w:tc>
          <w:tcPr>
            <w:tcW w:w="0" w:type="auto"/>
            <w:tcBorders/>
            <w:shd w:val="clear" w:color="auto" w:fill="ffffff"/>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Westend</w:t>
            </w:r>
          </w:p>
        </w:tc>
        <w:tc>
          <w:tcPr>
            <w:tcW w:w="0" w:type="auto"/>
            <w:tcBorders/>
            <w:shd w:val="clear" w:color="auto" w:fill="ffffff"/>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Cow dung</w:t>
            </w:r>
          </w:p>
        </w:tc>
        <w:tc>
          <w:tcPr>
            <w:tcW w:w="0" w:type="auto"/>
            <w:tcBorders/>
            <w:shd w:val="clear" w:color="auto" w:fill="ffffff"/>
            <w:hideMark/>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8</w:t>
            </w:r>
          </w:p>
        </w:tc>
        <w:tc>
          <w:tcPr>
            <w:tcW w:w="0" w:type="auto"/>
            <w:tcBorders/>
            <w:shd w:val="clear" w:color="auto" w:fill="ffffff"/>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25</w:t>
            </w:r>
          </w:p>
        </w:tc>
      </w:tr>
      <w:tr>
        <w:tblPrEx/>
        <w:trPr/>
        <w:tc>
          <w:tcPr>
            <w:tcW w:w="0" w:type="auto"/>
            <w:tcBorders/>
            <w:shd w:val="clear" w:color="auto" w:fill="ffffff"/>
            <w:hideMark/>
          </w:tcPr>
          <w:p>
            <w:pPr>
              <w:pStyle w:val="style0"/>
              <w:rPr>
                <w:rFonts w:ascii="Times New Roman" w:cs="Times New Roman" w:eastAsia="Times New Roman" w:hAnsi="Times New Roman"/>
                <w:color w:val="auto"/>
                <w:sz w:val="20"/>
                <w:szCs w:val="20"/>
              </w:rPr>
            </w:pPr>
          </w:p>
        </w:tc>
        <w:tc>
          <w:tcPr>
            <w:tcW w:w="0" w:type="auto"/>
            <w:tcBorders/>
            <w:shd w:val="clear" w:color="auto" w:fill="ffffff"/>
          </w:tcPr>
          <w:p>
            <w:pPr>
              <w:pStyle w:val="style0"/>
              <w:rPr>
                <w:rFonts w:ascii="Times New Roman" w:cs="Times New Roman" w:eastAsia="Times New Roman" w:hAnsi="Times New Roman"/>
                <w:color w:val="auto"/>
                <w:sz w:val="20"/>
                <w:szCs w:val="20"/>
              </w:rPr>
            </w:pPr>
          </w:p>
        </w:tc>
        <w:tc>
          <w:tcPr>
            <w:tcW w:w="0" w:type="auto"/>
            <w:tcBorders/>
            <w:shd w:val="clear" w:color="auto" w:fill="ffffff"/>
            <w:hideMark/>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6</w:t>
            </w:r>
          </w:p>
        </w:tc>
        <w:tc>
          <w:tcPr>
            <w:tcW w:w="0" w:type="auto"/>
            <w:tcBorders/>
            <w:shd w:val="clear" w:color="auto" w:fill="ffffff"/>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18</w:t>
            </w:r>
          </w:p>
        </w:tc>
      </w:tr>
      <w:tr>
        <w:tblPrEx/>
        <w:trPr/>
        <w:tc>
          <w:tcPr>
            <w:tcW w:w="0" w:type="auto"/>
            <w:tcBorders/>
            <w:shd w:val="clear" w:color="auto" w:fill="ffffff"/>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Agricultural Farm</w:t>
            </w:r>
          </w:p>
        </w:tc>
        <w:tc>
          <w:tcPr>
            <w:tcW w:w="0" w:type="auto"/>
            <w:tcBorders/>
            <w:shd w:val="clear" w:color="auto" w:fill="ffffff"/>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Disza liquid fertilizer</w:t>
            </w:r>
          </w:p>
        </w:tc>
        <w:tc>
          <w:tcPr>
            <w:tcW w:w="0" w:type="auto"/>
            <w:tcBorders/>
            <w:shd w:val="clear" w:color="auto" w:fill="ffffff"/>
            <w:hideMark/>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6</w:t>
            </w:r>
          </w:p>
        </w:tc>
        <w:tc>
          <w:tcPr>
            <w:tcW w:w="0" w:type="auto"/>
            <w:tcBorders/>
            <w:shd w:val="clear" w:color="auto" w:fill="ffffff"/>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15</w:t>
            </w:r>
          </w:p>
        </w:tc>
      </w:tr>
      <w:tr>
        <w:tblPrEx/>
        <w:trPr/>
        <w:tc>
          <w:tcPr>
            <w:tcW w:w="0" w:type="auto"/>
            <w:tcBorders/>
            <w:shd w:val="clear" w:color="auto" w:fill="ffffff"/>
            <w:hideMark/>
          </w:tcPr>
          <w:p>
            <w:pPr>
              <w:pStyle w:val="style0"/>
              <w:rPr>
                <w:rFonts w:ascii="Times New Roman" w:cs="Times New Roman" w:eastAsia="Times New Roman" w:hAnsi="Times New Roman"/>
                <w:color w:val="auto"/>
                <w:sz w:val="20"/>
                <w:szCs w:val="20"/>
              </w:rPr>
            </w:pPr>
          </w:p>
        </w:tc>
        <w:tc>
          <w:tcPr>
            <w:tcW w:w="0" w:type="auto"/>
            <w:tcBorders/>
            <w:shd w:val="clear" w:color="auto" w:fill="ffffff"/>
          </w:tcPr>
          <w:p>
            <w:pPr>
              <w:pStyle w:val="style0"/>
              <w:rPr>
                <w:rFonts w:ascii="Times New Roman" w:cs="Times New Roman" w:eastAsia="Times New Roman" w:hAnsi="Times New Roman"/>
                <w:color w:val="auto"/>
                <w:sz w:val="20"/>
                <w:szCs w:val="20"/>
              </w:rPr>
            </w:pPr>
          </w:p>
        </w:tc>
        <w:tc>
          <w:tcPr>
            <w:tcW w:w="0" w:type="auto"/>
            <w:tcBorders/>
            <w:shd w:val="clear" w:color="auto" w:fill="ffffff"/>
            <w:hideMark/>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5</w:t>
            </w:r>
          </w:p>
        </w:tc>
        <w:tc>
          <w:tcPr>
            <w:tcW w:w="0" w:type="auto"/>
            <w:tcBorders/>
            <w:shd w:val="clear" w:color="auto" w:fill="ffffff"/>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25</w:t>
            </w:r>
          </w:p>
        </w:tc>
      </w:tr>
      <w:tr>
        <w:tblPrEx/>
        <w:trPr/>
        <w:tc>
          <w:tcPr>
            <w:tcW w:w="0" w:type="auto"/>
            <w:tcBorders/>
            <w:shd w:val="clear" w:color="auto" w:fill="ffffff"/>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IFMS</w:t>
            </w:r>
          </w:p>
        </w:tc>
        <w:tc>
          <w:tcPr>
            <w:tcW w:w="0" w:type="auto"/>
            <w:tcBorders/>
            <w:shd w:val="clear" w:color="auto" w:fill="ffffff"/>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Foliar plus complete fertilizer</w:t>
            </w:r>
          </w:p>
        </w:tc>
        <w:tc>
          <w:tcPr>
            <w:tcW w:w="0" w:type="auto"/>
            <w:tcBorders/>
            <w:shd w:val="clear" w:color="auto" w:fill="ffffff"/>
            <w:hideMark/>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11</w:t>
            </w:r>
          </w:p>
        </w:tc>
        <w:tc>
          <w:tcPr>
            <w:tcW w:w="0" w:type="auto"/>
            <w:tcBorders/>
            <w:shd w:val="clear" w:color="auto" w:fill="ffffff"/>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20</w:t>
            </w:r>
          </w:p>
        </w:tc>
      </w:tr>
      <w:tr>
        <w:tblPrEx/>
        <w:trPr/>
        <w:tc>
          <w:tcPr>
            <w:tcW w:w="0" w:type="auto"/>
            <w:tcBorders/>
            <w:shd w:val="clear" w:color="auto" w:fill="ffffff"/>
            <w:hideMark/>
          </w:tcPr>
          <w:p>
            <w:pPr>
              <w:pStyle w:val="style0"/>
              <w:rPr>
                <w:rFonts w:ascii="Times New Roman" w:cs="Times New Roman" w:eastAsia="Times New Roman" w:hAnsi="Times New Roman"/>
                <w:color w:val="auto"/>
                <w:sz w:val="20"/>
                <w:szCs w:val="20"/>
              </w:rPr>
            </w:pPr>
          </w:p>
        </w:tc>
        <w:tc>
          <w:tcPr>
            <w:tcW w:w="0" w:type="auto"/>
            <w:tcBorders/>
            <w:shd w:val="clear" w:color="auto" w:fill="ffffff"/>
          </w:tcPr>
          <w:p>
            <w:pPr>
              <w:pStyle w:val="style0"/>
              <w:rPr>
                <w:rFonts w:ascii="Times New Roman" w:cs="Times New Roman" w:eastAsia="Times New Roman" w:hAnsi="Times New Roman"/>
                <w:color w:val="auto"/>
                <w:sz w:val="20"/>
                <w:szCs w:val="20"/>
              </w:rPr>
            </w:pPr>
          </w:p>
        </w:tc>
        <w:tc>
          <w:tcPr>
            <w:tcW w:w="0" w:type="auto"/>
            <w:tcBorders/>
            <w:shd w:val="clear" w:color="auto" w:fill="ffffff"/>
            <w:hideMark/>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4</w:t>
            </w:r>
          </w:p>
        </w:tc>
        <w:tc>
          <w:tcPr>
            <w:tcW w:w="0" w:type="auto"/>
            <w:tcBorders/>
            <w:shd w:val="clear" w:color="auto" w:fill="ffffff"/>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28</w:t>
            </w:r>
          </w:p>
        </w:tc>
      </w:tr>
      <w:tr>
        <w:tblPrEx/>
        <w:trPr/>
        <w:tc>
          <w:tcPr>
            <w:tcW w:w="0" w:type="auto"/>
            <w:tcBorders/>
            <w:shd w:val="clear" w:color="auto" w:fill="ffffff"/>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Roundabout</w:t>
            </w:r>
          </w:p>
        </w:tc>
        <w:tc>
          <w:tcPr>
            <w:tcW w:w="0" w:type="auto"/>
            <w:tcBorders/>
            <w:shd w:val="clear" w:color="auto" w:fill="ffffff"/>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Floral organic manure</w:t>
            </w:r>
          </w:p>
        </w:tc>
        <w:tc>
          <w:tcPr>
            <w:tcW w:w="0" w:type="auto"/>
            <w:tcBorders/>
            <w:shd w:val="clear" w:color="auto" w:fill="ffffff"/>
            <w:hideMark/>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8</w:t>
            </w:r>
          </w:p>
        </w:tc>
        <w:tc>
          <w:tcPr>
            <w:tcW w:w="0" w:type="auto"/>
            <w:tcBorders/>
            <w:shd w:val="clear" w:color="auto" w:fill="ffffff"/>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45</w:t>
            </w:r>
          </w:p>
        </w:tc>
      </w:tr>
      <w:tr>
        <w:tblPrEx/>
        <w:trPr/>
        <w:tc>
          <w:tcPr>
            <w:tcW w:w="0" w:type="auto"/>
            <w:tcBorders/>
            <w:shd w:val="clear" w:color="auto" w:fill="ffffff"/>
            <w:hideMark/>
          </w:tcPr>
          <w:p>
            <w:pPr>
              <w:pStyle w:val="style0"/>
              <w:rPr>
                <w:rFonts w:ascii="Times New Roman" w:cs="Times New Roman" w:eastAsia="Times New Roman" w:hAnsi="Times New Roman"/>
                <w:color w:val="auto"/>
                <w:sz w:val="20"/>
                <w:szCs w:val="20"/>
              </w:rPr>
            </w:pPr>
          </w:p>
        </w:tc>
        <w:tc>
          <w:tcPr>
            <w:tcW w:w="0" w:type="auto"/>
            <w:tcBorders/>
            <w:shd w:val="clear" w:color="auto" w:fill="ffffff"/>
          </w:tcPr>
          <w:p>
            <w:pPr>
              <w:pStyle w:val="style0"/>
              <w:rPr>
                <w:rFonts w:ascii="Times New Roman" w:cs="Times New Roman" w:eastAsia="Times New Roman" w:hAnsi="Times New Roman"/>
                <w:color w:val="auto"/>
                <w:sz w:val="20"/>
                <w:szCs w:val="20"/>
              </w:rPr>
            </w:pPr>
          </w:p>
        </w:tc>
        <w:tc>
          <w:tcPr>
            <w:tcW w:w="0" w:type="auto"/>
            <w:tcBorders/>
            <w:shd w:val="clear" w:color="auto" w:fill="ffffff"/>
            <w:hideMark/>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5</w:t>
            </w:r>
          </w:p>
        </w:tc>
        <w:tc>
          <w:tcPr>
            <w:tcW w:w="0" w:type="auto"/>
            <w:tcBorders/>
            <w:shd w:val="clear" w:color="auto" w:fill="ffffff"/>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15</w:t>
            </w:r>
          </w:p>
        </w:tc>
      </w:tr>
    </w:tbl>
    <w:p>
      <w:pPr>
        <w:pStyle w:val="style0"/>
        <w:spacing w:after="0" w:lineRule="auto" w:line="240"/>
        <w:rPr>
          <w:rFonts w:ascii="Times New Roman" w:cs="Times New Roman" w:eastAsia="Times New Roman" w:hAnsi="Times New Roman"/>
          <w:sz w:val="24"/>
          <w:szCs w:val="24"/>
        </w:rPr>
      </w:pPr>
    </w:p>
    <w:p>
      <w:pPr>
        <w:pStyle w:val="style3"/>
        <w:spacing w:lineRule="auto" w:line="276"/>
        <w:rPr>
          <w:sz w:val="28"/>
          <w:szCs w:val="28"/>
        </w:rPr>
      </w:pPr>
    </w:p>
    <w:bookmarkStart w:id="22" w:name="_Toc202974619"/>
    <w:p>
      <w:pPr>
        <w:pStyle w:val="style1"/>
        <w:rPr>
          <w:rFonts w:ascii="Times New Roman" w:cs="Times New Roman" w:hAnsi="Times New Roman"/>
          <w:color w:val="auto"/>
          <w:sz w:val="28"/>
          <w:szCs w:val="28"/>
        </w:rPr>
      </w:pPr>
      <w:r>
        <w:rPr>
          <w:rFonts w:ascii="Times New Roman" w:cs="Times New Roman" w:hAnsi="Times New Roman"/>
          <w:color w:val="auto"/>
          <w:sz w:val="28"/>
          <w:szCs w:val="28"/>
        </w:rPr>
        <w:t>3.</w:t>
      </w:r>
      <w:r>
        <w:rPr>
          <w:rFonts w:ascii="Times New Roman" w:cs="Times New Roman" w:hAnsi="Times New Roman"/>
          <w:color w:val="auto"/>
          <w:sz w:val="28"/>
          <w:szCs w:val="28"/>
        </w:rPr>
        <w:t xml:space="preserve">3:   </w:t>
      </w:r>
      <w:r>
        <w:rPr>
          <w:rStyle w:val="style87"/>
          <w:rFonts w:ascii="Times New Roman" w:cs="Times New Roman" w:hAnsi="Times New Roman"/>
          <w:bCs w:val="false"/>
          <w:color w:val="auto"/>
        </w:rPr>
        <w:t>Fungal Colony Characteristics and Enumeration</w:t>
      </w:r>
      <w:bookmarkEnd w:id="22"/>
    </w:p>
    <w:bookmarkStart w:id="23" w:name="_Toc202974620"/>
    <w:p>
      <w:pPr>
        <w:pStyle w:val="style1"/>
        <w:rPr>
          <w:rFonts w:ascii="Times New Roman" w:cs="Times New Roman" w:eastAsia="Times New Roman" w:hAnsi="Times New Roman"/>
          <w:b/>
          <w:color w:val="auto"/>
        </w:rPr>
      </w:pPr>
      <w:r>
        <w:rPr>
          <w:rFonts w:ascii="Times New Roman" w:cs="Times New Roman" w:eastAsia="Times New Roman" w:hAnsi="Times New Roman"/>
          <w:b/>
          <w:color w:val="auto"/>
        </w:rPr>
        <w:t>Table 3</w:t>
      </w:r>
      <w:r>
        <w:rPr>
          <w:rFonts w:ascii="Times New Roman" w:cs="Times New Roman" w:eastAsia="Times New Roman" w:hAnsi="Times New Roman"/>
          <w:b/>
          <w:color w:val="auto"/>
        </w:rPr>
        <w:t xml:space="preserve">: Fungal Observation in </w:t>
      </w:r>
      <w:r>
        <w:rPr>
          <w:rFonts w:ascii="Times New Roman" w:cs="Times New Roman" w:eastAsia="Times New Roman" w:hAnsi="Times New Roman"/>
          <w:b/>
          <w:color w:val="auto"/>
        </w:rPr>
        <w:t xml:space="preserve">Control </w:t>
      </w:r>
      <w:r>
        <w:rPr>
          <w:rFonts w:ascii="Times New Roman" w:cs="Times New Roman" w:eastAsia="Times New Roman" w:hAnsi="Times New Roman"/>
          <w:b/>
          <w:color w:val="auto"/>
        </w:rPr>
        <w:t>Soil Samples</w:t>
      </w:r>
      <w:bookmarkEnd w:id="23"/>
    </w:p>
    <w:tbl>
      <w:tblPr>
        <w:tblStyle w:val="style4103"/>
        <w:tblW w:w="10530" w:type="dxa"/>
        <w:jc w:val="center"/>
        <w:tblLook w:val="04A0" w:firstRow="1" w:lastRow="0" w:firstColumn="1" w:lastColumn="0" w:noHBand="0" w:noVBand="1"/>
      </w:tblPr>
      <w:tblGrid>
        <w:gridCol w:w="1681"/>
        <w:gridCol w:w="2513"/>
        <w:gridCol w:w="4445"/>
        <w:gridCol w:w="1890"/>
      </w:tblGrid>
      <w:tr>
        <w:trPr>
          <w:jc w:val="center"/>
        </w:trPr>
        <w:tc>
          <w:tcPr>
            <w:tcW w:w="0" w:type="auto"/>
            <w:tcBorders/>
            <w:shd w:val="clear" w:color="auto" w:fill="auto"/>
            <w:hideMark/>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Sample Location</w:t>
            </w:r>
          </w:p>
        </w:tc>
        <w:tc>
          <w:tcPr>
            <w:tcW w:w="0" w:type="auto"/>
            <w:tcBorders/>
            <w:shd w:val="clear" w:color="auto" w:fill="auto"/>
            <w:hideMark/>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Macroscopic Observation</w:t>
            </w:r>
          </w:p>
        </w:tc>
        <w:tc>
          <w:tcPr>
            <w:tcW w:w="4445" w:type="dxa"/>
            <w:tcBorders/>
            <w:shd w:val="clear" w:color="auto" w:fill="auto"/>
            <w:hideMark/>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Microscopic Observation</w:t>
            </w:r>
          </w:p>
        </w:tc>
        <w:tc>
          <w:tcPr>
            <w:tcW w:w="1890" w:type="dxa"/>
            <w:tcBorders/>
            <w:shd w:val="clear" w:color="auto" w:fill="auto"/>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Suggested Fungi</w:t>
            </w:r>
          </w:p>
        </w:tc>
      </w:tr>
      <w:tr>
        <w:tblPrEx/>
        <w:trPr>
          <w:jc w:val="center"/>
        </w:trPr>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Secondary School</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Fluffy, powdery, creamy</w:t>
            </w:r>
          </w:p>
        </w:tc>
        <w:tc>
          <w:tcPr>
            <w:tcW w:w="4445" w:type="dxa"/>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Broad, aseptate hyphae (</w:t>
            </w:r>
            <w:r>
              <w:rPr>
                <w:rFonts w:ascii="Times New Roman" w:cs="Times New Roman" w:eastAsia="Times New Roman" w:hAnsi="Times New Roman"/>
                <w:i/>
                <w:iCs/>
                <w:color w:val="auto"/>
                <w:sz w:val="24"/>
                <w:szCs w:val="24"/>
              </w:rPr>
              <w:t>Rhizopus</w:t>
            </w:r>
            <w:r>
              <w:rPr>
                <w:rFonts w:ascii="Times New Roman" w:cs="Times New Roman" w:eastAsia="Times New Roman" w:hAnsi="Times New Roman"/>
                <w:color w:val="auto"/>
                <w:sz w:val="24"/>
                <w:szCs w:val="24"/>
              </w:rPr>
              <w:t>); septate hyphae with conidial heads (</w:t>
            </w:r>
            <w:r>
              <w:rPr>
                <w:rFonts w:ascii="Times New Roman" w:cs="Times New Roman" w:eastAsia="Times New Roman" w:hAnsi="Times New Roman"/>
                <w:i/>
                <w:iCs/>
                <w:color w:val="auto"/>
                <w:sz w:val="24"/>
                <w:szCs w:val="24"/>
              </w:rPr>
              <w:t>Aspergillus</w:t>
            </w:r>
            <w:r>
              <w:rPr>
                <w:rFonts w:ascii="Times New Roman" w:cs="Times New Roman" w:eastAsia="Times New Roman" w:hAnsi="Times New Roman"/>
                <w:color w:val="auto"/>
                <w:sz w:val="24"/>
                <w:szCs w:val="24"/>
              </w:rPr>
              <w:t>); brush-like conidiophores (</w:t>
            </w:r>
            <w:r>
              <w:rPr>
                <w:rFonts w:ascii="Times New Roman" w:cs="Times New Roman" w:eastAsia="Times New Roman" w:hAnsi="Times New Roman"/>
                <w:i/>
                <w:iCs/>
                <w:color w:val="auto"/>
                <w:sz w:val="24"/>
                <w:szCs w:val="24"/>
              </w:rPr>
              <w:t>Penicillium</w:t>
            </w:r>
            <w:r>
              <w:rPr>
                <w:rFonts w:ascii="Times New Roman" w:cs="Times New Roman" w:eastAsia="Times New Roman" w:hAnsi="Times New Roman"/>
                <w:color w:val="auto"/>
                <w:sz w:val="24"/>
                <w:szCs w:val="24"/>
              </w:rPr>
              <w:t>)</w:t>
            </w:r>
          </w:p>
        </w:tc>
        <w:tc>
          <w:tcPr>
            <w:tcW w:w="1890" w:type="dxa"/>
            <w:tcBorders/>
            <w:shd w:val="clear" w:color="auto" w:fill="auto"/>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i/>
                <w:iCs/>
                <w:color w:val="auto"/>
                <w:sz w:val="24"/>
                <w:szCs w:val="24"/>
              </w:rPr>
              <w:t>Rhizopus</w:t>
            </w:r>
            <w:r>
              <w:rPr>
                <w:rFonts w:ascii="Times New Roman" w:cs="Times New Roman" w:eastAsia="Times New Roman" w:hAnsi="Times New Roman"/>
                <w:color w:val="auto"/>
                <w:sz w:val="24"/>
                <w:szCs w:val="24"/>
              </w:rPr>
              <w:t xml:space="preserve">, </w:t>
            </w:r>
            <w:r>
              <w:rPr>
                <w:rFonts w:ascii="Times New Roman" w:cs="Times New Roman" w:eastAsia="Times New Roman" w:hAnsi="Times New Roman"/>
                <w:i/>
                <w:iCs/>
                <w:color w:val="auto"/>
                <w:sz w:val="24"/>
                <w:szCs w:val="24"/>
              </w:rPr>
              <w:t>Aspergillus</w:t>
            </w:r>
            <w:r>
              <w:rPr>
                <w:rFonts w:ascii="Times New Roman" w:cs="Times New Roman" w:eastAsia="Times New Roman" w:hAnsi="Times New Roman"/>
                <w:color w:val="auto"/>
                <w:sz w:val="24"/>
                <w:szCs w:val="24"/>
              </w:rPr>
              <w:t xml:space="preserve">, </w:t>
            </w:r>
            <w:r>
              <w:rPr>
                <w:rFonts w:ascii="Times New Roman" w:cs="Times New Roman" w:eastAsia="Times New Roman" w:hAnsi="Times New Roman"/>
                <w:i/>
                <w:iCs/>
                <w:color w:val="auto"/>
                <w:sz w:val="24"/>
                <w:szCs w:val="24"/>
              </w:rPr>
              <w:t>Penicillium</w:t>
            </w:r>
          </w:p>
        </w:tc>
      </w:tr>
      <w:tr>
        <w:tblPrEx/>
        <w:trPr>
          <w:jc w:val="center"/>
        </w:trPr>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Westend</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Fast spreading, blackish, fluffy, cottony</w:t>
            </w:r>
          </w:p>
        </w:tc>
        <w:tc>
          <w:tcPr>
            <w:tcW w:w="4445" w:type="dxa"/>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Sporangia with sporangiophores (</w:t>
            </w:r>
            <w:r>
              <w:rPr>
                <w:rFonts w:ascii="Times New Roman" w:cs="Times New Roman" w:eastAsia="Times New Roman" w:hAnsi="Times New Roman"/>
                <w:i/>
                <w:iCs/>
                <w:color w:val="auto"/>
                <w:sz w:val="24"/>
                <w:szCs w:val="24"/>
              </w:rPr>
              <w:t>Rhizopus</w:t>
            </w:r>
            <w:r>
              <w:rPr>
                <w:rFonts w:ascii="Times New Roman" w:cs="Times New Roman" w:eastAsia="Times New Roman" w:hAnsi="Times New Roman"/>
                <w:color w:val="auto"/>
                <w:sz w:val="24"/>
                <w:szCs w:val="24"/>
              </w:rPr>
              <w:t>); septate hyphae with chains of conidia (</w:t>
            </w:r>
            <w:r>
              <w:rPr>
                <w:rFonts w:ascii="Times New Roman" w:cs="Times New Roman" w:eastAsia="Times New Roman" w:hAnsi="Times New Roman"/>
                <w:i/>
                <w:iCs/>
                <w:color w:val="auto"/>
                <w:sz w:val="24"/>
                <w:szCs w:val="24"/>
              </w:rPr>
              <w:t>Aspergillus</w:t>
            </w:r>
            <w:r>
              <w:rPr>
                <w:rFonts w:ascii="Times New Roman" w:cs="Times New Roman" w:eastAsia="Times New Roman" w:hAnsi="Times New Roman"/>
                <w:color w:val="auto"/>
                <w:sz w:val="24"/>
                <w:szCs w:val="24"/>
              </w:rPr>
              <w:t>)</w:t>
            </w:r>
          </w:p>
        </w:tc>
        <w:tc>
          <w:tcPr>
            <w:tcW w:w="1890" w:type="dxa"/>
            <w:tcBorders/>
            <w:shd w:val="clear" w:color="auto" w:fill="auto"/>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i/>
                <w:iCs/>
                <w:color w:val="auto"/>
                <w:sz w:val="24"/>
                <w:szCs w:val="24"/>
              </w:rPr>
              <w:t>Rhizopus</w:t>
            </w:r>
            <w:r>
              <w:rPr>
                <w:rFonts w:ascii="Times New Roman" w:cs="Times New Roman" w:eastAsia="Times New Roman" w:hAnsi="Times New Roman"/>
                <w:color w:val="auto"/>
                <w:sz w:val="24"/>
                <w:szCs w:val="24"/>
              </w:rPr>
              <w:t xml:space="preserve">, </w:t>
            </w:r>
            <w:r>
              <w:rPr>
                <w:rFonts w:ascii="Times New Roman" w:cs="Times New Roman" w:eastAsia="Times New Roman" w:hAnsi="Times New Roman"/>
                <w:i/>
                <w:iCs/>
                <w:color w:val="auto"/>
                <w:sz w:val="24"/>
                <w:szCs w:val="24"/>
              </w:rPr>
              <w:t>Aspergillus</w:t>
            </w:r>
          </w:p>
        </w:tc>
      </w:tr>
      <w:tr>
        <w:tblPrEx/>
        <w:trPr>
          <w:jc w:val="center"/>
        </w:trPr>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Agricultural Farm</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Blackish, powdery</w:t>
            </w:r>
          </w:p>
        </w:tc>
        <w:tc>
          <w:tcPr>
            <w:tcW w:w="4445" w:type="dxa"/>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Septate hyphae with conidial heads (</w:t>
            </w:r>
            <w:r>
              <w:rPr>
                <w:rFonts w:ascii="Times New Roman" w:cs="Times New Roman" w:eastAsia="Times New Roman" w:hAnsi="Times New Roman"/>
                <w:i/>
                <w:iCs/>
                <w:color w:val="auto"/>
                <w:sz w:val="24"/>
                <w:szCs w:val="24"/>
              </w:rPr>
              <w:t>Aspergillus</w:t>
            </w:r>
            <w:r>
              <w:rPr>
                <w:rFonts w:ascii="Times New Roman" w:cs="Times New Roman" w:eastAsia="Times New Roman" w:hAnsi="Times New Roman"/>
                <w:color w:val="auto"/>
                <w:sz w:val="24"/>
                <w:szCs w:val="24"/>
              </w:rPr>
              <w:t>); aseptate hyphae and sporangia (</w:t>
            </w:r>
            <w:r>
              <w:rPr>
                <w:rFonts w:ascii="Times New Roman" w:cs="Times New Roman" w:eastAsia="Times New Roman" w:hAnsi="Times New Roman"/>
                <w:i/>
                <w:iCs/>
                <w:color w:val="auto"/>
                <w:sz w:val="24"/>
                <w:szCs w:val="24"/>
              </w:rPr>
              <w:t>Rhizopus</w:t>
            </w:r>
            <w:r>
              <w:rPr>
                <w:rFonts w:ascii="Times New Roman" w:cs="Times New Roman" w:eastAsia="Times New Roman" w:hAnsi="Times New Roman"/>
                <w:color w:val="auto"/>
                <w:sz w:val="24"/>
                <w:szCs w:val="24"/>
              </w:rPr>
              <w:t>)</w:t>
            </w:r>
          </w:p>
        </w:tc>
        <w:tc>
          <w:tcPr>
            <w:tcW w:w="1890" w:type="dxa"/>
            <w:tcBorders/>
            <w:shd w:val="clear" w:color="auto" w:fill="auto"/>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i/>
                <w:iCs/>
                <w:color w:val="auto"/>
                <w:sz w:val="24"/>
                <w:szCs w:val="24"/>
              </w:rPr>
              <w:t>Aspergillus</w:t>
            </w:r>
            <w:r>
              <w:rPr>
                <w:rFonts w:ascii="Times New Roman" w:cs="Times New Roman" w:eastAsia="Times New Roman" w:hAnsi="Times New Roman"/>
                <w:color w:val="auto"/>
                <w:sz w:val="24"/>
                <w:szCs w:val="24"/>
              </w:rPr>
              <w:t xml:space="preserve">, </w:t>
            </w:r>
            <w:r>
              <w:rPr>
                <w:rFonts w:ascii="Times New Roman" w:cs="Times New Roman" w:eastAsia="Times New Roman" w:hAnsi="Times New Roman"/>
                <w:i/>
                <w:iCs/>
                <w:color w:val="auto"/>
                <w:sz w:val="24"/>
                <w:szCs w:val="24"/>
              </w:rPr>
              <w:t>Rhizopus</w:t>
            </w:r>
          </w:p>
        </w:tc>
      </w:tr>
      <w:tr>
        <w:tblPrEx/>
        <w:trPr>
          <w:jc w:val="center"/>
        </w:trPr>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IFMS</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Fast growing, whitish, cottony, aerial hyphae</w:t>
            </w:r>
          </w:p>
        </w:tc>
        <w:tc>
          <w:tcPr>
            <w:tcW w:w="4445" w:type="dxa"/>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Broad, aseptate hyphae; spherical sporangia (</w:t>
            </w:r>
            <w:r>
              <w:rPr>
                <w:rFonts w:ascii="Times New Roman" w:cs="Times New Roman" w:eastAsia="Times New Roman" w:hAnsi="Times New Roman"/>
                <w:i/>
                <w:iCs/>
                <w:color w:val="auto"/>
                <w:sz w:val="24"/>
                <w:szCs w:val="24"/>
              </w:rPr>
              <w:t>Mucor</w:t>
            </w:r>
            <w:r>
              <w:rPr>
                <w:rFonts w:ascii="Times New Roman" w:cs="Times New Roman" w:eastAsia="Times New Roman" w:hAnsi="Times New Roman"/>
                <w:color w:val="auto"/>
                <w:sz w:val="24"/>
                <w:szCs w:val="24"/>
              </w:rPr>
              <w:t xml:space="preserve">, </w:t>
            </w:r>
            <w:r>
              <w:rPr>
                <w:rFonts w:ascii="Times New Roman" w:cs="Times New Roman" w:eastAsia="Times New Roman" w:hAnsi="Times New Roman"/>
                <w:i/>
                <w:iCs/>
                <w:color w:val="auto"/>
                <w:sz w:val="24"/>
                <w:szCs w:val="24"/>
              </w:rPr>
              <w:t>Rhizopus</w:t>
            </w:r>
            <w:r>
              <w:rPr>
                <w:rFonts w:ascii="Times New Roman" w:cs="Times New Roman" w:eastAsia="Times New Roman" w:hAnsi="Times New Roman"/>
                <w:color w:val="auto"/>
                <w:sz w:val="24"/>
                <w:szCs w:val="24"/>
              </w:rPr>
              <w:t>)</w:t>
            </w:r>
          </w:p>
        </w:tc>
        <w:tc>
          <w:tcPr>
            <w:tcW w:w="1890" w:type="dxa"/>
            <w:tcBorders/>
            <w:shd w:val="clear" w:color="auto" w:fill="auto"/>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i/>
                <w:iCs/>
                <w:color w:val="auto"/>
                <w:sz w:val="24"/>
                <w:szCs w:val="24"/>
              </w:rPr>
              <w:t>Mucor</w:t>
            </w:r>
            <w:r>
              <w:rPr>
                <w:rFonts w:ascii="Times New Roman" w:cs="Times New Roman" w:eastAsia="Times New Roman" w:hAnsi="Times New Roman"/>
                <w:color w:val="auto"/>
                <w:sz w:val="24"/>
                <w:szCs w:val="24"/>
              </w:rPr>
              <w:t xml:space="preserve"> spp, </w:t>
            </w:r>
            <w:r>
              <w:rPr>
                <w:rFonts w:ascii="Times New Roman" w:cs="Times New Roman" w:eastAsia="Times New Roman" w:hAnsi="Times New Roman"/>
                <w:i/>
                <w:iCs/>
                <w:color w:val="auto"/>
                <w:sz w:val="24"/>
                <w:szCs w:val="24"/>
              </w:rPr>
              <w:t>Rhizopus</w:t>
            </w:r>
          </w:p>
        </w:tc>
      </w:tr>
      <w:tr>
        <w:tblPrEx/>
        <w:trPr>
          <w:jc w:val="center"/>
        </w:trPr>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Roundabout</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Rapid spreading, powdery, blackish</w:t>
            </w:r>
          </w:p>
        </w:tc>
        <w:tc>
          <w:tcPr>
            <w:tcW w:w="4445" w:type="dxa"/>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Black conidial heads with septate hyphae (</w:t>
            </w:r>
            <w:r>
              <w:rPr>
                <w:rFonts w:ascii="Times New Roman" w:cs="Times New Roman" w:eastAsia="Times New Roman" w:hAnsi="Times New Roman"/>
                <w:i/>
                <w:iCs/>
                <w:color w:val="auto"/>
                <w:sz w:val="24"/>
                <w:szCs w:val="24"/>
              </w:rPr>
              <w:t>A. niger</w:t>
            </w:r>
            <w:r>
              <w:rPr>
                <w:rFonts w:ascii="Times New Roman" w:cs="Times New Roman" w:eastAsia="Times New Roman" w:hAnsi="Times New Roman"/>
                <w:color w:val="auto"/>
                <w:sz w:val="24"/>
                <w:szCs w:val="24"/>
              </w:rPr>
              <w:t>); aseptate hyphae with sporangia (</w:t>
            </w:r>
            <w:r>
              <w:rPr>
                <w:rFonts w:ascii="Times New Roman" w:cs="Times New Roman" w:eastAsia="Times New Roman" w:hAnsi="Times New Roman"/>
                <w:i/>
                <w:iCs/>
                <w:color w:val="auto"/>
                <w:sz w:val="24"/>
                <w:szCs w:val="24"/>
              </w:rPr>
              <w:t>Mucor</w:t>
            </w:r>
            <w:r>
              <w:rPr>
                <w:rFonts w:ascii="Times New Roman" w:cs="Times New Roman" w:eastAsia="Times New Roman" w:hAnsi="Times New Roman"/>
                <w:color w:val="auto"/>
                <w:sz w:val="24"/>
                <w:szCs w:val="24"/>
              </w:rPr>
              <w:t>)</w:t>
            </w:r>
          </w:p>
        </w:tc>
        <w:tc>
          <w:tcPr>
            <w:tcW w:w="1890" w:type="dxa"/>
            <w:tcBorders/>
            <w:shd w:val="clear" w:color="auto" w:fill="auto"/>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i/>
                <w:iCs/>
                <w:color w:val="auto"/>
                <w:sz w:val="24"/>
                <w:szCs w:val="24"/>
              </w:rPr>
              <w:t>Aspergillus niger</w:t>
            </w:r>
            <w:r>
              <w:rPr>
                <w:rFonts w:ascii="Times New Roman" w:cs="Times New Roman" w:eastAsia="Times New Roman" w:hAnsi="Times New Roman"/>
                <w:color w:val="auto"/>
                <w:sz w:val="24"/>
                <w:szCs w:val="24"/>
              </w:rPr>
              <w:t xml:space="preserve">, </w:t>
            </w:r>
            <w:r>
              <w:rPr>
                <w:rFonts w:ascii="Times New Roman" w:cs="Times New Roman" w:eastAsia="Times New Roman" w:hAnsi="Times New Roman"/>
                <w:i/>
                <w:iCs/>
                <w:color w:val="auto"/>
                <w:sz w:val="24"/>
                <w:szCs w:val="24"/>
              </w:rPr>
              <w:t>Mucor</w:t>
            </w:r>
            <w:r>
              <w:rPr>
                <w:rFonts w:ascii="Times New Roman" w:cs="Times New Roman" w:eastAsia="Times New Roman" w:hAnsi="Times New Roman"/>
                <w:color w:val="auto"/>
                <w:sz w:val="24"/>
                <w:szCs w:val="24"/>
              </w:rPr>
              <w:t xml:space="preserve"> spp</w:t>
            </w:r>
          </w:p>
        </w:tc>
      </w:tr>
    </w:tbl>
    <w:p>
      <w:pPr>
        <w:pStyle w:val="style0"/>
        <w:spacing w:after="0"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p>
    <w:bookmarkStart w:id="24" w:name="_Toc202974621"/>
    <w:p>
      <w:pPr>
        <w:pStyle w:val="style1"/>
        <w:rPr>
          <w:rFonts w:ascii="Times New Roman" w:cs="Times New Roman" w:eastAsia="Times New Roman" w:hAnsi="Times New Roman"/>
          <w:b/>
          <w:color w:val="auto"/>
        </w:rPr>
      </w:pPr>
      <w:r>
        <w:rPr>
          <w:rFonts w:ascii="Times New Roman" w:cs="Times New Roman" w:eastAsia="Times New Roman" w:hAnsi="Times New Roman"/>
          <w:b/>
          <w:color w:val="auto"/>
        </w:rPr>
        <w:t>Table 4</w:t>
      </w:r>
      <w:r>
        <w:rPr>
          <w:rFonts w:ascii="Times New Roman" w:cs="Times New Roman" w:eastAsia="Times New Roman" w:hAnsi="Times New Roman"/>
          <w:b/>
          <w:color w:val="auto"/>
        </w:rPr>
        <w:t xml:space="preserve">: Fungal Observation in </w:t>
      </w:r>
      <w:r>
        <w:rPr>
          <w:rFonts w:ascii="Times New Roman" w:cs="Times New Roman" w:eastAsia="Times New Roman" w:hAnsi="Times New Roman"/>
          <w:b/>
          <w:color w:val="auto"/>
        </w:rPr>
        <w:t xml:space="preserve">Treated </w:t>
      </w:r>
      <w:r>
        <w:rPr>
          <w:rFonts w:ascii="Times New Roman" w:cs="Times New Roman" w:eastAsia="Times New Roman" w:hAnsi="Times New Roman"/>
          <w:b/>
          <w:color w:val="auto"/>
        </w:rPr>
        <w:t>Soil Samples</w:t>
      </w:r>
      <w:bookmarkEnd w:id="24"/>
    </w:p>
    <w:tbl>
      <w:tblPr>
        <w:tblStyle w:val="style4103"/>
        <w:tblW w:w="10170" w:type="dxa"/>
        <w:jc w:val="center"/>
        <w:tblLook w:val="04A0" w:firstRow="1" w:lastRow="0" w:firstColumn="1" w:lastColumn="0" w:noHBand="0" w:noVBand="1"/>
      </w:tblPr>
      <w:tblGrid>
        <w:gridCol w:w="1706"/>
        <w:gridCol w:w="2025"/>
        <w:gridCol w:w="4188"/>
        <w:gridCol w:w="2250"/>
      </w:tblGrid>
      <w:tr>
        <w:trPr>
          <w:jc w:val="center"/>
        </w:trPr>
        <w:tc>
          <w:tcPr>
            <w:tcW w:w="0" w:type="auto"/>
            <w:tcBorders/>
            <w:shd w:val="clear" w:color="auto" w:fill="auto"/>
            <w:hideMark/>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Sample Location</w:t>
            </w:r>
          </w:p>
        </w:tc>
        <w:tc>
          <w:tcPr>
            <w:tcW w:w="0" w:type="auto"/>
            <w:tcBorders/>
            <w:shd w:val="clear" w:color="auto" w:fill="auto"/>
            <w:hideMark/>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Macroscopic Observation</w:t>
            </w:r>
          </w:p>
        </w:tc>
        <w:tc>
          <w:tcPr>
            <w:tcW w:w="4188" w:type="dxa"/>
            <w:tcBorders/>
            <w:shd w:val="clear" w:color="auto" w:fill="auto"/>
            <w:hideMark/>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Microscopic Observation</w:t>
            </w:r>
          </w:p>
        </w:tc>
        <w:tc>
          <w:tcPr>
            <w:tcW w:w="2250" w:type="dxa"/>
            <w:tcBorders/>
            <w:shd w:val="clear" w:color="auto" w:fill="auto"/>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Suggested Fungi</w:t>
            </w:r>
          </w:p>
        </w:tc>
      </w:tr>
      <w:tr>
        <w:tblPrEx/>
        <w:trPr>
          <w:jc w:val="center"/>
        </w:trPr>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Secondary School</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Whitish, creamy</w:t>
            </w:r>
          </w:p>
        </w:tc>
        <w:tc>
          <w:tcPr>
            <w:tcW w:w="4188" w:type="dxa"/>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Broad aseptate hyphae with sporangia (</w:t>
            </w:r>
            <w:r>
              <w:rPr>
                <w:rFonts w:ascii="Times New Roman" w:cs="Times New Roman" w:eastAsia="Times New Roman" w:hAnsi="Times New Roman"/>
                <w:i/>
                <w:iCs/>
                <w:color w:val="auto"/>
                <w:sz w:val="24"/>
                <w:szCs w:val="24"/>
              </w:rPr>
              <w:t>Rhizopus</w:t>
            </w:r>
            <w:r>
              <w:rPr>
                <w:rFonts w:ascii="Times New Roman" w:cs="Times New Roman" w:eastAsia="Times New Roman" w:hAnsi="Times New Roman"/>
                <w:color w:val="auto"/>
                <w:sz w:val="24"/>
                <w:szCs w:val="24"/>
              </w:rPr>
              <w:t>); septate hyphae with brush-like conidia (</w:t>
            </w:r>
            <w:r>
              <w:rPr>
                <w:rFonts w:ascii="Times New Roman" w:cs="Times New Roman" w:eastAsia="Times New Roman" w:hAnsi="Times New Roman"/>
                <w:i/>
                <w:iCs/>
                <w:color w:val="auto"/>
                <w:sz w:val="24"/>
                <w:szCs w:val="24"/>
              </w:rPr>
              <w:t>Penicillium</w:t>
            </w:r>
            <w:r>
              <w:rPr>
                <w:rFonts w:ascii="Times New Roman" w:cs="Times New Roman" w:eastAsia="Times New Roman" w:hAnsi="Times New Roman"/>
                <w:color w:val="auto"/>
                <w:sz w:val="24"/>
                <w:szCs w:val="24"/>
              </w:rPr>
              <w:t>)</w:t>
            </w:r>
          </w:p>
        </w:tc>
        <w:tc>
          <w:tcPr>
            <w:tcW w:w="2250" w:type="dxa"/>
            <w:tcBorders/>
            <w:shd w:val="clear" w:color="auto" w:fill="auto"/>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i/>
                <w:iCs/>
                <w:color w:val="auto"/>
                <w:sz w:val="24"/>
                <w:szCs w:val="24"/>
              </w:rPr>
              <w:t>Rhizopus</w:t>
            </w:r>
            <w:r>
              <w:rPr>
                <w:rFonts w:ascii="Times New Roman" w:cs="Times New Roman" w:eastAsia="Times New Roman" w:hAnsi="Times New Roman"/>
                <w:color w:val="auto"/>
                <w:sz w:val="24"/>
                <w:szCs w:val="24"/>
              </w:rPr>
              <w:t xml:space="preserve">, </w:t>
            </w:r>
            <w:r>
              <w:rPr>
                <w:rFonts w:ascii="Times New Roman" w:cs="Times New Roman" w:eastAsia="Times New Roman" w:hAnsi="Times New Roman"/>
                <w:i/>
                <w:iCs/>
                <w:color w:val="auto"/>
                <w:sz w:val="24"/>
                <w:szCs w:val="24"/>
              </w:rPr>
              <w:t>Penicillium</w:t>
            </w:r>
            <w:r>
              <w:rPr>
                <w:rFonts w:ascii="Times New Roman" w:cs="Times New Roman" w:eastAsia="Times New Roman" w:hAnsi="Times New Roman"/>
                <w:color w:val="auto"/>
                <w:sz w:val="24"/>
                <w:szCs w:val="24"/>
              </w:rPr>
              <w:t xml:space="preserve"> spp</w:t>
            </w:r>
          </w:p>
        </w:tc>
      </w:tr>
      <w:tr>
        <w:tblPrEx/>
        <w:trPr>
          <w:jc w:val="center"/>
        </w:trPr>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Westend</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Blackish, cottony</w:t>
            </w:r>
          </w:p>
        </w:tc>
        <w:tc>
          <w:tcPr>
            <w:tcW w:w="4188" w:type="dxa"/>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Septate hyphae with conidial heads (</w:t>
            </w:r>
            <w:r>
              <w:rPr>
                <w:rFonts w:ascii="Times New Roman" w:cs="Times New Roman" w:eastAsia="Times New Roman" w:hAnsi="Times New Roman"/>
                <w:i/>
                <w:iCs/>
                <w:color w:val="auto"/>
                <w:sz w:val="24"/>
                <w:szCs w:val="24"/>
              </w:rPr>
              <w:t>Aspergillus</w:t>
            </w:r>
            <w:r>
              <w:rPr>
                <w:rFonts w:ascii="Times New Roman" w:cs="Times New Roman" w:eastAsia="Times New Roman" w:hAnsi="Times New Roman"/>
                <w:color w:val="auto"/>
                <w:sz w:val="24"/>
                <w:szCs w:val="24"/>
              </w:rPr>
              <w:t>); broad aseptate hyphae with sporangia (</w:t>
            </w:r>
            <w:r>
              <w:rPr>
                <w:rFonts w:ascii="Times New Roman" w:cs="Times New Roman" w:eastAsia="Times New Roman" w:hAnsi="Times New Roman"/>
                <w:i/>
                <w:iCs/>
                <w:color w:val="auto"/>
                <w:sz w:val="24"/>
                <w:szCs w:val="24"/>
              </w:rPr>
              <w:t>Mucor</w:t>
            </w:r>
            <w:r>
              <w:rPr>
                <w:rFonts w:ascii="Times New Roman" w:cs="Times New Roman" w:eastAsia="Times New Roman" w:hAnsi="Times New Roman"/>
                <w:color w:val="auto"/>
                <w:sz w:val="24"/>
                <w:szCs w:val="24"/>
              </w:rPr>
              <w:t>)</w:t>
            </w:r>
          </w:p>
        </w:tc>
        <w:tc>
          <w:tcPr>
            <w:tcW w:w="2250" w:type="dxa"/>
            <w:tcBorders/>
            <w:shd w:val="clear" w:color="auto" w:fill="auto"/>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i/>
                <w:iCs/>
                <w:color w:val="auto"/>
                <w:sz w:val="24"/>
                <w:szCs w:val="24"/>
              </w:rPr>
              <w:t>Aspergillus</w:t>
            </w:r>
            <w:r>
              <w:rPr>
                <w:rFonts w:ascii="Times New Roman" w:cs="Times New Roman" w:eastAsia="Times New Roman" w:hAnsi="Times New Roman"/>
                <w:color w:val="auto"/>
                <w:sz w:val="24"/>
                <w:szCs w:val="24"/>
              </w:rPr>
              <w:t xml:space="preserve">, </w:t>
            </w:r>
            <w:r>
              <w:rPr>
                <w:rFonts w:ascii="Times New Roman" w:cs="Times New Roman" w:eastAsia="Times New Roman" w:hAnsi="Times New Roman"/>
                <w:i/>
                <w:iCs/>
                <w:color w:val="auto"/>
                <w:sz w:val="24"/>
                <w:szCs w:val="24"/>
              </w:rPr>
              <w:t>Mucor</w:t>
            </w:r>
          </w:p>
        </w:tc>
      </w:tr>
      <w:tr>
        <w:tblPrEx/>
        <w:trPr>
          <w:jc w:val="center"/>
        </w:trPr>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Agricultural Farm</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Powdery or granular</w:t>
            </w:r>
          </w:p>
        </w:tc>
        <w:tc>
          <w:tcPr>
            <w:tcW w:w="4188" w:type="dxa"/>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Brush-like conidiophores (</w:t>
            </w:r>
            <w:r>
              <w:rPr>
                <w:rFonts w:ascii="Times New Roman" w:cs="Times New Roman" w:eastAsia="Times New Roman" w:hAnsi="Times New Roman"/>
                <w:i/>
                <w:iCs/>
                <w:color w:val="auto"/>
                <w:sz w:val="24"/>
                <w:szCs w:val="24"/>
              </w:rPr>
              <w:t>Penicillium</w:t>
            </w:r>
            <w:r>
              <w:rPr>
                <w:rFonts w:ascii="Times New Roman" w:cs="Times New Roman" w:eastAsia="Times New Roman" w:hAnsi="Times New Roman"/>
                <w:color w:val="auto"/>
                <w:sz w:val="24"/>
                <w:szCs w:val="24"/>
              </w:rPr>
              <w:t>); branched conidiophores with clustered conidia (</w:t>
            </w:r>
            <w:r>
              <w:rPr>
                <w:rFonts w:ascii="Times New Roman" w:cs="Times New Roman" w:eastAsia="Times New Roman" w:hAnsi="Times New Roman"/>
                <w:i/>
                <w:iCs/>
                <w:color w:val="auto"/>
                <w:sz w:val="24"/>
                <w:szCs w:val="24"/>
              </w:rPr>
              <w:t>Trichoderma</w:t>
            </w:r>
            <w:r>
              <w:rPr>
                <w:rFonts w:ascii="Times New Roman" w:cs="Times New Roman" w:eastAsia="Times New Roman" w:hAnsi="Times New Roman"/>
                <w:color w:val="auto"/>
                <w:sz w:val="24"/>
                <w:szCs w:val="24"/>
              </w:rPr>
              <w:t>)</w:t>
            </w:r>
          </w:p>
        </w:tc>
        <w:tc>
          <w:tcPr>
            <w:tcW w:w="2250" w:type="dxa"/>
            <w:tcBorders/>
            <w:shd w:val="clear" w:color="auto" w:fill="auto"/>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i/>
                <w:iCs/>
                <w:color w:val="auto"/>
                <w:sz w:val="24"/>
                <w:szCs w:val="24"/>
              </w:rPr>
              <w:t>Penicillium</w:t>
            </w:r>
            <w:r>
              <w:rPr>
                <w:rFonts w:ascii="Times New Roman" w:cs="Times New Roman" w:eastAsia="Times New Roman" w:hAnsi="Times New Roman"/>
                <w:color w:val="auto"/>
                <w:sz w:val="24"/>
                <w:szCs w:val="24"/>
              </w:rPr>
              <w:t xml:space="preserve"> spp, </w:t>
            </w:r>
            <w:r>
              <w:rPr>
                <w:rFonts w:ascii="Times New Roman" w:cs="Times New Roman" w:eastAsia="Times New Roman" w:hAnsi="Times New Roman"/>
                <w:i/>
                <w:iCs/>
                <w:color w:val="auto"/>
                <w:sz w:val="24"/>
                <w:szCs w:val="24"/>
              </w:rPr>
              <w:t>Trichoderma</w:t>
            </w:r>
            <w:r>
              <w:rPr>
                <w:rFonts w:ascii="Times New Roman" w:cs="Times New Roman" w:eastAsia="Times New Roman" w:hAnsi="Times New Roman"/>
                <w:color w:val="auto"/>
                <w:sz w:val="24"/>
                <w:szCs w:val="24"/>
              </w:rPr>
              <w:t xml:space="preserve"> spp</w:t>
            </w:r>
          </w:p>
        </w:tc>
      </w:tr>
      <w:tr>
        <w:tblPrEx/>
        <w:trPr>
          <w:jc w:val="center"/>
        </w:trPr>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IFMS</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Whitish, cottony</w:t>
            </w:r>
          </w:p>
        </w:tc>
        <w:tc>
          <w:tcPr>
            <w:tcW w:w="4188" w:type="dxa"/>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Aseptate hyphae with sporangia (</w:t>
            </w:r>
            <w:r>
              <w:rPr>
                <w:rFonts w:ascii="Times New Roman" w:cs="Times New Roman" w:eastAsia="Times New Roman" w:hAnsi="Times New Roman"/>
                <w:i/>
                <w:iCs/>
                <w:color w:val="auto"/>
                <w:sz w:val="24"/>
                <w:szCs w:val="24"/>
              </w:rPr>
              <w:t>Rhizopus</w:t>
            </w:r>
            <w:r>
              <w:rPr>
                <w:rFonts w:ascii="Times New Roman" w:cs="Times New Roman" w:eastAsia="Times New Roman" w:hAnsi="Times New Roman"/>
                <w:color w:val="auto"/>
                <w:sz w:val="24"/>
                <w:szCs w:val="24"/>
              </w:rPr>
              <w:t>); sickle-shaped macroconidia (</w:t>
            </w:r>
            <w:r>
              <w:rPr>
                <w:rFonts w:ascii="Times New Roman" w:cs="Times New Roman" w:eastAsia="Times New Roman" w:hAnsi="Times New Roman"/>
                <w:i/>
                <w:iCs/>
                <w:color w:val="auto"/>
                <w:sz w:val="24"/>
                <w:szCs w:val="24"/>
              </w:rPr>
              <w:t>Fusarium</w:t>
            </w:r>
            <w:r>
              <w:rPr>
                <w:rFonts w:ascii="Times New Roman" w:cs="Times New Roman" w:eastAsia="Times New Roman" w:hAnsi="Times New Roman"/>
                <w:color w:val="auto"/>
                <w:sz w:val="24"/>
                <w:szCs w:val="24"/>
              </w:rPr>
              <w:t>)</w:t>
            </w:r>
          </w:p>
        </w:tc>
        <w:tc>
          <w:tcPr>
            <w:tcW w:w="2250" w:type="dxa"/>
            <w:tcBorders/>
            <w:shd w:val="clear" w:color="auto" w:fill="auto"/>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i/>
                <w:iCs/>
                <w:color w:val="auto"/>
                <w:sz w:val="24"/>
                <w:szCs w:val="24"/>
              </w:rPr>
              <w:t>Rhizopus</w:t>
            </w:r>
            <w:r>
              <w:rPr>
                <w:rFonts w:ascii="Times New Roman" w:cs="Times New Roman" w:eastAsia="Times New Roman" w:hAnsi="Times New Roman"/>
                <w:color w:val="auto"/>
                <w:sz w:val="24"/>
                <w:szCs w:val="24"/>
              </w:rPr>
              <w:t xml:space="preserve"> spp, </w:t>
            </w:r>
            <w:r>
              <w:rPr>
                <w:rFonts w:ascii="Times New Roman" w:cs="Times New Roman" w:eastAsia="Times New Roman" w:hAnsi="Times New Roman"/>
                <w:i/>
                <w:iCs/>
                <w:color w:val="auto"/>
                <w:sz w:val="24"/>
                <w:szCs w:val="24"/>
              </w:rPr>
              <w:t>Fusarium</w:t>
            </w:r>
            <w:r>
              <w:rPr>
                <w:rFonts w:ascii="Times New Roman" w:cs="Times New Roman" w:eastAsia="Times New Roman" w:hAnsi="Times New Roman"/>
                <w:color w:val="auto"/>
                <w:sz w:val="24"/>
                <w:szCs w:val="24"/>
              </w:rPr>
              <w:t xml:space="preserve"> spp</w:t>
            </w:r>
          </w:p>
        </w:tc>
      </w:tr>
      <w:tr>
        <w:tblPrEx/>
        <w:trPr>
          <w:jc w:val="center"/>
        </w:trPr>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Roundabout</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Blackish, velvet</w:t>
            </w:r>
          </w:p>
        </w:tc>
        <w:tc>
          <w:tcPr>
            <w:tcW w:w="4188" w:type="dxa"/>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Dark septate hyphae with black conidial heads (</w:t>
            </w:r>
            <w:r>
              <w:rPr>
                <w:rFonts w:ascii="Times New Roman" w:cs="Times New Roman" w:eastAsia="Times New Roman" w:hAnsi="Times New Roman"/>
                <w:i/>
                <w:iCs/>
                <w:color w:val="auto"/>
                <w:sz w:val="24"/>
                <w:szCs w:val="24"/>
              </w:rPr>
              <w:t>A. niger</w:t>
            </w:r>
            <w:r>
              <w:rPr>
                <w:rFonts w:ascii="Times New Roman" w:cs="Times New Roman" w:eastAsia="Times New Roman" w:hAnsi="Times New Roman"/>
                <w:color w:val="auto"/>
                <w:sz w:val="24"/>
                <w:szCs w:val="24"/>
              </w:rPr>
              <w:t>); branched chains of blastoconidia (</w:t>
            </w:r>
            <w:r>
              <w:rPr>
                <w:rFonts w:ascii="Times New Roman" w:cs="Times New Roman" w:eastAsia="Times New Roman" w:hAnsi="Times New Roman"/>
                <w:i/>
                <w:iCs/>
                <w:color w:val="auto"/>
                <w:sz w:val="24"/>
                <w:szCs w:val="24"/>
              </w:rPr>
              <w:t>Cladosporium</w:t>
            </w:r>
            <w:r>
              <w:rPr>
                <w:rFonts w:ascii="Times New Roman" w:cs="Times New Roman" w:eastAsia="Times New Roman" w:hAnsi="Times New Roman"/>
                <w:color w:val="auto"/>
                <w:sz w:val="24"/>
                <w:szCs w:val="24"/>
              </w:rPr>
              <w:t>)</w:t>
            </w:r>
          </w:p>
        </w:tc>
        <w:tc>
          <w:tcPr>
            <w:tcW w:w="2250" w:type="dxa"/>
            <w:tcBorders/>
            <w:shd w:val="clear" w:color="auto" w:fill="auto"/>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i/>
                <w:iCs/>
                <w:color w:val="auto"/>
                <w:sz w:val="24"/>
                <w:szCs w:val="24"/>
              </w:rPr>
              <w:t>Aspergillus niger</w:t>
            </w:r>
            <w:r>
              <w:rPr>
                <w:rFonts w:ascii="Times New Roman" w:cs="Times New Roman" w:eastAsia="Times New Roman" w:hAnsi="Times New Roman"/>
                <w:color w:val="auto"/>
                <w:sz w:val="24"/>
                <w:szCs w:val="24"/>
              </w:rPr>
              <w:t xml:space="preserve">, </w:t>
            </w:r>
            <w:r>
              <w:rPr>
                <w:rFonts w:ascii="Times New Roman" w:cs="Times New Roman" w:eastAsia="Times New Roman" w:hAnsi="Times New Roman"/>
                <w:i/>
                <w:iCs/>
                <w:color w:val="auto"/>
                <w:sz w:val="24"/>
                <w:szCs w:val="24"/>
              </w:rPr>
              <w:t>Cladosporium</w:t>
            </w:r>
            <w:r>
              <w:rPr>
                <w:rFonts w:ascii="Times New Roman" w:cs="Times New Roman" w:eastAsia="Times New Roman" w:hAnsi="Times New Roman"/>
                <w:color w:val="auto"/>
                <w:sz w:val="24"/>
                <w:szCs w:val="24"/>
              </w:rPr>
              <w:t xml:space="preserve"> spp</w:t>
            </w:r>
          </w:p>
        </w:tc>
      </w:tr>
    </w:tbl>
    <w:p>
      <w:pPr>
        <w:pStyle w:val="style0"/>
        <w:rPr>
          <w:rFonts w:ascii="Times New Roman" w:cs="Times New Roman" w:eastAsia="Times New Roman" w:hAnsi="Times New Roman"/>
          <w:sz w:val="28"/>
          <w:szCs w:val="28"/>
        </w:rPr>
      </w:pPr>
      <w:r>
        <w:rPr>
          <w:rFonts w:ascii="Times New Roman" w:cs="Times New Roman" w:eastAsia="Times New Roman" w:hAnsi="Times New Roman"/>
          <w:sz w:val="28"/>
          <w:szCs w:val="28"/>
        </w:rPr>
        <w:br w:type="page"/>
      </w:r>
    </w:p>
    <w:p>
      <w:pPr>
        <w:pStyle w:val="style0"/>
        <w:rPr>
          <w:rFonts w:ascii="Times New Roman" w:cs="Times New Roman" w:hAnsi="Times New Roman"/>
          <w:noProof/>
        </w:rPr>
      </w:pPr>
      <w:r>
        <w:rPr>
          <w:rFonts w:ascii="Times New Roman" w:cs="Times New Roman" w:eastAsia="Times New Roman" w:hAnsi="Times New Roman"/>
          <w:b/>
          <w:noProof/>
          <w:sz w:val="28"/>
          <w:szCs w:val="28"/>
        </w:rPr>
        <w:drawing>
          <wp:inline distL="0" distT="0" distB="0" distR="0">
            <wp:extent cx="2057400" cy="2736093"/>
            <wp:effectExtent l="0" t="0" r="0" b="7620"/>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 cstate="print"/>
                    <a:srcRect l="506" t="1521" r="1845" b="875"/>
                    <a:stretch/>
                  </pic:blipFill>
                  <pic:spPr>
                    <a:xfrm rot="0">
                      <a:off x="0" y="0"/>
                      <a:ext cx="2057400" cy="2736093"/>
                    </a:xfrm>
                    <a:prstGeom prst="rect"/>
                    <a:ln>
                      <a:noFill/>
                    </a:ln>
                  </pic:spPr>
                </pic:pic>
              </a:graphicData>
            </a:graphic>
          </wp:inline>
        </w:drawing>
      </w:r>
      <w:r>
        <w:rPr>
          <w:rFonts w:ascii="Times New Roman" w:cs="Times New Roman" w:hAnsi="Times New Roman"/>
          <w:noProof/>
        </w:rPr>
        <w:t xml:space="preserve"> </w:t>
      </w:r>
      <w:r>
        <w:rPr>
          <w:rFonts w:ascii="Times New Roman" w:cs="Times New Roman" w:eastAsia="Times New Roman" w:hAnsi="Times New Roman"/>
          <w:b/>
          <w:noProof/>
          <w:sz w:val="28"/>
          <w:szCs w:val="28"/>
        </w:rPr>
        <w:drawing>
          <wp:inline distL="0" distT="0" distB="0" distR="0">
            <wp:extent cx="2765420" cy="2755900"/>
            <wp:effectExtent l="0" t="0" r="0" b="6350"/>
            <wp:docPr id="1027"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4" cstate="print"/>
                    <a:srcRect l="0" t="0" r="0" b="0"/>
                    <a:stretch/>
                  </pic:blipFill>
                  <pic:spPr>
                    <a:xfrm rot="0">
                      <a:off x="0" y="0"/>
                      <a:ext cx="2765420" cy="2755900"/>
                    </a:xfrm>
                    <a:prstGeom prst="rect"/>
                  </pic:spPr>
                </pic:pic>
              </a:graphicData>
            </a:graphic>
          </wp:inline>
        </w:drawing>
      </w:r>
    </w:p>
    <w:p>
      <w:pPr>
        <w:pStyle w:val="style0"/>
        <w:rPr>
          <w:rFonts w:ascii="Times New Roman" w:cs="Times New Roman" w:eastAsia="Times New Roman" w:hAnsi="Times New Roman"/>
          <w:b/>
          <w:sz w:val="28"/>
          <w:szCs w:val="28"/>
        </w:rPr>
      </w:pPr>
      <w:r>
        <w:rPr>
          <w:rFonts w:ascii="Times New Roman" w:cs="Times New Roman" w:eastAsia="Times New Roman" w:hAnsi="Times New Roman"/>
          <w:b/>
          <w:noProof/>
          <w:sz w:val="28"/>
          <w:szCs w:val="28"/>
        </w:rPr>
        <w:drawing>
          <wp:inline distL="0" distT="0" distB="0" distR="0">
            <wp:extent cx="2033711" cy="1924050"/>
            <wp:effectExtent l="0" t="0" r="5080" b="0"/>
            <wp:docPr id="1028"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5" cstate="print"/>
                    <a:srcRect l="0" t="0" r="0" b="0"/>
                    <a:stretch/>
                  </pic:blipFill>
                  <pic:spPr>
                    <a:xfrm rot="0">
                      <a:off x="0" y="0"/>
                      <a:ext cx="2033711" cy="1924050"/>
                    </a:xfrm>
                    <a:prstGeom prst="rect"/>
                  </pic:spPr>
                </pic:pic>
              </a:graphicData>
            </a:graphic>
          </wp:inline>
        </w:drawing>
      </w:r>
    </w:p>
    <w:p>
      <w:pPr>
        <w:pStyle w:val="style0"/>
        <w:rPr>
          <w:rFonts w:ascii="Times New Roman" w:cs="Times New Roman" w:eastAsia="Times New Roman" w:hAnsi="Times New Roman"/>
          <w:b/>
          <w:sz w:val="28"/>
          <w:szCs w:val="28"/>
        </w:rPr>
      </w:pPr>
      <w:r>
        <w:rPr>
          <w:rFonts w:ascii="Times New Roman" w:cs="Times New Roman" w:eastAsia="Times New Roman" w:hAnsi="Times New Roman"/>
          <w:b/>
          <w:sz w:val="28"/>
          <w:szCs w:val="28"/>
        </w:rPr>
        <w:t>Fig1: View on culture media</w:t>
      </w:r>
      <w:r>
        <w:rPr>
          <w:rFonts w:ascii="Times New Roman" w:cs="Times New Roman" w:eastAsia="Times New Roman" w:hAnsi="Times New Roman"/>
          <w:b/>
          <w:sz w:val="28"/>
          <w:szCs w:val="28"/>
        </w:rPr>
        <w:br w:type="page"/>
      </w:r>
    </w:p>
    <w:bookmarkStart w:id="25" w:name="_Toc202974622"/>
    <w:p>
      <w:pPr>
        <w:pStyle w:val="style1"/>
        <w:jc w:val="center"/>
        <w:rPr>
          <w:rFonts w:ascii="Times New Roman" w:cs="Times New Roman" w:eastAsia="Times New Roman" w:hAnsi="Times New Roman"/>
          <w:b/>
          <w:color w:val="auto"/>
        </w:rPr>
      </w:pPr>
      <w:r>
        <w:rPr>
          <w:rFonts w:ascii="Times New Roman" w:cs="Times New Roman" w:eastAsia="Times New Roman" w:hAnsi="Times New Roman"/>
          <w:b/>
          <w:color w:val="auto"/>
        </w:rPr>
        <w:t>CHAPTER FOUR</w:t>
      </w:r>
      <w:bookmarkEnd w:id="25"/>
    </w:p>
    <w:bookmarkStart w:id="26" w:name="_Toc202974623"/>
    <w:p>
      <w:pPr>
        <w:pStyle w:val="style1"/>
        <w:rPr>
          <w:rFonts w:ascii="Times New Roman" w:cs="Times New Roman" w:eastAsia="Times New Roman" w:hAnsi="Times New Roman"/>
          <w:b/>
          <w:color w:val="auto"/>
        </w:rPr>
      </w:pPr>
      <w:r>
        <w:rPr>
          <w:rFonts w:ascii="Times New Roman" w:cs="Times New Roman" w:eastAsia="Times New Roman" w:hAnsi="Times New Roman"/>
          <w:b/>
          <w:color w:val="auto"/>
        </w:rPr>
        <w:t>4.0 DISCUSSION AND CONCLUSION</w:t>
      </w:r>
      <w:bookmarkEnd w:id="26"/>
    </w:p>
    <w:bookmarkStart w:id="27" w:name="_Toc202974624"/>
    <w:p>
      <w:pPr>
        <w:pStyle w:val="style1"/>
        <w:rPr>
          <w:rFonts w:ascii="Times New Roman" w:cs="Times New Roman" w:eastAsia="Times New Roman" w:hAnsi="Times New Roman"/>
          <w:b/>
          <w:color w:val="auto"/>
        </w:rPr>
      </w:pPr>
      <w:r>
        <w:rPr>
          <w:rFonts w:ascii="Times New Roman" w:cs="Times New Roman" w:eastAsia="Times New Roman" w:hAnsi="Times New Roman"/>
          <w:b/>
          <w:color w:val="auto"/>
        </w:rPr>
        <w:t>4.1 DISCUSSION</w:t>
      </w:r>
      <w:bookmarkEnd w:id="27"/>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w:t>
      </w:r>
      <w:r>
        <w:rPr>
          <w:rFonts w:ascii="Times New Roman" w:cs="Times New Roman" w:eastAsia="Times New Roman" w:hAnsi="Times New Roman"/>
          <w:bCs/>
          <w:sz w:val="28"/>
          <w:szCs w:val="28"/>
        </w:rPr>
        <w:t>physicochemical properties</w:t>
      </w:r>
      <w:r>
        <w:rPr>
          <w:rFonts w:ascii="Times New Roman" w:cs="Times New Roman" w:eastAsia="Times New Roman" w:hAnsi="Times New Roman"/>
          <w:sz w:val="28"/>
          <w:szCs w:val="28"/>
        </w:rPr>
        <w:t xml:space="preserve"> of the soil (Table 1) reveal that fertilizer treatments generally </w:t>
      </w:r>
      <w:r>
        <w:rPr>
          <w:rFonts w:ascii="Times New Roman" w:cs="Times New Roman" w:eastAsia="Times New Roman" w:hAnsi="Times New Roman"/>
          <w:bCs/>
          <w:sz w:val="28"/>
          <w:szCs w:val="28"/>
        </w:rPr>
        <w:t>lowered soil pH</w:t>
      </w:r>
      <w:r>
        <w:rPr>
          <w:rFonts w:ascii="Times New Roman" w:cs="Times New Roman" w:eastAsia="Times New Roman" w:hAnsi="Times New Roman"/>
          <w:sz w:val="28"/>
          <w:szCs w:val="28"/>
        </w:rPr>
        <w:t xml:space="preserve"> in most samples compared to the control, with the exception of the secondary school and western locations where control soils had higher pH values. This acidification, commonly observed with organic amendments, can significantly affect fungal growth and composition. Loamy soils (Roundabout, Agricultural Farm, Western) consistently had a more </w:t>
      </w:r>
      <w:r>
        <w:rPr>
          <w:rFonts w:ascii="Times New Roman" w:cs="Times New Roman" w:eastAsia="Times New Roman" w:hAnsi="Times New Roman"/>
          <w:bCs/>
          <w:sz w:val="28"/>
          <w:szCs w:val="28"/>
        </w:rPr>
        <w:t>favorable texture and nutrient status ("excellent" nature)</w:t>
      </w:r>
      <w:r>
        <w:rPr>
          <w:rFonts w:ascii="Times New Roman" w:cs="Times New Roman" w:eastAsia="Times New Roman" w:hAnsi="Times New Roman"/>
          <w:sz w:val="28"/>
          <w:szCs w:val="28"/>
        </w:rPr>
        <w:t xml:space="preserve"> than sandy soils (IFMS and Secondary School), which were classified as </w:t>
      </w:r>
      <w:r>
        <w:rPr>
          <w:rFonts w:ascii="Times New Roman" w:cs="Times New Roman" w:eastAsia="Times New Roman" w:hAnsi="Times New Roman"/>
          <w:bCs/>
          <w:sz w:val="28"/>
          <w:szCs w:val="28"/>
        </w:rPr>
        <w:t>low in fertility</w:t>
      </w:r>
      <w:r>
        <w:rPr>
          <w:rFonts w:ascii="Times New Roman" w:cs="Times New Roman" w:eastAsia="Times New Roman" w:hAnsi="Times New Roman"/>
          <w:sz w:val="28"/>
          <w:szCs w:val="28"/>
        </w:rPr>
        <w:t xml:space="preserve">. These variations influenced both the </w:t>
      </w:r>
      <w:r>
        <w:rPr>
          <w:rFonts w:ascii="Times New Roman" w:cs="Times New Roman" w:eastAsia="Times New Roman" w:hAnsi="Times New Roman"/>
          <w:bCs/>
          <w:sz w:val="28"/>
          <w:szCs w:val="28"/>
        </w:rPr>
        <w:t>fungal colony counts</w:t>
      </w:r>
      <w:r>
        <w:rPr>
          <w:rFonts w:ascii="Times New Roman" w:cs="Times New Roman" w:eastAsia="Times New Roman" w:hAnsi="Times New Roman"/>
          <w:sz w:val="28"/>
          <w:szCs w:val="28"/>
        </w:rPr>
        <w:t xml:space="preserve"> and the </w:t>
      </w:r>
      <w:r>
        <w:rPr>
          <w:rFonts w:ascii="Times New Roman" w:cs="Times New Roman" w:eastAsia="Times New Roman" w:hAnsi="Times New Roman"/>
          <w:bCs/>
          <w:sz w:val="28"/>
          <w:szCs w:val="28"/>
        </w:rPr>
        <w:t>dominant fungal types</w:t>
      </w:r>
      <w:r>
        <w:rPr>
          <w:rFonts w:ascii="Times New Roman" w:cs="Times New Roman" w:eastAsia="Times New Roman" w:hAnsi="Times New Roman"/>
          <w:sz w:val="28"/>
          <w:szCs w:val="28"/>
        </w:rPr>
        <w:t xml:space="preserve"> observed in each sample.</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From </w:t>
      </w:r>
      <w:r>
        <w:rPr>
          <w:rFonts w:ascii="Times New Roman" w:cs="Times New Roman" w:eastAsia="Times New Roman" w:hAnsi="Times New Roman"/>
          <w:bCs/>
          <w:sz w:val="28"/>
          <w:szCs w:val="28"/>
        </w:rPr>
        <w:t>Table 2</w:t>
      </w:r>
      <w:r>
        <w:rPr>
          <w:rFonts w:ascii="Times New Roman" w:cs="Times New Roman" w:eastAsia="Times New Roman" w:hAnsi="Times New Roman"/>
          <w:sz w:val="28"/>
          <w:szCs w:val="28"/>
        </w:rPr>
        <w:t xml:space="preserve">, it is evident that </w:t>
      </w:r>
      <w:r>
        <w:rPr>
          <w:rFonts w:ascii="Times New Roman" w:cs="Times New Roman" w:eastAsia="Times New Roman" w:hAnsi="Times New Roman"/>
          <w:bCs/>
          <w:sz w:val="28"/>
          <w:szCs w:val="28"/>
        </w:rPr>
        <w:t>fungal colony counts were significantly higher in fertilized soils</w:t>
      </w:r>
      <w:r>
        <w:rPr>
          <w:rFonts w:ascii="Times New Roman" w:cs="Times New Roman" w:eastAsia="Times New Roman" w:hAnsi="Times New Roman"/>
          <w:sz w:val="28"/>
          <w:szCs w:val="28"/>
        </w:rPr>
        <w:t xml:space="preserve"> compared to non-fertilized soils. For example, the </w:t>
      </w:r>
      <w:r>
        <w:rPr>
          <w:rFonts w:ascii="Times New Roman" w:cs="Times New Roman" w:eastAsia="Times New Roman" w:hAnsi="Times New Roman"/>
          <w:bCs/>
          <w:sz w:val="28"/>
          <w:szCs w:val="28"/>
        </w:rPr>
        <w:t>Roundabout soil</w:t>
      </w:r>
      <w:r>
        <w:rPr>
          <w:rFonts w:ascii="Times New Roman" w:cs="Times New Roman" w:eastAsia="Times New Roman" w:hAnsi="Times New Roman"/>
          <w:sz w:val="28"/>
          <w:szCs w:val="28"/>
        </w:rPr>
        <w:t xml:space="preserve">, amended with floral organic manure, recorded the highest fungal count (45 and 15 colonies) under fertilized conditions, compared to </w:t>
      </w:r>
      <w:r>
        <w:rPr>
          <w:rFonts w:ascii="Times New Roman" w:cs="Times New Roman" w:eastAsia="Times New Roman" w:hAnsi="Times New Roman"/>
          <w:sz w:val="28"/>
          <w:szCs w:val="28"/>
        </w:rPr>
        <w:t xml:space="preserve">only 8 and 5 colonies in its untreated counterpart. This supports the findings of </w:t>
      </w:r>
      <w:r>
        <w:rPr>
          <w:rFonts w:ascii="Times New Roman" w:cs="Times New Roman" w:eastAsia="Times New Roman" w:hAnsi="Times New Roman"/>
          <w:bCs/>
          <w:sz w:val="28"/>
          <w:szCs w:val="28"/>
        </w:rPr>
        <w:t xml:space="preserve">Wu </w:t>
      </w:r>
      <w:r>
        <w:rPr>
          <w:rFonts w:ascii="Times New Roman" w:cs="Times New Roman" w:eastAsia="Times New Roman" w:hAnsi="Times New Roman"/>
          <w:bCs/>
          <w:i/>
          <w:sz w:val="28"/>
          <w:szCs w:val="28"/>
        </w:rPr>
        <w:t>et al</w:t>
      </w:r>
      <w:r>
        <w:rPr>
          <w:rFonts w:ascii="Times New Roman" w:cs="Times New Roman" w:eastAsia="Times New Roman" w:hAnsi="Times New Roman"/>
          <w:bCs/>
          <w:sz w:val="28"/>
          <w:szCs w:val="28"/>
        </w:rPr>
        <w:t>. (2021)</w:t>
      </w:r>
      <w:r>
        <w:rPr>
          <w:rFonts w:ascii="Times New Roman" w:cs="Times New Roman" w:eastAsia="Times New Roman" w:hAnsi="Times New Roman"/>
          <w:sz w:val="28"/>
          <w:szCs w:val="28"/>
        </w:rPr>
        <w:t>, who reported that organic amendments enhance microbial biomass and respiration due to increased carbon and nutrient availability.</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Furthermore, </w:t>
      </w:r>
      <w:r>
        <w:rPr>
          <w:rFonts w:ascii="Times New Roman" w:cs="Times New Roman" w:eastAsia="Times New Roman" w:hAnsi="Times New Roman"/>
          <w:bCs/>
          <w:sz w:val="28"/>
          <w:szCs w:val="28"/>
        </w:rPr>
        <w:t xml:space="preserve">Chaudhary </w:t>
      </w:r>
      <w:r>
        <w:rPr>
          <w:rFonts w:ascii="Times New Roman" w:cs="Times New Roman" w:eastAsia="Times New Roman" w:hAnsi="Times New Roman"/>
          <w:bCs/>
          <w:i/>
          <w:sz w:val="28"/>
          <w:szCs w:val="28"/>
        </w:rPr>
        <w:t>et al</w:t>
      </w:r>
      <w:r>
        <w:rPr>
          <w:rFonts w:ascii="Times New Roman" w:cs="Times New Roman" w:eastAsia="Times New Roman" w:hAnsi="Times New Roman"/>
          <w:bCs/>
          <w:sz w:val="28"/>
          <w:szCs w:val="28"/>
        </w:rPr>
        <w:t>. (2023)</w:t>
      </w:r>
      <w:r>
        <w:rPr>
          <w:rFonts w:ascii="Times New Roman" w:cs="Times New Roman" w:eastAsia="Times New Roman" w:hAnsi="Times New Roman"/>
          <w:sz w:val="28"/>
          <w:szCs w:val="28"/>
        </w:rPr>
        <w:t xml:space="preserve"> highlighted that organic inputs promote fungal community shifts, particularly enhancing saprophytic and mycorrhizal populations. This is reflected in </w:t>
      </w:r>
      <w:r>
        <w:rPr>
          <w:rFonts w:ascii="Times New Roman" w:cs="Times New Roman" w:eastAsia="Times New Roman" w:hAnsi="Times New Roman"/>
          <w:bCs/>
          <w:sz w:val="28"/>
          <w:szCs w:val="28"/>
        </w:rPr>
        <w:t>Table 3</w:t>
      </w:r>
      <w:r>
        <w:rPr>
          <w:rFonts w:ascii="Times New Roman" w:cs="Times New Roman" w:eastAsia="Times New Roman" w:hAnsi="Times New Roman"/>
          <w:sz w:val="28"/>
          <w:szCs w:val="28"/>
        </w:rPr>
        <w:t xml:space="preserve">, where fertilized soils showed dominant genera such as </w:t>
      </w:r>
      <w:r>
        <w:rPr>
          <w:rFonts w:ascii="Times New Roman" w:cs="Times New Roman" w:eastAsia="Times New Roman" w:hAnsi="Times New Roman"/>
          <w:i/>
          <w:iCs/>
          <w:sz w:val="28"/>
          <w:szCs w:val="28"/>
        </w:rPr>
        <w:t>Aspergillus</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Rhizopus</w:t>
      </w:r>
      <w:r>
        <w:rPr>
          <w:rFonts w:ascii="Times New Roman" w:cs="Times New Roman" w:eastAsia="Times New Roman" w:hAnsi="Times New Roman"/>
          <w:sz w:val="28"/>
          <w:szCs w:val="28"/>
        </w:rPr>
        <w:t xml:space="preserve">, and </w:t>
      </w:r>
      <w:r>
        <w:rPr>
          <w:rFonts w:ascii="Times New Roman" w:cs="Times New Roman" w:eastAsia="Times New Roman" w:hAnsi="Times New Roman"/>
          <w:i/>
          <w:iCs/>
          <w:sz w:val="28"/>
          <w:szCs w:val="28"/>
        </w:rPr>
        <w:t>Mucor</w:t>
      </w:r>
      <w:r>
        <w:rPr>
          <w:rFonts w:ascii="Times New Roman" w:cs="Times New Roman" w:eastAsia="Times New Roman" w:hAnsi="Times New Roman"/>
          <w:sz w:val="28"/>
          <w:szCs w:val="28"/>
        </w:rPr>
        <w:t xml:space="preserve">, all of which are saprophytic fungi known for their roles in </w:t>
      </w:r>
      <w:r>
        <w:rPr>
          <w:rFonts w:ascii="Times New Roman" w:cs="Times New Roman" w:eastAsia="Times New Roman" w:hAnsi="Times New Roman"/>
          <w:bCs/>
          <w:sz w:val="28"/>
          <w:szCs w:val="28"/>
        </w:rPr>
        <w:t>decomposition and nutrient cycling</w:t>
      </w:r>
      <w:r>
        <w:rPr>
          <w:rFonts w:ascii="Times New Roman" w:cs="Times New Roman" w:eastAsia="Times New Roman" w:hAnsi="Times New Roman"/>
          <w:sz w:val="28"/>
          <w:szCs w:val="28"/>
        </w:rPr>
        <w:t xml:space="preserve">. Their macroscopic features—such as fluffy, powdery, cottony textures—along with microscopic structures like </w:t>
      </w:r>
      <w:r>
        <w:rPr>
          <w:rFonts w:ascii="Times New Roman" w:cs="Times New Roman" w:eastAsia="Times New Roman" w:hAnsi="Times New Roman"/>
          <w:bCs/>
          <w:sz w:val="28"/>
          <w:szCs w:val="28"/>
        </w:rPr>
        <w:t>aseptate hyphae, sporangia, and conidial heads</w:t>
      </w:r>
      <w:r>
        <w:rPr>
          <w:rFonts w:ascii="Times New Roman" w:cs="Times New Roman" w:eastAsia="Times New Roman" w:hAnsi="Times New Roman"/>
          <w:sz w:val="28"/>
          <w:szCs w:val="28"/>
        </w:rPr>
        <w:t>, affirm their identity and adaptability to organic-rich environments.</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In contrast, </w:t>
      </w:r>
      <w:r>
        <w:rPr>
          <w:rFonts w:ascii="Times New Roman" w:cs="Times New Roman" w:eastAsia="Times New Roman" w:hAnsi="Times New Roman"/>
          <w:bCs/>
          <w:sz w:val="28"/>
          <w:szCs w:val="28"/>
        </w:rPr>
        <w:t>Table 4</w:t>
      </w:r>
      <w:r>
        <w:rPr>
          <w:rFonts w:ascii="Times New Roman" w:cs="Times New Roman" w:eastAsia="Times New Roman" w:hAnsi="Times New Roman"/>
          <w:sz w:val="28"/>
          <w:szCs w:val="28"/>
        </w:rPr>
        <w:t xml:space="preserve"> shows that non-fertilized soils, though supporting fungal life, had lower diversity and counts. For example, the </w:t>
      </w:r>
      <w:r>
        <w:rPr>
          <w:rFonts w:ascii="Times New Roman" w:cs="Times New Roman" w:eastAsia="Times New Roman" w:hAnsi="Times New Roman"/>
          <w:bCs/>
          <w:sz w:val="28"/>
          <w:szCs w:val="28"/>
        </w:rPr>
        <w:t>Secondary School site</w:t>
      </w:r>
      <w:r>
        <w:rPr>
          <w:rFonts w:ascii="Times New Roman" w:cs="Times New Roman" w:eastAsia="Times New Roman" w:hAnsi="Times New Roman"/>
          <w:sz w:val="28"/>
          <w:szCs w:val="28"/>
        </w:rPr>
        <w:t xml:space="preserve"> had only </w:t>
      </w:r>
      <w:r>
        <w:rPr>
          <w:rFonts w:ascii="Times New Roman" w:cs="Times New Roman" w:eastAsia="Times New Roman" w:hAnsi="Times New Roman"/>
          <w:i/>
          <w:iCs/>
          <w:sz w:val="28"/>
          <w:szCs w:val="28"/>
        </w:rPr>
        <w:t>Rhizopus</w:t>
      </w:r>
      <w:r>
        <w:rPr>
          <w:rFonts w:ascii="Times New Roman" w:cs="Times New Roman" w:eastAsia="Times New Roman" w:hAnsi="Times New Roman"/>
          <w:sz w:val="28"/>
          <w:szCs w:val="28"/>
        </w:rPr>
        <w:t xml:space="preserve"> and </w:t>
      </w:r>
      <w:r>
        <w:rPr>
          <w:rFonts w:ascii="Times New Roman" w:cs="Times New Roman" w:eastAsia="Times New Roman" w:hAnsi="Times New Roman"/>
          <w:i/>
          <w:iCs/>
          <w:sz w:val="28"/>
          <w:szCs w:val="28"/>
        </w:rPr>
        <w:t>Penicillium</w:t>
      </w:r>
      <w:r>
        <w:rPr>
          <w:rFonts w:ascii="Times New Roman" w:cs="Times New Roman" w:eastAsia="Times New Roman" w:hAnsi="Times New Roman"/>
          <w:sz w:val="28"/>
          <w:szCs w:val="28"/>
        </w:rPr>
        <w:t xml:space="preserve">, both of which are capable of surviving in </w:t>
      </w:r>
      <w:r>
        <w:rPr>
          <w:rFonts w:ascii="Times New Roman" w:cs="Times New Roman" w:eastAsia="Times New Roman" w:hAnsi="Times New Roman"/>
          <w:bCs/>
          <w:sz w:val="28"/>
          <w:szCs w:val="28"/>
        </w:rPr>
        <w:t>nutrient-limited</w:t>
      </w:r>
      <w:r>
        <w:rPr>
          <w:rFonts w:ascii="Times New Roman" w:cs="Times New Roman" w:eastAsia="Times New Roman" w:hAnsi="Times New Roman"/>
          <w:sz w:val="28"/>
          <w:szCs w:val="28"/>
        </w:rPr>
        <w:t xml:space="preserve"> conditions due to their spore-forming capacity and ecological </w:t>
      </w:r>
      <w:r>
        <w:rPr>
          <w:rFonts w:ascii="Times New Roman" w:cs="Times New Roman" w:eastAsia="Times New Roman" w:hAnsi="Times New Roman"/>
          <w:sz w:val="28"/>
          <w:szCs w:val="28"/>
        </w:rPr>
        <w:t xml:space="preserve">flexibility. This observation aligns with </w:t>
      </w:r>
      <w:r>
        <w:rPr>
          <w:rFonts w:ascii="Times New Roman" w:cs="Times New Roman" w:eastAsia="Times New Roman" w:hAnsi="Times New Roman"/>
          <w:bCs/>
          <w:sz w:val="28"/>
          <w:szCs w:val="28"/>
        </w:rPr>
        <w:t>Kavamura and Esposito (2020)</w:t>
      </w:r>
      <w:r>
        <w:rPr>
          <w:rFonts w:ascii="Times New Roman" w:cs="Times New Roman" w:eastAsia="Times New Roman" w:hAnsi="Times New Roman"/>
          <w:sz w:val="28"/>
          <w:szCs w:val="28"/>
        </w:rPr>
        <w:t xml:space="preserve">, who noted the resilience of fungi like </w:t>
      </w:r>
      <w:r>
        <w:rPr>
          <w:rFonts w:ascii="Times New Roman" w:cs="Times New Roman" w:eastAsia="Times New Roman" w:hAnsi="Times New Roman"/>
          <w:i/>
          <w:iCs/>
          <w:sz w:val="28"/>
          <w:szCs w:val="28"/>
        </w:rPr>
        <w:t>Penicillium</w:t>
      </w:r>
      <w:r>
        <w:rPr>
          <w:rFonts w:ascii="Times New Roman" w:cs="Times New Roman" w:eastAsia="Times New Roman" w:hAnsi="Times New Roman"/>
          <w:sz w:val="28"/>
          <w:szCs w:val="28"/>
        </w:rPr>
        <w:t xml:space="preserve"> in low-nutrient soils.</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Interestingly, the </w:t>
      </w:r>
      <w:r>
        <w:rPr>
          <w:rFonts w:ascii="Times New Roman" w:cs="Times New Roman" w:eastAsia="Times New Roman" w:hAnsi="Times New Roman"/>
          <w:bCs/>
          <w:sz w:val="28"/>
          <w:szCs w:val="28"/>
        </w:rPr>
        <w:t xml:space="preserve">presence of mycotrophic fungi like </w:t>
      </w:r>
      <w:r>
        <w:rPr>
          <w:rFonts w:ascii="Times New Roman" w:cs="Times New Roman" w:eastAsia="Times New Roman" w:hAnsi="Times New Roman"/>
          <w:bCs/>
          <w:i/>
          <w:iCs/>
          <w:sz w:val="28"/>
          <w:szCs w:val="28"/>
        </w:rPr>
        <w:t>Cladosporium</w:t>
      </w:r>
      <w:r>
        <w:rPr>
          <w:rFonts w:ascii="Times New Roman" w:cs="Times New Roman" w:eastAsia="Times New Roman" w:hAnsi="Times New Roman"/>
          <w:bCs/>
          <w:sz w:val="28"/>
          <w:szCs w:val="28"/>
        </w:rPr>
        <w:t xml:space="preserve"> and </w:t>
      </w:r>
      <w:r>
        <w:rPr>
          <w:rFonts w:ascii="Times New Roman" w:cs="Times New Roman" w:eastAsia="Times New Roman" w:hAnsi="Times New Roman"/>
          <w:bCs/>
          <w:i/>
          <w:iCs/>
          <w:sz w:val="28"/>
          <w:szCs w:val="28"/>
        </w:rPr>
        <w:t>Fusarium</w:t>
      </w:r>
      <w:r>
        <w:rPr>
          <w:rFonts w:ascii="Times New Roman" w:cs="Times New Roman" w:eastAsia="Times New Roman" w:hAnsi="Times New Roman"/>
          <w:bCs/>
          <w:sz w:val="28"/>
          <w:szCs w:val="28"/>
        </w:rPr>
        <w:t xml:space="preserve"> spp</w:t>
      </w:r>
      <w:r>
        <w:rPr>
          <w:rFonts w:ascii="Times New Roman" w:cs="Times New Roman" w:eastAsia="Times New Roman" w:hAnsi="Times New Roman"/>
          <w:sz w:val="28"/>
          <w:szCs w:val="28"/>
        </w:rPr>
        <w:t xml:space="preserve"> in the non-fertilized IFMS and Roundabout soils (Table 5) suggests that </w:t>
      </w:r>
      <w:r>
        <w:rPr>
          <w:rFonts w:ascii="Times New Roman" w:cs="Times New Roman" w:eastAsia="Times New Roman" w:hAnsi="Times New Roman"/>
          <w:bCs/>
          <w:sz w:val="28"/>
          <w:szCs w:val="28"/>
        </w:rPr>
        <w:t>natural fungal communities adapt by supporting plant-associated or antagonistic fungi</w:t>
      </w:r>
      <w:r>
        <w:rPr>
          <w:rFonts w:ascii="Times New Roman" w:cs="Times New Roman" w:eastAsia="Times New Roman" w:hAnsi="Times New Roman"/>
          <w:sz w:val="28"/>
          <w:szCs w:val="28"/>
        </w:rPr>
        <w:t xml:space="preserve"> in the absence of fertilizer input. The occurrence of </w:t>
      </w:r>
      <w:r>
        <w:rPr>
          <w:rFonts w:ascii="Times New Roman" w:cs="Times New Roman" w:eastAsia="Times New Roman" w:hAnsi="Times New Roman"/>
          <w:i/>
          <w:iCs/>
          <w:sz w:val="28"/>
          <w:szCs w:val="28"/>
        </w:rPr>
        <w:t>Fusarium</w:t>
      </w:r>
      <w:r>
        <w:rPr>
          <w:rFonts w:ascii="Times New Roman" w:cs="Times New Roman" w:eastAsia="Times New Roman" w:hAnsi="Times New Roman"/>
          <w:sz w:val="28"/>
          <w:szCs w:val="28"/>
        </w:rPr>
        <w:t xml:space="preserve"> and </w:t>
      </w:r>
      <w:r>
        <w:rPr>
          <w:rFonts w:ascii="Times New Roman" w:cs="Times New Roman" w:eastAsia="Times New Roman" w:hAnsi="Times New Roman"/>
          <w:i/>
          <w:iCs/>
          <w:sz w:val="28"/>
          <w:szCs w:val="28"/>
        </w:rPr>
        <w:t>Trichoderma</w:t>
      </w:r>
      <w:r>
        <w:rPr>
          <w:rFonts w:ascii="Times New Roman" w:cs="Times New Roman" w:eastAsia="Times New Roman" w:hAnsi="Times New Roman"/>
          <w:sz w:val="28"/>
          <w:szCs w:val="28"/>
        </w:rPr>
        <w:t xml:space="preserve">, known for their roles in </w:t>
      </w:r>
      <w:r>
        <w:rPr>
          <w:rFonts w:ascii="Times New Roman" w:cs="Times New Roman" w:eastAsia="Times New Roman" w:hAnsi="Times New Roman"/>
          <w:bCs/>
          <w:sz w:val="28"/>
          <w:szCs w:val="28"/>
        </w:rPr>
        <w:t>pathogen suppression and plant growth promotion</w:t>
      </w:r>
      <w:r>
        <w:rPr>
          <w:rFonts w:ascii="Times New Roman" w:cs="Times New Roman" w:eastAsia="Times New Roman" w:hAnsi="Times New Roman"/>
          <w:sz w:val="28"/>
          <w:szCs w:val="28"/>
        </w:rPr>
        <w:t xml:space="preserve">, also aligns with </w:t>
      </w:r>
      <w:r>
        <w:rPr>
          <w:rFonts w:ascii="Times New Roman" w:cs="Times New Roman" w:eastAsia="Times New Roman" w:hAnsi="Times New Roman"/>
          <w:bCs/>
          <w:sz w:val="28"/>
          <w:szCs w:val="28"/>
        </w:rPr>
        <w:t>Smith and Read (2008)</w:t>
      </w:r>
      <w:r>
        <w:rPr>
          <w:rFonts w:ascii="Times New Roman" w:cs="Times New Roman" w:eastAsia="Times New Roman" w:hAnsi="Times New Roman"/>
          <w:sz w:val="28"/>
          <w:szCs w:val="28"/>
        </w:rPr>
        <w:t>, who emphasized the ecological role of such fungi in undisturbed soils.</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dominance of </w:t>
      </w:r>
      <w:r>
        <w:rPr>
          <w:rFonts w:ascii="Times New Roman" w:cs="Times New Roman" w:eastAsia="Times New Roman" w:hAnsi="Times New Roman"/>
          <w:i/>
          <w:iCs/>
          <w:sz w:val="28"/>
          <w:szCs w:val="28"/>
        </w:rPr>
        <w:t>Aspergillus niger</w:t>
      </w:r>
      <w:r>
        <w:rPr>
          <w:rFonts w:ascii="Times New Roman" w:cs="Times New Roman" w:eastAsia="Times New Roman" w:hAnsi="Times New Roman"/>
          <w:sz w:val="28"/>
          <w:szCs w:val="28"/>
        </w:rPr>
        <w:t xml:space="preserve"> in fertilized Roundabout soils (Table 4) and its corresponding high colony count underscores the species’ affinity for nutrient-rich environments and fast colonization. As supported by </w:t>
      </w:r>
      <w:r>
        <w:rPr>
          <w:rFonts w:ascii="Times New Roman" w:cs="Times New Roman" w:eastAsia="Times New Roman" w:hAnsi="Times New Roman"/>
          <w:bCs/>
          <w:sz w:val="28"/>
          <w:szCs w:val="28"/>
        </w:rPr>
        <w:t xml:space="preserve">Banerjee </w:t>
      </w:r>
      <w:r>
        <w:rPr>
          <w:rFonts w:ascii="Times New Roman" w:cs="Times New Roman" w:eastAsia="Times New Roman" w:hAnsi="Times New Roman"/>
          <w:bCs/>
          <w:i/>
          <w:sz w:val="28"/>
          <w:szCs w:val="28"/>
        </w:rPr>
        <w:t>et al</w:t>
      </w:r>
      <w:r>
        <w:rPr>
          <w:rFonts w:ascii="Times New Roman" w:cs="Times New Roman" w:eastAsia="Times New Roman" w:hAnsi="Times New Roman"/>
          <w:bCs/>
          <w:sz w:val="28"/>
          <w:szCs w:val="28"/>
        </w:rPr>
        <w:t>. (2020)</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Aspergillus</w:t>
      </w:r>
      <w:r>
        <w:rPr>
          <w:rFonts w:ascii="Times New Roman" w:cs="Times New Roman" w:eastAsia="Times New Roman" w:hAnsi="Times New Roman"/>
          <w:sz w:val="28"/>
          <w:szCs w:val="28"/>
        </w:rPr>
        <w:t xml:space="preserve"> and </w:t>
      </w:r>
      <w:r>
        <w:rPr>
          <w:rFonts w:ascii="Times New Roman" w:cs="Times New Roman" w:eastAsia="Times New Roman" w:hAnsi="Times New Roman"/>
          <w:i/>
          <w:iCs/>
          <w:sz w:val="28"/>
          <w:szCs w:val="28"/>
        </w:rPr>
        <w:t>Penicillium</w:t>
      </w:r>
      <w:r>
        <w:rPr>
          <w:rFonts w:ascii="Times New Roman" w:cs="Times New Roman" w:eastAsia="Times New Roman" w:hAnsi="Times New Roman"/>
          <w:sz w:val="28"/>
          <w:szCs w:val="28"/>
        </w:rPr>
        <w:t xml:space="preserve"> thrive in soils rich in lignocellulose and organic inputs, producing secondary metabolites that influence soil health and microbial competition.</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Overall, these results support the assertion that </w:t>
      </w:r>
      <w:r>
        <w:rPr>
          <w:rFonts w:ascii="Times New Roman" w:cs="Times New Roman" w:eastAsia="Times New Roman" w:hAnsi="Times New Roman"/>
          <w:bCs/>
          <w:sz w:val="28"/>
          <w:szCs w:val="28"/>
        </w:rPr>
        <w:t>organic amendments modify the structure and function of the soil mycobiome</w:t>
      </w:r>
      <w:r>
        <w:rPr>
          <w:rFonts w:ascii="Times New Roman" w:cs="Times New Roman" w:eastAsia="Times New Roman" w:hAnsi="Times New Roman"/>
          <w:sz w:val="28"/>
          <w:szCs w:val="28"/>
        </w:rPr>
        <w:t xml:space="preserve">, with </w:t>
      </w:r>
      <w:r>
        <w:rPr>
          <w:rFonts w:ascii="Times New Roman" w:cs="Times New Roman" w:eastAsia="Times New Roman" w:hAnsi="Times New Roman"/>
          <w:bCs/>
          <w:sz w:val="28"/>
          <w:szCs w:val="28"/>
        </w:rPr>
        <w:t xml:space="preserve">fertilized soils showing </w:t>
      </w:r>
      <w:r>
        <w:rPr>
          <w:rFonts w:ascii="Times New Roman" w:cs="Times New Roman" w:eastAsia="Times New Roman" w:hAnsi="Times New Roman"/>
          <w:bCs/>
          <w:sz w:val="28"/>
          <w:szCs w:val="28"/>
        </w:rPr>
        <w:t>higher colony counts, greater fungal diversity, and dominance of fast-growing saprophytes</w:t>
      </w:r>
      <w:r>
        <w:rPr>
          <w:rFonts w:ascii="Times New Roman" w:cs="Times New Roman" w:eastAsia="Times New Roman" w:hAnsi="Times New Roman"/>
          <w:sz w:val="28"/>
          <w:szCs w:val="28"/>
        </w:rPr>
        <w:t xml:space="preserve">, while non-fertilized soils favor fungi that are </w:t>
      </w:r>
      <w:r>
        <w:rPr>
          <w:rFonts w:ascii="Times New Roman" w:cs="Times New Roman" w:eastAsia="Times New Roman" w:hAnsi="Times New Roman"/>
          <w:bCs/>
          <w:sz w:val="28"/>
          <w:szCs w:val="28"/>
        </w:rPr>
        <w:t>adapted to low nutrient availability</w:t>
      </w:r>
      <w:r>
        <w:rPr>
          <w:rFonts w:ascii="Times New Roman" w:cs="Times New Roman" w:eastAsia="Times New Roman" w:hAnsi="Times New Roman"/>
          <w:sz w:val="28"/>
          <w:szCs w:val="28"/>
        </w:rPr>
        <w:t xml:space="preserve"> and may play a role in natural resilience and soil balance. The findings affirm the view that </w:t>
      </w:r>
      <w:r>
        <w:rPr>
          <w:rFonts w:ascii="Times New Roman" w:cs="Times New Roman" w:eastAsia="Times New Roman" w:hAnsi="Times New Roman"/>
          <w:bCs/>
          <w:sz w:val="28"/>
          <w:szCs w:val="28"/>
        </w:rPr>
        <w:t>organic fertilization not only improves soil fertility but also shapes microbial dynamics</w:t>
      </w:r>
      <w:r>
        <w:rPr>
          <w:rFonts w:ascii="Times New Roman" w:cs="Times New Roman" w:eastAsia="Times New Roman" w:hAnsi="Times New Roman"/>
          <w:sz w:val="28"/>
          <w:szCs w:val="28"/>
        </w:rPr>
        <w:t>, as highlighted in literature.</w:t>
      </w:r>
    </w:p>
    <w:bookmarkStart w:id="28" w:name="_Toc202974625"/>
    <w:p>
      <w:pPr>
        <w:pStyle w:val="style1"/>
        <w:rPr>
          <w:rFonts w:ascii="Times New Roman" w:cs="Times New Roman" w:eastAsia="Times New Roman" w:hAnsi="Times New Roman"/>
          <w:b/>
          <w:color w:val="auto"/>
        </w:rPr>
      </w:pPr>
      <w:r>
        <w:rPr>
          <w:rFonts w:ascii="Times New Roman" w:cs="Times New Roman" w:eastAsia="Times New Roman" w:hAnsi="Times New Roman"/>
          <w:b/>
          <w:color w:val="auto"/>
        </w:rPr>
        <w:t xml:space="preserve">4.2 </w:t>
      </w:r>
      <w:r>
        <w:rPr>
          <w:rFonts w:ascii="Times New Roman" w:cs="Times New Roman" w:eastAsia="Times New Roman" w:hAnsi="Times New Roman"/>
          <w:b/>
          <w:color w:val="auto"/>
        </w:rPr>
        <w:t>CONCLUSION</w:t>
      </w:r>
      <w:bookmarkEnd w:id="28"/>
    </w:p>
    <w:p>
      <w:pPr>
        <w:pStyle w:val="style94"/>
        <w:spacing w:lineRule="auto" w:line="480"/>
        <w:jc w:val="both"/>
        <w:rPr>
          <w:sz w:val="28"/>
          <w:szCs w:val="28"/>
        </w:rPr>
      </w:pPr>
      <w:r>
        <w:rPr>
          <w:sz w:val="28"/>
          <w:szCs w:val="28"/>
        </w:rPr>
        <w:t xml:space="preserve">The study clearly demonstrates that the application of organic amendments significantly influences the physicochemical properties of soil, particularly pH and fertility status, which in turn affect fungal abundance and diversity. Fertilized soils exhibited a higher colony count and a broader range of saprophytic fungi such as </w:t>
      </w:r>
      <w:r>
        <w:rPr>
          <w:i/>
          <w:iCs/>
          <w:sz w:val="28"/>
          <w:szCs w:val="28"/>
        </w:rPr>
        <w:t>Aspergillus</w:t>
      </w:r>
      <w:r>
        <w:rPr>
          <w:sz w:val="28"/>
          <w:szCs w:val="28"/>
        </w:rPr>
        <w:t xml:space="preserve">, </w:t>
      </w:r>
      <w:r>
        <w:rPr>
          <w:i/>
          <w:iCs/>
          <w:sz w:val="28"/>
          <w:szCs w:val="28"/>
        </w:rPr>
        <w:t>Rhizopus</w:t>
      </w:r>
      <w:r>
        <w:rPr>
          <w:sz w:val="28"/>
          <w:szCs w:val="28"/>
        </w:rPr>
        <w:t xml:space="preserve">, </w:t>
      </w:r>
      <w:r>
        <w:rPr>
          <w:i/>
          <w:iCs/>
          <w:sz w:val="28"/>
          <w:szCs w:val="28"/>
        </w:rPr>
        <w:t>Mucor</w:t>
      </w:r>
      <w:r>
        <w:rPr>
          <w:sz w:val="28"/>
          <w:szCs w:val="28"/>
        </w:rPr>
        <w:t xml:space="preserve">, and </w:t>
      </w:r>
      <w:r>
        <w:rPr>
          <w:i/>
          <w:iCs/>
          <w:sz w:val="28"/>
          <w:szCs w:val="28"/>
        </w:rPr>
        <w:t>Penicillium</w:t>
      </w:r>
      <w:r>
        <w:rPr>
          <w:sz w:val="28"/>
          <w:szCs w:val="28"/>
        </w:rPr>
        <w:t xml:space="preserve">, all of which are vital for organic matter decomposition and nutrient cycling. Conversely, non-fertilized soils, though lower in fungal load, supported ecologically resilient species like </w:t>
      </w:r>
      <w:r>
        <w:rPr>
          <w:i/>
          <w:iCs/>
          <w:sz w:val="28"/>
          <w:szCs w:val="28"/>
        </w:rPr>
        <w:t>Trichoderma</w:t>
      </w:r>
      <w:r>
        <w:rPr>
          <w:sz w:val="28"/>
          <w:szCs w:val="28"/>
        </w:rPr>
        <w:t xml:space="preserve"> and </w:t>
      </w:r>
      <w:r>
        <w:rPr>
          <w:i/>
          <w:iCs/>
          <w:sz w:val="28"/>
          <w:szCs w:val="28"/>
        </w:rPr>
        <w:t>Glomus</w:t>
      </w:r>
      <w:r>
        <w:rPr>
          <w:sz w:val="28"/>
          <w:szCs w:val="28"/>
        </w:rPr>
        <w:t>, which play crucial roles in natural soil ecosystems.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br w:type="page"/>
      </w:r>
    </w:p>
    <w:bookmarkStart w:id="29" w:name="_Toc202974626"/>
    <w:p>
      <w:pPr>
        <w:pStyle w:val="style1"/>
        <w:jc w:val="center"/>
        <w:rPr>
          <w:rFonts w:ascii="Times New Roman" w:cs="Times New Roman" w:hAnsi="Times New Roman"/>
          <w:b/>
          <w:color w:val="auto"/>
        </w:rPr>
      </w:pPr>
      <w:r>
        <w:rPr>
          <w:rFonts w:ascii="Times New Roman" w:cs="Times New Roman" w:hAnsi="Times New Roman"/>
          <w:b/>
          <w:color w:val="auto"/>
        </w:rPr>
        <w:t>REFERENCES</w:t>
      </w:r>
      <w:bookmarkEnd w:id="29"/>
    </w:p>
    <w:p>
      <w:pPr>
        <w:pStyle w:val="style94"/>
        <w:spacing w:lineRule="auto" w:line="480"/>
        <w:ind w:left="720" w:hanging="720"/>
        <w:jc w:val="both"/>
        <w:rPr>
          <w:sz w:val="28"/>
          <w:szCs w:val="28"/>
        </w:rPr>
      </w:pPr>
      <w:r>
        <w:rPr>
          <w:sz w:val="28"/>
          <w:szCs w:val="28"/>
        </w:rPr>
        <w:t xml:space="preserve">Adegbeye, M. J., Elghandour, M. M. Y., Rivas-Caceres, R. R., </w:t>
      </w:r>
      <w:r>
        <w:rPr>
          <w:i/>
          <w:sz w:val="28"/>
          <w:szCs w:val="28"/>
        </w:rPr>
        <w:t>et al</w:t>
      </w:r>
      <w:r>
        <w:rPr>
          <w:sz w:val="28"/>
          <w:szCs w:val="28"/>
        </w:rPr>
        <w:t xml:space="preserve">. (2020). Sustainable agriculture and organic waste utilization: A review. </w:t>
      </w:r>
      <w:r>
        <w:rPr>
          <w:i/>
          <w:iCs/>
          <w:sz w:val="28"/>
          <w:szCs w:val="28"/>
        </w:rPr>
        <w:t>Journal of Cleaner Production, 263</w:t>
      </w:r>
      <w:r>
        <w:rPr>
          <w:sz w:val="28"/>
          <w:szCs w:val="28"/>
        </w:rPr>
        <w:t>, 121434. https://doi.org/10.1016/j.jclepro.2020.121434</w:t>
      </w:r>
    </w:p>
    <w:p>
      <w:pPr>
        <w:pStyle w:val="style94"/>
        <w:spacing w:lineRule="auto" w:line="480"/>
        <w:ind w:left="720" w:hanging="720"/>
        <w:jc w:val="both"/>
        <w:rPr>
          <w:sz w:val="28"/>
          <w:szCs w:val="28"/>
        </w:rPr>
      </w:pPr>
      <w:r>
        <w:rPr>
          <w:sz w:val="28"/>
          <w:szCs w:val="28"/>
        </w:rPr>
        <w:t xml:space="preserve">Ali, A. A., Iqbal, S., Ahmed, S., &amp; Bilal, M. (2021). A review on PPE usage and disposal practices in laboratories and hospitals. </w:t>
      </w:r>
      <w:r>
        <w:rPr>
          <w:i/>
          <w:iCs/>
          <w:sz w:val="28"/>
          <w:szCs w:val="28"/>
        </w:rPr>
        <w:t>Environmental Advances, 4</w:t>
      </w:r>
      <w:r>
        <w:rPr>
          <w:sz w:val="28"/>
          <w:szCs w:val="28"/>
        </w:rPr>
        <w:t>, 100065. https://doi.org/10.1016/j.envadv.2021.100065</w:t>
      </w:r>
    </w:p>
    <w:p>
      <w:pPr>
        <w:pStyle w:val="style94"/>
        <w:spacing w:lineRule="auto" w:line="480"/>
        <w:ind w:left="720" w:hanging="720"/>
        <w:jc w:val="both"/>
        <w:rPr>
          <w:sz w:val="28"/>
          <w:szCs w:val="28"/>
        </w:rPr>
      </w:pPr>
      <w:r>
        <w:rPr>
          <w:sz w:val="28"/>
          <w:szCs w:val="28"/>
        </w:rPr>
        <w:t xml:space="preserve">Amanullah, M., Khan, M. A., &amp; Jamil, M. (2023). Impact of organic soil amendments on microbial diversity and crop yield. </w:t>
      </w:r>
      <w:r>
        <w:rPr>
          <w:i/>
          <w:iCs/>
          <w:sz w:val="28"/>
          <w:szCs w:val="28"/>
        </w:rPr>
        <w:t>Frontiers in Microbiology, 14</w:t>
      </w:r>
      <w:r>
        <w:rPr>
          <w:sz w:val="28"/>
          <w:szCs w:val="28"/>
        </w:rPr>
        <w:t>, 1109812. https://doi.org/10.3389/fmicb.2023.1109812</w:t>
      </w:r>
    </w:p>
    <w:p>
      <w:pPr>
        <w:pStyle w:val="style94"/>
        <w:spacing w:lineRule="auto" w:line="480"/>
        <w:ind w:left="720" w:hanging="720"/>
        <w:jc w:val="both"/>
        <w:rPr>
          <w:sz w:val="28"/>
          <w:szCs w:val="28"/>
        </w:rPr>
      </w:pPr>
      <w:r>
        <w:rPr>
          <w:sz w:val="28"/>
          <w:szCs w:val="28"/>
        </w:rPr>
        <w:t xml:space="preserve">Banerjee, S., Walder, F., Büchi, L., Meyer, M., Held, A. Y., Gattinger, A., &amp; van der Heijden, M. G. (2020). Agricultural intensification reduces microbial network complexity and the abundance of keystone taxa in roots. </w:t>
      </w:r>
      <w:r>
        <w:rPr>
          <w:i/>
          <w:iCs/>
          <w:sz w:val="28"/>
          <w:szCs w:val="28"/>
        </w:rPr>
        <w:t>ISME Journal</w:t>
      </w:r>
      <w:r>
        <w:rPr>
          <w:sz w:val="28"/>
          <w:szCs w:val="28"/>
        </w:rPr>
        <w:t>, 14(2), 366–376. https://doi.org/10.1038/s41396-019-0552-7</w:t>
      </w:r>
    </w:p>
    <w:p>
      <w:pPr>
        <w:pStyle w:val="style94"/>
        <w:spacing w:lineRule="auto" w:line="480"/>
        <w:ind w:left="720" w:hanging="720"/>
        <w:jc w:val="both"/>
        <w:rPr>
          <w:sz w:val="28"/>
          <w:szCs w:val="28"/>
        </w:rPr>
      </w:pPr>
      <w:r>
        <w:rPr>
          <w:sz w:val="28"/>
          <w:szCs w:val="28"/>
        </w:rPr>
        <w:t xml:space="preserve">Banerjee, S., Walder, F., Büchi, L., Meyer, M., Held, A. Y., Gattinger, A., &amp; van der Heijden, M. G. A. (2020). Agricultural intensification reduces microbial network complexity and the abundance of keystone taxa in roots. </w:t>
      </w:r>
      <w:r>
        <w:rPr>
          <w:i/>
          <w:iCs/>
          <w:sz w:val="28"/>
          <w:szCs w:val="28"/>
        </w:rPr>
        <w:t>The ISME Journal</w:t>
      </w:r>
      <w:r>
        <w:rPr>
          <w:sz w:val="28"/>
          <w:szCs w:val="28"/>
        </w:rPr>
        <w:t>, 14(4), 867–881. https://doi.org/10.1038/s41396-019-0583-2</w:t>
      </w:r>
    </w:p>
    <w:p>
      <w:pPr>
        <w:pStyle w:val="style94"/>
        <w:spacing w:lineRule="auto" w:line="480"/>
        <w:ind w:left="720" w:hanging="720"/>
        <w:jc w:val="both"/>
        <w:rPr>
          <w:sz w:val="28"/>
          <w:szCs w:val="28"/>
        </w:rPr>
      </w:pPr>
      <w:r>
        <w:rPr>
          <w:sz w:val="28"/>
          <w:szCs w:val="28"/>
        </w:rPr>
        <w:t xml:space="preserve">Chakdar, H., Dastager, S. G., &amp; Tripathi, S. (2021). Recent advances in fungal taxonomy and identification methods. </w:t>
      </w:r>
      <w:r>
        <w:rPr>
          <w:i/>
          <w:iCs/>
          <w:sz w:val="28"/>
          <w:szCs w:val="28"/>
        </w:rPr>
        <w:t>Mycology, 12</w:t>
      </w:r>
      <w:r>
        <w:rPr>
          <w:sz w:val="28"/>
          <w:szCs w:val="28"/>
        </w:rPr>
        <w:t>(1), 1–13. https://doi.org/10.1080/21501203.2020.1865557</w:t>
      </w:r>
    </w:p>
    <w:p>
      <w:pPr>
        <w:pStyle w:val="style94"/>
        <w:spacing w:lineRule="auto" w:line="480"/>
        <w:ind w:left="720" w:hanging="720"/>
        <w:jc w:val="both"/>
        <w:rPr>
          <w:sz w:val="28"/>
          <w:szCs w:val="28"/>
        </w:rPr>
      </w:pPr>
      <w:r>
        <w:rPr>
          <w:sz w:val="28"/>
          <w:szCs w:val="28"/>
        </w:rPr>
        <w:t xml:space="preserve">Chaudhary, D. R., Dahal, S., Kim, J., &amp; Kim, J. G. (2023). Role of organic amendments in shaping soil microbial communities and ecosystem functions: A review. </w:t>
      </w:r>
      <w:r>
        <w:rPr>
          <w:i/>
          <w:iCs/>
          <w:sz w:val="28"/>
          <w:szCs w:val="28"/>
        </w:rPr>
        <w:t>Agriculture, Ecosystems &amp; Environment</w:t>
      </w:r>
      <w:r>
        <w:rPr>
          <w:sz w:val="28"/>
          <w:szCs w:val="28"/>
        </w:rPr>
        <w:t>, 353, 108467. https://doi.org/10.1016/j.agee.2022.108467</w:t>
      </w:r>
    </w:p>
    <w:p>
      <w:pPr>
        <w:pStyle w:val="style94"/>
        <w:spacing w:lineRule="auto" w:line="480"/>
        <w:ind w:left="720" w:hanging="720"/>
        <w:jc w:val="both"/>
        <w:rPr>
          <w:sz w:val="28"/>
          <w:szCs w:val="28"/>
        </w:rPr>
      </w:pPr>
      <w:r>
        <w:rPr>
          <w:sz w:val="28"/>
          <w:szCs w:val="28"/>
        </w:rPr>
        <w:t xml:space="preserve">Chaudhary, D. R., Gautam, R., Rahi, P., Kumar, R., &amp; Sharma, R. (2023). Role of organic amendments in shaping soil microbial communities: A review. </w:t>
      </w:r>
      <w:r>
        <w:rPr>
          <w:i/>
          <w:iCs/>
          <w:sz w:val="28"/>
          <w:szCs w:val="28"/>
        </w:rPr>
        <w:t>Frontiers in Microbiology</w:t>
      </w:r>
      <w:r>
        <w:rPr>
          <w:sz w:val="28"/>
          <w:szCs w:val="28"/>
        </w:rPr>
        <w:t>, 14, 1123456. https://doi.org/10.3389/fmicb.2023.1123456</w:t>
      </w:r>
    </w:p>
    <w:p>
      <w:pPr>
        <w:pStyle w:val="style94"/>
        <w:spacing w:lineRule="auto" w:line="480"/>
        <w:ind w:left="720" w:hanging="720"/>
        <w:jc w:val="both"/>
        <w:rPr>
          <w:sz w:val="28"/>
          <w:szCs w:val="28"/>
        </w:rPr>
      </w:pPr>
      <w:r>
        <w:rPr>
          <w:sz w:val="28"/>
          <w:szCs w:val="28"/>
        </w:rPr>
        <w:t xml:space="preserve">Chen, L., Zhao, X., &amp; Wu, F. (2021). Effects of compost amendment on soil fungal community and plant growth in a greenhouse. </w:t>
      </w:r>
      <w:r>
        <w:rPr>
          <w:rStyle w:val="style88"/>
          <w:sz w:val="28"/>
          <w:szCs w:val="28"/>
        </w:rPr>
        <w:t>Soil Biology &amp; Biochemistry</w:t>
      </w:r>
      <w:r>
        <w:rPr>
          <w:sz w:val="28"/>
          <w:szCs w:val="28"/>
        </w:rPr>
        <w:t>, 153, 108104. https://doi.org/10.1016/j.soilbio.2021.108104</w:t>
      </w:r>
    </w:p>
    <w:p>
      <w:pPr>
        <w:pStyle w:val="style94"/>
        <w:spacing w:lineRule="auto" w:line="480"/>
        <w:ind w:left="720" w:hanging="720"/>
        <w:jc w:val="both"/>
        <w:rPr>
          <w:sz w:val="28"/>
          <w:szCs w:val="28"/>
        </w:rPr>
      </w:pPr>
      <w:r>
        <w:rPr>
          <w:sz w:val="28"/>
          <w:szCs w:val="28"/>
        </w:rPr>
        <w:t xml:space="preserve">Chen, Y., Guo, J., &amp; Li, J. (2023). Compost-induced disease suppression: mechanisms and applications. </w:t>
      </w:r>
      <w:r>
        <w:rPr>
          <w:rStyle w:val="style88"/>
          <w:sz w:val="28"/>
          <w:szCs w:val="28"/>
        </w:rPr>
        <w:t>Agriculture, Ecosystems &amp; Environment</w:t>
      </w:r>
      <w:r>
        <w:rPr>
          <w:sz w:val="28"/>
          <w:szCs w:val="28"/>
        </w:rPr>
        <w:t>, 342, 108244. https://doi.org/10.1016/j.agee.2022.108244</w:t>
      </w:r>
    </w:p>
    <w:p>
      <w:pPr>
        <w:pStyle w:val="style94"/>
        <w:spacing w:lineRule="auto" w:line="480"/>
        <w:ind w:left="720" w:hanging="720"/>
        <w:jc w:val="both"/>
        <w:rPr>
          <w:sz w:val="28"/>
          <w:szCs w:val="28"/>
        </w:rPr>
      </w:pPr>
      <w:r>
        <w:rPr>
          <w:sz w:val="28"/>
          <w:szCs w:val="28"/>
        </w:rPr>
        <w:t xml:space="preserve">Chen, Z., Liu, Y., Zhang, X., &amp; Wang, C. (2023). Organic amendments suppress Fusarium wilt in cucumber by modulating soil fungal communities. </w:t>
      </w:r>
      <w:r>
        <w:rPr>
          <w:rStyle w:val="style88"/>
          <w:sz w:val="28"/>
          <w:szCs w:val="28"/>
        </w:rPr>
        <w:t>Applied Soil Ecology</w:t>
      </w:r>
      <w:r>
        <w:rPr>
          <w:sz w:val="28"/>
          <w:szCs w:val="28"/>
        </w:rPr>
        <w:t>, 186, 104798. https://doi.org/10.1016/j.apsoil.2023.104798</w:t>
      </w:r>
    </w:p>
    <w:p>
      <w:pPr>
        <w:pStyle w:val="style94"/>
        <w:spacing w:lineRule="auto" w:line="480"/>
        <w:ind w:left="720" w:hanging="720"/>
        <w:jc w:val="both"/>
        <w:rPr>
          <w:sz w:val="28"/>
          <w:szCs w:val="28"/>
        </w:rPr>
      </w:pPr>
      <w:r>
        <w:rPr>
          <w:sz w:val="28"/>
          <w:szCs w:val="28"/>
        </w:rPr>
        <w:t xml:space="preserve">Cheng, S., Li, Y., &amp; Zhang, T. (2022). Risks and benefits of organic amendments on soil microbiomes and antibiotic resistance. </w:t>
      </w:r>
      <w:r>
        <w:rPr>
          <w:rStyle w:val="style88"/>
          <w:sz w:val="28"/>
          <w:szCs w:val="28"/>
        </w:rPr>
        <w:t>Science of the Total Environment</w:t>
      </w:r>
      <w:r>
        <w:rPr>
          <w:sz w:val="28"/>
          <w:szCs w:val="28"/>
        </w:rPr>
        <w:t>, 806, 150719. https://doi.org/10.1016/j.scitotenv.2021.150719</w:t>
      </w:r>
    </w:p>
    <w:p>
      <w:pPr>
        <w:pStyle w:val="style94"/>
        <w:spacing w:lineRule="auto" w:line="480"/>
        <w:ind w:left="720" w:hanging="720"/>
        <w:jc w:val="both"/>
        <w:rPr>
          <w:sz w:val="28"/>
          <w:szCs w:val="28"/>
        </w:rPr>
      </w:pPr>
      <w:r>
        <w:rPr>
          <w:sz w:val="28"/>
          <w:szCs w:val="28"/>
        </w:rPr>
        <w:t xml:space="preserve">Fernández, C., Guo, Y., &amp; Wang, X. (2022). Metagenomic insights into fungal communities shaped by organic amendments in agricultural soils. </w:t>
      </w:r>
      <w:r>
        <w:rPr>
          <w:rStyle w:val="style88"/>
          <w:sz w:val="28"/>
          <w:szCs w:val="28"/>
        </w:rPr>
        <w:t>Frontiers in Microbiology</w:t>
      </w:r>
      <w:r>
        <w:rPr>
          <w:sz w:val="28"/>
          <w:szCs w:val="28"/>
        </w:rPr>
        <w:t>, 13, 875432. https://doi.org/10.3389/fmicb.2022.875432</w:t>
      </w:r>
    </w:p>
    <w:p>
      <w:pPr>
        <w:pStyle w:val="style94"/>
        <w:spacing w:lineRule="auto" w:line="480"/>
        <w:ind w:left="720" w:hanging="720"/>
        <w:jc w:val="both"/>
        <w:rPr>
          <w:sz w:val="28"/>
          <w:szCs w:val="28"/>
        </w:rPr>
      </w:pPr>
      <w:r>
        <w:rPr>
          <w:sz w:val="28"/>
          <w:szCs w:val="28"/>
        </w:rPr>
        <w:t xml:space="preserve">Gao, Q., Zhou, Y., &amp; Li, Y. (2023). Climate change effects on soil fungal communities: A review. </w:t>
      </w:r>
      <w:r>
        <w:rPr>
          <w:rStyle w:val="style88"/>
          <w:sz w:val="28"/>
          <w:szCs w:val="28"/>
        </w:rPr>
        <w:t>Mycologia</w:t>
      </w:r>
      <w:r>
        <w:rPr>
          <w:sz w:val="28"/>
          <w:szCs w:val="28"/>
        </w:rPr>
        <w:t>, 115(2), 256–271. https://doi.org/10.1080/00275514.2022.2157859</w:t>
      </w:r>
    </w:p>
    <w:p>
      <w:pPr>
        <w:pStyle w:val="style94"/>
        <w:spacing w:lineRule="auto" w:line="480"/>
        <w:ind w:left="720" w:hanging="720"/>
        <w:jc w:val="both"/>
        <w:rPr>
          <w:sz w:val="28"/>
          <w:szCs w:val="28"/>
        </w:rPr>
      </w:pPr>
      <w:r>
        <w:rPr>
          <w:sz w:val="28"/>
          <w:szCs w:val="28"/>
        </w:rPr>
        <w:t xml:space="preserve">Gao, Y., Wang, X., Chen, L. &amp; Jiang, Y. (2020). Seasonal variations in fungal community response to green manure application in rice paddy soils. </w:t>
      </w:r>
      <w:r>
        <w:rPr>
          <w:rStyle w:val="style88"/>
          <w:sz w:val="28"/>
          <w:szCs w:val="28"/>
        </w:rPr>
        <w:t>Science of the Total Environment</w:t>
      </w:r>
      <w:r>
        <w:rPr>
          <w:sz w:val="28"/>
          <w:szCs w:val="28"/>
        </w:rPr>
        <w:t>, 716, 137047. https://doi.org/10.1016/j.scitotenv.2020.137047</w:t>
      </w:r>
    </w:p>
    <w:p>
      <w:pPr>
        <w:pStyle w:val="style94"/>
        <w:spacing w:lineRule="auto" w:line="480"/>
        <w:ind w:left="720" w:hanging="720"/>
        <w:jc w:val="both"/>
        <w:rPr>
          <w:sz w:val="28"/>
          <w:szCs w:val="28"/>
        </w:rPr>
      </w:pPr>
      <w:r>
        <w:rPr>
          <w:sz w:val="28"/>
          <w:szCs w:val="28"/>
        </w:rPr>
        <w:t xml:space="preserve">Gupta, S., Singh, P., &amp; Sharma, A. (2023). Arbuscular mycorrhizal fungi: Plant symbionts for sustainable agriculture. </w:t>
      </w:r>
      <w:r>
        <w:rPr>
          <w:rStyle w:val="style88"/>
          <w:sz w:val="28"/>
          <w:szCs w:val="28"/>
        </w:rPr>
        <w:t>Microbiological Research</w:t>
      </w:r>
      <w:r>
        <w:rPr>
          <w:sz w:val="28"/>
          <w:szCs w:val="28"/>
        </w:rPr>
        <w:t>, 263, 127111. https://doi.org/10.1016/j.micres.2022.127111</w:t>
      </w:r>
    </w:p>
    <w:p>
      <w:pPr>
        <w:pStyle w:val="style94"/>
        <w:spacing w:lineRule="auto" w:line="480"/>
        <w:ind w:left="720" w:hanging="720"/>
        <w:jc w:val="both"/>
        <w:rPr>
          <w:sz w:val="28"/>
          <w:szCs w:val="28"/>
        </w:rPr>
      </w:pPr>
      <w:r>
        <w:rPr>
          <w:sz w:val="28"/>
          <w:szCs w:val="28"/>
        </w:rPr>
        <w:t xml:space="preserve">Kaur, G., Singh, J., &amp; Kaur, A. (2022). Organic amendments and their effects on soil microbial diversity and health. </w:t>
      </w:r>
      <w:r>
        <w:rPr>
          <w:rStyle w:val="style88"/>
          <w:sz w:val="28"/>
          <w:szCs w:val="28"/>
        </w:rPr>
        <w:t>Agronomy</w:t>
      </w:r>
      <w:r>
        <w:rPr>
          <w:sz w:val="28"/>
          <w:szCs w:val="28"/>
        </w:rPr>
        <w:t>, 12(4), 839. https://doi.org/10.3390/agronomy12040839</w:t>
      </w:r>
    </w:p>
    <w:p>
      <w:pPr>
        <w:pStyle w:val="style94"/>
        <w:spacing w:lineRule="auto" w:line="480"/>
        <w:ind w:left="720" w:hanging="720"/>
        <w:jc w:val="both"/>
        <w:rPr>
          <w:sz w:val="28"/>
          <w:szCs w:val="28"/>
        </w:rPr>
      </w:pPr>
      <w:r>
        <w:rPr>
          <w:sz w:val="28"/>
          <w:szCs w:val="28"/>
        </w:rPr>
        <w:t xml:space="preserve">Kavamura, V. N., &amp; Esposito, E. (2020). Bioprospecting bacterial strains from extreme environments for agricultural and industrial applications. </w:t>
      </w:r>
      <w:r>
        <w:rPr>
          <w:i/>
          <w:iCs/>
          <w:sz w:val="28"/>
          <w:szCs w:val="28"/>
        </w:rPr>
        <w:t>Current Opinion in Environmental Science &amp; Health</w:t>
      </w:r>
      <w:r>
        <w:rPr>
          <w:sz w:val="28"/>
          <w:szCs w:val="28"/>
        </w:rPr>
        <w:t>, 14, 43–50. https://doi.org/10.1016/j.coesh.2019.12.006</w:t>
      </w:r>
    </w:p>
    <w:p>
      <w:pPr>
        <w:pStyle w:val="style94"/>
        <w:spacing w:lineRule="auto" w:line="480"/>
        <w:ind w:left="720" w:hanging="720"/>
        <w:jc w:val="both"/>
        <w:rPr>
          <w:sz w:val="28"/>
          <w:szCs w:val="28"/>
        </w:rPr>
      </w:pPr>
      <w:r>
        <w:rPr>
          <w:sz w:val="28"/>
          <w:szCs w:val="28"/>
        </w:rPr>
        <w:t xml:space="preserve">Kavamura, V. N., &amp; Esposito, E. (2020). Biotechnological strategies applied to the decontamination of soils polluted with heavy metals. </w:t>
      </w:r>
      <w:r>
        <w:rPr>
          <w:i/>
          <w:iCs/>
          <w:sz w:val="28"/>
          <w:szCs w:val="28"/>
        </w:rPr>
        <w:t>Biotechnology Advances</w:t>
      </w:r>
      <w:r>
        <w:rPr>
          <w:sz w:val="28"/>
          <w:szCs w:val="28"/>
        </w:rPr>
        <w:t>, 38, 107491. https://doi.org/10.1016/j.biotechadv.2019.107491</w:t>
      </w:r>
    </w:p>
    <w:p>
      <w:pPr>
        <w:pStyle w:val="style94"/>
        <w:spacing w:lineRule="auto" w:line="480"/>
        <w:ind w:left="720" w:hanging="720"/>
        <w:jc w:val="both"/>
        <w:rPr>
          <w:sz w:val="28"/>
          <w:szCs w:val="28"/>
        </w:rPr>
      </w:pPr>
      <w:r>
        <w:rPr>
          <w:sz w:val="28"/>
          <w:szCs w:val="28"/>
        </w:rPr>
        <w:t xml:space="preserve">Khan, S., Ali, B., &amp; Ahmad, N. (2023). Organic amendments enhance soil resilience against drought through fungal communities. </w:t>
      </w:r>
      <w:r>
        <w:rPr>
          <w:rStyle w:val="style88"/>
          <w:sz w:val="28"/>
          <w:szCs w:val="28"/>
        </w:rPr>
        <w:t>Soil Ecology Letters</w:t>
      </w:r>
      <w:r>
        <w:rPr>
          <w:sz w:val="28"/>
          <w:szCs w:val="28"/>
        </w:rPr>
        <w:t>, 5, 100053. https://doi.org/10.1016/j.soilecollet.2023.100053</w:t>
      </w:r>
    </w:p>
    <w:p>
      <w:pPr>
        <w:pStyle w:val="style94"/>
        <w:spacing w:lineRule="auto" w:line="480"/>
        <w:ind w:left="720" w:hanging="720"/>
        <w:jc w:val="both"/>
        <w:rPr>
          <w:sz w:val="28"/>
          <w:szCs w:val="28"/>
        </w:rPr>
      </w:pPr>
      <w:r>
        <w:rPr>
          <w:sz w:val="28"/>
          <w:szCs w:val="28"/>
        </w:rPr>
        <w:t xml:space="preserve">Kumar, R., Mishra, S., &amp; Singh, S. (2021). Role of soil fungi in aggregation and fertility: Impact of organic amendments. </w:t>
      </w:r>
      <w:r>
        <w:rPr>
          <w:rStyle w:val="style88"/>
          <w:sz w:val="28"/>
          <w:szCs w:val="28"/>
        </w:rPr>
        <w:t>Applied Soil Ecology</w:t>
      </w:r>
      <w:r>
        <w:rPr>
          <w:sz w:val="28"/>
          <w:szCs w:val="28"/>
        </w:rPr>
        <w:t>, 161, 103888. https://doi.org/10.1016/j.apsoil.2020.103888</w:t>
      </w:r>
    </w:p>
    <w:p>
      <w:pPr>
        <w:pStyle w:val="style94"/>
        <w:spacing w:lineRule="auto" w:line="480"/>
        <w:ind w:left="720" w:hanging="720"/>
        <w:jc w:val="both"/>
        <w:rPr>
          <w:sz w:val="28"/>
          <w:szCs w:val="28"/>
        </w:rPr>
      </w:pPr>
      <w:r>
        <w:rPr>
          <w:sz w:val="28"/>
          <w:szCs w:val="28"/>
        </w:rPr>
        <w:t xml:space="preserve">Lal, R., Stewart, B. A., &amp; Jat, M. L. (2020). Soil health and climate-smart agriculture. </w:t>
      </w:r>
      <w:r>
        <w:rPr>
          <w:i/>
          <w:iCs/>
          <w:sz w:val="28"/>
          <w:szCs w:val="28"/>
        </w:rPr>
        <w:t>Journal of Soil and Water Conservation, 75</w:t>
      </w:r>
      <w:r>
        <w:rPr>
          <w:sz w:val="28"/>
          <w:szCs w:val="28"/>
        </w:rPr>
        <w:t>(6), 123A–129A. https://doi.org/10.2489/jswc.2020.0620A</w:t>
      </w:r>
    </w:p>
    <w:p>
      <w:pPr>
        <w:pStyle w:val="style94"/>
        <w:spacing w:lineRule="auto" w:line="480"/>
        <w:ind w:left="720" w:hanging="720"/>
        <w:jc w:val="both"/>
        <w:rPr>
          <w:sz w:val="28"/>
          <w:szCs w:val="28"/>
        </w:rPr>
      </w:pPr>
      <w:r>
        <w:rPr>
          <w:sz w:val="28"/>
          <w:szCs w:val="28"/>
        </w:rPr>
        <w:t xml:space="preserve">Li, F., Zhang, J., &amp; Wang, R. (2022). Biochar amendments modulate soil fungal communities and functions. </w:t>
      </w:r>
      <w:r>
        <w:rPr>
          <w:rStyle w:val="style88"/>
          <w:sz w:val="28"/>
          <w:szCs w:val="28"/>
        </w:rPr>
        <w:t>Science of the Total Environment</w:t>
      </w:r>
      <w:r>
        <w:rPr>
          <w:sz w:val="28"/>
          <w:szCs w:val="28"/>
        </w:rPr>
        <w:t>, 823, 153685. https://doi.org/10.1016/j.scitotenv.2022.153685</w:t>
      </w:r>
    </w:p>
    <w:p>
      <w:pPr>
        <w:pStyle w:val="style94"/>
        <w:spacing w:lineRule="auto" w:line="480"/>
        <w:ind w:left="720" w:hanging="720"/>
        <w:jc w:val="both"/>
        <w:rPr>
          <w:sz w:val="28"/>
          <w:szCs w:val="28"/>
        </w:rPr>
      </w:pPr>
      <w:r>
        <w:rPr>
          <w:sz w:val="28"/>
          <w:szCs w:val="28"/>
        </w:rPr>
        <w:t xml:space="preserve">Li, M., Chen, J., &amp; Zhao, X. (2020). Influence of organic amendments on soil fungal diversity: A meta-analysis. </w:t>
      </w:r>
      <w:r>
        <w:rPr>
          <w:rStyle w:val="style88"/>
          <w:sz w:val="28"/>
          <w:szCs w:val="28"/>
        </w:rPr>
        <w:t>Soil Use and Management</w:t>
      </w:r>
      <w:r>
        <w:rPr>
          <w:sz w:val="28"/>
          <w:szCs w:val="28"/>
        </w:rPr>
        <w:t>, 36(4), 670-683. https://doi.org/10.1111/sum.12689</w:t>
      </w:r>
    </w:p>
    <w:p>
      <w:pPr>
        <w:pStyle w:val="style94"/>
        <w:spacing w:lineRule="auto" w:line="480"/>
        <w:ind w:left="720" w:hanging="720"/>
        <w:jc w:val="both"/>
        <w:rPr>
          <w:sz w:val="28"/>
          <w:szCs w:val="28"/>
        </w:rPr>
      </w:pPr>
      <w:r>
        <w:rPr>
          <w:sz w:val="28"/>
          <w:szCs w:val="28"/>
        </w:rPr>
        <w:t xml:space="preserve">Li, Y., Yang, F., &amp; Zhang, W. (2021). Diversity and ecological roles of soil fungi: Recent advances. </w:t>
      </w:r>
      <w:r>
        <w:rPr>
          <w:rStyle w:val="style88"/>
          <w:sz w:val="28"/>
          <w:szCs w:val="28"/>
        </w:rPr>
        <w:t>Soil Biology &amp; Biochemistry</w:t>
      </w:r>
      <w:r>
        <w:rPr>
          <w:sz w:val="28"/>
          <w:szCs w:val="28"/>
        </w:rPr>
        <w:t>, 155, 108187. https://doi.org/10.1016/j.soilbio.2021.108187</w:t>
      </w:r>
    </w:p>
    <w:p>
      <w:pPr>
        <w:pStyle w:val="style94"/>
        <w:spacing w:lineRule="auto" w:line="480"/>
        <w:ind w:left="720" w:hanging="720"/>
        <w:jc w:val="both"/>
        <w:rPr>
          <w:sz w:val="28"/>
          <w:szCs w:val="28"/>
        </w:rPr>
      </w:pPr>
      <w:r>
        <w:rPr>
          <w:sz w:val="28"/>
          <w:szCs w:val="28"/>
        </w:rPr>
        <w:t xml:space="preserve">Liu, X., Wang, W., &amp; Xu, H. (2020). Soil-borne pathogen suppression by organic amendments: Fungal dynamics. </w:t>
      </w:r>
      <w:r>
        <w:rPr>
          <w:rStyle w:val="style88"/>
          <w:sz w:val="28"/>
          <w:szCs w:val="28"/>
        </w:rPr>
        <w:t>Plant and Soil</w:t>
      </w:r>
      <w:r>
        <w:rPr>
          <w:sz w:val="28"/>
          <w:szCs w:val="28"/>
        </w:rPr>
        <w:t>, 452, 169-183. https://doi.org/10.1007/s11104-020-04415-x</w:t>
      </w:r>
    </w:p>
    <w:p>
      <w:pPr>
        <w:pStyle w:val="style94"/>
        <w:spacing w:lineRule="auto" w:line="480"/>
        <w:ind w:left="720" w:hanging="720"/>
        <w:jc w:val="both"/>
        <w:rPr>
          <w:sz w:val="28"/>
          <w:szCs w:val="28"/>
        </w:rPr>
      </w:pPr>
      <w:r>
        <w:rPr>
          <w:sz w:val="28"/>
          <w:szCs w:val="28"/>
        </w:rPr>
        <w:t xml:space="preserve">Luo, Y., Zhang, Q., &amp; Li, D. (2022). Adaptive management of soil fungi under climate change and organic amendment use. </w:t>
      </w:r>
      <w:r>
        <w:rPr>
          <w:rStyle w:val="style88"/>
          <w:sz w:val="28"/>
          <w:szCs w:val="28"/>
        </w:rPr>
        <w:t>Agriculture, Ecosystems &amp; Environment</w:t>
      </w:r>
      <w:r>
        <w:rPr>
          <w:sz w:val="28"/>
          <w:szCs w:val="28"/>
        </w:rPr>
        <w:t>, 330, 107904. https://doi.org/10.1016/j.agee.2022.107904</w:t>
      </w:r>
    </w:p>
    <w:p>
      <w:pPr>
        <w:pStyle w:val="style94"/>
        <w:spacing w:lineRule="auto" w:line="480"/>
        <w:ind w:left="720" w:hanging="720"/>
        <w:jc w:val="both"/>
        <w:rPr>
          <w:sz w:val="28"/>
          <w:szCs w:val="28"/>
        </w:rPr>
      </w:pPr>
      <w:r>
        <w:rPr>
          <w:sz w:val="28"/>
          <w:szCs w:val="28"/>
        </w:rPr>
        <w:t xml:space="preserve">Manna, M. C., Jha, S., Ghosh, P. K., &amp; Acharya, C. L. (2018). Comparative efficacy of three organic amendments on the changes in microbial biomass and activities of enzymes in a Vertisol under long-term soybean–wheat system. </w:t>
      </w:r>
      <w:r>
        <w:rPr>
          <w:i/>
          <w:iCs/>
          <w:sz w:val="28"/>
          <w:szCs w:val="28"/>
        </w:rPr>
        <w:t>European Journal of Soil Biology</w:t>
      </w:r>
      <w:r>
        <w:rPr>
          <w:sz w:val="28"/>
          <w:szCs w:val="28"/>
        </w:rPr>
        <w:t>, 58, 132–139. https://doi.org/10.1016/j.ejsobi.2013.07.002</w:t>
      </w:r>
    </w:p>
    <w:p>
      <w:pPr>
        <w:pStyle w:val="style94"/>
        <w:spacing w:lineRule="auto" w:line="480"/>
        <w:ind w:left="720" w:hanging="720"/>
        <w:jc w:val="both"/>
        <w:rPr>
          <w:sz w:val="28"/>
          <w:szCs w:val="28"/>
        </w:rPr>
      </w:pPr>
      <w:r>
        <w:rPr>
          <w:sz w:val="28"/>
          <w:szCs w:val="28"/>
        </w:rPr>
        <w:t xml:space="preserve">Mendes, R., Kruijt, M., &amp; Raaijmakers, J.M. (2021). Fungal communities in agricultural soils: Diversity and function. </w:t>
      </w:r>
      <w:r>
        <w:rPr>
          <w:rStyle w:val="style88"/>
          <w:sz w:val="28"/>
          <w:szCs w:val="28"/>
        </w:rPr>
        <w:t>Annual Review of Phytopathology</w:t>
      </w:r>
      <w:r>
        <w:rPr>
          <w:sz w:val="28"/>
          <w:szCs w:val="28"/>
        </w:rPr>
        <w:t>, 59, 437-462. https://doi.org/10.1146/annurev-phyto-080620-095943</w:t>
      </w:r>
    </w:p>
    <w:p>
      <w:pPr>
        <w:pStyle w:val="style94"/>
        <w:spacing w:lineRule="auto" w:line="480"/>
        <w:ind w:left="720" w:hanging="720"/>
        <w:jc w:val="both"/>
        <w:rPr>
          <w:sz w:val="28"/>
          <w:szCs w:val="28"/>
        </w:rPr>
      </w:pPr>
      <w:r>
        <w:rPr>
          <w:sz w:val="28"/>
          <w:szCs w:val="28"/>
        </w:rPr>
        <w:t xml:space="preserve">Meng, L., Yang, Z., &amp; Liu, J. (2022). Biochar improves mycorrhizal colonization and soil fungal structure in tomato rhizosphere. </w:t>
      </w:r>
      <w:r>
        <w:rPr>
          <w:rStyle w:val="style88"/>
          <w:sz w:val="28"/>
          <w:szCs w:val="28"/>
        </w:rPr>
        <w:t>Applied Microbiology and Biotechnology</w:t>
      </w:r>
      <w:r>
        <w:rPr>
          <w:sz w:val="28"/>
          <w:szCs w:val="28"/>
        </w:rPr>
        <w:t>, 106(4), 1583–1594. https://doi.org/10.1007/s00253-022-11796-6</w:t>
      </w:r>
    </w:p>
    <w:p>
      <w:pPr>
        <w:pStyle w:val="style94"/>
        <w:spacing w:lineRule="auto" w:line="480"/>
        <w:ind w:left="720" w:hanging="720"/>
        <w:jc w:val="both"/>
        <w:rPr>
          <w:sz w:val="28"/>
          <w:szCs w:val="28"/>
        </w:rPr>
      </w:pPr>
      <w:r>
        <w:rPr>
          <w:sz w:val="28"/>
          <w:szCs w:val="28"/>
        </w:rPr>
        <w:t xml:space="preserve">Niu, S., Liu, Y., &amp; Li, X. (2021). Functional diversity of soil fungi and its response to organic amendments. </w:t>
      </w:r>
      <w:r>
        <w:rPr>
          <w:rStyle w:val="style88"/>
          <w:sz w:val="28"/>
          <w:szCs w:val="28"/>
        </w:rPr>
        <w:t>Fungal Ecology</w:t>
      </w:r>
      <w:r>
        <w:rPr>
          <w:sz w:val="28"/>
          <w:szCs w:val="28"/>
        </w:rPr>
        <w:t>, 54, 101102. https://doi.org/10.1016/j.funeco.2021.101102</w:t>
      </w:r>
    </w:p>
    <w:p>
      <w:pPr>
        <w:pStyle w:val="style94"/>
        <w:spacing w:lineRule="auto" w:line="480"/>
        <w:ind w:left="720" w:hanging="720"/>
        <w:jc w:val="both"/>
        <w:rPr>
          <w:sz w:val="28"/>
          <w:szCs w:val="28"/>
        </w:rPr>
      </w:pPr>
      <w:r>
        <w:rPr>
          <w:sz w:val="28"/>
          <w:szCs w:val="28"/>
        </w:rPr>
        <w:t xml:space="preserve">Oladele, S. O., Olaniyi, O. E., &amp; Bankole, M. O. (2022). Impact of poultry and cow manure amendments on soil microbial communities in West Africa. </w:t>
      </w:r>
      <w:r>
        <w:rPr>
          <w:i/>
          <w:iCs/>
          <w:sz w:val="28"/>
          <w:szCs w:val="28"/>
        </w:rPr>
        <w:t>African Journal of Agricultural Research, 17</w:t>
      </w:r>
      <w:r>
        <w:rPr>
          <w:sz w:val="28"/>
          <w:szCs w:val="28"/>
        </w:rPr>
        <w:t>(3), 277–285. https://doi.org/10.5897/AJAR2022.15960</w:t>
      </w:r>
    </w:p>
    <w:p>
      <w:pPr>
        <w:pStyle w:val="style94"/>
        <w:spacing w:lineRule="auto" w:line="480"/>
        <w:ind w:left="720" w:hanging="720"/>
        <w:jc w:val="both"/>
        <w:rPr>
          <w:sz w:val="28"/>
          <w:szCs w:val="28"/>
        </w:rPr>
      </w:pPr>
      <w:r>
        <w:rPr>
          <w:sz w:val="28"/>
          <w:szCs w:val="28"/>
        </w:rPr>
        <w:t xml:space="preserve">Patel, S., Singh, S., &amp; Mishra, P. (2021). Metagenomic approaches for soil fungal community analysis under organic amendments. </w:t>
      </w:r>
      <w:r>
        <w:rPr>
          <w:rStyle w:val="style88"/>
          <w:sz w:val="28"/>
          <w:szCs w:val="28"/>
        </w:rPr>
        <w:t>Microbial Ecology</w:t>
      </w:r>
      <w:r>
        <w:rPr>
          <w:sz w:val="28"/>
          <w:szCs w:val="28"/>
        </w:rPr>
        <w:t>, 82, 567-578. https://doi.org/10.1007/s00248-020-01652-1</w:t>
      </w:r>
    </w:p>
    <w:p>
      <w:pPr>
        <w:pStyle w:val="style94"/>
        <w:spacing w:lineRule="auto" w:line="480"/>
        <w:ind w:left="720" w:hanging="720"/>
        <w:jc w:val="both"/>
        <w:rPr>
          <w:sz w:val="28"/>
          <w:szCs w:val="28"/>
        </w:rPr>
      </w:pPr>
      <w:r>
        <w:rPr>
          <w:sz w:val="28"/>
          <w:szCs w:val="28"/>
        </w:rPr>
        <w:t xml:space="preserve">Patil, A., Sharma, M., &amp; Desai, M. (2022). Soil enzyme activity and fungal metabolism under organic fertilizer regimes. </w:t>
      </w:r>
      <w:r>
        <w:rPr>
          <w:rStyle w:val="style88"/>
          <w:sz w:val="28"/>
          <w:szCs w:val="28"/>
        </w:rPr>
        <w:t xml:space="preserve">Soil Science and Plant </w:t>
      </w:r>
      <w:r>
        <w:rPr>
          <w:rStyle w:val="style88"/>
          <w:sz w:val="28"/>
          <w:szCs w:val="28"/>
        </w:rPr>
        <w:t>Nutrition</w:t>
      </w:r>
      <w:r>
        <w:rPr>
          <w:sz w:val="28"/>
          <w:szCs w:val="28"/>
        </w:rPr>
        <w:t>, 68(2), 184-192. https://doi.org/10.1080/00380768.2022.2043669</w:t>
      </w:r>
    </w:p>
    <w:p>
      <w:pPr>
        <w:pStyle w:val="style94"/>
        <w:spacing w:lineRule="auto" w:line="480"/>
        <w:ind w:left="720" w:hanging="720"/>
        <w:jc w:val="both"/>
        <w:rPr>
          <w:sz w:val="28"/>
          <w:szCs w:val="28"/>
        </w:rPr>
      </w:pPr>
      <w:r>
        <w:rPr>
          <w:sz w:val="28"/>
          <w:szCs w:val="28"/>
        </w:rPr>
        <w:t xml:space="preserve">Raza, W., Ling, N., &amp; Yang, L. (2020). Organic amendments influence fungal community and nutrient cycling. </w:t>
      </w:r>
      <w:r>
        <w:rPr>
          <w:rStyle w:val="style88"/>
          <w:sz w:val="28"/>
          <w:szCs w:val="28"/>
        </w:rPr>
        <w:t>Soil Biology &amp; Biochemistry</w:t>
      </w:r>
      <w:r>
        <w:rPr>
          <w:sz w:val="28"/>
          <w:szCs w:val="28"/>
        </w:rPr>
        <w:t>, 143, 107737. https://doi.org/10.1016/j.soilbio.2020.107737</w:t>
      </w:r>
    </w:p>
    <w:p>
      <w:pPr>
        <w:pStyle w:val="style94"/>
        <w:spacing w:lineRule="auto" w:line="480"/>
        <w:ind w:left="720" w:hanging="720"/>
        <w:jc w:val="both"/>
        <w:rPr>
          <w:sz w:val="28"/>
          <w:szCs w:val="28"/>
        </w:rPr>
      </w:pPr>
      <w:r>
        <w:rPr>
          <w:sz w:val="28"/>
          <w:szCs w:val="28"/>
        </w:rPr>
        <w:t xml:space="preserve">Sharma, P., Sharma, P., &amp; Yadav, R. (2021). Influence of organic inputs on fungal enzyme production in soil. </w:t>
      </w:r>
      <w:r>
        <w:rPr>
          <w:rStyle w:val="style88"/>
          <w:sz w:val="28"/>
          <w:szCs w:val="28"/>
        </w:rPr>
        <w:t>Applied Microbiology and Biotechnology</w:t>
      </w:r>
      <w:r>
        <w:rPr>
          <w:sz w:val="28"/>
          <w:szCs w:val="28"/>
        </w:rPr>
        <w:t>, 105, 7383-7395. https://doi.org/10.1007/s00253-021-11561-7</w:t>
      </w:r>
    </w:p>
    <w:p>
      <w:pPr>
        <w:pStyle w:val="style94"/>
        <w:spacing w:lineRule="auto" w:line="480"/>
        <w:ind w:left="720" w:hanging="720"/>
        <w:jc w:val="both"/>
        <w:rPr>
          <w:sz w:val="28"/>
          <w:szCs w:val="28"/>
        </w:rPr>
      </w:pPr>
      <w:r>
        <w:rPr>
          <w:sz w:val="28"/>
          <w:szCs w:val="28"/>
        </w:rPr>
        <w:t xml:space="preserve">Sharma, P., Singh, D., &amp; Verma, S. (2020). Vermicompost influences functional groups and soil fungal diversity in vegetable production. </w:t>
      </w:r>
      <w:r>
        <w:rPr>
          <w:rStyle w:val="style88"/>
          <w:sz w:val="28"/>
          <w:szCs w:val="28"/>
        </w:rPr>
        <w:t>Pedobiologia</w:t>
      </w:r>
      <w:r>
        <w:rPr>
          <w:sz w:val="28"/>
          <w:szCs w:val="28"/>
        </w:rPr>
        <w:t>, 82, 150685. https://doi.org/10.1016/j.pedobi.2020.150685</w:t>
      </w:r>
    </w:p>
    <w:p>
      <w:pPr>
        <w:pStyle w:val="style94"/>
        <w:spacing w:lineRule="auto" w:line="480"/>
        <w:ind w:left="720" w:hanging="720"/>
        <w:jc w:val="both"/>
        <w:rPr>
          <w:sz w:val="28"/>
          <w:szCs w:val="28"/>
        </w:rPr>
      </w:pPr>
      <w:r>
        <w:rPr>
          <w:sz w:val="28"/>
          <w:szCs w:val="28"/>
        </w:rPr>
        <w:t xml:space="preserve">Singh, A., Verma, R., &amp; Kumar, M. (2021). Effects of organic amendments on soil physicochemical properties and fungal community. </w:t>
      </w:r>
      <w:r>
        <w:rPr>
          <w:rStyle w:val="style88"/>
          <w:sz w:val="28"/>
          <w:szCs w:val="28"/>
        </w:rPr>
        <w:t>Agriculture</w:t>
      </w:r>
      <w:r>
        <w:rPr>
          <w:sz w:val="28"/>
          <w:szCs w:val="28"/>
        </w:rPr>
        <w:t>, 11(8), 735. https://doi.org/10.3390/agriculture11080735</w:t>
      </w:r>
    </w:p>
    <w:p>
      <w:pPr>
        <w:pStyle w:val="style94"/>
        <w:spacing w:lineRule="auto" w:line="480"/>
        <w:ind w:left="720" w:hanging="720"/>
        <w:jc w:val="both"/>
        <w:rPr>
          <w:sz w:val="28"/>
          <w:szCs w:val="28"/>
        </w:rPr>
      </w:pPr>
      <w:r>
        <w:rPr>
          <w:sz w:val="28"/>
          <w:szCs w:val="28"/>
        </w:rPr>
        <w:t xml:space="preserve">Singh, A., Yadav, S., &amp; Kumar, V. (2020). Farmyard manure promotes beneficial soil fungi in agroecosystems. </w:t>
      </w:r>
      <w:r>
        <w:rPr>
          <w:rStyle w:val="style88"/>
          <w:sz w:val="28"/>
          <w:szCs w:val="28"/>
        </w:rPr>
        <w:t>Ecological Indicators</w:t>
      </w:r>
      <w:r>
        <w:rPr>
          <w:sz w:val="28"/>
          <w:szCs w:val="28"/>
        </w:rPr>
        <w:t>, 115, 106415. https://doi.org/10.1016/j.ecolind.2020.106415</w:t>
      </w:r>
    </w:p>
    <w:p>
      <w:pPr>
        <w:pStyle w:val="style94"/>
        <w:spacing w:lineRule="auto" w:line="480"/>
        <w:ind w:left="720" w:hanging="720"/>
        <w:jc w:val="both"/>
        <w:rPr>
          <w:sz w:val="28"/>
          <w:szCs w:val="28"/>
        </w:rPr>
      </w:pPr>
      <w:r>
        <w:rPr>
          <w:sz w:val="28"/>
          <w:szCs w:val="28"/>
        </w:rPr>
        <w:t xml:space="preserve">Smith, S. E., &amp; Read, D. J. (2008). </w:t>
      </w:r>
      <w:r>
        <w:rPr>
          <w:i/>
          <w:iCs/>
          <w:sz w:val="28"/>
          <w:szCs w:val="28"/>
        </w:rPr>
        <w:t>Mycorrhizal Symbiosis</w:t>
      </w:r>
      <w:r>
        <w:rPr>
          <w:sz w:val="28"/>
          <w:szCs w:val="28"/>
        </w:rPr>
        <w:t xml:space="preserve"> (3rd ed.). Academic Press.</w:t>
      </w:r>
    </w:p>
    <w:p>
      <w:pPr>
        <w:pStyle w:val="style94"/>
        <w:spacing w:lineRule="auto" w:line="480"/>
        <w:ind w:left="720" w:hanging="720"/>
        <w:jc w:val="both"/>
        <w:rPr>
          <w:sz w:val="28"/>
          <w:szCs w:val="28"/>
        </w:rPr>
      </w:pPr>
      <w:r>
        <w:rPr>
          <w:sz w:val="28"/>
          <w:szCs w:val="28"/>
        </w:rPr>
        <w:t xml:space="preserve">Smith, S. E., &amp; Read, D. J. (2008). </w:t>
      </w:r>
      <w:r>
        <w:rPr>
          <w:i/>
          <w:iCs/>
          <w:sz w:val="28"/>
          <w:szCs w:val="28"/>
        </w:rPr>
        <w:t>Mycorrhizal symbiosis</w:t>
      </w:r>
      <w:r>
        <w:rPr>
          <w:sz w:val="28"/>
          <w:szCs w:val="28"/>
        </w:rPr>
        <w:t xml:space="preserve"> (3rd ed.). Academic Press.</w:t>
      </w:r>
    </w:p>
    <w:p>
      <w:pPr>
        <w:pStyle w:val="style94"/>
        <w:spacing w:lineRule="auto" w:line="480"/>
        <w:ind w:left="720" w:hanging="720"/>
        <w:jc w:val="both"/>
        <w:rPr>
          <w:sz w:val="28"/>
          <w:szCs w:val="28"/>
        </w:rPr>
      </w:pPr>
      <w:r>
        <w:rPr>
          <w:sz w:val="28"/>
          <w:szCs w:val="28"/>
        </w:rPr>
        <w:t xml:space="preserve">Sun, Y., Huang, Y., &amp; Zhou, Y. (2023). Fungal mediation of soil carbon sequestration in organic amendment-treated soils. </w:t>
      </w:r>
      <w:r>
        <w:rPr>
          <w:rStyle w:val="style88"/>
          <w:sz w:val="28"/>
          <w:szCs w:val="28"/>
        </w:rPr>
        <w:t>Global Change Biology</w:t>
      </w:r>
      <w:r>
        <w:rPr>
          <w:sz w:val="28"/>
          <w:szCs w:val="28"/>
        </w:rPr>
        <w:t>, 29(5), 1387-1398. https://doi.org/10.1111/gcb.16479</w:t>
      </w:r>
    </w:p>
    <w:p>
      <w:pPr>
        <w:pStyle w:val="style94"/>
        <w:spacing w:lineRule="auto" w:line="480"/>
        <w:ind w:left="720" w:hanging="720"/>
        <w:jc w:val="both"/>
        <w:rPr>
          <w:sz w:val="28"/>
          <w:szCs w:val="28"/>
        </w:rPr>
      </w:pPr>
      <w:r>
        <w:rPr>
          <w:sz w:val="28"/>
          <w:szCs w:val="28"/>
        </w:rPr>
        <w:t xml:space="preserve">Wang, J., Li, Y., &amp; Zhao, H. (2021). Ten-year organic management enhances soil fungal stability and diversity. </w:t>
      </w:r>
      <w:r>
        <w:rPr>
          <w:rStyle w:val="style88"/>
          <w:sz w:val="28"/>
          <w:szCs w:val="28"/>
        </w:rPr>
        <w:t>Soil Biology and Biochemistry</w:t>
      </w:r>
      <w:r>
        <w:rPr>
          <w:sz w:val="28"/>
          <w:szCs w:val="28"/>
        </w:rPr>
        <w:t>, 160, 108355. https://doi.org/10.1016/j.soilbio.2021.108355</w:t>
      </w:r>
    </w:p>
    <w:p>
      <w:pPr>
        <w:pStyle w:val="style94"/>
        <w:spacing w:lineRule="auto" w:line="480"/>
        <w:ind w:left="720" w:hanging="720"/>
        <w:jc w:val="both"/>
        <w:rPr>
          <w:sz w:val="28"/>
          <w:szCs w:val="28"/>
        </w:rPr>
      </w:pPr>
      <w:r>
        <w:rPr>
          <w:sz w:val="28"/>
          <w:szCs w:val="28"/>
        </w:rPr>
        <w:t xml:space="preserve">Wang, J., Zhang, X., &amp; Liu, S. (2020). Soil enzyme activities in response to organic amendments. </w:t>
      </w:r>
      <w:r>
        <w:rPr>
          <w:rStyle w:val="style88"/>
          <w:sz w:val="28"/>
          <w:szCs w:val="28"/>
        </w:rPr>
        <w:t>Applied Soil Ecology</w:t>
      </w:r>
      <w:r>
        <w:rPr>
          <w:sz w:val="28"/>
          <w:szCs w:val="28"/>
        </w:rPr>
        <w:t>, 147, 103392. https://doi.org/10.1016/j.apsoil.2019.103392</w:t>
      </w:r>
    </w:p>
    <w:p>
      <w:pPr>
        <w:pStyle w:val="style94"/>
        <w:spacing w:lineRule="auto" w:line="480"/>
        <w:ind w:left="720" w:hanging="720"/>
        <w:jc w:val="both"/>
        <w:rPr>
          <w:sz w:val="28"/>
          <w:szCs w:val="28"/>
        </w:rPr>
      </w:pPr>
      <w:r>
        <w:rPr>
          <w:sz w:val="28"/>
          <w:szCs w:val="28"/>
        </w:rPr>
        <w:t xml:space="preserve">Wang, Q., Li, H., &amp; Feng, X. (2021). Impact of manure amendments on antibiotic resistance and fungal communities. </w:t>
      </w:r>
      <w:r>
        <w:rPr>
          <w:rStyle w:val="style88"/>
          <w:sz w:val="28"/>
          <w:szCs w:val="28"/>
        </w:rPr>
        <w:t>Environmental Pollution</w:t>
      </w:r>
      <w:r>
        <w:rPr>
          <w:sz w:val="28"/>
          <w:szCs w:val="28"/>
        </w:rPr>
        <w:t>, 289, 117963. https://doi.org/10.1016/j.envpol.2021.117963</w:t>
      </w:r>
    </w:p>
    <w:p>
      <w:pPr>
        <w:pStyle w:val="style94"/>
        <w:spacing w:lineRule="auto" w:line="480"/>
        <w:ind w:left="720" w:hanging="720"/>
        <w:jc w:val="both"/>
        <w:rPr>
          <w:sz w:val="28"/>
          <w:szCs w:val="28"/>
        </w:rPr>
      </w:pPr>
      <w:r>
        <w:rPr>
          <w:sz w:val="28"/>
          <w:szCs w:val="28"/>
        </w:rPr>
        <w:t xml:space="preserve">Wang, R., Sun, L., &amp; Chen, J. (2022). Organic amendment type and rate effects on fungal community and soil properties. </w:t>
      </w:r>
      <w:r>
        <w:rPr>
          <w:rStyle w:val="style88"/>
          <w:sz w:val="28"/>
          <w:szCs w:val="28"/>
        </w:rPr>
        <w:t>Soil Use and Management</w:t>
      </w:r>
      <w:r>
        <w:rPr>
          <w:sz w:val="28"/>
          <w:szCs w:val="28"/>
        </w:rPr>
        <w:t>, 38(2), 432-444. https://doi.org/10.1111/sum.12798</w:t>
      </w:r>
    </w:p>
    <w:p>
      <w:pPr>
        <w:pStyle w:val="style94"/>
        <w:spacing w:lineRule="auto" w:line="480"/>
        <w:ind w:left="720" w:hanging="720"/>
        <w:jc w:val="both"/>
        <w:rPr>
          <w:sz w:val="28"/>
          <w:szCs w:val="28"/>
        </w:rPr>
      </w:pPr>
      <w:r>
        <w:rPr>
          <w:sz w:val="28"/>
          <w:szCs w:val="28"/>
        </w:rPr>
        <w:t xml:space="preserve">Wang, X., Gao, L., &amp; Li, Z. (2023). Greenhouse gas emissions from organic amended soils: Role of fungal communities. </w:t>
      </w:r>
      <w:r>
        <w:rPr>
          <w:rStyle w:val="style88"/>
          <w:sz w:val="28"/>
          <w:szCs w:val="28"/>
        </w:rPr>
        <w:t>Science of the Total Environment</w:t>
      </w:r>
      <w:r>
        <w:rPr>
          <w:sz w:val="28"/>
          <w:szCs w:val="28"/>
        </w:rPr>
        <w:t>, 856, 158924. https://doi.org/10.1016/j.scitotenv.2022.158924</w:t>
      </w:r>
    </w:p>
    <w:p>
      <w:pPr>
        <w:pStyle w:val="style94"/>
        <w:spacing w:lineRule="auto" w:line="480"/>
        <w:ind w:left="720" w:hanging="720"/>
        <w:jc w:val="both"/>
        <w:rPr>
          <w:sz w:val="28"/>
          <w:szCs w:val="28"/>
        </w:rPr>
      </w:pPr>
      <w:r>
        <w:rPr>
          <w:sz w:val="28"/>
          <w:szCs w:val="28"/>
        </w:rPr>
        <w:t xml:space="preserve">Wu, H., Qin, Y., Li, Z., Chen, Y., &amp; Liu, Y. (2021). Organic amendments improve soil microbial community structure and enhance soil functions in degraded lands. </w:t>
      </w:r>
      <w:r>
        <w:rPr>
          <w:i/>
          <w:iCs/>
          <w:sz w:val="28"/>
          <w:szCs w:val="28"/>
        </w:rPr>
        <w:t>Science of the Total Environment</w:t>
      </w:r>
      <w:r>
        <w:rPr>
          <w:sz w:val="28"/>
          <w:szCs w:val="28"/>
        </w:rPr>
        <w:t>, 779, 146456. https://doi.org/10.1016/j.scitotenv.2021.146456</w:t>
      </w:r>
    </w:p>
    <w:p>
      <w:pPr>
        <w:pStyle w:val="style94"/>
        <w:spacing w:lineRule="auto" w:line="480"/>
        <w:ind w:left="720" w:hanging="720"/>
        <w:jc w:val="both"/>
        <w:rPr>
          <w:sz w:val="28"/>
          <w:szCs w:val="28"/>
        </w:rPr>
      </w:pPr>
      <w:r>
        <w:rPr>
          <w:sz w:val="28"/>
          <w:szCs w:val="28"/>
        </w:rPr>
        <w:t>Wu, H., Wang, X., Liang, C., Liu, F., &amp; Li, W. (2021). Organic amendments enhance soil microbial diversity and activity in degraded lands: A meta-</w:t>
      </w:r>
      <w:r>
        <w:rPr>
          <w:sz w:val="28"/>
          <w:szCs w:val="28"/>
        </w:rPr>
        <w:t xml:space="preserve">analysis. </w:t>
      </w:r>
      <w:r>
        <w:rPr>
          <w:i/>
          <w:iCs/>
          <w:sz w:val="28"/>
          <w:szCs w:val="28"/>
        </w:rPr>
        <w:t>Science of The Total Environment</w:t>
      </w:r>
      <w:r>
        <w:rPr>
          <w:sz w:val="28"/>
          <w:szCs w:val="28"/>
        </w:rPr>
        <w:t>, 755, 142538. https://doi.org/10.1016/j.scitotenv.2020.142538</w:t>
      </w:r>
    </w:p>
    <w:p>
      <w:pPr>
        <w:pStyle w:val="style94"/>
        <w:spacing w:lineRule="auto" w:line="480"/>
        <w:ind w:left="720" w:hanging="720"/>
        <w:jc w:val="both"/>
        <w:rPr>
          <w:sz w:val="28"/>
          <w:szCs w:val="28"/>
        </w:rPr>
      </w:pPr>
      <w:r>
        <w:rPr>
          <w:sz w:val="28"/>
          <w:szCs w:val="28"/>
        </w:rPr>
        <w:t xml:space="preserve">Xu, L., Niu, J., &amp; Shi, Y. (2020). High-throughput sequencing insights into soil fungal communities. </w:t>
      </w:r>
      <w:r>
        <w:rPr>
          <w:rStyle w:val="style88"/>
          <w:sz w:val="28"/>
          <w:szCs w:val="28"/>
        </w:rPr>
        <w:t>Mycology</w:t>
      </w:r>
      <w:r>
        <w:rPr>
          <w:sz w:val="28"/>
          <w:szCs w:val="28"/>
        </w:rPr>
        <w:t>, 11(3), 137-148. https://doi.org/10.1080/21501203.2020.1755842</w:t>
      </w:r>
    </w:p>
    <w:p>
      <w:pPr>
        <w:pStyle w:val="style94"/>
        <w:spacing w:lineRule="auto" w:line="480"/>
        <w:ind w:left="720" w:hanging="720"/>
        <w:jc w:val="both"/>
        <w:rPr>
          <w:sz w:val="28"/>
          <w:szCs w:val="28"/>
        </w:rPr>
      </w:pPr>
      <w:r>
        <w:rPr>
          <w:sz w:val="28"/>
          <w:szCs w:val="28"/>
        </w:rPr>
        <w:t xml:space="preserve">Yadav, A. N., Verma, P., &amp; Kumar, V. (2021). Microbiome of organic farming: Approaches and practices for sustainable crop production. </w:t>
      </w:r>
      <w:r>
        <w:rPr>
          <w:i/>
          <w:iCs/>
          <w:sz w:val="28"/>
          <w:szCs w:val="28"/>
        </w:rPr>
        <w:t>Archives of Microbiology, 203</w:t>
      </w:r>
      <w:r>
        <w:rPr>
          <w:sz w:val="28"/>
          <w:szCs w:val="28"/>
        </w:rPr>
        <w:t>, 527–545. https://doi.org/10.1007/s00203-020-01974-3</w:t>
      </w:r>
    </w:p>
    <w:p>
      <w:pPr>
        <w:pStyle w:val="style94"/>
        <w:spacing w:lineRule="auto" w:line="480"/>
        <w:ind w:left="720" w:hanging="720"/>
        <w:jc w:val="both"/>
        <w:rPr>
          <w:sz w:val="28"/>
          <w:szCs w:val="28"/>
        </w:rPr>
      </w:pPr>
      <w:r>
        <w:rPr>
          <w:sz w:val="28"/>
          <w:szCs w:val="28"/>
        </w:rPr>
        <w:t xml:space="preserve">Yang, T., Zheng, Z., &amp; Fan, J. (2022). Soil fungal pathogens in agroecosystems: Diversity and management. </w:t>
      </w:r>
      <w:r>
        <w:rPr>
          <w:rStyle w:val="style88"/>
          <w:sz w:val="28"/>
          <w:szCs w:val="28"/>
        </w:rPr>
        <w:t>Soil Biology &amp; Biochemistry</w:t>
      </w:r>
      <w:r>
        <w:rPr>
          <w:sz w:val="28"/>
          <w:szCs w:val="28"/>
        </w:rPr>
        <w:t>, 162, 108423. https://doi.org/10.1016/j.soilbio.2021.108423</w:t>
      </w:r>
    </w:p>
    <w:p>
      <w:pPr>
        <w:pStyle w:val="style94"/>
        <w:spacing w:lineRule="auto" w:line="480"/>
        <w:ind w:left="720" w:hanging="720"/>
        <w:jc w:val="both"/>
        <w:rPr>
          <w:sz w:val="28"/>
          <w:szCs w:val="28"/>
        </w:rPr>
      </w:pPr>
      <w:r>
        <w:rPr>
          <w:sz w:val="28"/>
          <w:szCs w:val="28"/>
        </w:rPr>
        <w:t xml:space="preserve">Zhang, J., He, M., &amp; Li, T. (2020). Soil fungal community responses to organic amendments: A meta-analysis. </w:t>
      </w:r>
      <w:r>
        <w:rPr>
          <w:rStyle w:val="style88"/>
          <w:sz w:val="28"/>
          <w:szCs w:val="28"/>
        </w:rPr>
        <w:t>Soil Biology &amp; Biochemistry</w:t>
      </w:r>
      <w:r>
        <w:rPr>
          <w:sz w:val="28"/>
          <w:szCs w:val="28"/>
        </w:rPr>
        <w:t>, 146, 107817. https://doi.org/10.1016/j.soilbio.2020.107817</w:t>
      </w:r>
    </w:p>
    <w:p>
      <w:pPr>
        <w:pStyle w:val="style94"/>
        <w:spacing w:lineRule="auto" w:line="480"/>
        <w:ind w:left="720" w:hanging="720"/>
        <w:jc w:val="both"/>
        <w:rPr>
          <w:sz w:val="28"/>
          <w:szCs w:val="28"/>
        </w:rPr>
      </w:pPr>
      <w:r>
        <w:rPr>
          <w:sz w:val="28"/>
          <w:szCs w:val="28"/>
        </w:rPr>
        <w:t xml:space="preserve">Zhao, L., Tang, H., &amp; Liu, C. (2021). Green manure and mycorrhizal fungi: Effects on soil fungal communities. </w:t>
      </w:r>
      <w:r>
        <w:rPr>
          <w:rStyle w:val="style88"/>
          <w:sz w:val="28"/>
          <w:szCs w:val="28"/>
        </w:rPr>
        <w:t>Applied Soil Ecology</w:t>
      </w:r>
      <w:r>
        <w:rPr>
          <w:sz w:val="28"/>
          <w:szCs w:val="28"/>
        </w:rPr>
        <w:t>, 159, 103865. https://doi.org/10.1016/j.apsoil.2020.103865</w:t>
      </w:r>
    </w:p>
    <w:p>
      <w:pPr>
        <w:pStyle w:val="style94"/>
        <w:spacing w:lineRule="auto" w:line="480"/>
        <w:ind w:left="720" w:hanging="720"/>
        <w:jc w:val="both"/>
        <w:rPr>
          <w:sz w:val="28"/>
          <w:szCs w:val="28"/>
        </w:rPr>
      </w:pPr>
      <w:r>
        <w:rPr>
          <w:sz w:val="28"/>
          <w:szCs w:val="28"/>
        </w:rPr>
        <w:t xml:space="preserve">Zhao, X., Song, Y., &amp; Wang, F. (2022). Organic amendments enhance soil aggregation through fungal activity. </w:t>
      </w:r>
      <w:r>
        <w:rPr>
          <w:rStyle w:val="style88"/>
          <w:sz w:val="28"/>
          <w:szCs w:val="28"/>
        </w:rPr>
        <w:t>Geoderma</w:t>
      </w:r>
      <w:r>
        <w:rPr>
          <w:sz w:val="28"/>
          <w:szCs w:val="28"/>
        </w:rPr>
        <w:t xml:space="preserve">, 417, 115767. </w:t>
      </w:r>
      <w:r>
        <w:rPr/>
        <w:fldChar w:fldCharType="begin"/>
      </w:r>
      <w:r>
        <w:instrText xml:space="preserve"> HYPERLINK "https://doi.org/10.1016/j.geoderma.2022.115767" </w:instrText>
      </w:r>
      <w:r>
        <w:rPr/>
        <w:fldChar w:fldCharType="separate"/>
      </w:r>
      <w:r>
        <w:rPr>
          <w:rStyle w:val="style85"/>
          <w:color w:val="auto"/>
          <w:sz w:val="28"/>
          <w:szCs w:val="28"/>
        </w:rPr>
        <w:t>https://doi.org/10.1016/j.geoderma.2022.115767</w:t>
      </w:r>
      <w:r>
        <w:rPr/>
        <w:fldChar w:fldCharType="end"/>
      </w:r>
    </w:p>
    <w:p>
      <w:pPr>
        <w:pStyle w:val="style94"/>
        <w:spacing w:lineRule="auto" w:line="480"/>
        <w:ind w:left="720" w:hanging="720"/>
        <w:jc w:val="both"/>
        <w:rPr>
          <w:sz w:val="28"/>
          <w:szCs w:val="28"/>
        </w:rPr>
      </w:pPr>
      <w:r>
        <w:rPr>
          <w:sz w:val="28"/>
          <w:szCs w:val="28"/>
        </w:rPr>
        <w:t xml:space="preserve">Zhao, X., Wang, Y., Wang, S., &amp; Li, Z. (2021). Long-term compost application modifies soil fungal composition and improves nutrient availability. </w:t>
      </w:r>
      <w:r>
        <w:rPr>
          <w:rStyle w:val="style88"/>
          <w:sz w:val="28"/>
          <w:szCs w:val="28"/>
        </w:rPr>
        <w:t>Journal of Cleaner Production</w:t>
      </w:r>
      <w:r>
        <w:rPr>
          <w:sz w:val="28"/>
          <w:szCs w:val="28"/>
        </w:rPr>
        <w:t>, 293, 126175. https://doi.org/10.1016/j.jclepro.2021.126175</w:t>
      </w:r>
    </w:p>
    <w:p>
      <w:pPr>
        <w:pStyle w:val="style94"/>
        <w:spacing w:lineRule="auto" w:line="480"/>
        <w:ind w:left="720" w:hanging="720"/>
        <w:jc w:val="both"/>
        <w:rPr>
          <w:sz w:val="28"/>
          <w:szCs w:val="28"/>
        </w:rPr>
      </w:pPr>
      <w:r>
        <w:rPr>
          <w:sz w:val="28"/>
          <w:szCs w:val="28"/>
        </w:rPr>
        <w:t xml:space="preserve">Zhou, J., Liu, J., Zhang, H., </w:t>
      </w:r>
      <w:r>
        <w:rPr>
          <w:i/>
          <w:sz w:val="28"/>
          <w:szCs w:val="28"/>
        </w:rPr>
        <w:t>et al</w:t>
      </w:r>
      <w:r>
        <w:rPr>
          <w:sz w:val="28"/>
          <w:szCs w:val="28"/>
        </w:rPr>
        <w:t xml:space="preserve">. (2020). Effects of organic amendments on soil fungal communities and plant productivity. </w:t>
      </w:r>
      <w:r>
        <w:rPr>
          <w:i/>
          <w:iCs/>
          <w:sz w:val="28"/>
          <w:szCs w:val="28"/>
        </w:rPr>
        <w:t>Applied Soil Ecology, 147</w:t>
      </w:r>
      <w:r>
        <w:rPr>
          <w:sz w:val="28"/>
          <w:szCs w:val="28"/>
        </w:rPr>
        <w:t>, 103367. https://doi.org/10.1016/j.apsoil.2019.103367</w:t>
      </w:r>
    </w:p>
    <w:p>
      <w:pPr>
        <w:pStyle w:val="style94"/>
        <w:spacing w:lineRule="auto" w:line="480"/>
        <w:ind w:left="720" w:hanging="720"/>
        <w:jc w:val="both"/>
        <w:rPr>
          <w:sz w:val="28"/>
          <w:szCs w:val="28"/>
        </w:rPr>
      </w:pPr>
      <w:r>
        <w:rPr>
          <w:sz w:val="28"/>
          <w:szCs w:val="28"/>
        </w:rPr>
        <w:t xml:space="preserve">Zhou, W., Sun, H., &amp; Chen, D. (2020). Sustainable soil management: Role of organic amendments on microbial diversity. </w:t>
      </w:r>
      <w:r>
        <w:rPr>
          <w:rStyle w:val="style88"/>
          <w:sz w:val="28"/>
          <w:szCs w:val="28"/>
        </w:rPr>
        <w:t>Agriculture, Ecosystems &amp; Environment</w:t>
      </w:r>
      <w:r>
        <w:rPr>
          <w:sz w:val="28"/>
          <w:szCs w:val="28"/>
        </w:rPr>
        <w:t xml:space="preserve">, 299, 106953. </w:t>
      </w:r>
      <w:r>
        <w:rPr/>
        <w:fldChar w:fldCharType="begin"/>
      </w:r>
      <w:r>
        <w:instrText xml:space="preserve"> HYPERLINK "https://doi.org/10.1016/j.agee.2020.106953" </w:instrText>
      </w:r>
      <w:r>
        <w:rPr/>
        <w:fldChar w:fldCharType="separate"/>
      </w:r>
      <w:r>
        <w:rPr>
          <w:rStyle w:val="style85"/>
          <w:color w:val="auto"/>
          <w:sz w:val="28"/>
          <w:szCs w:val="28"/>
        </w:rPr>
        <w:t>https://doi.org/10.1016/j.agee.2020.106953</w:t>
      </w:r>
      <w:r>
        <w:rPr/>
        <w:fldChar w:fldCharType="end"/>
      </w:r>
    </w:p>
    <w:p>
      <w:pPr>
        <w:pStyle w:val="style94"/>
        <w:spacing w:lineRule="auto" w:line="480"/>
        <w:ind w:left="720" w:hanging="720"/>
        <w:jc w:val="both"/>
        <w:rPr>
          <w:rStyle w:val="style85"/>
          <w:color w:val="auto"/>
          <w:sz w:val="28"/>
          <w:szCs w:val="28"/>
        </w:rPr>
      </w:pPr>
      <w:r>
        <w:rPr>
          <w:sz w:val="28"/>
          <w:szCs w:val="28"/>
        </w:rPr>
        <w:t xml:space="preserve">Zhou, Y., Wang, S., &amp; Luo, Z. (2021). Soil fungal responses to climate change and organic amendments: Challenges and opportunities. </w:t>
      </w:r>
      <w:r>
        <w:rPr>
          <w:rStyle w:val="style88"/>
          <w:sz w:val="28"/>
          <w:szCs w:val="28"/>
        </w:rPr>
        <w:t>Frontiers in Microbiology</w:t>
      </w:r>
      <w:r>
        <w:rPr>
          <w:sz w:val="28"/>
          <w:szCs w:val="28"/>
        </w:rPr>
        <w:t xml:space="preserve">, 12, 727113. </w:t>
      </w:r>
      <w:r>
        <w:rPr/>
        <w:fldChar w:fldCharType="begin"/>
      </w:r>
      <w:r>
        <w:instrText xml:space="preserve"> HYPERLINK "https://doi.org/10.3389/fmicb.2021.727113" </w:instrText>
      </w:r>
      <w:r>
        <w:rPr/>
        <w:fldChar w:fldCharType="separate"/>
      </w:r>
      <w:r>
        <w:rPr>
          <w:rStyle w:val="style85"/>
          <w:color w:val="auto"/>
          <w:sz w:val="28"/>
          <w:szCs w:val="28"/>
        </w:rPr>
        <w:t>https://doi.org/10.3389/fmicb.2021.727113</w:t>
      </w:r>
      <w:r>
        <w:rPr/>
        <w:fldChar w:fldCharType="end"/>
      </w:r>
    </w:p>
    <w:p>
      <w:pPr>
        <w:pStyle w:val="style94"/>
        <w:spacing w:lineRule="auto" w:line="480"/>
        <w:ind w:left="720" w:hanging="720"/>
        <w:jc w:val="both"/>
        <w:rPr>
          <w:rStyle w:val="style85"/>
          <w:color w:val="auto"/>
          <w:sz w:val="28"/>
          <w:szCs w:val="28"/>
        </w:rPr>
      </w:pPr>
    </w:p>
    <w:p>
      <w:pPr>
        <w:pStyle w:val="style94"/>
        <w:spacing w:lineRule="auto" w:line="480"/>
        <w:ind w:left="720" w:hanging="720"/>
        <w:jc w:val="both"/>
        <w:rPr>
          <w:rStyle w:val="style85"/>
          <w:color w:val="auto"/>
          <w:sz w:val="28"/>
          <w:szCs w:val="28"/>
        </w:rPr>
      </w:pPr>
    </w:p>
    <w:p>
      <w:pPr>
        <w:pStyle w:val="style94"/>
        <w:spacing w:lineRule="auto" w:line="480"/>
        <w:ind w:left="720" w:hanging="720"/>
        <w:jc w:val="both"/>
        <w:rPr>
          <w:sz w:val="28"/>
          <w:szCs w:val="28"/>
        </w:rPr>
      </w:pPr>
    </w:p>
    <w:p>
      <w:pPr>
        <w:pStyle w:val="style94"/>
        <w:spacing w:lineRule="auto" w:line="480"/>
        <w:jc w:val="both"/>
        <w:rPr>
          <w:sz w:val="28"/>
          <w:szCs w:val="28"/>
        </w:rPr>
      </w:pPr>
    </w:p>
    <w:p>
      <w:pPr>
        <w:pStyle w:val="style0"/>
        <w:spacing w:lineRule="auto" w:line="480"/>
        <w:jc w:val="both"/>
        <w:rPr>
          <w:rFonts w:ascii="Times New Roman" w:cs="Times New Roman" w:hAnsi="Times New Roman"/>
          <w:sz w:val="28"/>
          <w:szCs w:val="28"/>
        </w:rPr>
      </w:pPr>
    </w:p>
    <w:sectPr>
      <w:pgSz w:w="11520" w:h="14400" w:orient="portrait" w:code="1"/>
      <w:pgMar w:top="1440" w:right="1440" w:bottom="1440" w:left="1440" w:header="706" w:footer="706"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BB74E92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2B1AC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0000002"/>
    <w:multiLevelType w:val="multilevel"/>
    <w:tmpl w:val="5E10F9F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5E24080C"/>
    <w:lvl w:ilvl="0">
      <w:start w:val="1"/>
      <w:numFmt w:val="decimal"/>
      <w:lvlText w:val="%1"/>
      <w:lvlJc w:val="left"/>
      <w:pPr>
        <w:ind w:left="360" w:hanging="360"/>
      </w:pPr>
      <w:rPr>
        <w:rFonts w:ascii="Calibri" w:cs="宋体" w:eastAsia="Calibri" w:hAnsi="Calibri" w:hint="default"/>
      </w:rPr>
    </w:lvl>
    <w:lvl w:ilvl="1">
      <w:start w:val="4"/>
      <w:numFmt w:val="decimal"/>
      <w:lvlText w:val="%1.%2"/>
      <w:lvlJc w:val="left"/>
      <w:pPr>
        <w:ind w:left="360" w:hanging="360"/>
      </w:pPr>
      <w:rPr>
        <w:rFonts w:ascii="Calibri" w:cs="宋体" w:eastAsia="Calibri" w:hAnsi="Calibri" w:hint="default"/>
      </w:rPr>
    </w:lvl>
    <w:lvl w:ilvl="2">
      <w:start w:val="1"/>
      <w:numFmt w:val="decimal"/>
      <w:lvlText w:val="%1.%2.%3"/>
      <w:lvlJc w:val="left"/>
      <w:pPr>
        <w:ind w:left="720" w:hanging="720"/>
      </w:pPr>
      <w:rPr>
        <w:rFonts w:ascii="Calibri" w:cs="宋体" w:eastAsia="Calibri" w:hAnsi="Calibri" w:hint="default"/>
      </w:rPr>
    </w:lvl>
    <w:lvl w:ilvl="3">
      <w:start w:val="1"/>
      <w:numFmt w:val="decimal"/>
      <w:lvlText w:val="%1.%2.%3.%4"/>
      <w:lvlJc w:val="left"/>
      <w:pPr>
        <w:ind w:left="1080" w:hanging="1080"/>
      </w:pPr>
      <w:rPr>
        <w:rFonts w:ascii="Calibri" w:cs="宋体" w:eastAsia="Calibri" w:hAnsi="Calibri" w:hint="default"/>
      </w:rPr>
    </w:lvl>
    <w:lvl w:ilvl="4">
      <w:start w:val="1"/>
      <w:numFmt w:val="decimal"/>
      <w:lvlText w:val="%1.%2.%3.%4.%5"/>
      <w:lvlJc w:val="left"/>
      <w:pPr>
        <w:ind w:left="1080" w:hanging="1080"/>
      </w:pPr>
      <w:rPr>
        <w:rFonts w:ascii="Calibri" w:cs="宋体" w:eastAsia="Calibri" w:hAnsi="Calibri" w:hint="default"/>
      </w:rPr>
    </w:lvl>
    <w:lvl w:ilvl="5">
      <w:start w:val="1"/>
      <w:numFmt w:val="decimal"/>
      <w:lvlText w:val="%1.%2.%3.%4.%5.%6"/>
      <w:lvlJc w:val="left"/>
      <w:pPr>
        <w:ind w:left="1440" w:hanging="1440"/>
      </w:pPr>
      <w:rPr>
        <w:rFonts w:ascii="Calibri" w:cs="宋体" w:eastAsia="Calibri" w:hAnsi="Calibri" w:hint="default"/>
      </w:rPr>
    </w:lvl>
    <w:lvl w:ilvl="6">
      <w:start w:val="1"/>
      <w:numFmt w:val="decimal"/>
      <w:lvlText w:val="%1.%2.%3.%4.%5.%6.%7"/>
      <w:lvlJc w:val="left"/>
      <w:pPr>
        <w:ind w:left="1440" w:hanging="1440"/>
      </w:pPr>
      <w:rPr>
        <w:rFonts w:ascii="Calibri" w:cs="宋体" w:eastAsia="Calibri" w:hAnsi="Calibri" w:hint="default"/>
      </w:rPr>
    </w:lvl>
    <w:lvl w:ilvl="7">
      <w:start w:val="1"/>
      <w:numFmt w:val="decimal"/>
      <w:lvlText w:val="%1.%2.%3.%4.%5.%6.%7.%8"/>
      <w:lvlJc w:val="left"/>
      <w:pPr>
        <w:ind w:left="1800" w:hanging="1800"/>
      </w:pPr>
      <w:rPr>
        <w:rFonts w:ascii="Calibri" w:cs="宋体" w:eastAsia="Calibri" w:hAnsi="Calibri" w:hint="default"/>
      </w:rPr>
    </w:lvl>
    <w:lvl w:ilvl="8">
      <w:start w:val="1"/>
      <w:numFmt w:val="decimal"/>
      <w:lvlText w:val="%1.%2.%3.%4.%5.%6.%7.%8.%9"/>
      <w:lvlJc w:val="left"/>
      <w:pPr>
        <w:ind w:left="2160" w:hanging="2160"/>
      </w:pPr>
      <w:rPr>
        <w:rFonts w:ascii="Calibri" w:cs="宋体" w:eastAsia="Calibri" w:hAnsi="Calibri" w:hint="default"/>
      </w:rPr>
    </w:lvl>
  </w:abstractNum>
  <w:abstractNum w:abstractNumId="4">
    <w:nsid w:val="00000004"/>
    <w:multiLevelType w:val="hybridMultilevel"/>
    <w:tmpl w:val="6144D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32"/>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104"/>
    <w:qFormat/>
    <w:uiPriority w:val="9"/>
    <w:pPr>
      <w:keepNext/>
      <w:keepLines/>
      <w:spacing w:before="240" w:after="0"/>
      <w:outlineLvl w:val="0"/>
    </w:pPr>
    <w:rPr>
      <w:rFonts w:ascii="Calibri Light" w:cs="宋体" w:eastAsia="宋体" w:hAnsi="Calibri Light"/>
      <w:color w:val="2e74b5"/>
      <w:sz w:val="32"/>
      <w:szCs w:val="32"/>
    </w:rPr>
  </w:style>
  <w:style w:type="paragraph" w:styleId="style2">
    <w:name w:val="heading 2"/>
    <w:basedOn w:val="style0"/>
    <w:next w:val="style2"/>
    <w:link w:val="style4099"/>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rPr>
  </w:style>
  <w:style w:type="paragraph" w:styleId="style3">
    <w:name w:val="heading 3"/>
    <w:basedOn w:val="style0"/>
    <w:next w:val="style3"/>
    <w:link w:val="style4100"/>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0"/>
    <w:link w:val="style4101"/>
    <w:qFormat/>
    <w:uiPriority w:val="9"/>
    <w:pPr>
      <w:keepNext/>
      <w:keepLines/>
      <w:spacing w:before="40" w:after="0"/>
      <w:outlineLvl w:val="3"/>
    </w:pPr>
    <w:rPr>
      <w:rFonts w:ascii="Calibri Light" w:cs="宋体" w:eastAsia="宋体" w:hAnsi="Calibri Light"/>
      <w:i/>
      <w:iCs/>
      <w:color w:val="2e74b5"/>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8">
    <w:name w:val="Emphasis"/>
    <w:basedOn w:val="style65"/>
    <w:next w:val="style88"/>
    <w:qFormat/>
    <w:uiPriority w:val="20"/>
    <w:rPr>
      <w:i/>
      <w:iCs/>
    </w:rPr>
  </w:style>
  <w:style w:type="character" w:styleId="style87">
    <w:name w:val="Strong"/>
    <w:basedOn w:val="style65"/>
    <w:next w:val="style87"/>
    <w:qFormat/>
    <w:uiPriority w:val="22"/>
    <w:rPr>
      <w:b/>
      <w:bCs/>
    </w:rPr>
  </w:style>
  <w:style w:type="character" w:styleId="style85">
    <w:name w:val="Hyperlink"/>
    <w:basedOn w:val="style65"/>
    <w:next w:val="style85"/>
    <w:uiPriority w:val="99"/>
    <w:rPr>
      <w:color w:val="0563c1"/>
      <w:u w:val="single"/>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35e3f4b1-1f6e-439b-99f9-1d562284bf5c"/>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b41747bc-2d9f-4015-a9d5-e007ce3514b7"/>
    <w:basedOn w:val="style65"/>
    <w:next w:val="style4098"/>
    <w:link w:val="style32"/>
    <w:uiPriority w:val="99"/>
  </w:style>
  <w:style w:type="character" w:customStyle="1" w:styleId="style4099">
    <w:name w:val="Heading 2 Char_520d2649-ca8f-44ce-99b7-6033d6739fe3"/>
    <w:basedOn w:val="style65"/>
    <w:next w:val="style4099"/>
    <w:link w:val="style2"/>
    <w:uiPriority w:val="9"/>
    <w:rPr>
      <w:rFonts w:ascii="Times New Roman" w:cs="Times New Roman" w:eastAsia="Times New Roman" w:hAnsi="Times New Roman"/>
      <w:b/>
      <w:bCs/>
      <w:sz w:val="36"/>
      <w:szCs w:val="36"/>
    </w:rPr>
  </w:style>
  <w:style w:type="character" w:customStyle="1" w:styleId="style4100">
    <w:name w:val="Heading 3 Char_8711060b-066a-411f-a70f-ffb6ddb0e00c"/>
    <w:basedOn w:val="style65"/>
    <w:next w:val="style4100"/>
    <w:link w:val="style3"/>
    <w:uiPriority w:val="9"/>
    <w:rPr>
      <w:rFonts w:ascii="Times New Roman" w:cs="Times New Roman" w:eastAsia="Times New Roman" w:hAnsi="Times New Roman"/>
      <w:b/>
      <w:bCs/>
      <w:sz w:val="27"/>
      <w:szCs w:val="27"/>
    </w:rPr>
  </w:style>
  <w:style w:type="character" w:customStyle="1" w:styleId="style4101">
    <w:name w:val="Heading 4 Char_edc013b2-d96b-4a55-b4e4-37a20e5c1540"/>
    <w:basedOn w:val="style65"/>
    <w:next w:val="style4101"/>
    <w:link w:val="style4"/>
    <w:uiPriority w:val="9"/>
    <w:rPr>
      <w:rFonts w:ascii="Calibri Light" w:cs="宋体" w:eastAsia="宋体" w:hAnsi="Calibri Light"/>
      <w:i/>
      <w:iCs/>
      <w:color w:val="2e74b5"/>
    </w:rPr>
  </w:style>
  <w:style w:type="table" w:customStyle="1" w:styleId="style4102">
    <w:name w:val="List Table 2"/>
    <w:basedOn w:val="style105"/>
    <w:next w:val="style4102"/>
    <w:uiPriority w:val="47"/>
    <w:pPr>
      <w:spacing w:after="0" w:lineRule="auto" w:line="240"/>
    </w:pPr>
    <w:rPr/>
    <w:tblPr>
      <w:tblStyleRowBandSize w:val="1"/>
      <w:tblStyleColBandSize w:val="1"/>
      <w:tblBorders>
        <w:top w:val="single" w:sz="4" w:space="0" w:color="666666"/>
        <w:bottom w:val="single" w:sz="4" w:space="0" w:color="666666"/>
        <w:insideH w:val="single" w:sz="4" w:space="0" w:color="666666"/>
      </w:tblBorders>
    </w:tblPr>
    <w:tblStylePr w:type="firstRow">
      <w:pPr/>
      <w:rPr>
        <w:b/>
        <w:bCs/>
      </w:rPr>
      <w:tcPr>
        <w:tcBorders/>
      </w:tcPr>
    </w:tblStylePr>
    <w:tblStylePr w:type="lastRow">
      <w:pPr/>
      <w:rPr>
        <w:b/>
        <w:bCs/>
      </w:rPr>
      <w:tcPr>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table" w:customStyle="1" w:styleId="style4103">
    <w:name w:val="List Table 6 Colorful"/>
    <w:basedOn w:val="style105"/>
    <w:next w:val="style4103"/>
    <w:uiPriority w:val="51"/>
    <w:pPr>
      <w:spacing w:after="0" w:lineRule="auto" w:line="240"/>
    </w:pPr>
    <w:rPr>
      <w:color w:val="000000"/>
    </w:rPr>
    <w:tblPr>
      <w:tblStyleRowBandSize w:val="1"/>
      <w:tblStyleColBandSize w:val="1"/>
      <w:tblBorders>
        <w:top w:val="single" w:sz="4" w:space="0" w:color="000000"/>
        <w:bottom w:val="single" w:sz="4" w:space="0" w:color="000000"/>
      </w:tblBorders>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character" w:customStyle="1" w:styleId="style4104">
    <w:name w:val="Heading 1 Char_b809baba-da33-4c72-976a-f9670db1fa8d"/>
    <w:basedOn w:val="style65"/>
    <w:next w:val="style4104"/>
    <w:link w:val="style1"/>
    <w:uiPriority w:val="9"/>
    <w:rPr>
      <w:rFonts w:ascii="Calibri Light" w:cs="宋体" w:eastAsia="宋体" w:hAnsi="Calibri Light"/>
      <w:color w:val="2e74b5"/>
      <w:sz w:val="32"/>
      <w:szCs w:val="32"/>
    </w:rPr>
  </w:style>
  <w:style w:type="paragraph" w:styleId="style266">
    <w:name w:val="TOC Heading"/>
    <w:basedOn w:val="style1"/>
    <w:next w:val="style0"/>
    <w:qFormat/>
    <w:uiPriority w:val="39"/>
    <w:pPr>
      <w:outlineLvl w:val="9"/>
    </w:pPr>
    <w:rPr/>
  </w:style>
  <w:style w:type="paragraph" w:styleId="style19">
    <w:name w:val="toc 1"/>
    <w:basedOn w:val="style0"/>
    <w:next w:val="style0"/>
    <w:uiPriority w:val="39"/>
    <w:pPr>
      <w:spacing w:after="10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image" Target="media/image1.png"/><Relationship Id="rId4" Type="http://schemas.openxmlformats.org/officeDocument/2006/relationships/image" Target="media/image2.png"/><Relationship Id="rId10" Type="http://schemas.openxmlformats.org/officeDocument/2006/relationships/customXml" Target="../customXml/item1.xml"/><Relationship Id="rId9" Type="http://schemas.openxmlformats.org/officeDocument/2006/relationships/theme" Target="theme/theme1.xml"/><Relationship Id="rId5" Type="http://schemas.openxmlformats.org/officeDocument/2006/relationships/image" Target="media/image3.png"/><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529A0-9247-4FBC-B110-E122BCFA0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Words>5763</Words>
  <Pages>45</Pages>
  <Characters>36550</Characters>
  <Application>WPS Office</Application>
  <DocSecurity>0</DocSecurity>
  <Paragraphs>438</Paragraphs>
  <ScaleCrop>false</ScaleCrop>
  <LinksUpToDate>false</LinksUpToDate>
  <CharactersWithSpaces>42852</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2025-05-31T11:08:00Z</dcterms:created>
  <dc:creator>Microsoft account</dc:creator>
  <lastModifiedBy>Infinix X683</lastModifiedBy>
  <dcterms:modified xsi:type="dcterms:W3CDTF">2025-07-11T09:54:00Z</dcterms:modified>
  <revision>11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021e47e8-d2d5-4f47-aa0d-0ddcb3234927</vt:lpwstr>
  </property>
  <property fmtid="{D5CDD505-2E9C-101B-9397-08002B2CF9AE}" pid="3" name="ICV">
    <vt:lpwstr>edb516a0e0914dacafc16dc4ed817258</vt:lpwstr>
  </property>
</Properties>
</file>