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0907199D" w14:textId="7CF93A72" w:rsidR="00EC365F" w:rsidRPr="00EC365F" w:rsidRDefault="00EC365F" w:rsidP="00EC365F">
      <w:pPr>
        <w:jc w:val="center"/>
        <w:rPr>
          <w:rFonts w:ascii="Times New Roman" w:hAnsi="Times New Roman" w:cs="Times New Roman"/>
          <w:b/>
          <w:sz w:val="28"/>
          <w:szCs w:val="28"/>
        </w:rPr>
      </w:pPr>
      <w:r w:rsidRPr="00EC365F">
        <w:rPr>
          <w:rFonts w:ascii="Times New Roman" w:hAnsi="Times New Roman" w:cs="Times New Roman"/>
          <w:b/>
          <w:sz w:val="28"/>
          <w:szCs w:val="28"/>
        </w:rPr>
        <w:t xml:space="preserve">ALAO MARIAM OLUWATOSIN </w:t>
      </w:r>
    </w:p>
    <w:p w14:paraId="71BC414D" w14:textId="50A8360B" w:rsidR="00556414" w:rsidRDefault="00EC365F" w:rsidP="00EC365F">
      <w:pPr>
        <w:jc w:val="center"/>
        <w:rPr>
          <w:rFonts w:ascii="Times New Roman" w:hAnsi="Times New Roman" w:cs="Times New Roman"/>
          <w:b/>
          <w:sz w:val="28"/>
          <w:szCs w:val="28"/>
        </w:rPr>
      </w:pPr>
      <w:bookmarkStart w:id="0" w:name="_GoBack"/>
      <w:r w:rsidRPr="00EC365F">
        <w:rPr>
          <w:rFonts w:ascii="Times New Roman" w:hAnsi="Times New Roman" w:cs="Times New Roman"/>
          <w:b/>
          <w:sz w:val="28"/>
          <w:szCs w:val="28"/>
        </w:rPr>
        <w:t>HND/23/SLT/FT/0689</w:t>
      </w:r>
    </w:p>
    <w:bookmarkEnd w:id="0"/>
    <w:p w14:paraId="558DC800" w14:textId="77777777" w:rsidR="00EC365F" w:rsidRPr="00556414" w:rsidRDefault="00EC365F" w:rsidP="00EC365F">
      <w:pPr>
        <w:jc w:val="center"/>
        <w:rPr>
          <w:rFonts w:ascii="Times New Roman" w:hAnsi="Times New Roman" w:cs="Times New Roman"/>
          <w:b/>
          <w:sz w:val="28"/>
          <w:szCs w:val="28"/>
        </w:rPr>
      </w:pPr>
    </w:p>
    <w:p w14:paraId="5472029B"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3AF64053" w14:textId="77777777" w:rsidR="000B06A6" w:rsidRDefault="000B06A6" w:rsidP="000B06A6">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140E9575" w14:textId="567FAC16" w:rsidR="000B06A6" w:rsidRDefault="000B06A6" w:rsidP="00AE3A78">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556414" w:rsidRPr="00556414">
        <w:rPr>
          <w:rFonts w:ascii="Times New Roman" w:hAnsi="Times New Roman" w:cs="Times New Roman"/>
          <w:b/>
          <w:sz w:val="28"/>
          <w:szCs w:val="28"/>
        </w:rPr>
        <w:t>BAKARE TEMITOPE BARAKAT</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7D2007">
        <w:rPr>
          <w:rFonts w:ascii="Times New Roman" w:hAnsi="Times New Roman" w:cs="Times New Roman"/>
          <w:b/>
          <w:bCs/>
          <w:sz w:val="28"/>
          <w:szCs w:val="28"/>
        </w:rPr>
        <w:t>HND/23/SLT/FT/</w:t>
      </w:r>
      <w:r w:rsidR="00F82346">
        <w:rPr>
          <w:rFonts w:ascii="Times New Roman" w:hAnsi="Times New Roman" w:cs="Times New Roman"/>
          <w:b/>
          <w:bCs/>
          <w:sz w:val="28"/>
          <w:szCs w:val="28"/>
        </w:rPr>
        <w:t>0</w:t>
      </w:r>
      <w:r w:rsidR="00556414">
        <w:rPr>
          <w:rFonts w:ascii="Times New Roman" w:hAnsi="Times New Roman" w:cs="Times New Roman"/>
          <w:b/>
          <w:bCs/>
          <w:sz w:val="28"/>
          <w:szCs w:val="28"/>
        </w:rPr>
        <w:t>987</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23B6B494" w14:textId="77777777" w:rsidR="000B06A6" w:rsidRDefault="000B06A6" w:rsidP="000B06A6">
      <w:pPr>
        <w:rPr>
          <w:rFonts w:ascii="Times New Roman" w:hAnsi="Times New Roman" w:cs="Times New Roman"/>
          <w:sz w:val="28"/>
          <w:szCs w:val="28"/>
        </w:rPr>
      </w:pPr>
    </w:p>
    <w:p w14:paraId="333A4C96" w14:textId="77D99534" w:rsidR="000B06A6" w:rsidRDefault="00AE3A78"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B06A6">
        <w:rPr>
          <w:rFonts w:ascii="Times New Roman" w:hAnsi="Times New Roman" w:cs="Times New Roman"/>
          <w:sz w:val="28"/>
          <w:szCs w:val="28"/>
        </w:rPr>
        <w:t>…………………………..</w:t>
      </w:r>
    </w:p>
    <w:p w14:paraId="5E98E085"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29EA39D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19B9B9AF" w14:textId="77777777" w:rsidR="000B06A6" w:rsidRDefault="000B06A6" w:rsidP="000B06A6">
      <w:pPr>
        <w:spacing w:after="0" w:line="360" w:lineRule="auto"/>
        <w:rPr>
          <w:rFonts w:ascii="Times New Roman" w:hAnsi="Times New Roman" w:cs="Times New Roman"/>
          <w:sz w:val="28"/>
          <w:szCs w:val="28"/>
        </w:rPr>
      </w:pPr>
    </w:p>
    <w:p w14:paraId="05153A7B" w14:textId="77777777" w:rsidR="000B06A6" w:rsidRDefault="000B06A6" w:rsidP="000B06A6">
      <w:pPr>
        <w:spacing w:after="0" w:line="360" w:lineRule="auto"/>
        <w:rPr>
          <w:rFonts w:ascii="Times New Roman" w:hAnsi="Times New Roman" w:cs="Times New Roman"/>
          <w:sz w:val="28"/>
          <w:szCs w:val="28"/>
        </w:rPr>
      </w:pPr>
    </w:p>
    <w:p w14:paraId="1A71343D"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3EDBA71"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52162FF5"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83A989B" w14:textId="77777777" w:rsidR="000B06A6" w:rsidRDefault="000B06A6" w:rsidP="000B06A6">
      <w:pPr>
        <w:spacing w:after="0" w:line="360" w:lineRule="auto"/>
        <w:rPr>
          <w:rFonts w:ascii="Times New Roman" w:hAnsi="Times New Roman" w:cs="Times New Roman"/>
          <w:sz w:val="28"/>
          <w:szCs w:val="28"/>
        </w:rPr>
      </w:pPr>
    </w:p>
    <w:p w14:paraId="3AFD3A8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1FBB9DDF"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BA4306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64E1C8B1" w14:textId="77777777" w:rsidR="000B06A6" w:rsidRDefault="000B06A6" w:rsidP="000B06A6">
      <w:pPr>
        <w:spacing w:after="0" w:line="360" w:lineRule="auto"/>
        <w:rPr>
          <w:rFonts w:ascii="Times New Roman" w:hAnsi="Times New Roman" w:cs="Times New Roman"/>
          <w:sz w:val="28"/>
          <w:szCs w:val="28"/>
        </w:rPr>
      </w:pPr>
    </w:p>
    <w:p w14:paraId="44DD1015" w14:textId="77777777" w:rsidR="000B06A6" w:rsidRDefault="000B06A6" w:rsidP="000B06A6">
      <w:pPr>
        <w:spacing w:after="0" w:line="360" w:lineRule="auto"/>
        <w:rPr>
          <w:rFonts w:ascii="Times New Roman" w:hAnsi="Times New Roman" w:cs="Times New Roman"/>
          <w:sz w:val="28"/>
          <w:szCs w:val="28"/>
        </w:rPr>
      </w:pPr>
    </w:p>
    <w:p w14:paraId="6FBED10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06665D8E"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26726BC8" w14:textId="77777777" w:rsidR="00AE3A78" w:rsidRDefault="00AE3A78" w:rsidP="000B06A6">
      <w:pPr>
        <w:ind w:left="2880" w:firstLine="720"/>
        <w:jc w:val="both"/>
        <w:rPr>
          <w:rFonts w:ascii="Times New Roman" w:hAnsi="Times New Roman" w:cs="Times New Roman"/>
          <w:b/>
          <w:bCs/>
          <w:sz w:val="28"/>
          <w:szCs w:val="28"/>
        </w:rPr>
      </w:pPr>
    </w:p>
    <w:p w14:paraId="201FB9E0" w14:textId="77777777" w:rsidR="000B06A6" w:rsidRDefault="000B06A6" w:rsidP="000B06A6">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26B64573" w14:textId="49626270" w:rsidR="000B06A6" w:rsidRDefault="00556414" w:rsidP="00556414">
      <w:pPr>
        <w:spacing w:line="480" w:lineRule="auto"/>
        <w:rPr>
          <w:rFonts w:ascii="Times New Roman" w:eastAsia="Times New Roman" w:hAnsi="Times New Roman" w:cs="Times New Roman"/>
          <w:sz w:val="28"/>
          <w:szCs w:val="28"/>
        </w:rPr>
      </w:pPr>
      <w:r w:rsidRPr="00556414">
        <w:rPr>
          <w:rFonts w:ascii="Times New Roman" w:eastAsia="Times New Roman" w:hAnsi="Times New Roman" w:cs="Times New Roman"/>
          <w:sz w:val="28"/>
          <w:szCs w:val="28"/>
        </w:rPr>
        <w:t>I dedicate this project to the Almighty Allah, whose grace, guidance, and strength have seen me through every step of this journey. Without His divine support, this journey would not have been pos</w:t>
      </w:r>
      <w:r>
        <w:rPr>
          <w:rFonts w:ascii="Times New Roman" w:eastAsia="Times New Roman" w:hAnsi="Times New Roman" w:cs="Times New Roman"/>
          <w:sz w:val="28"/>
          <w:szCs w:val="28"/>
        </w:rPr>
        <w:t>sible. To Him be all the glory.</w:t>
      </w:r>
      <w:r w:rsidR="000B06A6">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6BB6946F" w14:textId="152F8CB6" w:rsidR="00556414" w:rsidRPr="00556414" w:rsidRDefault="00556414" w:rsidP="00556414">
      <w:pPr>
        <w:spacing w:line="480" w:lineRule="auto"/>
        <w:jc w:val="both"/>
        <w:rPr>
          <w:rFonts w:ascii="Times New Roman" w:hAnsi="Times New Roman" w:cs="Times New Roman"/>
          <w:sz w:val="28"/>
          <w:szCs w:val="28"/>
        </w:rPr>
      </w:pPr>
      <w:r w:rsidRPr="00556414">
        <w:rPr>
          <w:rFonts w:ascii="Times New Roman" w:hAnsi="Times New Roman" w:cs="Times New Roman"/>
          <w:sz w:val="28"/>
          <w:szCs w:val="28"/>
        </w:rPr>
        <w:t>First and foremost, I give all thanks to Allah for His unfailing love, mercy, and wisdom throughout the course of this p</w:t>
      </w:r>
      <w:r>
        <w:rPr>
          <w:rFonts w:ascii="Times New Roman" w:hAnsi="Times New Roman" w:cs="Times New Roman"/>
          <w:sz w:val="28"/>
          <w:szCs w:val="28"/>
        </w:rPr>
        <w:t>roject and my academic journey.</w:t>
      </w:r>
    </w:p>
    <w:p w14:paraId="6A2A2780" w14:textId="080E7D76" w:rsidR="007D2007" w:rsidRPr="00556414" w:rsidRDefault="00556414" w:rsidP="00556414">
      <w:pPr>
        <w:spacing w:line="480" w:lineRule="auto"/>
        <w:jc w:val="both"/>
        <w:rPr>
          <w:rFonts w:ascii="Times New Roman" w:hAnsi="Times New Roman" w:cs="Times New Roman"/>
          <w:sz w:val="28"/>
          <w:szCs w:val="28"/>
        </w:rPr>
      </w:pPr>
      <w:r w:rsidRPr="00556414">
        <w:rPr>
          <w:rFonts w:ascii="Times New Roman" w:hAnsi="Times New Roman" w:cs="Times New Roman"/>
          <w:sz w:val="28"/>
          <w:szCs w:val="28"/>
        </w:rPr>
        <w:t>I extend my heartfelt gratitude to my wonderful parents, Mr. and Mrs. Bakare, for their unwavering support, encouragement, and prayers. Your love h</w:t>
      </w:r>
      <w:r>
        <w:rPr>
          <w:rFonts w:ascii="Times New Roman" w:hAnsi="Times New Roman" w:cs="Times New Roman"/>
          <w:sz w:val="28"/>
          <w:szCs w:val="28"/>
        </w:rPr>
        <w:t xml:space="preserve">as been my greatest motivation. </w:t>
      </w:r>
      <w:r w:rsidRPr="00556414">
        <w:rPr>
          <w:rFonts w:ascii="Times New Roman" w:hAnsi="Times New Roman" w:cs="Times New Roman"/>
          <w:sz w:val="28"/>
          <w:szCs w:val="28"/>
        </w:rPr>
        <w:t>I would also like to express my sincere appreciation to my project supervisor, Mr Ibrahim A.W for his valuable guidance, insightful suggestions, and constant support throughout the course of this research. His mentorship made a significant difference in the outcome of this work.</w:t>
      </w:r>
      <w:r>
        <w:rPr>
          <w:rFonts w:ascii="Times New Roman" w:hAnsi="Times New Roman" w:cs="Times New Roman"/>
          <w:sz w:val="28"/>
          <w:szCs w:val="28"/>
        </w:rPr>
        <w:t xml:space="preserve"> </w:t>
      </w:r>
      <w:r w:rsidRPr="00556414">
        <w:rPr>
          <w:rFonts w:ascii="Times New Roman" w:hAnsi="Times New Roman" w:cs="Times New Roman"/>
          <w:sz w:val="28"/>
          <w:szCs w:val="28"/>
        </w:rPr>
        <w:t xml:space="preserve"> My special appreciation goes to my brother and sister(Quadri,Fawas &amp;Sophiat)For their support and prayers.To everyone who has participated in this part of my journey thank you all</w:t>
      </w:r>
      <w:r>
        <w:rPr>
          <w:rFonts w:ascii="Times New Roman" w:hAnsi="Times New Roman" w:cs="Times New Roman"/>
          <w:sz w:val="28"/>
          <w:szCs w:val="28"/>
        </w:rPr>
        <w:t>.</w:t>
      </w:r>
      <w:r w:rsidRPr="00556414">
        <w:rPr>
          <w:rFonts w:ascii="Times New Roman" w:hAnsi="Times New Roman" w:cs="Times New Roman"/>
          <w:sz w:val="28"/>
          <w:szCs w:val="28"/>
        </w:rPr>
        <w:t xml:space="preserve"> Last but not least,I want to thank me for believing in me,I want to thank me for doing all this hard work,I wanna thank me for having no days off,I want to thank me for never quitting,I want to thank me for always being a giver,and trying to give more than I recieve,I want to thank me for me doing me right than wrong,I want to tha</w:t>
      </w:r>
      <w:r>
        <w:rPr>
          <w:rFonts w:ascii="Times New Roman" w:hAnsi="Times New Roman" w:cs="Times New Roman"/>
          <w:sz w:val="28"/>
          <w:szCs w:val="28"/>
        </w:rPr>
        <w:t>nk me for being me at all time.</w:t>
      </w:r>
    </w:p>
    <w:p w14:paraId="62778498" w14:textId="6E12C4F9" w:rsidR="00093233" w:rsidRPr="00093233" w:rsidRDefault="000B06A6" w:rsidP="00093233">
      <w:pPr>
        <w:spacing w:line="48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lastRenderedPageBreak/>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(Cimex lectularius), hematophagous ectoparasites,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MacConkey agar, and Sabouraud dextrose agar, followed by biochemical and morphological characterization of isolates. Results revealed a high microbial load, especially in samples from hospital wards and student hostels. Predominant bacterial isolates included Staphylococcus aureus, Escherichia coli, and Pseudomonas aeruginosa, while fungal isolates such as Aspergillus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B7051E">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B7051E">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B7051E">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B7051E">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B7051E">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B7051E">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B7051E">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B7051E">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B7051E">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B7051E">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B7051E">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B7051E">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B7051E">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B7051E">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B7051E">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B7051E">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B7051E">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B7051E">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B7051E">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B7051E">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B7051E">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8"/>
          <w:headerReference w:type="default" r:id="rId9"/>
          <w:footerReference w:type="even" r:id="rId10"/>
          <w:footerReference w:type="default" r:id="rId11"/>
          <w:headerReference w:type="first" r:id="rId12"/>
          <w:footerReference w:type="first" r:id="rId13"/>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r w:rsidRPr="004A4510">
        <w:rPr>
          <w:rStyle w:val="Emphasis"/>
          <w:sz w:val="28"/>
          <w:szCs w:val="28"/>
        </w:rPr>
        <w:t>Cimex lectularius</w:t>
      </w:r>
      <w:r w:rsidRPr="004A4510">
        <w:rPr>
          <w:sz w:val="28"/>
          <w:szCs w:val="28"/>
        </w:rPr>
        <w:t xml:space="preserve">) are hematophagous ectoparasites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(Ademola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Staphylococcus aureus</w:t>
      </w:r>
      <w:r w:rsidRPr="004A4510">
        <w:rPr>
          <w:sz w:val="28"/>
          <w:szCs w:val="28"/>
        </w:rPr>
        <w:t xml:space="preserve">, </w:t>
      </w:r>
      <w:r w:rsidRPr="004A4510">
        <w:rPr>
          <w:rStyle w:val="Emphasis"/>
          <w:sz w:val="28"/>
          <w:szCs w:val="28"/>
        </w:rPr>
        <w:t>Pseudomonas aeruginosa</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(Masroujeh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flora associated with bedbugs can be endogenous symbiotic bacteria within their gut or exogenous acquired from their environment or </w:t>
      </w:r>
      <w:r w:rsidRPr="004A4510">
        <w:rPr>
          <w:sz w:val="28"/>
          <w:szCs w:val="28"/>
        </w:rPr>
        <w:lastRenderedPageBreak/>
        <w:t xml:space="preserve">host’s skin. The gut microbiota,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 xml:space="preserve">Ilorin metropolis, located in Kwara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(Olatunji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of pathogens and could guide targeted interventions (Obasi and Eze, 2022). This </w:t>
      </w:r>
      <w:r w:rsidRPr="004A4510">
        <w:rPr>
          <w:sz w:val="28"/>
          <w:szCs w:val="28"/>
        </w:rPr>
        <w:lastRenderedPageBreak/>
        <w:t>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methicillin-resistant Staphylococcus aureus</w:t>
      </w:r>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(Shariff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r w:rsidRPr="004A4510">
        <w:rPr>
          <w:rStyle w:val="Emphasis"/>
          <w:sz w:val="28"/>
          <w:szCs w:val="28"/>
        </w:rPr>
        <w:t>Aspergillus</w:t>
      </w:r>
      <w:r w:rsidRPr="004A4510">
        <w:rPr>
          <w:sz w:val="28"/>
          <w:szCs w:val="28"/>
        </w:rPr>
        <w:t xml:space="preserve">, </w:t>
      </w:r>
      <w:r w:rsidRPr="004A4510">
        <w:rPr>
          <w:rStyle w:val="Emphasis"/>
          <w:sz w:val="28"/>
          <w:szCs w:val="28"/>
        </w:rPr>
        <w:t>Penicillium</w:t>
      </w:r>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immunocompromised individuals (Nwankwo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t xml:space="preserve">Bedbugs can migrate passively through clothing, luggage, and second-hand furniture, facilitating the spread of associated microorganisms across </w:t>
      </w:r>
      <w:r w:rsidRPr="004A4510">
        <w:rPr>
          <w:sz w:val="28"/>
          <w:szCs w:val="28"/>
        </w:rPr>
        <w:lastRenderedPageBreak/>
        <w:t>communities and borders. Their resilience to conventional insecticides makes them particularly difficult to eliminate, which contributes to persistent microbial contamination of infested environments (Abiola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 xml:space="preserve">In Nigeria, studies on bedbugs have largely focused on their distribution and pesticide resistance. However, there is a significant research gap in understanding the microbial ecology of bedbugs in Nigerian urban settings (Eze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MacConkey agar, and Sabouraud dextrose agar allow for selective growth of bacteria and fungi, while biochemical and molecular tests offer definitive identification (Agboola </w:t>
      </w:r>
      <w:r w:rsidRPr="004A4510">
        <w:rPr>
          <w:i/>
          <w:sz w:val="28"/>
          <w:szCs w:val="28"/>
        </w:rPr>
        <w:t>et al</w:t>
      </w:r>
      <w:r w:rsidRPr="004A4510">
        <w:rPr>
          <w:sz w:val="28"/>
          <w:szCs w:val="28"/>
        </w:rPr>
        <w:t xml:space="preserve">., 2023). These tools will be </w:t>
      </w:r>
      <w:r w:rsidRPr="004A4510">
        <w:rPr>
          <w:sz w:val="28"/>
          <w:szCs w:val="28"/>
        </w:rPr>
        <w:lastRenderedPageBreak/>
        <w:t>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microbial pathogen associated with bedbugs in Ilorin, this project contributes </w:t>
      </w:r>
      <w:r w:rsidRPr="004A4510">
        <w:rPr>
          <w:sz w:val="28"/>
          <w:szCs w:val="28"/>
        </w:rPr>
        <w:lastRenderedPageBreak/>
        <w:t>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MacConkey agar, and Sabouraud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and characterization. </w:t>
      </w:r>
      <w:r w:rsidRPr="004A4510">
        <w:rPr>
          <w:rFonts w:ascii="Times New Roman" w:eastAsia="Times New Roman" w:hAnsi="Times New Roman" w:cs="Times New Roman"/>
          <w:sz w:val="28"/>
          <w:szCs w:val="28"/>
        </w:rPr>
        <w:lastRenderedPageBreak/>
        <w:t>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sampling was conducted in Ilorin metropolis, the capital of Kwara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MacConkey agar for Gram-negative enteric bacteria, and Sabouraud dextrose agar for fungi. Each medium was weighed and dissolved in distilled water, sterilized by autoclaving at 121°C for 15 minutes, and poured aseptically into sterile Petri dishes. The plates were allowed to </w:t>
      </w:r>
      <w:r w:rsidRPr="004A4510">
        <w:rPr>
          <w:rFonts w:ascii="Times New Roman" w:eastAsia="Times New Roman" w:hAnsi="Times New Roman" w:cs="Times New Roman"/>
          <w:sz w:val="28"/>
          <w:szCs w:val="28"/>
        </w:rPr>
        <w:lastRenderedPageBreak/>
        <w:t>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MacConkey agar, and Sabouraud dextrose agar using a sterile spreader. Plates </w:t>
      </w:r>
      <w:r w:rsidRPr="004A4510">
        <w:rPr>
          <w:rFonts w:ascii="Times New Roman" w:eastAsia="Times New Roman" w:hAnsi="Times New Roman" w:cs="Times New Roman"/>
          <w:sz w:val="28"/>
          <w:szCs w:val="28"/>
        </w:rPr>
        <w:lastRenderedPageBreak/>
        <w:t>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standard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S. aureus</w:t>
      </w:r>
      <w:r w:rsidRPr="004A4510">
        <w:rPr>
          <w:rFonts w:ascii="Times New Roman" w:eastAsia="Times New Roman" w:hAnsi="Times New Roman" w:cs="Times New Roman"/>
          <w:sz w:val="28"/>
          <w:szCs w:val="28"/>
        </w:rPr>
        <w:t xml:space="preserve">) to ensure proper growth before use. Sterility of reagents and tools was confirmed before </w:t>
      </w:r>
      <w:r w:rsidRPr="004A4510">
        <w:rPr>
          <w:rFonts w:ascii="Times New Roman" w:eastAsia="Times New Roman" w:hAnsi="Times New Roman" w:cs="Times New Roman"/>
          <w:sz w:val="28"/>
          <w:szCs w:val="28"/>
        </w:rPr>
        <w:lastRenderedPageBreak/>
        <w:t>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03"/>
        <w:gridCol w:w="1392"/>
        <w:gridCol w:w="1802"/>
        <w:gridCol w:w="2115"/>
        <w:gridCol w:w="1618"/>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MacConkey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t>Note: SDA = Sabouraud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53"/>
        <w:gridCol w:w="1315"/>
        <w:gridCol w:w="1027"/>
        <w:gridCol w:w="1328"/>
        <w:gridCol w:w="1128"/>
        <w:gridCol w:w="1365"/>
        <w:gridCol w:w="1614"/>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Aspergillus</w:t>
            </w:r>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Mucoid</w:t>
            </w:r>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080"/>
        <w:gridCol w:w="1002"/>
        <w:gridCol w:w="1243"/>
        <w:gridCol w:w="1181"/>
        <w:gridCol w:w="979"/>
        <w:gridCol w:w="1072"/>
        <w:gridCol w:w="2073"/>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Indole</w:t>
            </w:r>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 aureus</w:t>
            </w:r>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 aeruginosa</w:t>
            </w:r>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r w:rsidRPr="004A4510">
        <w:rPr>
          <w:rStyle w:val="Emphasis"/>
          <w:sz w:val="28"/>
          <w:szCs w:val="28"/>
        </w:rPr>
        <w:t>Cimex lectularius</w:t>
      </w:r>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2020). The high colony counts observed, particularly from hospital and hostel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Staphylococcus aureus</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Pseudomonas aeruginosa</w:t>
      </w:r>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S. aureus</w:t>
      </w:r>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P. aeruginosa</w:t>
      </w:r>
      <w:r w:rsidRPr="004A4510">
        <w:rPr>
          <w:sz w:val="28"/>
          <w:szCs w:val="28"/>
        </w:rPr>
        <w:t xml:space="preserve"> further raises concern, especially since these organisms are common opportunistic pathogens and known to survive on the cuticle and gut of bedbugs (de Jesús-Gil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r w:rsidRPr="004A4510">
        <w:rPr>
          <w:rStyle w:val="Emphasis"/>
          <w:sz w:val="28"/>
          <w:szCs w:val="28"/>
        </w:rPr>
        <w:t>Aspergillus</w:t>
      </w:r>
      <w:r w:rsidRPr="004A4510">
        <w:rPr>
          <w:sz w:val="28"/>
          <w:szCs w:val="28"/>
        </w:rPr>
        <w:t xml:space="preserve"> spp. and </w:t>
      </w:r>
      <w:r w:rsidRPr="004A4510">
        <w:rPr>
          <w:rStyle w:val="Emphasis"/>
          <w:sz w:val="28"/>
          <w:szCs w:val="28"/>
        </w:rPr>
        <w:t>Candida</w:t>
      </w:r>
      <w:r w:rsidRPr="004A4510">
        <w:rPr>
          <w:sz w:val="28"/>
          <w:szCs w:val="28"/>
        </w:rPr>
        <w:t xml:space="preserve"> spp. were identified on Sabouraud dextrose agar, particularly from hospital wards. This aligns with the findings of Omokhuale </w:t>
      </w:r>
      <w:r w:rsidRPr="004A4510">
        <w:rPr>
          <w:i/>
          <w:sz w:val="28"/>
          <w:szCs w:val="28"/>
        </w:rPr>
        <w:t>et al</w:t>
      </w:r>
      <w:r w:rsidRPr="004A4510">
        <w:rPr>
          <w:sz w:val="28"/>
          <w:szCs w:val="28"/>
        </w:rPr>
        <w:t>. (2022), who demonstrated the ability of bedbugs to harbor opportunistic fungi in environments with high human activity. Fungal contamination may result from the insect’s frequent contact with immunocompromised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Ueckermann and Fakoorziba (2020), bedbugs from healthcare facilities are more likely to </w:t>
      </w:r>
      <w:r w:rsidRPr="004A4510">
        <w:rPr>
          <w:sz w:val="28"/>
          <w:szCs w:val="28"/>
        </w:rPr>
        <w:lastRenderedPageBreak/>
        <w:t>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(2021), who emphasized the reliability of classical microbiological techniques in detecting pathogenic species from arthropod vectors. Notably, the combination of Gram staining, catalase, oxidase, indole,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r w:rsidRPr="004A4510">
        <w:rPr>
          <w:rStyle w:val="Emphasis"/>
          <w:sz w:val="28"/>
          <w:szCs w:val="28"/>
        </w:rPr>
        <w:t>Acinetobacter baumannii</w:t>
      </w:r>
      <w:r w:rsidRPr="004A4510">
        <w:rPr>
          <w:sz w:val="28"/>
          <w:szCs w:val="28"/>
        </w:rPr>
        <w:t xml:space="preserve"> and </w:t>
      </w:r>
      <w:r w:rsidRPr="004A4510">
        <w:rPr>
          <w:rStyle w:val="Emphasis"/>
          <w:sz w:val="28"/>
          <w:szCs w:val="28"/>
        </w:rPr>
        <w:t>Klebsiella pneumoniae</w:t>
      </w:r>
      <w:r w:rsidRPr="004A4510">
        <w:rPr>
          <w:sz w:val="28"/>
          <w:szCs w:val="28"/>
        </w:rPr>
        <w:t>, both known for multidrug resistance (Resh and Cardé,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t xml:space="preserve">Interestingly, the microbial profile observed in Ilorin shows patterns similar to those reported in other urban settings in Africa and globally, confirming the </w:t>
      </w:r>
      <w:r w:rsidRPr="004A4510">
        <w:rPr>
          <w:sz w:val="28"/>
          <w:szCs w:val="28"/>
        </w:rPr>
        <w:lastRenderedPageBreak/>
        <w:t xml:space="preserve">universality of bedbug-associated microbial carriage. However, it also highlights the local environmental influences on microbial diversity, especially in tropical and densely populated communities (Nwanya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Abiola, O. A., and Ahmed, K. A. (2021). Re-emergence of bedbugs and public health implications in Nigerian urban dwellings.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Adelman, Z. N., Miller, D. M., and Myles, K. M. (2020).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Ademola, R. O., Balogun, J., and Aluko, T. (2022).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Agboola, A. F., Olawale, T. A., and Ayeni, T. M. (2023). Microbiological assessment of bedbug populations in southwestern Nigeria.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Brown, C. R., Mathews, S., and Ngugi, M. N. (2023).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de Jesús-Gil, C., Rodríguez, R., and López, D. (2021). Detection of opportunistic bacteria in urban bedbug populations. </w:t>
      </w:r>
      <w:r w:rsidRPr="004A4510">
        <w:rPr>
          <w:rStyle w:val="Emphasis"/>
          <w:sz w:val="28"/>
          <w:szCs w:val="28"/>
        </w:rPr>
        <w:t>Microbial Ecology in Health and Disease</w:t>
      </w:r>
      <w:r w:rsidRPr="004A4510">
        <w:rPr>
          <w:sz w:val="28"/>
          <w:szCs w:val="28"/>
        </w:rPr>
        <w:t>, 32(1), 1901122.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 Blackwell.</w:t>
      </w:r>
    </w:p>
    <w:p w14:paraId="609FEBE2"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w:t>
      </w:r>
    </w:p>
    <w:p w14:paraId="72292DB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Eze, A. N., Nwachukwu, N. C., and Ude, I. K. (2022). Gaps in bedbug control and the spread of bacterial pathogens in Nigerian homes.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Masroujeh, R., Hijazi, N., and Waked, M. (2020). The microbiota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Merlin, S. A., Koffi, T. E., and Tamba, P. (2023). Gut microbiota of </w:t>
      </w:r>
      <w:r w:rsidRPr="004A4510">
        <w:rPr>
          <w:rStyle w:val="Emphasis"/>
          <w:sz w:val="28"/>
          <w:szCs w:val="28"/>
        </w:rPr>
        <w:t>Cimex lectularius</w:t>
      </w:r>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Nwankwo, M. C., Umeh, E. U., and Okafor, C. J. (2023). Isolation of fungal pathogens from urban bedbugs in Nigeria. </w:t>
      </w:r>
      <w:r w:rsidRPr="004A4510">
        <w:rPr>
          <w:rStyle w:val="Emphasis"/>
          <w:sz w:val="28"/>
          <w:szCs w:val="28"/>
        </w:rPr>
        <w:t>Mycopathologia</w:t>
      </w:r>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Nwanya, C. O., Uba, A. C., and Bassey, G. A. (2022). Urban arthropods as emerging carriers of human pathogens in Nigeria.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Obasi, C. F., and Eze, G. O. (2022). The role of arthropods in the dissemination of pathogens in urban Nigeria.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Olatunji, J. A., Adewuyi, S. A., and Yusuf, B. T. (2021). Bedbug infestation and control measures in Ilorin metropolis.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Omokhuale, E., Okoh, I. A., and Olaniran, A. O. (2022). Mycological assessment of common household insects in rural African settings.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Potts, R., Bakir, A., and Downes, M. J. (2021).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Reinhardt, K., Siva-Jothy, M. T., and Hardstone, M. (2021).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Resh, V. H., and Cardé, R. T. (2020). </w:t>
      </w:r>
      <w:r w:rsidRPr="004A4510">
        <w:rPr>
          <w:rStyle w:val="Emphasis"/>
          <w:sz w:val="28"/>
          <w:szCs w:val="28"/>
        </w:rPr>
        <w:t>Encyclopedia of Insects</w:t>
      </w:r>
      <w:r w:rsidRPr="004A4510">
        <w:rPr>
          <w:sz w:val="28"/>
          <w:szCs w:val="28"/>
        </w:rPr>
        <w:t xml:space="preserve"> (2nd ed.). Academic Press.</w:t>
      </w:r>
    </w:p>
    <w:p w14:paraId="779D2EB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Shariff, A., Omar, A., and Bello, M. (2020).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Singh, R. K., Gupta, N., and Rana, R. (2021). Comparative evaluation of conventional and molecular techniques for identification of bacterial species from insect vectors.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Ueckermann, E. A., and Fakoorziba, M. R. (2020).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World Health Organization (WHO). (2023). </w:t>
      </w:r>
      <w:r w:rsidRPr="004A4510">
        <w:rPr>
          <w:rStyle w:val="Emphasis"/>
          <w:sz w:val="28"/>
          <w:szCs w:val="28"/>
        </w:rPr>
        <w:t>Global vector control response 2023–2030</w:t>
      </w:r>
      <w:r w:rsidRPr="004A4510">
        <w:rPr>
          <w:sz w:val="28"/>
          <w:szCs w:val="28"/>
        </w:rPr>
        <w:t xml:space="preserve">. Retrieved from </w:t>
      </w:r>
      <w:hyperlink r:id="rId15"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385FF" w14:textId="77777777" w:rsidR="00B7051E" w:rsidRDefault="00B7051E">
      <w:pPr>
        <w:spacing w:after="0" w:line="240" w:lineRule="auto"/>
      </w:pPr>
      <w:r>
        <w:separator/>
      </w:r>
    </w:p>
  </w:endnote>
  <w:endnote w:type="continuationSeparator" w:id="0">
    <w:p w14:paraId="5F2AB69B" w14:textId="77777777" w:rsidR="00B7051E" w:rsidRDefault="00B70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EC365F">
      <w:rPr>
        <w:rFonts w:ascii="Times New Roman" w:hAnsi="Times New Roman" w:cs="Times New Roman"/>
        <w:b/>
        <w:bCs/>
        <w:noProof/>
        <w:color w:val="000000"/>
        <w:sz w:val="28"/>
        <w:szCs w:val="28"/>
      </w:rPr>
      <w:t>i</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ACE3F" w14:textId="77777777" w:rsidR="00B7051E" w:rsidRDefault="00B7051E">
      <w:pPr>
        <w:spacing w:after="0" w:line="240" w:lineRule="auto"/>
      </w:pPr>
      <w:r>
        <w:separator/>
      </w:r>
    </w:p>
  </w:footnote>
  <w:footnote w:type="continuationSeparator" w:id="0">
    <w:p w14:paraId="7891D5D7" w14:textId="77777777" w:rsidR="00B7051E" w:rsidRDefault="00B705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63"/>
    <w:rsid w:val="00093233"/>
    <w:rsid w:val="000B06A6"/>
    <w:rsid w:val="00132535"/>
    <w:rsid w:val="001617B6"/>
    <w:rsid w:val="00180D04"/>
    <w:rsid w:val="001B18A8"/>
    <w:rsid w:val="002164F9"/>
    <w:rsid w:val="00227C83"/>
    <w:rsid w:val="00256441"/>
    <w:rsid w:val="00296070"/>
    <w:rsid w:val="0031337D"/>
    <w:rsid w:val="003F29C3"/>
    <w:rsid w:val="004A3D7B"/>
    <w:rsid w:val="004A4510"/>
    <w:rsid w:val="00556414"/>
    <w:rsid w:val="0058281B"/>
    <w:rsid w:val="00674A63"/>
    <w:rsid w:val="006B1AF6"/>
    <w:rsid w:val="007D2007"/>
    <w:rsid w:val="009F2FA9"/>
    <w:rsid w:val="00A70F88"/>
    <w:rsid w:val="00AE3A78"/>
    <w:rsid w:val="00B7051E"/>
    <w:rsid w:val="00B95D54"/>
    <w:rsid w:val="00DE5E59"/>
    <w:rsid w:val="00E5221B"/>
    <w:rsid w:val="00E73766"/>
    <w:rsid w:val="00EC365F"/>
    <w:rsid w:val="00F82346"/>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15:docId w15:val="{D2284661-7838-460C-B772-FE444F28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publication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02D4B-BD7C-4C26-8597-98FDE739A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4358</Words>
  <Characters>24842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 account</cp:lastModifiedBy>
  <cp:revision>2</cp:revision>
  <dcterms:created xsi:type="dcterms:W3CDTF">2025-07-11T08:45:00Z</dcterms:created>
  <dcterms:modified xsi:type="dcterms:W3CDTF">2025-07-11T08:45:00Z</dcterms:modified>
</cp:coreProperties>
</file>