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43" w:rsidRDefault="00E63D43" w:rsidP="00E63D43">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E63D43" w:rsidRDefault="00E63D43" w:rsidP="00E63D43">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E63D43" w:rsidRDefault="00E63D43" w:rsidP="00E63D43">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BADMUS BARAKAT FEYISARA</w:t>
      </w:r>
    </w:p>
    <w:p w:rsidR="00E63D43" w:rsidRPr="00D648CA" w:rsidRDefault="00E63D43" w:rsidP="00E63D43">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HND/23/SLT/FT/0810</w:t>
      </w:r>
    </w:p>
    <w:p w:rsidR="00E63D43" w:rsidRPr="00D648CA" w:rsidRDefault="00E63D43" w:rsidP="00E63D43">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E63D43" w:rsidRPr="00D648CA" w:rsidRDefault="00E63D43" w:rsidP="00E63D43">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E63D43" w:rsidRDefault="00E63D43" w:rsidP="00E63D43">
      <w:pPr>
        <w:pStyle w:val="NormalWeb"/>
        <w:spacing w:after="150" w:afterAutospacing="0" w:line="21" w:lineRule="atLeast"/>
        <w:jc w:val="center"/>
        <w:rPr>
          <w:b/>
          <w:sz w:val="28"/>
          <w:szCs w:val="28"/>
        </w:rPr>
      </w:pPr>
      <w:r w:rsidRPr="00D648CA">
        <w:rPr>
          <w:b/>
          <w:sz w:val="28"/>
          <w:szCs w:val="28"/>
        </w:rPr>
        <w:t>KWARA STATE POLYTECHNIC ILORIN</w:t>
      </w:r>
    </w:p>
    <w:p w:rsidR="00E63D43" w:rsidRPr="00D648CA" w:rsidRDefault="00E63D43" w:rsidP="00E63D43">
      <w:pPr>
        <w:pStyle w:val="NormalWeb"/>
        <w:spacing w:after="150" w:afterAutospacing="0" w:line="21" w:lineRule="atLeast"/>
        <w:ind w:left="6480" w:firstLine="720"/>
        <w:jc w:val="center"/>
        <w:rPr>
          <w:b/>
          <w:sz w:val="28"/>
          <w:szCs w:val="28"/>
        </w:rPr>
      </w:pPr>
      <w:r>
        <w:rPr>
          <w:b/>
          <w:sz w:val="28"/>
          <w:szCs w:val="28"/>
        </w:rPr>
        <w:t>JULY, 2025</w:t>
      </w:r>
    </w:p>
    <w:p w:rsidR="00E63D43" w:rsidRPr="00D648CA" w:rsidRDefault="00E63D43" w:rsidP="00E63D43">
      <w:pPr>
        <w:pStyle w:val="NormalWeb"/>
        <w:spacing w:after="150" w:afterAutospacing="0" w:line="21" w:lineRule="atLeast"/>
        <w:jc w:val="center"/>
        <w:rPr>
          <w:sz w:val="26"/>
          <w:szCs w:val="26"/>
        </w:rPr>
      </w:pPr>
      <w:r w:rsidRPr="00D648CA">
        <w:rPr>
          <w:rFonts w:eastAsia="-webkit-standard"/>
          <w:sz w:val="28"/>
          <w:szCs w:val="28"/>
        </w:rPr>
        <w:t> </w:t>
      </w:r>
    </w:p>
    <w:p w:rsidR="00E63D43" w:rsidRPr="00D648CA" w:rsidRDefault="00E63D43" w:rsidP="00E63D43">
      <w:pPr>
        <w:spacing w:after="0" w:line="480" w:lineRule="auto"/>
        <w:jc w:val="center"/>
        <w:rPr>
          <w:rFonts w:ascii="Times New Roman" w:hAnsi="Times New Roman" w:cs="Times New Roman"/>
          <w:b/>
          <w:bCs/>
          <w:sz w:val="26"/>
          <w:szCs w:val="26"/>
        </w:rPr>
      </w:pPr>
    </w:p>
    <w:p w:rsidR="00E63D43" w:rsidRDefault="00E63D43" w:rsidP="00E63D43">
      <w:pPr>
        <w:spacing w:after="0" w:line="480" w:lineRule="auto"/>
        <w:jc w:val="center"/>
        <w:rPr>
          <w:rFonts w:ascii="Times New Roman" w:hAnsi="Times New Roman" w:cs="Times New Roman"/>
          <w:b/>
          <w:bCs/>
          <w:sz w:val="28"/>
          <w:szCs w:val="28"/>
        </w:rPr>
      </w:pPr>
    </w:p>
    <w:p w:rsidR="00E63D43" w:rsidRDefault="00E63D43" w:rsidP="00E63D43">
      <w:pPr>
        <w:spacing w:after="0" w:line="480" w:lineRule="auto"/>
        <w:jc w:val="center"/>
        <w:rPr>
          <w:rFonts w:ascii="Times New Roman" w:hAnsi="Times New Roman" w:cs="Times New Roman"/>
          <w:b/>
          <w:bCs/>
          <w:sz w:val="28"/>
          <w:szCs w:val="28"/>
        </w:rPr>
      </w:pPr>
    </w:p>
    <w:p w:rsidR="00E63D43" w:rsidRDefault="00E63D43" w:rsidP="00E63D43">
      <w:pPr>
        <w:spacing w:after="0" w:line="480" w:lineRule="auto"/>
        <w:jc w:val="center"/>
        <w:rPr>
          <w:rFonts w:ascii="Times New Roman" w:hAnsi="Times New Roman" w:cs="Times New Roman"/>
          <w:b/>
          <w:bCs/>
          <w:sz w:val="28"/>
          <w:szCs w:val="28"/>
        </w:rPr>
      </w:pPr>
    </w:p>
    <w:p w:rsidR="00E63D43" w:rsidRDefault="00E63D43" w:rsidP="00E63D43">
      <w:pPr>
        <w:spacing w:after="0" w:line="480" w:lineRule="auto"/>
        <w:jc w:val="center"/>
        <w:rPr>
          <w:rFonts w:ascii="Times New Roman" w:hAnsi="Times New Roman" w:cs="Times New Roman"/>
          <w:b/>
          <w:bCs/>
          <w:sz w:val="28"/>
          <w:szCs w:val="28"/>
        </w:rPr>
      </w:pPr>
    </w:p>
    <w:p w:rsidR="00E63D43" w:rsidRPr="00D648CA" w:rsidRDefault="00E63D43" w:rsidP="00E63D43">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E63D43" w:rsidRPr="00D648CA" w:rsidRDefault="00E63D43" w:rsidP="00E63D43">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BADMUS BARAKAT FEYISARA </w:t>
      </w:r>
      <w:r>
        <w:rPr>
          <w:rFonts w:ascii="Times New Roman" w:hAnsi="Times New Roman" w:cs="Times New Roman"/>
          <w:bCs/>
          <w:sz w:val="28"/>
          <w:szCs w:val="28"/>
        </w:rPr>
        <w:t xml:space="preserve">with </w:t>
      </w:r>
      <w:proofErr w:type="spellStart"/>
      <w:r>
        <w:rPr>
          <w:rFonts w:ascii="Times New Roman" w:hAnsi="Times New Roman" w:cs="Times New Roman"/>
          <w:bCs/>
          <w:sz w:val="28"/>
          <w:szCs w:val="28"/>
        </w:rPr>
        <w:t>matric</w:t>
      </w:r>
      <w:proofErr w:type="spellEnd"/>
      <w:r>
        <w:rPr>
          <w:rFonts w:ascii="Times New Roman" w:hAnsi="Times New Roman" w:cs="Times New Roman"/>
          <w:bCs/>
          <w:sz w:val="28"/>
          <w:szCs w:val="28"/>
        </w:rPr>
        <w:t xml:space="preserve"> number </w:t>
      </w:r>
      <w:r>
        <w:rPr>
          <w:rFonts w:ascii="Times New Roman" w:hAnsi="Times New Roman" w:cs="Times New Roman"/>
          <w:b/>
          <w:bCs/>
          <w:sz w:val="28"/>
          <w:szCs w:val="28"/>
        </w:rPr>
        <w:t xml:space="preserve">HND/23/SLT/FT/0810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E63D43" w:rsidRPr="00D648CA" w:rsidRDefault="00E63D43" w:rsidP="00E63D43">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E63D43" w:rsidRPr="00D648CA" w:rsidRDefault="00E63D43" w:rsidP="00E63D43">
      <w:pPr>
        <w:spacing w:after="0" w:line="240" w:lineRule="auto"/>
        <w:rPr>
          <w:rFonts w:ascii="Times New Roman" w:hAnsi="Times New Roman" w:cs="Times New Roman"/>
          <w:b/>
          <w:sz w:val="28"/>
          <w:szCs w:val="28"/>
        </w:rPr>
      </w:pPr>
    </w:p>
    <w:p w:rsidR="00E63D43" w:rsidRPr="00D648CA" w:rsidRDefault="00E63D43" w:rsidP="00E63D43">
      <w:pPr>
        <w:spacing w:after="0" w:line="240" w:lineRule="auto"/>
        <w:rPr>
          <w:rFonts w:ascii="Times New Roman" w:hAnsi="Times New Roman" w:cs="Times New Roman"/>
          <w:b/>
          <w:sz w:val="28"/>
          <w:szCs w:val="28"/>
        </w:rPr>
      </w:pPr>
    </w:p>
    <w:p w:rsidR="00E63D43" w:rsidRPr="00D648CA" w:rsidRDefault="00E63D43" w:rsidP="00E63D43">
      <w:pPr>
        <w:spacing w:after="0" w:line="240" w:lineRule="auto"/>
        <w:rPr>
          <w:rFonts w:ascii="Times New Roman" w:hAnsi="Times New Roman" w:cs="Times New Roman"/>
          <w:b/>
          <w:sz w:val="28"/>
          <w:szCs w:val="28"/>
        </w:rPr>
      </w:pP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E63D43" w:rsidRPr="00D648CA" w:rsidRDefault="00E63D43" w:rsidP="00E63D43">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p>
    <w:p w:rsidR="00E63D43" w:rsidRPr="00D648CA" w:rsidRDefault="00E63D43" w:rsidP="00E63D43">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E63D43" w:rsidRPr="00D648CA" w:rsidRDefault="00E63D43" w:rsidP="00E63D43">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E63D43" w:rsidRPr="00D648CA" w:rsidRDefault="00E63D43" w:rsidP="00E63D43">
      <w:pPr>
        <w:spacing w:after="0" w:line="480" w:lineRule="auto"/>
        <w:jc w:val="center"/>
        <w:rPr>
          <w:rFonts w:ascii="Times New Roman" w:hAnsi="Times New Roman" w:cs="Times New Roman"/>
          <w:b/>
          <w:bCs/>
          <w:sz w:val="28"/>
          <w:szCs w:val="28"/>
        </w:rPr>
      </w:pPr>
    </w:p>
    <w:p w:rsidR="00E63D43" w:rsidRPr="00F6151A" w:rsidRDefault="00E63D43" w:rsidP="00E63D43">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E63D43" w:rsidRPr="00F57620" w:rsidRDefault="00E63D43" w:rsidP="00E63D43">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 xml:space="preserve">This project is dedicated to Almighty God for the success of this project </w:t>
      </w:r>
      <w:proofErr w:type="gramStart"/>
      <w:r w:rsidRPr="00F57620">
        <w:rPr>
          <w:rFonts w:ascii="Times New Roman" w:hAnsi="Times New Roman" w:cs="Times New Roman"/>
          <w:bCs/>
          <w:color w:val="000000" w:themeColor="text1"/>
          <w:sz w:val="28"/>
          <w:szCs w:val="28"/>
        </w:rPr>
        <w:t>who</w:t>
      </w:r>
      <w:proofErr w:type="gramEnd"/>
      <w:r w:rsidRPr="00F57620">
        <w:rPr>
          <w:rFonts w:ascii="Times New Roman" w:hAnsi="Times New Roman" w:cs="Times New Roman"/>
          <w:bCs/>
          <w:color w:val="000000" w:themeColor="text1"/>
          <w:sz w:val="28"/>
          <w:szCs w:val="28"/>
        </w:rPr>
        <w:t xml:space="preserve"> has seen me through this project work.</w:t>
      </w:r>
    </w:p>
    <w:p w:rsidR="00E63D43" w:rsidRPr="00F6151A" w:rsidRDefault="00E63D43" w:rsidP="00E63D43">
      <w:pPr>
        <w:spacing w:after="0" w:line="480" w:lineRule="auto"/>
        <w:jc w:val="center"/>
        <w:rPr>
          <w:rFonts w:ascii="Times New Roman" w:hAnsi="Times New Roman" w:cs="Times New Roman"/>
          <w:b/>
          <w:bCs/>
          <w:color w:val="000000" w:themeColor="text1"/>
          <w:sz w:val="28"/>
          <w:szCs w:val="28"/>
        </w:rPr>
      </w:pPr>
    </w:p>
    <w:p w:rsidR="00E63D43" w:rsidRPr="00F6151A" w:rsidRDefault="00E63D43" w:rsidP="00E63D43">
      <w:pPr>
        <w:spacing w:after="0" w:line="480" w:lineRule="auto"/>
        <w:jc w:val="center"/>
        <w:rPr>
          <w:rFonts w:ascii="Times New Roman" w:hAnsi="Times New Roman" w:cs="Times New Roman"/>
          <w:b/>
          <w:bCs/>
          <w:color w:val="000000" w:themeColor="text1"/>
          <w:sz w:val="28"/>
          <w:szCs w:val="28"/>
        </w:rPr>
      </w:pPr>
    </w:p>
    <w:p w:rsidR="00E63D43" w:rsidRPr="00F6151A" w:rsidRDefault="00E63D43" w:rsidP="00E63D43">
      <w:pPr>
        <w:spacing w:after="0" w:line="480" w:lineRule="auto"/>
        <w:jc w:val="center"/>
        <w:rPr>
          <w:rFonts w:ascii="Times New Roman" w:hAnsi="Times New Roman" w:cs="Times New Roman"/>
          <w:b/>
          <w:bCs/>
          <w:color w:val="000000" w:themeColor="text1"/>
          <w:sz w:val="28"/>
          <w:szCs w:val="28"/>
        </w:rPr>
      </w:pPr>
    </w:p>
    <w:p w:rsidR="00E63D43" w:rsidRPr="00F6151A" w:rsidRDefault="00E63D43" w:rsidP="00E63D43">
      <w:pPr>
        <w:spacing w:after="0" w:line="480" w:lineRule="auto"/>
        <w:rPr>
          <w:rFonts w:ascii="Times New Roman" w:hAnsi="Times New Roman" w:cs="Times New Roman"/>
          <w:b/>
          <w:bCs/>
          <w:color w:val="000000" w:themeColor="text1"/>
          <w:sz w:val="28"/>
          <w:szCs w:val="28"/>
        </w:rPr>
      </w:pPr>
    </w:p>
    <w:p w:rsidR="00E63D43" w:rsidRPr="00F6151A" w:rsidRDefault="00E63D43" w:rsidP="00E63D43">
      <w:pPr>
        <w:spacing w:after="0" w:line="480" w:lineRule="auto"/>
        <w:jc w:val="center"/>
        <w:rPr>
          <w:rFonts w:ascii="Times New Roman" w:hAnsi="Times New Roman" w:cs="Times New Roman"/>
          <w:b/>
          <w:bCs/>
          <w:color w:val="000000" w:themeColor="text1"/>
          <w:sz w:val="28"/>
          <w:szCs w:val="28"/>
        </w:rPr>
      </w:pPr>
    </w:p>
    <w:p w:rsidR="00E63D43" w:rsidRPr="00F6151A" w:rsidRDefault="00E63D43" w:rsidP="00E63D43">
      <w:pPr>
        <w:spacing w:after="0" w:line="480" w:lineRule="auto"/>
        <w:jc w:val="center"/>
        <w:rPr>
          <w:rFonts w:ascii="Times New Roman" w:hAnsi="Times New Roman" w:cs="Times New Roman"/>
          <w:b/>
          <w:bCs/>
          <w:color w:val="000000" w:themeColor="text1"/>
          <w:sz w:val="28"/>
          <w:szCs w:val="28"/>
        </w:rPr>
      </w:pPr>
    </w:p>
    <w:p w:rsidR="00E63D43" w:rsidRPr="00F6151A"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p>
    <w:p w:rsidR="00E63D43" w:rsidRDefault="00E63D43" w:rsidP="00E63D4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t xml:space="preserve">First and foremost, I give thanks to Almighty Allah who have spare my life's from the beginning till this present moment and which is going to continue to protect and guide me beyond this </w:t>
      </w:r>
      <w:proofErr w:type="spellStart"/>
      <w:r w:rsidRPr="00E63D43">
        <w:rPr>
          <w:rFonts w:ascii="Times New Roman" w:hAnsi="Times New Roman" w:cs="Times New Roman"/>
          <w:bCs/>
          <w:color w:val="000000" w:themeColor="text1"/>
          <w:sz w:val="28"/>
          <w:szCs w:val="28"/>
        </w:rPr>
        <w:t>moment,yah</w:t>
      </w:r>
      <w:proofErr w:type="spellEnd"/>
      <w:r w:rsidRPr="00E63D43">
        <w:rPr>
          <w:rFonts w:ascii="Times New Roman" w:hAnsi="Times New Roman" w:cs="Times New Roman"/>
          <w:bCs/>
          <w:color w:val="000000" w:themeColor="text1"/>
          <w:sz w:val="28"/>
          <w:szCs w:val="28"/>
        </w:rPr>
        <w:t xml:space="preserve"> </w:t>
      </w:r>
      <w:proofErr w:type="spellStart"/>
      <w:r w:rsidRPr="00E63D43">
        <w:rPr>
          <w:rFonts w:ascii="Times New Roman" w:hAnsi="Times New Roman" w:cs="Times New Roman"/>
          <w:bCs/>
          <w:color w:val="000000" w:themeColor="text1"/>
          <w:sz w:val="28"/>
          <w:szCs w:val="28"/>
        </w:rPr>
        <w:t>robil</w:t>
      </w:r>
      <w:proofErr w:type="spellEnd"/>
      <w:r w:rsidRPr="00E63D43">
        <w:rPr>
          <w:rFonts w:ascii="Times New Roman" w:hAnsi="Times New Roman" w:cs="Times New Roman"/>
          <w:bCs/>
          <w:color w:val="000000" w:themeColor="text1"/>
          <w:sz w:val="28"/>
          <w:szCs w:val="28"/>
        </w:rPr>
        <w:t xml:space="preserve"> am very grateful.</w:t>
      </w: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t xml:space="preserve">I would like to express my sincere gratitude to my beloved parents, whose unwavering, support and encouragement have been my constant source of inspiration, your love and sacrifices have meant the world to </w:t>
      </w:r>
      <w:proofErr w:type="spellStart"/>
      <w:r w:rsidRPr="00E63D43">
        <w:rPr>
          <w:rFonts w:ascii="Times New Roman" w:hAnsi="Times New Roman" w:cs="Times New Roman"/>
          <w:bCs/>
          <w:color w:val="000000" w:themeColor="text1"/>
          <w:sz w:val="28"/>
          <w:szCs w:val="28"/>
        </w:rPr>
        <w:t>me</w:t>
      </w:r>
      <w:proofErr w:type="gramStart"/>
      <w:r w:rsidRPr="00E63D43">
        <w:rPr>
          <w:rFonts w:ascii="Times New Roman" w:hAnsi="Times New Roman" w:cs="Times New Roman"/>
          <w:bCs/>
          <w:color w:val="000000" w:themeColor="text1"/>
          <w:sz w:val="28"/>
          <w:szCs w:val="28"/>
        </w:rPr>
        <w:t>,they</w:t>
      </w:r>
      <w:proofErr w:type="spellEnd"/>
      <w:proofErr w:type="gramEnd"/>
      <w:r w:rsidRPr="00E63D43">
        <w:rPr>
          <w:rFonts w:ascii="Times New Roman" w:hAnsi="Times New Roman" w:cs="Times New Roman"/>
          <w:bCs/>
          <w:color w:val="000000" w:themeColor="text1"/>
          <w:sz w:val="28"/>
          <w:szCs w:val="28"/>
        </w:rPr>
        <w:t xml:space="preserve"> have indeed immensely support in many ways being spiritually, </w:t>
      </w:r>
      <w:proofErr w:type="spellStart"/>
      <w:r w:rsidRPr="00E63D43">
        <w:rPr>
          <w:rFonts w:ascii="Times New Roman" w:hAnsi="Times New Roman" w:cs="Times New Roman"/>
          <w:bCs/>
          <w:color w:val="000000" w:themeColor="text1"/>
          <w:sz w:val="28"/>
          <w:szCs w:val="28"/>
        </w:rPr>
        <w:t>financially,emotionally</w:t>
      </w:r>
      <w:proofErr w:type="spellEnd"/>
      <w:r w:rsidRPr="00E63D43">
        <w:rPr>
          <w:rFonts w:ascii="Times New Roman" w:hAnsi="Times New Roman" w:cs="Times New Roman"/>
          <w:bCs/>
          <w:color w:val="000000" w:themeColor="text1"/>
          <w:sz w:val="28"/>
          <w:szCs w:val="28"/>
        </w:rPr>
        <w:t xml:space="preserve"> and </w:t>
      </w:r>
      <w:proofErr w:type="spellStart"/>
      <w:r w:rsidRPr="00E63D43">
        <w:rPr>
          <w:rFonts w:ascii="Times New Roman" w:hAnsi="Times New Roman" w:cs="Times New Roman"/>
          <w:bCs/>
          <w:color w:val="000000" w:themeColor="text1"/>
          <w:sz w:val="28"/>
          <w:szCs w:val="28"/>
        </w:rPr>
        <w:t>morally.thank</w:t>
      </w:r>
      <w:proofErr w:type="spellEnd"/>
      <w:r w:rsidRPr="00E63D43">
        <w:rPr>
          <w:rFonts w:ascii="Times New Roman" w:hAnsi="Times New Roman" w:cs="Times New Roman"/>
          <w:bCs/>
          <w:color w:val="000000" w:themeColor="text1"/>
          <w:sz w:val="28"/>
          <w:szCs w:val="28"/>
        </w:rPr>
        <w:t xml:space="preserve"> you so </w:t>
      </w:r>
      <w:proofErr w:type="spellStart"/>
      <w:r w:rsidRPr="00E63D43">
        <w:rPr>
          <w:rFonts w:ascii="Times New Roman" w:hAnsi="Times New Roman" w:cs="Times New Roman"/>
          <w:bCs/>
          <w:color w:val="000000" w:themeColor="text1"/>
          <w:sz w:val="28"/>
          <w:szCs w:val="28"/>
        </w:rPr>
        <w:t>much,I</w:t>
      </w:r>
      <w:proofErr w:type="spellEnd"/>
      <w:r w:rsidRPr="00E63D43">
        <w:rPr>
          <w:rFonts w:ascii="Times New Roman" w:hAnsi="Times New Roman" w:cs="Times New Roman"/>
          <w:bCs/>
          <w:color w:val="000000" w:themeColor="text1"/>
          <w:sz w:val="28"/>
          <w:szCs w:val="28"/>
        </w:rPr>
        <w:t xml:space="preserve"> pray Almighty Allah let u live longer beyond expectations and eat the fruits of </w:t>
      </w:r>
      <w:proofErr w:type="spellStart"/>
      <w:r w:rsidRPr="00E63D43">
        <w:rPr>
          <w:rFonts w:ascii="Times New Roman" w:hAnsi="Times New Roman" w:cs="Times New Roman"/>
          <w:bCs/>
          <w:color w:val="000000" w:themeColor="text1"/>
          <w:sz w:val="28"/>
          <w:szCs w:val="28"/>
        </w:rPr>
        <w:t>ur</w:t>
      </w:r>
      <w:proofErr w:type="spellEnd"/>
      <w:r w:rsidRPr="00E63D43">
        <w:rPr>
          <w:rFonts w:ascii="Times New Roman" w:hAnsi="Times New Roman" w:cs="Times New Roman"/>
          <w:bCs/>
          <w:color w:val="000000" w:themeColor="text1"/>
          <w:sz w:val="28"/>
          <w:szCs w:val="28"/>
        </w:rPr>
        <w:t xml:space="preserve"> </w:t>
      </w:r>
      <w:proofErr w:type="spellStart"/>
      <w:r w:rsidRPr="00E63D43">
        <w:rPr>
          <w:rFonts w:ascii="Times New Roman" w:hAnsi="Times New Roman" w:cs="Times New Roman"/>
          <w:bCs/>
          <w:color w:val="000000" w:themeColor="text1"/>
          <w:sz w:val="28"/>
          <w:szCs w:val="28"/>
        </w:rPr>
        <w:t>labour</w:t>
      </w:r>
      <w:proofErr w:type="spellEnd"/>
      <w:r w:rsidRPr="00E63D43">
        <w:rPr>
          <w:rFonts w:ascii="Times New Roman" w:hAnsi="Times New Roman" w:cs="Times New Roman"/>
          <w:bCs/>
          <w:color w:val="000000" w:themeColor="text1"/>
          <w:sz w:val="28"/>
          <w:szCs w:val="28"/>
        </w:rPr>
        <w:t>. I am forever grateful.</w:t>
      </w: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t>I also used this medium to extend my dedication and profound gratitude to my supervisor (</w:t>
      </w:r>
      <w:proofErr w:type="spellStart"/>
      <w:r w:rsidRPr="00E63D43">
        <w:rPr>
          <w:rFonts w:ascii="Times New Roman" w:hAnsi="Times New Roman" w:cs="Times New Roman"/>
          <w:bCs/>
          <w:color w:val="000000" w:themeColor="text1"/>
          <w:sz w:val="28"/>
          <w:szCs w:val="28"/>
        </w:rPr>
        <w:t>mrs</w:t>
      </w:r>
      <w:proofErr w:type="spellEnd"/>
      <w:r w:rsidRPr="00E63D43">
        <w:rPr>
          <w:rFonts w:ascii="Times New Roman" w:hAnsi="Times New Roman" w:cs="Times New Roman"/>
          <w:bCs/>
          <w:color w:val="000000" w:themeColor="text1"/>
          <w:sz w:val="28"/>
          <w:szCs w:val="28"/>
        </w:rPr>
        <w:t xml:space="preserve"> Ahmed</w:t>
      </w:r>
      <w:proofErr w:type="gramStart"/>
      <w:r w:rsidRPr="00E63D43">
        <w:rPr>
          <w:rFonts w:ascii="Times New Roman" w:hAnsi="Times New Roman" w:cs="Times New Roman"/>
          <w:bCs/>
          <w:color w:val="000000" w:themeColor="text1"/>
          <w:sz w:val="28"/>
          <w:szCs w:val="28"/>
        </w:rPr>
        <w:t>)for</w:t>
      </w:r>
      <w:proofErr w:type="gramEnd"/>
      <w:r w:rsidRPr="00E63D43">
        <w:rPr>
          <w:rFonts w:ascii="Times New Roman" w:hAnsi="Times New Roman" w:cs="Times New Roman"/>
          <w:bCs/>
          <w:color w:val="000000" w:themeColor="text1"/>
          <w:sz w:val="28"/>
          <w:szCs w:val="28"/>
        </w:rPr>
        <w:t xml:space="preserve"> their valuable guidance, guidance, support and encouragement throughout this </w:t>
      </w:r>
      <w:proofErr w:type="spellStart"/>
      <w:r w:rsidRPr="00E63D43">
        <w:rPr>
          <w:rFonts w:ascii="Times New Roman" w:hAnsi="Times New Roman" w:cs="Times New Roman"/>
          <w:bCs/>
          <w:color w:val="000000" w:themeColor="text1"/>
          <w:sz w:val="28"/>
          <w:szCs w:val="28"/>
        </w:rPr>
        <w:t>project,I</w:t>
      </w:r>
      <w:proofErr w:type="spellEnd"/>
      <w:r w:rsidRPr="00E63D43">
        <w:rPr>
          <w:rFonts w:ascii="Times New Roman" w:hAnsi="Times New Roman" w:cs="Times New Roman"/>
          <w:bCs/>
          <w:color w:val="000000" w:themeColor="text1"/>
          <w:sz w:val="28"/>
          <w:szCs w:val="28"/>
        </w:rPr>
        <w:t xml:space="preserve"> sincerely appreciate u </w:t>
      </w:r>
      <w:proofErr w:type="spellStart"/>
      <w:r w:rsidRPr="00E63D43">
        <w:rPr>
          <w:rFonts w:ascii="Times New Roman" w:hAnsi="Times New Roman" w:cs="Times New Roman"/>
          <w:bCs/>
          <w:color w:val="000000" w:themeColor="text1"/>
          <w:sz w:val="28"/>
          <w:szCs w:val="28"/>
        </w:rPr>
        <w:t>ma,Almighty</w:t>
      </w:r>
      <w:proofErr w:type="spellEnd"/>
      <w:r w:rsidRPr="00E63D43">
        <w:rPr>
          <w:rFonts w:ascii="Times New Roman" w:hAnsi="Times New Roman" w:cs="Times New Roman"/>
          <w:bCs/>
          <w:color w:val="000000" w:themeColor="text1"/>
          <w:sz w:val="28"/>
          <w:szCs w:val="28"/>
        </w:rPr>
        <w:t xml:space="preserve"> Allah will continue to bless u </w:t>
      </w:r>
      <w:proofErr w:type="spellStart"/>
      <w:r w:rsidRPr="00E63D43">
        <w:rPr>
          <w:rFonts w:ascii="Times New Roman" w:hAnsi="Times New Roman" w:cs="Times New Roman"/>
          <w:bCs/>
          <w:color w:val="000000" w:themeColor="text1"/>
          <w:sz w:val="28"/>
          <w:szCs w:val="28"/>
        </w:rPr>
        <w:t>ma.thanks</w:t>
      </w:r>
      <w:proofErr w:type="spellEnd"/>
      <w:r w:rsidRPr="00E63D43">
        <w:rPr>
          <w:rFonts w:ascii="Times New Roman" w:hAnsi="Times New Roman" w:cs="Times New Roman"/>
          <w:bCs/>
          <w:color w:val="000000" w:themeColor="text1"/>
          <w:sz w:val="28"/>
          <w:szCs w:val="28"/>
        </w:rPr>
        <w:t xml:space="preserve"> so much.</w:t>
      </w: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t xml:space="preserve">I also appreciate the contributions of my beloved </w:t>
      </w:r>
      <w:proofErr w:type="spellStart"/>
      <w:r w:rsidRPr="00E63D43">
        <w:rPr>
          <w:rFonts w:ascii="Times New Roman" w:hAnsi="Times New Roman" w:cs="Times New Roman"/>
          <w:bCs/>
          <w:color w:val="000000" w:themeColor="text1"/>
          <w:sz w:val="28"/>
          <w:szCs w:val="28"/>
        </w:rPr>
        <w:t>siblings</w:t>
      </w:r>
      <w:proofErr w:type="gramStart"/>
      <w:r w:rsidRPr="00E63D43">
        <w:rPr>
          <w:rFonts w:ascii="Times New Roman" w:hAnsi="Times New Roman" w:cs="Times New Roman"/>
          <w:bCs/>
          <w:color w:val="000000" w:themeColor="text1"/>
          <w:sz w:val="28"/>
          <w:szCs w:val="28"/>
        </w:rPr>
        <w:t>,who</w:t>
      </w:r>
      <w:proofErr w:type="spellEnd"/>
      <w:proofErr w:type="gramEnd"/>
      <w:r w:rsidRPr="00E63D43">
        <w:rPr>
          <w:rFonts w:ascii="Times New Roman" w:hAnsi="Times New Roman" w:cs="Times New Roman"/>
          <w:bCs/>
          <w:color w:val="000000" w:themeColor="text1"/>
          <w:sz w:val="28"/>
          <w:szCs w:val="28"/>
        </w:rPr>
        <w:t xml:space="preserve"> have directly and indirectly assist me in this academic </w:t>
      </w:r>
      <w:proofErr w:type="spellStart"/>
      <w:r w:rsidRPr="00E63D43">
        <w:rPr>
          <w:rFonts w:ascii="Times New Roman" w:hAnsi="Times New Roman" w:cs="Times New Roman"/>
          <w:bCs/>
          <w:color w:val="000000" w:themeColor="text1"/>
          <w:sz w:val="28"/>
          <w:szCs w:val="28"/>
        </w:rPr>
        <w:t>journey,indeed,u</w:t>
      </w:r>
      <w:proofErr w:type="spellEnd"/>
      <w:r w:rsidRPr="00E63D43">
        <w:rPr>
          <w:rFonts w:ascii="Times New Roman" w:hAnsi="Times New Roman" w:cs="Times New Roman"/>
          <w:bCs/>
          <w:color w:val="000000" w:themeColor="text1"/>
          <w:sz w:val="28"/>
          <w:szCs w:val="28"/>
        </w:rPr>
        <w:t xml:space="preserve"> are irreplaceable.</w:t>
      </w: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lastRenderedPageBreak/>
        <w:t xml:space="preserve">I also appreciate my one and only love for his patience, motivation, support and encouragement from the beginning of my academic journey till the end ,I really appreciate u </w:t>
      </w:r>
      <w:proofErr w:type="spellStart"/>
      <w:r w:rsidRPr="00E63D43">
        <w:rPr>
          <w:rFonts w:ascii="Times New Roman" w:hAnsi="Times New Roman" w:cs="Times New Roman"/>
          <w:bCs/>
          <w:color w:val="000000" w:themeColor="text1"/>
          <w:sz w:val="28"/>
          <w:szCs w:val="28"/>
        </w:rPr>
        <w:t>babe,thanks</w:t>
      </w:r>
      <w:proofErr w:type="spellEnd"/>
      <w:r w:rsidRPr="00E63D43">
        <w:rPr>
          <w:rFonts w:ascii="Times New Roman" w:hAnsi="Times New Roman" w:cs="Times New Roman"/>
          <w:bCs/>
          <w:color w:val="000000" w:themeColor="text1"/>
          <w:sz w:val="28"/>
          <w:szCs w:val="28"/>
        </w:rPr>
        <w:t xml:space="preserve"> so much my half part, for being my </w:t>
      </w:r>
      <w:proofErr w:type="spellStart"/>
      <w:r w:rsidRPr="00E63D43">
        <w:rPr>
          <w:rFonts w:ascii="Times New Roman" w:hAnsi="Times New Roman" w:cs="Times New Roman"/>
          <w:bCs/>
          <w:color w:val="000000" w:themeColor="text1"/>
          <w:sz w:val="28"/>
          <w:szCs w:val="28"/>
        </w:rPr>
        <w:t>rock,offering</w:t>
      </w:r>
      <w:proofErr w:type="spellEnd"/>
      <w:r w:rsidRPr="00E63D43">
        <w:rPr>
          <w:rFonts w:ascii="Times New Roman" w:hAnsi="Times New Roman" w:cs="Times New Roman"/>
          <w:bCs/>
          <w:color w:val="000000" w:themeColor="text1"/>
          <w:sz w:val="28"/>
          <w:szCs w:val="28"/>
        </w:rPr>
        <w:t xml:space="preserve"> </w:t>
      </w:r>
      <w:proofErr w:type="spellStart"/>
      <w:r w:rsidRPr="00E63D43">
        <w:rPr>
          <w:rFonts w:ascii="Times New Roman" w:hAnsi="Times New Roman" w:cs="Times New Roman"/>
          <w:bCs/>
          <w:color w:val="000000" w:themeColor="text1"/>
          <w:sz w:val="28"/>
          <w:szCs w:val="28"/>
        </w:rPr>
        <w:t>lover,and</w:t>
      </w:r>
      <w:proofErr w:type="spellEnd"/>
      <w:r w:rsidRPr="00E63D43">
        <w:rPr>
          <w:rFonts w:ascii="Times New Roman" w:hAnsi="Times New Roman" w:cs="Times New Roman"/>
          <w:bCs/>
          <w:color w:val="000000" w:themeColor="text1"/>
          <w:sz w:val="28"/>
          <w:szCs w:val="28"/>
        </w:rPr>
        <w:t xml:space="preserve"> understanding throughout of this journey, I do appreciate u boo</w:t>
      </w: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t xml:space="preserve">I also used this medium to appreciate all my benefactors who have being there for me both in </w:t>
      </w:r>
      <w:proofErr w:type="spellStart"/>
      <w:r w:rsidRPr="00E63D43">
        <w:rPr>
          <w:rFonts w:ascii="Times New Roman" w:hAnsi="Times New Roman" w:cs="Times New Roman"/>
          <w:bCs/>
          <w:color w:val="000000" w:themeColor="text1"/>
          <w:sz w:val="28"/>
          <w:szCs w:val="28"/>
        </w:rPr>
        <w:t>financially,morally,physically</w:t>
      </w:r>
      <w:proofErr w:type="spellEnd"/>
      <w:r w:rsidRPr="00E63D43">
        <w:rPr>
          <w:rFonts w:ascii="Times New Roman" w:hAnsi="Times New Roman" w:cs="Times New Roman"/>
          <w:bCs/>
          <w:color w:val="000000" w:themeColor="text1"/>
          <w:sz w:val="28"/>
          <w:szCs w:val="28"/>
        </w:rPr>
        <w:t xml:space="preserve"> and emotionally be part of this journey, I said thanks you so much and God bless u </w:t>
      </w:r>
      <w:proofErr w:type="spellStart"/>
      <w:r w:rsidRPr="00E63D43">
        <w:rPr>
          <w:rFonts w:ascii="Times New Roman" w:hAnsi="Times New Roman" w:cs="Times New Roman"/>
          <w:bCs/>
          <w:color w:val="000000" w:themeColor="text1"/>
          <w:sz w:val="28"/>
          <w:szCs w:val="28"/>
        </w:rPr>
        <w:t>all.conquer</w:t>
      </w:r>
      <w:proofErr w:type="spellEnd"/>
      <w:r w:rsidRPr="00E63D43">
        <w:rPr>
          <w:rFonts w:ascii="Times New Roman" w:hAnsi="Times New Roman" w:cs="Times New Roman"/>
          <w:bCs/>
          <w:color w:val="000000" w:themeColor="text1"/>
          <w:sz w:val="28"/>
          <w:szCs w:val="28"/>
        </w:rPr>
        <w:t xml:space="preserve"> squad, you are my gee forever.</w:t>
      </w:r>
    </w:p>
    <w:p w:rsidR="00E63D43" w:rsidRPr="00E63D43" w:rsidRDefault="00E63D43" w:rsidP="00E63D43">
      <w:pPr>
        <w:spacing w:after="0" w:line="480" w:lineRule="auto"/>
        <w:rPr>
          <w:rFonts w:ascii="Times New Roman" w:hAnsi="Times New Roman" w:cs="Times New Roman"/>
          <w:bCs/>
          <w:color w:val="000000" w:themeColor="text1"/>
          <w:sz w:val="28"/>
          <w:szCs w:val="28"/>
        </w:rPr>
      </w:pPr>
    </w:p>
    <w:p w:rsidR="00E63D43" w:rsidRPr="00E63D43" w:rsidRDefault="00E63D43" w:rsidP="00E63D43">
      <w:pPr>
        <w:spacing w:after="0" w:line="480" w:lineRule="auto"/>
        <w:rPr>
          <w:rFonts w:ascii="Times New Roman" w:hAnsi="Times New Roman" w:cs="Times New Roman"/>
          <w:bCs/>
          <w:color w:val="000000" w:themeColor="text1"/>
          <w:sz w:val="28"/>
          <w:szCs w:val="28"/>
        </w:rPr>
      </w:pPr>
      <w:r w:rsidRPr="00E63D43">
        <w:rPr>
          <w:rFonts w:ascii="Times New Roman" w:hAnsi="Times New Roman" w:cs="Times New Roman"/>
          <w:bCs/>
          <w:color w:val="000000" w:themeColor="text1"/>
          <w:sz w:val="28"/>
          <w:szCs w:val="28"/>
        </w:rPr>
        <w:t xml:space="preserve">This acknowledgement will have indeed incomplete without my best friend in person </w:t>
      </w:r>
      <w:proofErr w:type="spellStart"/>
      <w:r w:rsidRPr="00E63D43">
        <w:rPr>
          <w:rFonts w:ascii="Times New Roman" w:hAnsi="Times New Roman" w:cs="Times New Roman"/>
          <w:bCs/>
          <w:color w:val="000000" w:themeColor="text1"/>
          <w:sz w:val="28"/>
          <w:szCs w:val="28"/>
        </w:rPr>
        <w:t>sherifah,my</w:t>
      </w:r>
      <w:proofErr w:type="spellEnd"/>
      <w:r w:rsidRPr="00E63D43">
        <w:rPr>
          <w:rFonts w:ascii="Times New Roman" w:hAnsi="Times New Roman" w:cs="Times New Roman"/>
          <w:bCs/>
          <w:color w:val="000000" w:themeColor="text1"/>
          <w:sz w:val="28"/>
          <w:szCs w:val="28"/>
        </w:rPr>
        <w:t xml:space="preserve"> twinning, my one and only gist partner, thanks so much for your support and encouragement and my appreciation also to u </w:t>
      </w:r>
      <w:proofErr w:type="spellStart"/>
      <w:r w:rsidRPr="00E63D43">
        <w:rPr>
          <w:rFonts w:ascii="Times New Roman" w:hAnsi="Times New Roman" w:cs="Times New Roman"/>
          <w:bCs/>
          <w:color w:val="000000" w:themeColor="text1"/>
          <w:sz w:val="28"/>
          <w:szCs w:val="28"/>
        </w:rPr>
        <w:t>Ashabi</w:t>
      </w:r>
      <w:proofErr w:type="spellEnd"/>
      <w:r w:rsidRPr="00E63D43">
        <w:rPr>
          <w:rFonts w:ascii="Times New Roman" w:hAnsi="Times New Roman" w:cs="Times New Roman"/>
          <w:bCs/>
          <w:color w:val="000000" w:themeColor="text1"/>
          <w:sz w:val="28"/>
          <w:szCs w:val="28"/>
        </w:rPr>
        <w:t xml:space="preserve">, thanks so much for </w:t>
      </w:r>
      <w:proofErr w:type="spellStart"/>
      <w:r w:rsidRPr="00E63D43">
        <w:rPr>
          <w:rFonts w:ascii="Times New Roman" w:hAnsi="Times New Roman" w:cs="Times New Roman"/>
          <w:bCs/>
          <w:color w:val="000000" w:themeColor="text1"/>
          <w:sz w:val="28"/>
          <w:szCs w:val="28"/>
        </w:rPr>
        <w:t>ur</w:t>
      </w:r>
      <w:proofErr w:type="spellEnd"/>
      <w:r w:rsidRPr="00E63D43">
        <w:rPr>
          <w:rFonts w:ascii="Times New Roman" w:hAnsi="Times New Roman" w:cs="Times New Roman"/>
          <w:bCs/>
          <w:color w:val="000000" w:themeColor="text1"/>
          <w:sz w:val="28"/>
          <w:szCs w:val="28"/>
        </w:rPr>
        <w:t xml:space="preserve"> encouragement we </w:t>
      </w:r>
      <w:proofErr w:type="spellStart"/>
      <w:r w:rsidRPr="00E63D43">
        <w:rPr>
          <w:rFonts w:ascii="Times New Roman" w:hAnsi="Times New Roman" w:cs="Times New Roman"/>
          <w:bCs/>
          <w:color w:val="000000" w:themeColor="text1"/>
          <w:sz w:val="28"/>
          <w:szCs w:val="28"/>
        </w:rPr>
        <w:t>ain't</w:t>
      </w:r>
      <w:proofErr w:type="spellEnd"/>
      <w:r w:rsidRPr="00E63D43">
        <w:rPr>
          <w:rFonts w:ascii="Times New Roman" w:hAnsi="Times New Roman" w:cs="Times New Roman"/>
          <w:bCs/>
          <w:color w:val="000000" w:themeColor="text1"/>
          <w:sz w:val="28"/>
          <w:szCs w:val="28"/>
        </w:rPr>
        <w:t xml:space="preserve"> end it </w:t>
      </w:r>
      <w:proofErr w:type="spellStart"/>
      <w:r w:rsidRPr="00E63D43">
        <w:rPr>
          <w:rFonts w:ascii="Times New Roman" w:hAnsi="Times New Roman" w:cs="Times New Roman"/>
          <w:bCs/>
          <w:color w:val="000000" w:themeColor="text1"/>
          <w:sz w:val="28"/>
          <w:szCs w:val="28"/>
        </w:rPr>
        <w:t>here,more</w:t>
      </w:r>
      <w:proofErr w:type="spellEnd"/>
      <w:r w:rsidRPr="00E63D43">
        <w:rPr>
          <w:rFonts w:ascii="Times New Roman" w:hAnsi="Times New Roman" w:cs="Times New Roman"/>
          <w:bCs/>
          <w:color w:val="000000" w:themeColor="text1"/>
          <w:sz w:val="28"/>
          <w:szCs w:val="28"/>
        </w:rPr>
        <w:t xml:space="preserve"> success to celebrate together. Thanks to u all my friends, Allah bless u all.</w:t>
      </w:r>
    </w:p>
    <w:p w:rsidR="00E63D43" w:rsidRDefault="00E63D43" w:rsidP="00E63D43">
      <w:pPr>
        <w:spacing w:after="0" w:line="480" w:lineRule="auto"/>
        <w:rPr>
          <w:rFonts w:ascii="Times New Roman" w:hAnsi="Times New Roman" w:cs="Times New Roman"/>
          <w:bCs/>
          <w:color w:val="000000" w:themeColor="text1"/>
          <w:sz w:val="28"/>
          <w:szCs w:val="28"/>
        </w:rPr>
      </w:pPr>
    </w:p>
    <w:p w:rsidR="00E63D43" w:rsidRDefault="00E63D43" w:rsidP="00E63D43">
      <w:pPr>
        <w:spacing w:after="0" w:line="480" w:lineRule="auto"/>
        <w:rPr>
          <w:rFonts w:ascii="Times New Roman" w:hAnsi="Times New Roman" w:cs="Times New Roman"/>
          <w:bCs/>
          <w:color w:val="000000" w:themeColor="text1"/>
          <w:sz w:val="28"/>
          <w:szCs w:val="28"/>
        </w:rPr>
      </w:pPr>
    </w:p>
    <w:p w:rsidR="00E63D43" w:rsidRPr="00F57620" w:rsidRDefault="00E63D43" w:rsidP="00E63D43">
      <w:pPr>
        <w:spacing w:after="0" w:line="480" w:lineRule="auto"/>
        <w:rPr>
          <w:rFonts w:ascii="Times New Roman" w:hAnsi="Times New Roman" w:cs="Times New Roman"/>
          <w:bCs/>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E63D43" w:rsidRDefault="00E63D43" w:rsidP="00E63D43">
          <w:pPr>
            <w:pStyle w:val="TOCHeading"/>
            <w:jc w:val="center"/>
            <w:rPr>
              <w:rFonts w:ascii="Times New Roman" w:eastAsiaTheme="minorHAnsi" w:hAnsi="Times New Roman" w:cs="Times New Roman"/>
              <w:color w:val="auto"/>
              <w:sz w:val="28"/>
              <w:szCs w:val="28"/>
            </w:rPr>
          </w:pPr>
        </w:p>
        <w:p w:rsidR="00E63D43" w:rsidRPr="00556B86" w:rsidRDefault="00E63D43" w:rsidP="00E63D43">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E63D43" w:rsidRPr="00556B86" w:rsidRDefault="00E63D43" w:rsidP="00E63D43">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E63D43" w:rsidRPr="00556B86" w:rsidRDefault="00E63D43" w:rsidP="00E63D43">
          <w:pPr>
            <w:pStyle w:val="TOC1"/>
            <w:tabs>
              <w:tab w:val="right" w:leader="dot" w:pos="9350"/>
            </w:tabs>
            <w:rPr>
              <w:rFonts w:ascii="Times New Roman" w:hAnsi="Times New Roman" w:cs="Times New Roman"/>
              <w:noProof/>
              <w:sz w:val="28"/>
              <w:szCs w:val="28"/>
            </w:rPr>
          </w:pPr>
          <w:r w:rsidRPr="00F21E7E">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F21E7E">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E63D43" w:rsidRPr="00556B86" w:rsidRDefault="00E63D43" w:rsidP="00E63D43">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E63D43" w:rsidRDefault="00E63D43" w:rsidP="00E63D43">
          <w:r w:rsidRPr="00556B86">
            <w:rPr>
              <w:rFonts w:ascii="Times New Roman" w:hAnsi="Times New Roman" w:cs="Times New Roman"/>
              <w:b/>
              <w:bCs/>
              <w:noProof/>
              <w:sz w:val="28"/>
              <w:szCs w:val="28"/>
            </w:rPr>
            <w:fldChar w:fldCharType="end"/>
          </w:r>
        </w:p>
      </w:sdtContent>
    </w:sdt>
    <w:p w:rsidR="00E63D43" w:rsidRDefault="00E63D43" w:rsidP="00E63D43">
      <w:pPr>
        <w:jc w:val="both"/>
        <w:rPr>
          <w:rFonts w:ascii="Times New Roman" w:hAnsi="Times New Roman" w:cs="Times New Roman"/>
          <w:b/>
          <w:sz w:val="28"/>
          <w:szCs w:val="28"/>
        </w:rPr>
      </w:pPr>
    </w:p>
    <w:p w:rsidR="00E63D43" w:rsidRDefault="00E63D43" w:rsidP="00E63D43">
      <w:pPr>
        <w:rPr>
          <w:rFonts w:ascii="Times New Roman" w:hAnsi="Times New Roman" w:cs="Times New Roman"/>
          <w:b/>
          <w:sz w:val="28"/>
          <w:szCs w:val="28"/>
        </w:rPr>
      </w:pPr>
      <w:r>
        <w:rPr>
          <w:rFonts w:ascii="Times New Roman" w:hAnsi="Times New Roman" w:cs="Times New Roman"/>
          <w:b/>
          <w:sz w:val="28"/>
          <w:szCs w:val="28"/>
        </w:rPr>
        <w:br w:type="page"/>
      </w:r>
    </w:p>
    <w:p w:rsidR="00E63D43" w:rsidRDefault="00E63D43" w:rsidP="00E63D4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E63D43" w:rsidRDefault="00E63D43" w:rsidP="00E63D43">
      <w:pPr>
        <w:spacing w:line="480" w:lineRule="auto"/>
        <w:jc w:val="both"/>
        <w:rPr>
          <w:rFonts w:ascii="Times New Roman" w:hAnsi="Times New Roman" w:cs="Times New Roman"/>
          <w:b/>
          <w:sz w:val="28"/>
          <w:szCs w:val="28"/>
        </w:rPr>
      </w:pPr>
    </w:p>
    <w:p w:rsidR="00E63D43" w:rsidRDefault="00E63D43" w:rsidP="00E63D43">
      <w:pPr>
        <w:rPr>
          <w:rFonts w:ascii="Times New Roman" w:hAnsi="Times New Roman" w:cs="Times New Roman"/>
          <w:b/>
          <w:sz w:val="28"/>
          <w:szCs w:val="28"/>
        </w:rPr>
      </w:pPr>
      <w:r>
        <w:rPr>
          <w:rFonts w:ascii="Times New Roman" w:hAnsi="Times New Roman" w:cs="Times New Roman"/>
          <w:b/>
          <w:sz w:val="28"/>
          <w:szCs w:val="28"/>
        </w:rPr>
        <w:br w:type="page"/>
      </w:r>
    </w:p>
    <w:p w:rsidR="00E63D43" w:rsidRDefault="00E63D43" w:rsidP="00E63D4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63D43" w:rsidRPr="002F62CD" w:rsidRDefault="00E63D43" w:rsidP="00E63D43">
      <w:pPr>
        <w:spacing w:line="480" w:lineRule="auto"/>
        <w:jc w:val="both"/>
        <w:rPr>
          <w:rFonts w:ascii="Times New Roman" w:hAnsi="Times New Roman" w:cs="Times New Roman"/>
          <w:i/>
          <w:sz w:val="28"/>
          <w:szCs w:val="28"/>
        </w:rPr>
        <w:sectPr w:rsidR="00E63D43" w:rsidRPr="002F62CD" w:rsidSect="00556B86">
          <w:footerReference w:type="default" r:id="rId5"/>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w:t>
      </w:r>
      <w:bookmarkStart w:id="0" w:name="_GoBack"/>
      <w:bookmarkEnd w:id="0"/>
      <w:r w:rsidRPr="002F62CD">
        <w:rPr>
          <w:rFonts w:ascii="Times New Roman" w:hAnsi="Times New Roman" w:cs="Times New Roman"/>
          <w:i/>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2F62CD">
        <w:rPr>
          <w:rFonts w:ascii="Times New Roman" w:hAnsi="Times New Roman" w:cs="Times New Roman"/>
          <w:i/>
          <w:iCs/>
          <w:sz w:val="28"/>
          <w:szCs w:val="28"/>
        </w:rPr>
        <w:t>Penicillium</w:t>
      </w:r>
      <w:proofErr w:type="spellEnd"/>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spp.,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sidRPr="002F62CD">
        <w:rPr>
          <w:rFonts w:ascii="Times New Roman" w:hAnsi="Times New Roman" w:cs="Times New Roman"/>
          <w:i/>
          <w:sz w:val="28"/>
          <w:szCs w:val="28"/>
        </w:rPr>
        <w:lastRenderedPageBreak/>
        <w:t>underscore the need for integrated pest management strategies to promote sustainable agriculture.</w:t>
      </w:r>
    </w:p>
    <w:p w:rsidR="00E63D43" w:rsidRPr="00556B86" w:rsidRDefault="00E63D43" w:rsidP="00E63D43">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E63D43" w:rsidRPr="00556B86" w:rsidRDefault="00E63D43" w:rsidP="00E63D43">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E63D43" w:rsidRPr="00556B86" w:rsidRDefault="00E63D43" w:rsidP="00E63D43">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E63D43" w:rsidRPr="00556B86" w:rsidRDefault="00E63D43" w:rsidP="00E63D43">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E63D43" w:rsidRPr="00556B86" w:rsidRDefault="00E63D43" w:rsidP="00E63D43">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E63D43" w:rsidRPr="00556B86" w:rsidRDefault="00E63D43" w:rsidP="00E63D43">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w:t>
      </w:r>
      <w:proofErr w:type="spellStart"/>
      <w:r w:rsidRPr="00556B86">
        <w:rPr>
          <w:sz w:val="28"/>
          <w:szCs w:val="28"/>
        </w:rPr>
        <w:t>taxa</w:t>
      </w:r>
      <w:proofErr w:type="spellEnd"/>
      <w:r w:rsidRPr="00556B86">
        <w:rPr>
          <w:sz w:val="28"/>
          <w:szCs w:val="28"/>
        </w:rPr>
        <w:t xml:space="preserve">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E63D43" w:rsidRPr="00556B86" w:rsidRDefault="00E63D43" w:rsidP="00E63D43">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2020). A one-size-fits-all approach may overlook localized effects that accumulate over time.</w:t>
      </w:r>
    </w:p>
    <w:p w:rsidR="00E63D43" w:rsidRPr="00556B86" w:rsidRDefault="00E63D43" w:rsidP="00E63D43">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E63D43" w:rsidRPr="00556B86" w:rsidRDefault="00E63D43" w:rsidP="00E63D43">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E63D43" w:rsidRPr="00556B86" w:rsidRDefault="00E63D43" w:rsidP="00E63D43">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E63D43" w:rsidRPr="00556B86" w:rsidRDefault="00E63D43" w:rsidP="00E63D43">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E63D43" w:rsidRPr="00556B86" w:rsidRDefault="00E63D43" w:rsidP="00E63D43">
      <w:pPr>
        <w:pStyle w:val="NormalWeb"/>
        <w:spacing w:line="480" w:lineRule="auto"/>
        <w:jc w:val="both"/>
        <w:rPr>
          <w:sz w:val="28"/>
          <w:szCs w:val="28"/>
        </w:rPr>
      </w:pP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E63D43" w:rsidRPr="00556B86" w:rsidRDefault="00E63D43" w:rsidP="00E63D43">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E63D43" w:rsidRPr="00556B86" w:rsidRDefault="00E63D43" w:rsidP="00E63D43">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w:t>
      </w:r>
      <w:proofErr w:type="spellStart"/>
      <w:r w:rsidRPr="00556B86">
        <w:rPr>
          <w:sz w:val="28"/>
          <w:szCs w:val="28"/>
        </w:rPr>
        <w:t>taxa</w:t>
      </w:r>
      <w:proofErr w:type="spellEnd"/>
      <w:r w:rsidRPr="00556B86">
        <w:rPr>
          <w:sz w:val="28"/>
          <w:szCs w:val="28"/>
        </w:rPr>
        <w:t xml:space="preserve">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E63D43" w:rsidRPr="00556B86" w:rsidRDefault="00E63D43" w:rsidP="00E63D43">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 xml:space="preserve">co-occurrence patterns and keystone </w:t>
      </w:r>
      <w:proofErr w:type="spellStart"/>
      <w:r w:rsidRPr="00556B86">
        <w:rPr>
          <w:bCs/>
          <w:sz w:val="28"/>
          <w:szCs w:val="28"/>
        </w:rPr>
        <w:t>taxa</w:t>
      </w:r>
      <w:proofErr w:type="spellEnd"/>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E63D43" w:rsidRPr="00556B86" w:rsidRDefault="00E63D43" w:rsidP="00E63D43">
      <w:pPr>
        <w:pStyle w:val="NormalWeb"/>
        <w:spacing w:line="480" w:lineRule="auto"/>
        <w:jc w:val="both"/>
        <w:rPr>
          <w:sz w:val="28"/>
          <w:szCs w:val="28"/>
        </w:rPr>
      </w:pP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E63D43" w:rsidRPr="00556B86" w:rsidRDefault="00E63D43" w:rsidP="00E63D43">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w:t>
      </w:r>
      <w:proofErr w:type="spellStart"/>
      <w:r w:rsidRPr="00556B86">
        <w:rPr>
          <w:sz w:val="28"/>
          <w:szCs w:val="28"/>
        </w:rPr>
        <w:t>abiotic</w:t>
      </w:r>
      <w:proofErr w:type="spellEnd"/>
      <w:r w:rsidRPr="00556B86">
        <w:rPr>
          <w:sz w:val="28"/>
          <w:szCs w:val="28"/>
        </w:rPr>
        <w:t xml:space="preserve">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E63D43" w:rsidRPr="00556B86" w:rsidRDefault="00E63D43" w:rsidP="00E63D43">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proofErr w:type="spellStart"/>
      <w:r w:rsidRPr="00556B86">
        <w:rPr>
          <w:bCs/>
          <w:sz w:val="28"/>
          <w:szCs w:val="28"/>
        </w:rPr>
        <w:t>dehydrogenase</w:t>
      </w:r>
      <w:proofErr w:type="spellEnd"/>
      <w:r w:rsidRPr="00556B86">
        <w:rPr>
          <w:bCs/>
          <w:sz w:val="28"/>
          <w:szCs w:val="28"/>
        </w:rPr>
        <w:t xml:space="preserve"> and </w:t>
      </w:r>
      <w:proofErr w:type="spellStart"/>
      <w:r w:rsidRPr="00556B86">
        <w:rPr>
          <w:bCs/>
          <w:sz w:val="28"/>
          <w:szCs w:val="28"/>
        </w:rPr>
        <w:t>phosphatase</w:t>
      </w:r>
      <w:proofErr w:type="spellEnd"/>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E63D43" w:rsidRPr="00556B86" w:rsidRDefault="00E63D43" w:rsidP="00E63D43">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E63D43" w:rsidRPr="00556B86" w:rsidRDefault="00E63D43" w:rsidP="00E63D43">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E63D43" w:rsidRPr="00556B86" w:rsidRDefault="00E63D43" w:rsidP="00E63D43">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E63D43" w:rsidRPr="00556B86" w:rsidRDefault="00E63D43" w:rsidP="00E63D43">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E63D43" w:rsidRPr="00556B86" w:rsidRDefault="00E63D43" w:rsidP="00E63D43">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E63D43" w:rsidRPr="00556B86" w:rsidRDefault="00E63D43" w:rsidP="00E63D43">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E63D43" w:rsidRPr="00556B86" w:rsidRDefault="00E63D43" w:rsidP="00E63D43">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E63D43" w:rsidRPr="00556B86" w:rsidRDefault="00E63D43" w:rsidP="00E63D43">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E63D43" w:rsidRPr="00556B86" w:rsidRDefault="00E63D43" w:rsidP="00E63D43">
      <w:pPr>
        <w:pStyle w:val="NormalWeb"/>
        <w:spacing w:line="480" w:lineRule="auto"/>
        <w:jc w:val="both"/>
        <w:rPr>
          <w:b/>
          <w:sz w:val="28"/>
          <w:szCs w:val="28"/>
        </w:rPr>
      </w:pPr>
    </w:p>
    <w:p w:rsidR="00E63D43" w:rsidRPr="00556B86" w:rsidRDefault="00E63D43" w:rsidP="00E63D43">
      <w:pPr>
        <w:spacing w:before="100" w:beforeAutospacing="1" w:after="100" w:afterAutospacing="1" w:line="480" w:lineRule="auto"/>
        <w:jc w:val="center"/>
        <w:rPr>
          <w:rFonts w:ascii="Times New Roman" w:eastAsia="Times New Roman" w:hAnsi="Times New Roman" w:cs="Times New Roman"/>
          <w:b/>
          <w:bCs/>
          <w:sz w:val="28"/>
          <w:szCs w:val="28"/>
        </w:rPr>
      </w:pPr>
    </w:p>
    <w:p w:rsidR="00E63D43" w:rsidRPr="00556B86" w:rsidRDefault="00E63D43" w:rsidP="00E63D43">
      <w:pPr>
        <w:spacing w:before="100" w:beforeAutospacing="1" w:after="100" w:afterAutospacing="1" w:line="480" w:lineRule="auto"/>
        <w:jc w:val="center"/>
        <w:rPr>
          <w:rFonts w:ascii="Times New Roman" w:eastAsia="Times New Roman" w:hAnsi="Times New Roman" w:cs="Times New Roman"/>
          <w:b/>
          <w:bCs/>
          <w:sz w:val="28"/>
          <w:szCs w:val="28"/>
        </w:rPr>
      </w:pPr>
    </w:p>
    <w:p w:rsidR="00E63D43" w:rsidRPr="00556B86" w:rsidRDefault="00E63D43" w:rsidP="00E63D43">
      <w:pPr>
        <w:spacing w:before="100" w:beforeAutospacing="1" w:after="100" w:afterAutospacing="1" w:line="480" w:lineRule="auto"/>
        <w:jc w:val="center"/>
        <w:rPr>
          <w:rFonts w:ascii="Times New Roman" w:eastAsia="Times New Roman" w:hAnsi="Times New Roman" w:cs="Times New Roman"/>
          <w:b/>
          <w:bCs/>
          <w:sz w:val="28"/>
          <w:szCs w:val="28"/>
        </w:rPr>
      </w:pPr>
    </w:p>
    <w:p w:rsidR="00E63D43" w:rsidRPr="00556B86" w:rsidRDefault="00E63D43" w:rsidP="00E63D43">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E63D43" w:rsidRPr="00556B86" w:rsidRDefault="00E63D43" w:rsidP="00E63D43">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E63D43" w:rsidRPr="00556B86" w:rsidRDefault="00E63D43" w:rsidP="00E63D43">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E63D43" w:rsidRPr="00410B39"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E63D43" w:rsidRPr="00556B86" w:rsidRDefault="00E63D43" w:rsidP="00E63D43">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E63D43" w:rsidRPr="00410B39"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E63D43" w:rsidRPr="00556B86" w:rsidRDefault="00E63D43" w:rsidP="00E63D43">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E63D43" w:rsidRPr="00556B86"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E63D43" w:rsidRPr="00556B86" w:rsidRDefault="00E63D43" w:rsidP="00E63D43">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E63D43" w:rsidRPr="00410B39"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E63D43" w:rsidRPr="00556B86" w:rsidRDefault="00E63D43" w:rsidP="00E63D43">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E63D43" w:rsidRPr="00410B39"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E63D43" w:rsidRPr="00556B86" w:rsidRDefault="00E63D43" w:rsidP="00E63D43">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E63D43" w:rsidRPr="00410B39"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E63D43" w:rsidRPr="00556B86" w:rsidRDefault="00E63D43" w:rsidP="00E63D43">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E63D43" w:rsidRPr="00410B39"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E63D43" w:rsidRPr="00556B86" w:rsidRDefault="00E63D43" w:rsidP="00E63D43">
      <w:pPr>
        <w:spacing w:before="100" w:beforeAutospacing="1" w:after="100" w:afterAutospacing="1" w:line="480" w:lineRule="auto"/>
        <w:jc w:val="both"/>
        <w:rPr>
          <w:rFonts w:ascii="Times New Roman" w:eastAsia="Times New Roman" w:hAnsi="Times New Roman" w:cs="Times New Roman"/>
          <w:sz w:val="28"/>
          <w:szCs w:val="28"/>
        </w:rPr>
      </w:pPr>
    </w:p>
    <w:p w:rsidR="00E63D43" w:rsidRPr="00556B86" w:rsidRDefault="00E63D43" w:rsidP="00E63D43">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E63D43" w:rsidRPr="00556B86" w:rsidRDefault="00E63D43" w:rsidP="00E63D43">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E63D43" w:rsidRPr="00556B86" w:rsidRDefault="00E63D43" w:rsidP="00E63D43">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E63D43" w:rsidRPr="00556B86" w:rsidRDefault="00E63D43" w:rsidP="00E63D43">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E63D43" w:rsidRPr="00556B86" w:rsidRDefault="00E63D43" w:rsidP="00E63D43">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E63D43" w:rsidRPr="00556B86" w:rsidTr="00312F16">
        <w:trPr>
          <w:cnfStyle w:val="100000000000"/>
        </w:trPr>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E63D43" w:rsidRPr="00556B86" w:rsidRDefault="00E63D43"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E63D43" w:rsidRPr="00556B86" w:rsidRDefault="00E63D43"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E63D43" w:rsidRPr="00556B86" w:rsidRDefault="00E63D43"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E63D43" w:rsidRPr="00556B86" w:rsidRDefault="00E63D43"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E63D43" w:rsidRPr="00556B86" w:rsidTr="00312F16">
        <w:trPr>
          <w:cnfStyle w:val="000000100000"/>
        </w:trPr>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E63D43" w:rsidRPr="00556B86" w:rsidTr="00312F16">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E63D43" w:rsidRPr="00556B86" w:rsidTr="00312F16">
        <w:trPr>
          <w:cnfStyle w:val="000000100000"/>
        </w:trPr>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E63D43" w:rsidRPr="00556B86" w:rsidTr="00312F16">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E63D43" w:rsidRPr="00556B86" w:rsidTr="00312F16">
        <w:trPr>
          <w:cnfStyle w:val="000000100000"/>
        </w:trPr>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E63D43" w:rsidRPr="00556B86" w:rsidRDefault="00E63D43"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E63D43" w:rsidRPr="00556B86" w:rsidTr="00312F16">
        <w:tc>
          <w:tcPr>
            <w:cnfStyle w:val="001000000000"/>
            <w:tcW w:w="0" w:type="auto"/>
            <w:shd w:val="clear" w:color="auto" w:fill="FFFFFF" w:themeFill="background1"/>
            <w:hideMark/>
          </w:tcPr>
          <w:p w:rsidR="00E63D43" w:rsidRPr="00556B86" w:rsidRDefault="00E63D43"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E63D43" w:rsidRPr="00556B86" w:rsidRDefault="00E63D43"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E63D43" w:rsidRDefault="00E63D43" w:rsidP="00E63D43">
      <w:pPr>
        <w:pStyle w:val="Heading1"/>
        <w:rPr>
          <w:rStyle w:val="Strong"/>
          <w:rFonts w:ascii="Times New Roman" w:hAnsi="Times New Roman" w:cs="Times New Roman"/>
          <w:color w:val="auto"/>
          <w:sz w:val="28"/>
          <w:szCs w:val="28"/>
        </w:rPr>
      </w:pPr>
      <w:bookmarkStart w:id="20" w:name="_Toc202976467"/>
    </w:p>
    <w:p w:rsidR="00E63D43" w:rsidRDefault="00E63D43" w:rsidP="00E63D43">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E63D43" w:rsidRPr="00556B86" w:rsidRDefault="00E63D43" w:rsidP="00E63D43">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E63D43" w:rsidRPr="00556B86" w:rsidRDefault="00E63D43" w:rsidP="00E63D43">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E63D43" w:rsidRPr="00556B86" w:rsidTr="00312F16">
        <w:trPr>
          <w:cnfStyle w:val="100000000000"/>
        </w:trPr>
        <w:tc>
          <w:tcPr>
            <w:cnfStyle w:val="001000000000"/>
            <w:tcW w:w="0" w:type="auto"/>
            <w:shd w:val="clear" w:color="auto" w:fill="auto"/>
            <w:hideMark/>
          </w:tcPr>
          <w:p w:rsidR="00E63D43" w:rsidRPr="00556B86" w:rsidRDefault="00E63D43"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E63D43" w:rsidRPr="00556B86" w:rsidRDefault="00E63D43"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E63D43" w:rsidRPr="00556B86" w:rsidRDefault="00E63D43"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E63D43" w:rsidRPr="00556B86" w:rsidRDefault="00E63D43"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E63D43" w:rsidRPr="00556B86" w:rsidRDefault="00E63D43"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E63D43" w:rsidRPr="00556B86" w:rsidTr="00312F16">
        <w:trPr>
          <w:cnfStyle w:val="000000100000"/>
        </w:trPr>
        <w:tc>
          <w:tcPr>
            <w:cnfStyle w:val="001000000000"/>
            <w:tcW w:w="0" w:type="auto"/>
            <w:shd w:val="clear" w:color="auto" w:fill="auto"/>
            <w:hideMark/>
          </w:tcPr>
          <w:p w:rsidR="00E63D43" w:rsidRPr="00556B86" w:rsidRDefault="00E63D43" w:rsidP="00312F16">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E63D43" w:rsidRPr="00556B86" w:rsidTr="00312F16">
        <w:tc>
          <w:tcPr>
            <w:cnfStyle w:val="001000000000"/>
            <w:tcW w:w="0" w:type="auto"/>
            <w:shd w:val="clear" w:color="auto" w:fill="auto"/>
            <w:hideMark/>
          </w:tcPr>
          <w:p w:rsidR="00E63D43" w:rsidRPr="00556B86" w:rsidRDefault="00E63D43"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E63D43" w:rsidRPr="00556B86" w:rsidTr="00312F16">
        <w:trPr>
          <w:cnfStyle w:val="000000100000"/>
        </w:trPr>
        <w:tc>
          <w:tcPr>
            <w:cnfStyle w:val="001000000000"/>
            <w:tcW w:w="0" w:type="auto"/>
            <w:shd w:val="clear" w:color="auto" w:fill="auto"/>
            <w:hideMark/>
          </w:tcPr>
          <w:p w:rsidR="00E63D43" w:rsidRPr="00556B86" w:rsidRDefault="00E63D43"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E63D43" w:rsidRPr="00556B86" w:rsidTr="00312F16">
        <w:tc>
          <w:tcPr>
            <w:cnfStyle w:val="001000000000"/>
            <w:tcW w:w="0" w:type="auto"/>
            <w:shd w:val="clear" w:color="auto" w:fill="auto"/>
            <w:hideMark/>
          </w:tcPr>
          <w:p w:rsidR="00E63D43" w:rsidRPr="00556B86" w:rsidRDefault="00E63D43"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E63D43" w:rsidRPr="00556B86" w:rsidRDefault="00E63D43"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E63D43" w:rsidRPr="00556B86" w:rsidTr="00312F16">
        <w:trPr>
          <w:cnfStyle w:val="000000100000"/>
        </w:trPr>
        <w:tc>
          <w:tcPr>
            <w:cnfStyle w:val="001000000000"/>
            <w:tcW w:w="0" w:type="auto"/>
            <w:shd w:val="clear" w:color="auto" w:fill="auto"/>
            <w:hideMark/>
          </w:tcPr>
          <w:p w:rsidR="00E63D43" w:rsidRPr="00556B86" w:rsidRDefault="00E63D43"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E63D43" w:rsidRPr="00556B86" w:rsidRDefault="00E63D43"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E63D43" w:rsidRPr="00556B86" w:rsidRDefault="00E63D43" w:rsidP="00E63D43">
      <w:pPr>
        <w:spacing w:line="480" w:lineRule="auto"/>
        <w:jc w:val="both"/>
        <w:rPr>
          <w:rFonts w:ascii="Times New Roman" w:hAnsi="Times New Roman" w:cs="Times New Roman"/>
          <w:sz w:val="28"/>
          <w:szCs w:val="28"/>
        </w:rPr>
      </w:pPr>
    </w:p>
    <w:p w:rsidR="00E63D43" w:rsidRPr="00556B86" w:rsidRDefault="00E63D43" w:rsidP="00E63D43">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9"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E63D43" w:rsidRPr="00556B86" w:rsidRDefault="00E63D43" w:rsidP="00E63D43">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E63D43" w:rsidRPr="00556B86" w:rsidRDefault="00E63D43" w:rsidP="00E63D43">
      <w:pPr>
        <w:rPr>
          <w:rFonts w:ascii="Times New Roman" w:hAnsi="Times New Roman" w:cs="Times New Roman"/>
        </w:rPr>
      </w:pPr>
    </w:p>
    <w:p w:rsidR="00E63D43" w:rsidRPr="00556B86" w:rsidRDefault="00E63D43" w:rsidP="00E63D43">
      <w:pPr>
        <w:rPr>
          <w:rFonts w:ascii="Times New Roman" w:hAnsi="Times New Roman" w:cs="Times New Roman"/>
        </w:rPr>
      </w:pPr>
    </w:p>
    <w:p w:rsidR="00E63D43" w:rsidRPr="00556B86" w:rsidRDefault="00E63D43" w:rsidP="00E63D43">
      <w:pPr>
        <w:rPr>
          <w:rFonts w:ascii="Times New Roman" w:hAnsi="Times New Roman" w:cs="Times New Roman"/>
        </w:rPr>
      </w:pPr>
    </w:p>
    <w:p w:rsidR="00E63D43" w:rsidRPr="00556B86" w:rsidRDefault="00E63D43" w:rsidP="00E63D43">
      <w:pPr>
        <w:pStyle w:val="Heading4"/>
        <w:spacing w:line="480" w:lineRule="auto"/>
        <w:jc w:val="both"/>
        <w:rPr>
          <w:rStyle w:val="Strong"/>
          <w:rFonts w:ascii="Times New Roman" w:hAnsi="Times New Roman" w:cs="Times New Roman"/>
          <w:b w:val="0"/>
          <w:bCs w:val="0"/>
          <w:i w:val="0"/>
          <w:color w:val="auto"/>
          <w:sz w:val="28"/>
          <w:szCs w:val="28"/>
        </w:rPr>
      </w:pPr>
    </w:p>
    <w:p w:rsidR="00E63D43" w:rsidRPr="00556B86" w:rsidRDefault="00E63D43" w:rsidP="00E63D43">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E63D43" w:rsidRPr="00556B86" w:rsidRDefault="00E63D43" w:rsidP="00E63D43">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tblPr>
      <w:tblGrid>
        <w:gridCol w:w="1485"/>
        <w:gridCol w:w="2830"/>
        <w:gridCol w:w="2748"/>
        <w:gridCol w:w="1793"/>
      </w:tblGrid>
      <w:tr w:rsidR="00E63D43" w:rsidRPr="00556B86" w:rsidTr="00312F16">
        <w:trPr>
          <w:cnfStyle w:val="100000000000"/>
        </w:trPr>
        <w:tc>
          <w:tcPr>
            <w:cnfStyle w:val="001000000000"/>
            <w:tcW w:w="0" w:type="auto"/>
            <w:shd w:val="clear" w:color="auto" w:fill="auto"/>
            <w:hideMark/>
          </w:tcPr>
          <w:p w:rsidR="00E63D43" w:rsidRPr="00556B86" w:rsidRDefault="00E63D43"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E63D43" w:rsidRPr="00556B86" w:rsidRDefault="00E63D43"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E63D43" w:rsidRPr="00556B86" w:rsidRDefault="00E63D43"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E63D43" w:rsidRPr="00556B86" w:rsidRDefault="00E63D43"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E63D43" w:rsidRPr="00556B86" w:rsidTr="00312F16">
        <w:trPr>
          <w:cnfStyle w:val="000000100000"/>
        </w:trPr>
        <w:tc>
          <w:tcPr>
            <w:cnfStyle w:val="001000000000"/>
            <w:tcW w:w="0" w:type="auto"/>
            <w:shd w:val="clear" w:color="auto" w:fill="auto"/>
            <w:hideMark/>
          </w:tcPr>
          <w:p w:rsidR="00E63D43" w:rsidRPr="00556B86" w:rsidRDefault="00E63D43" w:rsidP="00312F16">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E63D43" w:rsidRPr="00556B86" w:rsidTr="00312F16">
        <w:tc>
          <w:tcPr>
            <w:cnfStyle w:val="001000000000"/>
            <w:tcW w:w="0" w:type="auto"/>
            <w:shd w:val="clear" w:color="auto" w:fill="auto"/>
            <w:hideMark/>
          </w:tcPr>
          <w:p w:rsidR="00E63D43" w:rsidRPr="00556B86" w:rsidRDefault="00E63D43"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E63D43" w:rsidRPr="00556B86" w:rsidRDefault="00E63D43"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E63D43" w:rsidRPr="00556B86" w:rsidRDefault="00E63D43" w:rsidP="00312F16">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E63D43" w:rsidRPr="00556B86" w:rsidRDefault="00E63D43" w:rsidP="00312F16">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E63D43" w:rsidRPr="00556B86" w:rsidTr="00312F16">
        <w:trPr>
          <w:cnfStyle w:val="000000100000"/>
        </w:trPr>
        <w:tc>
          <w:tcPr>
            <w:cnfStyle w:val="001000000000"/>
            <w:tcW w:w="0" w:type="auto"/>
            <w:shd w:val="clear" w:color="auto" w:fill="auto"/>
            <w:hideMark/>
          </w:tcPr>
          <w:p w:rsidR="00E63D43" w:rsidRPr="00556B86" w:rsidRDefault="00E63D43"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E63D43" w:rsidRPr="00556B86" w:rsidTr="00312F16">
        <w:tc>
          <w:tcPr>
            <w:cnfStyle w:val="001000000000"/>
            <w:tcW w:w="0" w:type="auto"/>
            <w:shd w:val="clear" w:color="auto" w:fill="auto"/>
            <w:hideMark/>
          </w:tcPr>
          <w:p w:rsidR="00E63D43" w:rsidRPr="00556B86" w:rsidRDefault="00E63D43"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E63D43" w:rsidRPr="00556B86" w:rsidRDefault="00E63D43"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E63D43" w:rsidRPr="00556B86" w:rsidRDefault="00E63D43"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E63D43" w:rsidRPr="00556B86" w:rsidRDefault="00E63D43"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E63D43" w:rsidRPr="00556B86" w:rsidTr="00312F16">
        <w:trPr>
          <w:cnfStyle w:val="000000100000"/>
        </w:trPr>
        <w:tc>
          <w:tcPr>
            <w:cnfStyle w:val="001000000000"/>
            <w:tcW w:w="0" w:type="auto"/>
            <w:shd w:val="clear" w:color="auto" w:fill="auto"/>
            <w:hideMark/>
          </w:tcPr>
          <w:p w:rsidR="00E63D43" w:rsidRPr="00556B86" w:rsidRDefault="00E63D43"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E63D43" w:rsidRPr="00556B86" w:rsidRDefault="00E63D43"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E63D43" w:rsidRPr="00556B86" w:rsidRDefault="00E63D43" w:rsidP="00E63D43">
      <w:pPr>
        <w:spacing w:before="100" w:beforeAutospacing="1" w:after="100" w:afterAutospacing="1" w:line="480" w:lineRule="auto"/>
        <w:jc w:val="both"/>
        <w:rPr>
          <w:rFonts w:ascii="Times New Roman" w:hAnsi="Times New Roman" w:cs="Times New Roman"/>
          <w:sz w:val="28"/>
          <w:szCs w:val="28"/>
        </w:rPr>
      </w:pPr>
    </w:p>
    <w:p w:rsidR="00E63D43" w:rsidRPr="00556B86" w:rsidRDefault="00E63D43" w:rsidP="00E63D43">
      <w:pPr>
        <w:pStyle w:val="NormalWeb"/>
        <w:spacing w:line="480" w:lineRule="auto"/>
        <w:jc w:val="center"/>
        <w:rPr>
          <w:b/>
          <w:sz w:val="28"/>
          <w:szCs w:val="28"/>
        </w:rPr>
      </w:pPr>
    </w:p>
    <w:p w:rsidR="00E63D43" w:rsidRDefault="00E63D43" w:rsidP="00E63D43">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E63D43" w:rsidRPr="00556B86" w:rsidRDefault="00E63D43" w:rsidP="00E63D43">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E63D43" w:rsidRPr="00556B86" w:rsidRDefault="00E63D43" w:rsidP="00E63D43">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E63D43" w:rsidRPr="00556B86" w:rsidRDefault="00E63D43" w:rsidP="00E63D43">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w:t>
      </w:r>
      <w:proofErr w:type="spellStart"/>
      <w:r w:rsidRPr="00556B86">
        <w:rPr>
          <w:rFonts w:ascii="Times New Roman" w:hAnsi="Times New Roman" w:cs="Times New Roman"/>
          <w:sz w:val="28"/>
          <w:szCs w:val="28"/>
        </w:rPr>
        <w:t>Banerjee</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Future studies should focus on long-term soil monitoring and functional assessment of surviving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to understand the ecological implications of fungicide usage in agriculture.</w:t>
      </w:r>
    </w:p>
    <w:p w:rsidR="00E63D43" w:rsidRPr="00556B86" w:rsidRDefault="00E63D43" w:rsidP="00E63D43">
      <w:pPr>
        <w:spacing w:line="480" w:lineRule="auto"/>
        <w:jc w:val="both"/>
        <w:rPr>
          <w:rFonts w:ascii="Times New Roman" w:hAnsi="Times New Roman" w:cs="Times New Roman"/>
          <w:sz w:val="28"/>
          <w:szCs w:val="28"/>
        </w:rPr>
      </w:pPr>
    </w:p>
    <w:p w:rsidR="00E63D43" w:rsidRPr="00556B86" w:rsidRDefault="00E63D43" w:rsidP="00E63D43">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E63D43" w:rsidRPr="00556B86" w:rsidRDefault="00E63D43" w:rsidP="00E63D4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E63D43" w:rsidRDefault="00E63D43" w:rsidP="00E63D43">
      <w:pPr>
        <w:spacing w:line="480" w:lineRule="auto"/>
        <w:jc w:val="both"/>
        <w:rPr>
          <w:rFonts w:ascii="Times New Roman" w:hAnsi="Times New Roman" w:cs="Times New Roman"/>
          <w:b/>
        </w:rPr>
      </w:pPr>
      <w:bookmarkStart w:id="28" w:name="_Toc202976475"/>
    </w:p>
    <w:p w:rsidR="00E63D43" w:rsidRPr="00556B86" w:rsidRDefault="00E63D43" w:rsidP="00E63D43">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Banerjee</w:t>
      </w:r>
      <w:proofErr w:type="spellEnd"/>
      <w:r w:rsidRPr="00556B86">
        <w:rPr>
          <w:sz w:val="28"/>
          <w:szCs w:val="28"/>
        </w:rPr>
        <w:t xml:space="preserv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w:t>
      </w:r>
      <w:proofErr w:type="spellStart"/>
      <w:r w:rsidRPr="00556B86">
        <w:rPr>
          <w:sz w:val="28"/>
          <w:szCs w:val="28"/>
        </w:rPr>
        <w:t>taxa</w:t>
      </w:r>
      <w:proofErr w:type="spellEnd"/>
      <w:r w:rsidRPr="00556B86">
        <w:rPr>
          <w:sz w:val="28"/>
          <w:szCs w:val="28"/>
        </w:rPr>
        <w:t xml:space="preserve">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E63D43" w:rsidRPr="00556B86" w:rsidRDefault="00E63D43" w:rsidP="00E63D43">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roots. </w:t>
      </w:r>
      <w:r w:rsidRPr="00556B86">
        <w:rPr>
          <w:rStyle w:val="Emphasis"/>
          <w:sz w:val="28"/>
          <w:szCs w:val="28"/>
        </w:rPr>
        <w:t>Nature Ecology &amp; Evolution</w:t>
      </w:r>
      <w:r w:rsidRPr="00556B86">
        <w:rPr>
          <w:sz w:val="28"/>
          <w:szCs w:val="28"/>
        </w:rPr>
        <w:t>, 4(3), 302–310. https://doi.org/10.1038/s41559-019-1052-4</w:t>
      </w:r>
    </w:p>
    <w:p w:rsidR="00E63D43" w:rsidRPr="00556B86" w:rsidRDefault="00E63D43" w:rsidP="00E63D43">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7" w:history="1">
        <w:r w:rsidRPr="00556B86">
          <w:rPr>
            <w:rStyle w:val="Hyperlink"/>
            <w:sz w:val="28"/>
            <w:szCs w:val="28"/>
          </w:rPr>
          <w:t>https://doi.org/10.1016/j.scitotenv.2021.150383</w:t>
        </w:r>
      </w:hyperlink>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lastRenderedPageBreak/>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8" w:history="1">
        <w:r w:rsidRPr="00556B86">
          <w:rPr>
            <w:rStyle w:val="Hyperlink"/>
            <w:sz w:val="28"/>
            <w:szCs w:val="28"/>
          </w:rPr>
          <w:t>https://doi.org/10.1016/j.apsoil.2021.104147</w:t>
        </w:r>
      </w:hyperlink>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spellStart"/>
      <w:proofErr w:type="gramStart"/>
      <w:r w:rsidRPr="00556B86">
        <w:rPr>
          <w:i/>
          <w:iCs/>
          <w:sz w:val="28"/>
          <w:szCs w:val="28"/>
        </w:rPr>
        <w:t>Ecotoxicology</w:t>
      </w:r>
      <w:proofErr w:type="spellEnd"/>
      <w:r w:rsidRPr="00556B86">
        <w:rPr>
          <w:i/>
          <w:iCs/>
          <w:sz w:val="28"/>
          <w:szCs w:val="28"/>
        </w:rPr>
        <w:t xml:space="preserve"> and Environmental Safety</w:t>
      </w:r>
      <w:r w:rsidRPr="00556B86">
        <w:rPr>
          <w:sz w:val="28"/>
          <w:szCs w:val="28"/>
        </w:rPr>
        <w:t>, 210, 111885.</w:t>
      </w:r>
      <w:proofErr w:type="gramEnd"/>
      <w:r w:rsidRPr="00556B86">
        <w:rPr>
          <w:sz w:val="28"/>
          <w:szCs w:val="28"/>
        </w:rPr>
        <w:t xml:space="preserve"> https://doi.org/10.1016/j.ecoenv.2021.111885</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E63D43" w:rsidRPr="00556B86" w:rsidRDefault="00E63D43" w:rsidP="00E63D43">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E63D43" w:rsidRPr="00556B86" w:rsidRDefault="00E63D43" w:rsidP="00E63D43">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E63D43" w:rsidRPr="00556B86" w:rsidRDefault="00E63D43" w:rsidP="00E63D43">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9" w:history="1">
        <w:r w:rsidRPr="00556B86">
          <w:rPr>
            <w:rStyle w:val="Hyperlink"/>
            <w:sz w:val="28"/>
            <w:szCs w:val="28"/>
          </w:rPr>
          <w:t>https://doi.org/10.1016/j.scitotenv.2020.144767</w:t>
        </w:r>
      </w:hyperlink>
    </w:p>
    <w:p w:rsidR="00E63D43" w:rsidRPr="00556B86" w:rsidRDefault="00E63D43" w:rsidP="00E63D43">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E63D43" w:rsidRPr="00556B86" w:rsidRDefault="00E63D43" w:rsidP="00E63D43">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E63D43" w:rsidRPr="00556B86" w:rsidRDefault="00E63D43" w:rsidP="00E63D43">
      <w:pPr>
        <w:pStyle w:val="NormalWeb"/>
        <w:spacing w:line="480" w:lineRule="auto"/>
        <w:ind w:left="720" w:hanging="720"/>
        <w:jc w:val="both"/>
        <w:rPr>
          <w:sz w:val="28"/>
          <w:szCs w:val="28"/>
        </w:rPr>
      </w:pPr>
    </w:p>
    <w:p w:rsidR="00E63D43" w:rsidRPr="00556B86" w:rsidRDefault="00E63D43" w:rsidP="00E63D43">
      <w:pPr>
        <w:spacing w:line="480" w:lineRule="auto"/>
        <w:jc w:val="both"/>
        <w:rPr>
          <w:rFonts w:ascii="Times New Roman" w:hAnsi="Times New Roman" w:cs="Times New Roman"/>
          <w:sz w:val="28"/>
          <w:szCs w:val="28"/>
        </w:rPr>
      </w:pPr>
    </w:p>
    <w:p w:rsidR="00E63D43" w:rsidRDefault="00E63D43" w:rsidP="00E63D43"/>
    <w:sectPr w:rsidR="00E63D43" w:rsidSect="00556B86">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E63D43">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8664BB" w:rsidRDefault="00E63D4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D43"/>
    <w:rsid w:val="00E63D43"/>
    <w:rsid w:val="00F51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43"/>
    <w:pPr>
      <w:spacing w:after="160" w:line="259" w:lineRule="auto"/>
    </w:pPr>
  </w:style>
  <w:style w:type="paragraph" w:styleId="Heading1">
    <w:name w:val="heading 1"/>
    <w:basedOn w:val="Normal"/>
    <w:next w:val="Normal"/>
    <w:link w:val="Heading1Char"/>
    <w:uiPriority w:val="9"/>
    <w:qFormat/>
    <w:rsid w:val="00E63D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E63D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43"/>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E63D43"/>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E63D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D43"/>
    <w:rPr>
      <w:b/>
      <w:bCs/>
    </w:rPr>
  </w:style>
  <w:style w:type="character" w:styleId="Emphasis">
    <w:name w:val="Emphasis"/>
    <w:basedOn w:val="DefaultParagraphFont"/>
    <w:uiPriority w:val="20"/>
    <w:qFormat/>
    <w:rsid w:val="00E63D43"/>
    <w:rPr>
      <w:i/>
      <w:iCs/>
    </w:rPr>
  </w:style>
  <w:style w:type="character" w:styleId="Hyperlink">
    <w:name w:val="Hyperlink"/>
    <w:basedOn w:val="DefaultParagraphFont"/>
    <w:uiPriority w:val="99"/>
    <w:unhideWhenUsed/>
    <w:rsid w:val="00E63D43"/>
    <w:rPr>
      <w:color w:val="0000FF" w:themeColor="hyperlink"/>
      <w:u w:val="single"/>
    </w:rPr>
  </w:style>
  <w:style w:type="table" w:customStyle="1" w:styleId="ListTable6Colorful">
    <w:name w:val="List Table 6 Colorful"/>
    <w:basedOn w:val="TableNormal"/>
    <w:uiPriority w:val="51"/>
    <w:rsid w:val="00E63D4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E63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D43"/>
  </w:style>
  <w:style w:type="paragraph" w:styleId="TOCHeading">
    <w:name w:val="TOC Heading"/>
    <w:basedOn w:val="Heading1"/>
    <w:next w:val="Normal"/>
    <w:uiPriority w:val="39"/>
    <w:unhideWhenUsed/>
    <w:qFormat/>
    <w:rsid w:val="00E63D43"/>
    <w:pPr>
      <w:outlineLvl w:val="9"/>
    </w:pPr>
  </w:style>
  <w:style w:type="paragraph" w:styleId="TOC1">
    <w:name w:val="toc 1"/>
    <w:basedOn w:val="Normal"/>
    <w:next w:val="Normal"/>
    <w:autoRedefine/>
    <w:uiPriority w:val="39"/>
    <w:unhideWhenUsed/>
    <w:rsid w:val="00E63D43"/>
    <w:pPr>
      <w:spacing w:after="100"/>
    </w:pPr>
  </w:style>
  <w:style w:type="paragraph" w:styleId="BalloonText">
    <w:name w:val="Balloon Text"/>
    <w:basedOn w:val="Normal"/>
    <w:link w:val="BalloonTextChar"/>
    <w:uiPriority w:val="99"/>
    <w:semiHidden/>
    <w:unhideWhenUsed/>
    <w:rsid w:val="00E63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D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4147" TargetMode="External"/><Relationship Id="rId3" Type="http://schemas.openxmlformats.org/officeDocument/2006/relationships/settings" Target="settings.xml"/><Relationship Id="rId7" Type="http://schemas.openxmlformats.org/officeDocument/2006/relationships/hyperlink" Target="https://doi.org/10.1016/j.scitotenv.2021.15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0.14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5996</Words>
  <Characters>34183</Characters>
  <Application>Microsoft Office Word</Application>
  <DocSecurity>0</DocSecurity>
  <Lines>284</Lines>
  <Paragraphs>80</Paragraphs>
  <ScaleCrop>false</ScaleCrop>
  <Company/>
  <LinksUpToDate>false</LinksUpToDate>
  <CharactersWithSpaces>40099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2025-07-10T22:17:00Z</dcterms:created>
  <dcterms:modified xsi:type="dcterms:W3CDTF">2025-07-10T22:25:00Z</dcterms:modified>
</cp:coreProperties>
</file>