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36108BB2"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F50036">
        <w:rPr>
          <w:rFonts w:ascii="Times New Roman" w:hAnsi="Times New Roman" w:cs="Times New Roman"/>
          <w:b/>
          <w:sz w:val="28"/>
          <w:szCs w:val="28"/>
        </w:rPr>
        <w:t xml:space="preserve"> FIELDS</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6FA07D29" w:rsidR="000A45B2" w:rsidRPr="000A45B2" w:rsidRDefault="00931026"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AREMU KHADIJAT</w:t>
      </w:r>
    </w:p>
    <w:p w14:paraId="20AC515B" w14:textId="7B70AE3A" w:rsidR="000A45B2" w:rsidRPr="000A45B2" w:rsidRDefault="00931026"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HND/23/SLT/FT/00138</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44FF4DB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w:t>
      </w:r>
      <w:r w:rsidR="00931026">
        <w:rPr>
          <w:rFonts w:ascii="Times New Roman" w:eastAsia="Calibri" w:hAnsi="Times New Roman" w:cs="Times New Roman"/>
          <w:kern w:val="0"/>
          <w:sz w:val="28"/>
          <w:szCs w:val="28"/>
          <w14:ligatures w14:val="none"/>
        </w:rPr>
        <w:t>AREMU KHADIJAT</w:t>
      </w:r>
      <w:r w:rsidRPr="000A45B2">
        <w:rPr>
          <w:rFonts w:ascii="Times New Roman" w:eastAsia="Calibri" w:hAnsi="Times New Roman" w:cs="Times New Roman"/>
          <w:kern w:val="0"/>
          <w:sz w:val="28"/>
          <w:szCs w:val="28"/>
          <w14:ligatures w14:val="none"/>
        </w:rPr>
        <w:t xml:space="preserve"> with </w:t>
      </w:r>
      <w:r w:rsidR="00931026">
        <w:rPr>
          <w:rFonts w:ascii="Times New Roman" w:eastAsia="Calibri" w:hAnsi="Times New Roman" w:cs="Times New Roman"/>
          <w:kern w:val="0"/>
          <w:sz w:val="28"/>
          <w:szCs w:val="28"/>
          <w14:ligatures w14:val="none"/>
        </w:rPr>
        <w:t>matric number HND/23/SLT/FT/0138</w:t>
      </w:r>
      <w:r w:rsidRPr="000A45B2">
        <w:rPr>
          <w:rFonts w:ascii="Times New Roman" w:eastAsia="Calibri" w:hAnsi="Times New Roman" w:cs="Times New Roman"/>
          <w:kern w:val="0"/>
          <w:sz w:val="28"/>
          <w:szCs w:val="28"/>
          <w14:ligatures w14:val="none"/>
        </w:rPr>
        <w:t xml:space="preserve"> carried out in the Microbiology Unit of the Department of Science Laboratory Technology, Institute of Applied Sciences, Kwara State Polytechnic, Ilorin.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74EDDE12"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This work is dedicated to Almighty God, for his infinite mercy and grace. My utmost appreciation goes to my parents for their parental support all through the course of my academic pursuit. And to my siblings, God bless you all. Also to My Mentor Bros Abdul Rahman Ibrahim for  his great support in building me outside of academics.</w:t>
      </w:r>
    </w:p>
    <w:p w14:paraId="0E7336A9" w14:textId="77777777" w:rsidR="000A45B2" w:rsidRPr="00931026" w:rsidRDefault="000A45B2" w:rsidP="00931026">
      <w:pPr>
        <w:spacing w:before="100" w:beforeAutospacing="1" w:after="200" w:line="360" w:lineRule="auto"/>
        <w:jc w:val="both"/>
        <w:rPr>
          <w:rFonts w:ascii="Times New Roman" w:eastAsia="Calibri" w:hAnsi="Times New Roman" w:cs="Times New Roman"/>
          <w:kern w:val="0"/>
          <w:sz w:val="28"/>
          <w:szCs w:val="28"/>
          <w14:ligatures w14:val="none"/>
        </w:rPr>
      </w:pPr>
      <w:r w:rsidRPr="00931026">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27935A0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5AF152FF" w14:textId="77777777" w:rsid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ACKNOWLEDGEMENTS</w:t>
      </w:r>
    </w:p>
    <w:p w14:paraId="25A4BCE4"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 xml:space="preserve">I am grateful to Almighty Allah (S W T) for his mercy, goodness and love towards the successful completion of my academic pursuit. Alhamduliah. </w:t>
      </w:r>
    </w:p>
    <w:p w14:paraId="3BEF2F06"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I heartily appreciate my wonderful supervisor, Mrs Ahmed Tawakalitu for her selfless efforts, support, advice, encouragement, training and criticism during the exercise of this Project.May all your dreams come true.</w:t>
      </w:r>
    </w:p>
    <w:p w14:paraId="61EBDBDC"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I wholeheartedly thank my loving parents, Late Mr AREMU ( May his soul continue to rest in . Peace) and  Mrs AREMU for her unending love and sacrifice, you will live long to enjoy the fruit of your labor, inshal Allah. Thank you and God bless you, momma.</w:t>
      </w:r>
    </w:p>
    <w:p w14:paraId="305E693B"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I thank my siblings for the strong support, motivation and opportunities that you guys gave me during the course of my stay in school. I really appreciate you guys.</w:t>
      </w:r>
    </w:p>
    <w:p w14:paraId="30F7BBE6" w14:textId="77777777" w:rsidR="00931026" w:rsidRPr="00931026" w:rsidRDefault="00931026" w:rsidP="00931026">
      <w:pPr>
        <w:spacing w:line="480" w:lineRule="auto"/>
        <w:jc w:val="both"/>
        <w:rPr>
          <w:rFonts w:ascii="Times New Roman" w:hAnsi="Times New Roman" w:cs="Times New Roman"/>
          <w:sz w:val="28"/>
          <w:szCs w:val="28"/>
        </w:rPr>
      </w:pPr>
      <w:r w:rsidRPr="00931026">
        <w:rPr>
          <w:rFonts w:ascii="Times New Roman" w:hAnsi="Times New Roman" w:cs="Times New Roman"/>
          <w:sz w:val="28"/>
          <w:szCs w:val="28"/>
        </w:rPr>
        <w:t>I can’t conclude this acknowledgment without expressing my profound gratitude to my friends,love ones, and my sure project group leader , you guys are the best. I pray that all our drea isms shall come true .</w:t>
      </w:r>
    </w:p>
    <w:p w14:paraId="0758FCE4" w14:textId="5417870C"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7BEA6641" w14:textId="3C4E1A1C" w:rsidR="00931026" w:rsidRDefault="00931026">
      <w:pPr>
        <w:rPr>
          <w:rFonts w:ascii="Times New Roman" w:eastAsia="Calibri" w:hAnsi="Times New Roman" w:cs="Times New Roman"/>
          <w:bCs/>
          <w:kern w:val="0"/>
          <w:sz w:val="28"/>
          <w:szCs w:val="28"/>
          <w14:ligatures w14:val="none"/>
        </w:rPr>
      </w:pPr>
    </w:p>
    <w:p w14:paraId="5D05DE52"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---------------------------------------------------------iv</w:t>
      </w:r>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lastRenderedPageBreak/>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3.1 </w:t>
      </w:r>
      <w:r w:rsidRPr="000A45B2">
        <w:rPr>
          <w:rFonts w:ascii="Times New Roman" w:eastAsia="Calibri" w:hAnsi="Times New Roman" w:cs="Times New Roman"/>
          <w:kern w:val="0"/>
          <w:sz w:val="28"/>
          <w:szCs w:val="28"/>
          <w14:ligatures w14:val="none"/>
        </w:rPr>
        <w:tab/>
        <w:t>Physiochemical prorperties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Kwara</w:t>
      </w:r>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suggests a complex ecological balance in these agricultural soils</w:t>
      </w:r>
      <w:r w:rsidR="008C46F3">
        <w:rPr>
          <w:rFonts w:ascii="Times New Roman" w:hAnsi="Times New Roman" w:cs="Times New Roman"/>
          <w:sz w:val="28"/>
          <w:szCs w:val="28"/>
        </w:rPr>
        <w:t>.</w:t>
      </w:r>
      <w:r w:rsidRPr="007A75ED">
        <w:rPr>
          <w:rFonts w:ascii="Times New Roman" w:hAnsi="Times New Roman" w:cs="Times New Roman"/>
          <w:sz w:val="28"/>
          <w:szCs w:val="28"/>
        </w:rPr>
        <w:t>The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lastRenderedPageBreak/>
        <w:t>Keywords</w:t>
      </w:r>
      <w:r w:rsidRPr="007A75ED">
        <w:rPr>
          <w:rFonts w:ascii="Times New Roman" w:hAnsi="Times New Roman" w:cs="Times New Roman"/>
          <w:sz w:val="28"/>
          <w:szCs w:val="28"/>
        </w:rPr>
        <w:t xml:space="preserve">: Soil fungi, Mycobiome, Fungal diversity, Agricultural soils, Sustainable agriculture,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communities,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(Berruti et al., 2021; Köhl, Kolnaar, &amp; Ravensberg,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 xml:space="preserve">Despite their ecological relevance, fungal communities in agricultural soils </w:t>
      </w:r>
      <w:bookmarkStart w:id="1" w:name="_GoBack"/>
      <w:bookmarkEnd w:id="1"/>
      <w:r w:rsidRPr="004145F9">
        <w:rPr>
          <w:rFonts w:ascii="Times New Roman" w:hAnsi="Times New Roman" w:cs="Times New Roman"/>
          <w:sz w:val="28"/>
          <w:szCs w:val="28"/>
        </w:rPr>
        <w:t>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(Gao,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r w:rsidRPr="00092905">
        <w:rPr>
          <w:rFonts w:ascii="Times New Roman" w:hAnsi="Times New Roman" w:cs="Times New Roman"/>
          <w:i/>
          <w:sz w:val="28"/>
          <w:szCs w:val="28"/>
        </w:rPr>
        <w:t>Frąc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r w:rsidRPr="00092905">
        <w:rPr>
          <w:rFonts w:ascii="Times New Roman" w:hAnsi="Times New Roman" w:cs="Times New Roman"/>
          <w:i/>
          <w:sz w:val="28"/>
          <w:szCs w:val="28"/>
        </w:rPr>
        <w:t>Wolińska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r w:rsidRPr="00092905">
        <w:rPr>
          <w:rFonts w:ascii="Times New Roman" w:hAnsi="Times New Roman" w:cs="Times New Roman"/>
          <w:i/>
          <w:sz w:val="28"/>
          <w:szCs w:val="28"/>
        </w:rPr>
        <w:t>Aspergillus</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Penicillium</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Mortierella</w:t>
      </w:r>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r w:rsidRPr="00092905">
        <w:rPr>
          <w:rFonts w:ascii="Times New Roman" w:hAnsi="Times New Roman" w:cs="Times New Roman"/>
          <w:i/>
          <w:sz w:val="28"/>
          <w:szCs w:val="28"/>
        </w:rPr>
        <w:t>Glynou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r w:rsidRPr="00092905">
        <w:rPr>
          <w:rFonts w:ascii="Times New Roman" w:hAnsi="Times New Roman" w:cs="Times New Roman"/>
          <w:i/>
          <w:sz w:val="28"/>
          <w:szCs w:val="28"/>
        </w:rPr>
        <w:t>Berruti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Bonanomi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Mortierella</w:t>
      </w:r>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r w:rsidRPr="00092905">
        <w:rPr>
          <w:rFonts w:ascii="Times New Roman" w:hAnsi="Times New Roman" w:cs="Times New Roman"/>
          <w:i/>
          <w:sz w:val="28"/>
          <w:szCs w:val="28"/>
        </w:rPr>
        <w:t>Tedersoo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r w:rsidRPr="00092905">
        <w:rPr>
          <w:rFonts w:ascii="Times New Roman" w:hAnsi="Times New Roman" w:cs="Times New Roman"/>
          <w:i/>
          <w:sz w:val="28"/>
          <w:szCs w:val="28"/>
        </w:rPr>
        <w:t>Berruti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r w:rsidRPr="00092905">
        <w:rPr>
          <w:rFonts w:ascii="Times New Roman" w:hAnsi="Times New Roman" w:cs="Times New Roman"/>
          <w:i/>
          <w:sz w:val="28"/>
          <w:szCs w:val="28"/>
        </w:rPr>
        <w:t>Tedersoo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Sabouraud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exhibits sufficient interspecific variability, making it a reliable barcode for fungal taxonomy. The application of next-generation sequencing (NGS) platforms, such as Illumina MiSeq and Oxford Nanopore,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r w:rsidRPr="00C1455D">
        <w:rPr>
          <w:rFonts w:ascii="Times New Roman" w:hAnsi="Times New Roman" w:cs="Times New Roman"/>
          <w:i/>
          <w:sz w:val="28"/>
          <w:szCs w:val="28"/>
        </w:rPr>
        <w:t>Mortierella</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Trichoderma</w:t>
      </w:r>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metagenomic and metatranscriptomic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r w:rsidRPr="00C1455D">
        <w:rPr>
          <w:rFonts w:ascii="Times New Roman" w:hAnsi="Times New Roman" w:cs="Times New Roman"/>
          <w:i/>
          <w:sz w:val="28"/>
          <w:szCs w:val="28"/>
        </w:rPr>
        <w:t>Fusarium oxysporum</w:t>
      </w:r>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r w:rsidRPr="00C1455D">
        <w:rPr>
          <w:rFonts w:ascii="Times New Roman" w:hAnsi="Times New Roman" w:cs="Times New Roman"/>
          <w:i/>
          <w:sz w:val="28"/>
          <w:szCs w:val="28"/>
        </w:rPr>
        <w:t>Wolińska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to achieve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r>
        <w:rPr>
          <w:rFonts w:ascii="Times New Roman" w:hAnsi="Times New Roman" w:cs="Times New Roman"/>
          <w:sz w:val="28"/>
          <w:szCs w:val="28"/>
        </w:rPr>
        <w:t xml:space="preserve">have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arbuscular mycorrhizal fungi (AMF), </w:t>
      </w:r>
      <w:r w:rsidRPr="00C1455D">
        <w:rPr>
          <w:rFonts w:ascii="Times New Roman" w:hAnsi="Times New Roman" w:cs="Times New Roman"/>
          <w:i/>
          <w:sz w:val="28"/>
          <w:szCs w:val="28"/>
        </w:rPr>
        <w:t>Mortierella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Trichoderma</w:t>
      </w:r>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r w:rsidRPr="00C1455D">
        <w:rPr>
          <w:rFonts w:ascii="Times New Roman" w:hAnsi="Times New Roman" w:cs="Times New Roman"/>
          <w:i/>
          <w:sz w:val="28"/>
          <w:szCs w:val="28"/>
        </w:rPr>
        <w:t>Wolińska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r w:rsidRPr="00C1455D">
        <w:rPr>
          <w:rFonts w:ascii="Times New Roman" w:hAnsi="Times New Roman" w:cs="Times New Roman"/>
          <w:i/>
          <w:sz w:val="28"/>
          <w:szCs w:val="28"/>
        </w:rPr>
        <w:t>Bonanomi et al.</w:t>
      </w:r>
      <w:r w:rsidRPr="00C1455D">
        <w:rPr>
          <w:rFonts w:ascii="Times New Roman" w:hAnsi="Times New Roman" w:cs="Times New Roman"/>
          <w:sz w:val="28"/>
          <w:szCs w:val="28"/>
        </w:rPr>
        <w:t xml:space="preserve"> (2020) found that compost-treated soils exhibited higher abundances of </w:t>
      </w:r>
      <w:r w:rsidRPr="00C1455D">
        <w:rPr>
          <w:rFonts w:ascii="Times New Roman" w:hAnsi="Times New Roman" w:cs="Times New Roman"/>
          <w:i/>
          <w:sz w:val="28"/>
          <w:szCs w:val="28"/>
        </w:rPr>
        <w:t>Trichoderma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Mortierella</w:t>
      </w:r>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r w:rsidRPr="00C1455D">
        <w:rPr>
          <w:rFonts w:ascii="Times New Roman" w:hAnsi="Times New Roman" w:cs="Times New Roman"/>
          <w:i/>
          <w:sz w:val="28"/>
          <w:szCs w:val="28"/>
        </w:rPr>
        <w:t>Berruti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r w:rsidRPr="00C1455D">
        <w:rPr>
          <w:rFonts w:ascii="Times New Roman" w:hAnsi="Times New Roman" w:cs="Times New Roman"/>
          <w:i/>
          <w:sz w:val="28"/>
          <w:szCs w:val="28"/>
        </w:rPr>
        <w:t>Glynou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r w:rsidRPr="00C1455D">
        <w:rPr>
          <w:rFonts w:ascii="Times New Roman" w:hAnsi="Times New Roman" w:cs="Times New Roman"/>
          <w:i/>
          <w:sz w:val="28"/>
          <w:szCs w:val="28"/>
        </w:rPr>
        <w:t>Berruti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r w:rsidRPr="00C1455D">
        <w:rPr>
          <w:rFonts w:ascii="Times New Roman" w:hAnsi="Times New Roman" w:cs="Times New Roman"/>
          <w:i/>
          <w:sz w:val="28"/>
          <w:szCs w:val="28"/>
        </w:rPr>
        <w:t>Rillig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r w:rsidRPr="00C1455D">
        <w:rPr>
          <w:rFonts w:ascii="Times New Roman" w:hAnsi="Times New Roman" w:cs="Times New Roman"/>
          <w:i/>
          <w:sz w:val="28"/>
          <w:szCs w:val="28"/>
        </w:rPr>
        <w:t>Fadiji and Babalola</w:t>
      </w:r>
      <w:r w:rsidRPr="00C1455D">
        <w:rPr>
          <w:rFonts w:ascii="Times New Roman" w:hAnsi="Times New Roman" w:cs="Times New Roman"/>
          <w:sz w:val="28"/>
          <w:szCs w:val="28"/>
        </w:rPr>
        <w:t xml:space="preserve"> (2020), species such as </w:t>
      </w:r>
      <w:r w:rsidRPr="00C1455D">
        <w:rPr>
          <w:rFonts w:ascii="Times New Roman" w:hAnsi="Times New Roman" w:cs="Times New Roman"/>
          <w:i/>
          <w:sz w:val="28"/>
          <w:szCs w:val="28"/>
        </w:rPr>
        <w:t>Trichoderma</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Clonostachys</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archaea, and microfauna.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Crop-Fungal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rhizosphere and endosphere.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Glynou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Berruti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mycotrophy,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microbiota.Crop rotation and intercropping systems also modulate fungal communities through temporal and spatial plant diversity. According to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r w:rsidRPr="00C1455D">
        <w:rPr>
          <w:rFonts w:ascii="Times New Roman" w:hAnsi="Times New Roman" w:cs="Times New Roman"/>
          <w:i/>
          <w:sz w:val="28"/>
          <w:szCs w:val="28"/>
        </w:rPr>
        <w:t>Pythium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Phoma</w:t>
      </w:r>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r w:rsidRPr="00C1455D">
        <w:rPr>
          <w:rFonts w:ascii="Times New Roman" w:hAnsi="Times New Roman" w:cs="Times New Roman"/>
          <w:i/>
          <w:sz w:val="28"/>
          <w:szCs w:val="28"/>
        </w:rPr>
        <w:t>Wolińska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stability.Moisture availability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xerotolerant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r w:rsidRPr="00C1455D">
        <w:rPr>
          <w:rFonts w:ascii="Times New Roman" w:hAnsi="Times New Roman" w:cs="Times New Roman"/>
          <w:i/>
          <w:sz w:val="28"/>
          <w:szCs w:val="28"/>
        </w:rPr>
        <w:t>Tedersoo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low in organic matter tend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r w:rsidRPr="00C1455D">
        <w:rPr>
          <w:rFonts w:ascii="Times New Roman" w:hAnsi="Times New Roman" w:cs="Times New Roman"/>
          <w:i/>
          <w:sz w:val="28"/>
          <w:szCs w:val="28"/>
        </w:rPr>
        <w:t>Rousk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2022). This research supports ecological sustainability by offering data-driven approaches to optimize agricultural productivity while preserving environmental health (Tedersoo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Kwara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Kwara</w:t>
      </w:r>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r w:rsidRPr="00600985">
        <w:rPr>
          <w:rFonts w:ascii="Times New Roman" w:hAnsi="Times New Roman" w:cs="Times New Roman"/>
          <w:sz w:val="28"/>
          <w:szCs w:val="28"/>
        </w:rPr>
        <w:t>KwaraPoly Roundabout Verge Farms</w:t>
      </w:r>
      <w:r>
        <w:rPr>
          <w:rFonts w:ascii="Times New Roman" w:hAnsi="Times New Roman" w:cs="Times New Roman"/>
          <w:sz w:val="28"/>
          <w:szCs w:val="28"/>
        </w:rPr>
        <w:t xml:space="preserve">, </w:t>
      </w:r>
      <w:r w:rsidRPr="00600985">
        <w:rPr>
          <w:rFonts w:ascii="Times New Roman" w:hAnsi="Times New Roman" w:cs="Times New Roman"/>
          <w:sz w:val="28"/>
          <w:szCs w:val="28"/>
        </w:rPr>
        <w:t>Kwara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The soil samples collected from different agricultural fields were first air-dried at room temperature and then sieved using a 2 mm mesh to remove debris and large particles. For pH determination, 10 g of the sieved soil was mixed with 25 mL of distilled water (1:2.5 ratio),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(Domsch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Physiochemical Properties of The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cfu/g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Table 3</w:t>
      </w:r>
      <w:r w:rsidR="005B2265">
        <w:rPr>
          <w:rFonts w:ascii="Times New Roman" w:hAnsi="Times New Roman" w:cs="Times New Roman"/>
          <w:sz w:val="28"/>
          <w:szCs w:val="28"/>
        </w:rPr>
        <w:t xml:space="preserve"> :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Conidiophore with radiating chain of conida: septate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r w:rsidRPr="000A7613">
        <w:rPr>
          <w:rFonts w:ascii="Times New Roman" w:hAnsi="Times New Roman" w:cs="Times New Roman"/>
          <w:sz w:val="28"/>
          <w:szCs w:val="28"/>
        </w:rPr>
        <w:t>Fig 2.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notable variation in fungal diversity and abundance across sampling sites. As shown in Table 3.3, the Shoprite location recorded the highest colony-forming units (CFUs) with 2.7 × 10⁴, while the Kwara</w:t>
      </w:r>
      <w:r>
        <w:rPr>
          <w:rFonts w:ascii="Times New Roman" w:hAnsi="Times New Roman" w:cs="Times New Roman"/>
          <w:sz w:val="28"/>
          <w:szCs w:val="28"/>
        </w:rPr>
        <w:t>p</w:t>
      </w:r>
      <w:r w:rsidRPr="00EB6C0C">
        <w:rPr>
          <w:rFonts w:ascii="Times New Roman" w:hAnsi="Times New Roman" w:cs="Times New Roman"/>
          <w:sz w:val="28"/>
          <w:szCs w:val="28"/>
        </w:rPr>
        <w:t xml:space="preserve">oly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r w:rsidRPr="00EB6C0C">
        <w:rPr>
          <w:rFonts w:ascii="Times New Roman" w:hAnsi="Times New Roman" w:cs="Times New Roman"/>
          <w:i/>
          <w:sz w:val="28"/>
          <w:szCs w:val="28"/>
        </w:rPr>
        <w:t>Wolińska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r w:rsidRPr="00EB6C0C">
        <w:rPr>
          <w:rFonts w:ascii="Times New Roman" w:hAnsi="Times New Roman" w:cs="Times New Roman"/>
          <w:i/>
          <w:sz w:val="28"/>
          <w:szCs w:val="28"/>
        </w:rPr>
        <w:t>Aspergillus niger</w:t>
      </w:r>
      <w:r w:rsidRPr="00EB6C0C">
        <w:rPr>
          <w:rFonts w:ascii="Times New Roman" w:hAnsi="Times New Roman" w:cs="Times New Roman"/>
          <w:sz w:val="28"/>
          <w:szCs w:val="28"/>
        </w:rPr>
        <w:t xml:space="preserve">, </w:t>
      </w:r>
      <w:r w:rsidRPr="00EB6C0C">
        <w:rPr>
          <w:rFonts w:ascii="Times New Roman" w:hAnsi="Times New Roman" w:cs="Times New Roman"/>
          <w:i/>
          <w:sz w:val="28"/>
          <w:szCs w:val="28"/>
        </w:rPr>
        <w:t>Penicillium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r w:rsidRPr="00EB6C0C">
        <w:rPr>
          <w:rFonts w:ascii="Times New Roman" w:hAnsi="Times New Roman" w:cs="Times New Roman"/>
          <w:i/>
          <w:sz w:val="28"/>
          <w:szCs w:val="28"/>
        </w:rPr>
        <w:t>Köhl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r w:rsidRPr="00EB6C0C">
        <w:rPr>
          <w:rFonts w:ascii="Times New Roman" w:hAnsi="Times New Roman" w:cs="Times New Roman"/>
          <w:i/>
          <w:sz w:val="28"/>
          <w:szCs w:val="28"/>
        </w:rPr>
        <w:t>Tedersoo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r w:rsidRPr="00EB6C0C">
        <w:rPr>
          <w:rFonts w:ascii="Times New Roman" w:hAnsi="Times New Roman" w:cs="Times New Roman"/>
          <w:i/>
          <w:sz w:val="28"/>
          <w:szCs w:val="28"/>
        </w:rPr>
        <w:t>Bonanomi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Kwara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r w:rsidRPr="00CC34A4">
        <w:rPr>
          <w:rFonts w:ascii="Times New Roman" w:hAnsi="Times New Roman" w:cs="Times New Roman"/>
          <w:sz w:val="28"/>
          <w:szCs w:val="28"/>
        </w:rPr>
        <w:t xml:space="preserve">Azeem, M., Ahmed, M., Hussain, Q., &amp; Qaisrani, R. N. (2022). Integration of omics technologies in microbial ecology: An overview of soil microbial responses to environmental changes. </w:t>
      </w:r>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Babin, D., David, E., &amp; Gachon, C. (2019).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Forslund, S. K., Anderson, J. L., Soudzilovskaia, N. A., Bodegom, P. M., &amp; Bork, P. (2018). Structure and function of the global topsoil microbiome.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Berruti, A., Lumini, E., Bianciotto, V., &amp; Bonfante, P. (2021). Arbuscular mycorrhizal fungi as natural biofertilizers: Let’s benefit from past successes. </w:t>
      </w:r>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Berruti, A., Lumini, E., Balestrini, R., &amp; Bianciotto, V. (2019). Arbuscular mycorrhizal fungi as natural biofertilizers: Let’s benefit from past </w:t>
      </w:r>
      <w:r w:rsidRPr="008E437E">
        <w:rPr>
          <w:rFonts w:ascii="Times New Roman" w:hAnsi="Times New Roman" w:cs="Times New Roman"/>
          <w:sz w:val="28"/>
          <w:szCs w:val="28"/>
        </w:rPr>
        <w:lastRenderedPageBreak/>
        <w:t xml:space="preserve">successes. Frontiers in Microbiology, 10, 2329.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Bridge, P. D., &amp; Spooner, B. M. (2018). Soil fungi: biodiversity and identification. Mycologia,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Bridge, P., &amp; Spooner, B. (2018). Soil fungi: Diversity and detection. 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 CABI Publishing.</w:t>
      </w:r>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Fungal dynamics and soil health in agroecosystems.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183, 104–122.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Chen, L., Zhang, J., Zhao, Q., &amp; Sun, C. (2020). Metatranscriptomics reveals fungal dynamics and functional contributions in agricultural soils. </w:t>
      </w:r>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xml:space="preserve">, 8(1), 97.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Environmental drivers of soil fungal community assemblage in farmlands. </w:t>
      </w:r>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xml:space="preserve">, 128, 107987.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Eisenhauer, N., Reich, P. B., &amp; Isbell, F. (2018). Biodiversity and ecosystem functioning in soils.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lastRenderedPageBreak/>
        <w:t xml:space="preserve">Fadiji, A. E., &amp; Babalola, O. O. (2020). </w:t>
      </w:r>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xml:space="preserve">, 8(10), 1515.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Jezierska-Tys, S., &amp; Oszust, K. (2018). Microbial functional diversity in arable soils.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123, 426–435.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Frąc, M., Jezierska-Tys, S., Oszust, K., &amp; Lipiec, J. (2022). Soil fungal diversity and community composition in relation to management practices and cropping systems. </w:t>
      </w:r>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Goh, Y. M., Kwon, M. J., Kim, K. D., &amp; Lee, S. M. (2021). Excessive nitrogen input suppresses beneficial fungal diversity and function in agricultural soils. </w:t>
      </w:r>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Montoya, L., Xu, L., Madera, M., Hollingsworth, J., &amp; Purzycki, K. (2019). Fungal community assembly in soils and its impact on ecosystem </w:t>
      </w:r>
      <w:r w:rsidRPr="008E437E">
        <w:rPr>
          <w:rFonts w:ascii="Times New Roman" w:hAnsi="Times New Roman" w:cs="Times New Roman"/>
          <w:sz w:val="28"/>
          <w:szCs w:val="28"/>
        </w:rPr>
        <w:lastRenderedPageBreak/>
        <w:t xml:space="preserve">functions. </w:t>
      </w:r>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xml:space="preserve">, 7(1), 66.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Xu, L., Wang, Z., &amp; Zhang, N. (2023). </w:t>
      </w:r>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Glynou, K., Nam, B., &amp; Maciá-Vicente, J. G. (2021).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spp..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Hartmann, M., Frey, B., Mayer, J., Mäder, P., &amp; Widmer, F. (2019). Distinct soil microbial diversity under long-term organic and conventional farming.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He, J., Zhang, Q., &amp; Fang, Y. (2021).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Jin, X., Li, Y., Zhang, T., &amp; Huang, R. (2022). Effects of nitrogen fertilization on soil fungal communities and pathogen abundance.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Karimi, B., Zare-Maivan, H., &amp; Kahmari, M. (2021). Role of soil fungi in agricultural sustainability. </w:t>
      </w:r>
      <w:r w:rsidRPr="0052357E">
        <w:rPr>
          <w:rFonts w:ascii="Times New Roman" w:hAnsi="Times New Roman" w:cs="Times New Roman"/>
          <w:i/>
          <w:iCs/>
          <w:sz w:val="28"/>
          <w:szCs w:val="28"/>
        </w:rPr>
        <w:t>Crustacanae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Kohl, J., Kumar, R., &amp; Borris, R. P. (2019). Biocontrol potential of Trichoderma spp. Against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Kumar, A., Sharma, S., &amp; Verma, R. (2022). Next-generation sequencing in soil fungal diversity studies.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Huot, H., &amp; Dequiedt,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Kumar, A., Sharma, S., &amp; Verma, R. (2022).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Lazcano, C., Gómez-Brandón, M., Revilla, P., &amp; Domínguez, J. (2021).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Liu, Y., Wang, X., &amp; Zhang, H. (2018). Fungal dynamics during organic matter decomposition in soil.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Maharana, H., Sen, A., &amp; Mishra, R. (2021). Nutrient mobilization by soil fungi in agroecosystems.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Schigel, D., ... &amp; Abarenkov, K. (2019). The UNITE database for molecular identification of fungi: Handling dark taxa and parallel taxonomic classifications. </w:t>
      </w:r>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 xml:space="preserve">(D1), D259–D264.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Rani, A., Bhat, R., &amp; Singh, P. (2023). Insights into fungal proteomics: Current trends and future perspectives in soil health management. </w:t>
      </w:r>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Pérez-Jaramillo, J. E., Mendes, R., &amp; Raaijmakers, J. M. (2018). Impact of plant domestication on rhizosphere microbiome assembly and functions.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Rillig, M. C., Zobel, M., &amp; Hempel, S. (2019). Role of fungal glomalin in soil aggregation and structure.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Rodriguez, R. J., White, J. F., Arnold, A. E., &amp; Redman, R. S. (2019).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Savary, S., Willocquet, L., Pethybridge,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Paulitz, T. C. (2019). Impacts of tillage on the soil microbiome in dryland agricultural systems. </w:t>
      </w:r>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11, 1305.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lastRenderedPageBreak/>
        <w:t xml:space="preserve">Verbruggen, E., Kuramae, E. E., &amp; Rillig, M. C. (2020).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White, J. F., Kingsley, K. L., &amp; Ljung, K. (2019).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Wolińska, A., Kuźniar, A., Gałązka, A., &amp; Dębska, B. (2021). Soil fungal communities as bioindicators of soil health in different crop rotation systems. </w:t>
      </w:r>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xml:space="preserve">, 148791.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Yang, L., Cao, X., Liu, H., &amp; Ren, G. (2021). Metatranscriptomic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6CAA1" w14:textId="77777777" w:rsidR="001D5BFD" w:rsidRDefault="001D5BFD" w:rsidP="000E307F">
      <w:pPr>
        <w:spacing w:after="0" w:line="240" w:lineRule="auto"/>
      </w:pPr>
      <w:r>
        <w:separator/>
      </w:r>
    </w:p>
  </w:endnote>
  <w:endnote w:type="continuationSeparator" w:id="0">
    <w:p w14:paraId="038059C5" w14:textId="77777777" w:rsidR="001D5BFD" w:rsidRDefault="001D5BFD"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518A2">
          <w:rPr>
            <w:rStyle w:val="PageNumber"/>
            <w:noProof/>
          </w:rPr>
          <w:t>2</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6BB6B" w14:textId="77777777" w:rsidR="001D5BFD" w:rsidRDefault="001D5BFD" w:rsidP="000E307F">
      <w:pPr>
        <w:spacing w:after="0" w:line="240" w:lineRule="auto"/>
      </w:pPr>
      <w:r>
        <w:separator/>
      </w:r>
    </w:p>
  </w:footnote>
  <w:footnote w:type="continuationSeparator" w:id="0">
    <w:p w14:paraId="7562EADD" w14:textId="77777777" w:rsidR="001D5BFD" w:rsidRDefault="001D5BFD"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18A2"/>
    <w:rsid w:val="00053B87"/>
    <w:rsid w:val="00057A7E"/>
    <w:rsid w:val="000617D9"/>
    <w:rsid w:val="00067F50"/>
    <w:rsid w:val="000734FA"/>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5BFD"/>
    <w:rsid w:val="001D6789"/>
    <w:rsid w:val="001D784D"/>
    <w:rsid w:val="001E6F06"/>
    <w:rsid w:val="001F254B"/>
    <w:rsid w:val="001F4C99"/>
    <w:rsid w:val="001F55EF"/>
    <w:rsid w:val="0021792D"/>
    <w:rsid w:val="00223554"/>
    <w:rsid w:val="00227F8B"/>
    <w:rsid w:val="00231A3F"/>
    <w:rsid w:val="00235D26"/>
    <w:rsid w:val="0024159B"/>
    <w:rsid w:val="00242D08"/>
    <w:rsid w:val="002438A2"/>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31026"/>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30C1"/>
    <w:rsid w:val="009F39C6"/>
    <w:rsid w:val="009F65F3"/>
    <w:rsid w:val="00A10C98"/>
    <w:rsid w:val="00A11A83"/>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0036"/>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627733028">
      <w:bodyDiv w:val="1"/>
      <w:marLeft w:val="0"/>
      <w:marRight w:val="0"/>
      <w:marTop w:val="0"/>
      <w:marBottom w:val="0"/>
      <w:divBdr>
        <w:top w:val="none" w:sz="0" w:space="0" w:color="auto"/>
        <w:left w:val="none" w:sz="0" w:space="0" w:color="auto"/>
        <w:bottom w:val="none" w:sz="0" w:space="0" w:color="auto"/>
        <w:right w:val="none" w:sz="0" w:space="0" w:color="auto"/>
      </w:divBdr>
    </w:div>
    <w:div w:id="1637444970">
      <w:bodyDiv w:val="1"/>
      <w:marLeft w:val="0"/>
      <w:marRight w:val="0"/>
      <w:marTop w:val="0"/>
      <w:marBottom w:val="0"/>
      <w:divBdr>
        <w:top w:val="none" w:sz="0" w:space="0" w:color="auto"/>
        <w:left w:val="none" w:sz="0" w:space="0" w:color="auto"/>
        <w:bottom w:val="none" w:sz="0" w:space="0" w:color="auto"/>
        <w:right w:val="none" w:sz="0" w:space="0" w:color="auto"/>
      </w:divBdr>
    </w:div>
    <w:div w:id="1973174390">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67505664"/>
        <c:axId val="299550976"/>
      </c:barChart>
      <c:catAx>
        <c:axId val="26750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99550976"/>
        <c:crosses val="autoZero"/>
        <c:auto val="1"/>
        <c:lblAlgn val="ctr"/>
        <c:lblOffset val="100"/>
        <c:noMultiLvlLbl val="0"/>
      </c:catAx>
      <c:valAx>
        <c:axId val="29955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50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9787</Words>
  <Characters>55792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Microsoft</cp:lastModifiedBy>
  <cp:revision>2</cp:revision>
  <dcterms:created xsi:type="dcterms:W3CDTF">2025-07-10T21:07:00Z</dcterms:created>
  <dcterms:modified xsi:type="dcterms:W3CDTF">2025-07-10T21:07:00Z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