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hAnsi="Times New Roman"/>
          <w:b/>
          <w:sz w:val="24"/>
          <w:szCs w:val="24"/>
        </w:rPr>
      </w:pPr>
      <w:r>
        <w:rPr>
          <w:rFonts w:ascii="Times New Roman" w:hAnsi="Times New Roman"/>
          <w:b/>
          <w:sz w:val="24"/>
          <w:szCs w:val="24"/>
        </w:rPr>
        <w:t xml:space="preserve">DESIGN AND CONSTRUCTION OF HOUSEHOLD FURNITURE </w:t>
      </w: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B</w:t>
      </w:r>
      <w:r>
        <w:rPr>
          <w:rFonts w:ascii="Times New Roman" w:hAnsi="Times New Roman" w:hint="default"/>
          <w:b/>
          <w:sz w:val="24"/>
          <w:szCs w:val="24"/>
          <w:lang w:val="en-US"/>
        </w:rPr>
        <w:t>Y</w:t>
      </w:r>
      <w:r>
        <w:rPr>
          <w:rFonts w:ascii="Times New Roman" w:hAnsi="Times New Roman"/>
          <w:b/>
          <w:sz w:val="24"/>
          <w:szCs w:val="24"/>
        </w:rPr>
        <w:t xml:space="preserve"> </w:t>
      </w:r>
    </w:p>
    <w:p>
      <w:pPr>
        <w:pStyle w:val="style0"/>
        <w:jc w:val="center"/>
        <w:rPr>
          <w:rFonts w:ascii="Times New Roman" w:hAnsi="Times New Roman"/>
          <w:b/>
          <w:sz w:val="24"/>
          <w:szCs w:val="24"/>
        </w:rPr>
      </w:pPr>
      <w:r>
        <w:rPr>
          <w:rFonts w:ascii="Times New Roman" w:hAnsi="Times New Roman"/>
          <w:b/>
          <w:sz w:val="24"/>
          <w:szCs w:val="24"/>
          <w:lang w:val="en-US"/>
        </w:rPr>
        <w:t xml:space="preserve">NAME: </w:t>
      </w:r>
    </w:p>
    <w:p>
      <w:pPr>
        <w:pStyle w:val="style0"/>
        <w:jc w:val="center"/>
        <w:rPr>
          <w:rFonts w:ascii="Times New Roman" w:hAnsi="Times New Roman" w:hint="default"/>
          <w:b/>
          <w:sz w:val="24"/>
          <w:szCs w:val="24"/>
          <w:lang w:val="en-US"/>
        </w:rPr>
      </w:pPr>
      <w:r>
        <w:rPr>
          <w:rFonts w:ascii="Times New Roman" w:hAnsi="Times New Roman" w:hint="default"/>
          <w:b/>
          <w:sz w:val="24"/>
          <w:szCs w:val="24"/>
          <w:lang w:val="en-US"/>
        </w:rPr>
        <w:t>SULYMAN LATEEFAT OLAJUMOKE</w:t>
      </w:r>
    </w:p>
    <w:p>
      <w:pPr>
        <w:pStyle w:val="style0"/>
        <w:jc w:val="center"/>
        <w:rPr>
          <w:rFonts w:ascii="Times New Roman" w:hAnsi="Times New Roman" w:hint="default"/>
          <w:b/>
          <w:sz w:val="24"/>
          <w:szCs w:val="24"/>
          <w:lang w:val="en-US"/>
        </w:rPr>
      </w:pPr>
    </w:p>
    <w:p>
      <w:pPr>
        <w:pStyle w:val="style0"/>
        <w:jc w:val="center"/>
        <w:rPr>
          <w:rFonts w:ascii="Times New Roman" w:hAnsi="Times New Roman" w:hint="default"/>
          <w:b/>
          <w:sz w:val="24"/>
          <w:szCs w:val="24"/>
          <w:lang w:val="en-US"/>
        </w:rPr>
      </w:pPr>
      <w:r>
        <w:rPr>
          <w:rFonts w:ascii="Times New Roman" w:hAnsi="Times New Roman" w:hint="default"/>
          <w:b/>
          <w:sz w:val="24"/>
          <w:szCs w:val="24"/>
          <w:lang w:val="en-US"/>
        </w:rPr>
        <w:t xml:space="preserve">MATRIC NO: </w:t>
      </w:r>
    </w:p>
    <w:p>
      <w:pPr>
        <w:pStyle w:val="style0"/>
        <w:jc w:val="center"/>
        <w:rPr>
          <w:rFonts w:ascii="Times New Roman" w:hAnsi="Times New Roman"/>
          <w:b/>
          <w:sz w:val="24"/>
          <w:szCs w:val="24"/>
        </w:rPr>
      </w:pPr>
      <w:r>
        <w:rPr>
          <w:rFonts w:ascii="Times New Roman" w:hAnsi="Times New Roman"/>
          <w:b/>
          <w:sz w:val="24"/>
          <w:szCs w:val="24"/>
        </w:rPr>
        <w:t>ND/23/CEC/PT/0029</w:t>
      </w: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jc w:val="both"/>
        <w:rPr>
          <w:rFonts w:ascii="Times New Roman" w:hAnsi="Times New Roman"/>
          <w:b/>
          <w:sz w:val="24"/>
          <w:szCs w:val="24"/>
        </w:rPr>
      </w:pPr>
    </w:p>
    <w:p>
      <w:pPr>
        <w:pStyle w:val="style0"/>
        <w:spacing w:lineRule="auto" w:line="480"/>
        <w:jc w:val="center"/>
        <w:rPr>
          <w:rFonts w:ascii="Times New Roman" w:hAnsi="Times New Roman"/>
          <w:b/>
          <w:sz w:val="24"/>
          <w:szCs w:val="24"/>
        </w:rPr>
      </w:pPr>
      <w:r>
        <w:rPr>
          <w:rFonts w:ascii="Times New Roman" w:hAnsi="Times New Roman" w:hint="default"/>
          <w:b/>
          <w:sz w:val="24"/>
          <w:szCs w:val="24"/>
          <w:lang w:val="en-US"/>
        </w:rPr>
        <w:t xml:space="preserve">A RESEARCH PROJECT </w:t>
      </w:r>
      <w:r>
        <w:rPr>
          <w:rFonts w:ascii="Times New Roman" w:hAnsi="Times New Roman"/>
          <w:b/>
          <w:sz w:val="24"/>
          <w:szCs w:val="24"/>
        </w:rPr>
        <w:t xml:space="preserve">SUBMITTED TO </w:t>
      </w:r>
      <w:r>
        <w:rPr>
          <w:rFonts w:ascii="Times New Roman" w:hAnsi="Times New Roman" w:hint="default"/>
          <w:b/>
          <w:sz w:val="24"/>
          <w:szCs w:val="24"/>
          <w:lang w:val="en-US"/>
        </w:rPr>
        <w:t xml:space="preserve"> THE </w:t>
      </w:r>
      <w:r>
        <w:rPr>
          <w:rFonts w:ascii="Times New Roman" w:hAnsi="Times New Roman"/>
          <w:b/>
          <w:sz w:val="24"/>
          <w:szCs w:val="24"/>
        </w:rPr>
        <w:t>DEPARTMENT OF CIVIL ENGINEERING,</w:t>
      </w:r>
      <w:r>
        <w:rPr>
          <w:rFonts w:ascii="Times New Roman" w:hAnsi="Times New Roman" w:hint="default"/>
          <w:b/>
          <w:sz w:val="24"/>
          <w:szCs w:val="24"/>
          <w:lang w:val="en-US"/>
        </w:rPr>
        <w:t xml:space="preserve"> </w:t>
      </w:r>
      <w:r>
        <w:rPr>
          <w:rFonts w:ascii="Times New Roman" w:hAnsi="Times New Roman"/>
          <w:b/>
          <w:sz w:val="24"/>
          <w:szCs w:val="24"/>
        </w:rPr>
        <w:t>INSTITUTE OF TECHNOLOGY,</w:t>
      </w:r>
      <w:r>
        <w:rPr>
          <w:rFonts w:ascii="Times New Roman" w:hAnsi="Times New Roman" w:hint="default"/>
          <w:b/>
          <w:sz w:val="24"/>
          <w:szCs w:val="24"/>
          <w:lang w:val="en-US"/>
        </w:rPr>
        <w:t xml:space="preserve"> </w:t>
      </w:r>
      <w:r>
        <w:rPr>
          <w:rFonts w:ascii="Times New Roman" w:hAnsi="Times New Roman"/>
          <w:b/>
          <w:sz w:val="24"/>
          <w:szCs w:val="24"/>
        </w:rPr>
        <w:t>KWARA STATE POLYTECHNIC, ILORIN</w:t>
      </w:r>
      <w:r>
        <w:rPr>
          <w:rFonts w:ascii="Times New Roman" w:hAnsi="Times New Roman" w:hint="default"/>
          <w:b/>
          <w:sz w:val="24"/>
          <w:szCs w:val="24"/>
          <w:lang w:val="en-US"/>
        </w:rPr>
        <w:t xml:space="preserve">, NIGERIA, </w:t>
      </w:r>
      <w:r>
        <w:rPr>
          <w:rFonts w:ascii="Times New Roman" w:hAnsi="Times New Roman"/>
          <w:b/>
          <w:sz w:val="24"/>
          <w:szCs w:val="24"/>
        </w:rPr>
        <w:t>IN PARTIAL FULFILLMENT OF THE REQUIREMENTS FOR THE AWARD OF NATIONAL DIPLOMA (ND) IN CIVIL ENGINEERING.</w:t>
      </w:r>
    </w:p>
    <w:p>
      <w:pPr>
        <w:pStyle w:val="style0"/>
        <w:jc w:val="both"/>
        <w:rPr>
          <w:rFonts w:ascii="Times New Roman" w:hAnsi="Times New Roman" w:hint="default"/>
          <w:b/>
          <w:sz w:val="24"/>
          <w:szCs w:val="24"/>
          <w:lang w:val="en-US"/>
        </w:rPr>
      </w:pPr>
    </w:p>
    <w:p>
      <w:pPr>
        <w:pStyle w:val="style0"/>
        <w:jc w:val="both"/>
        <w:rPr>
          <w:rFonts w:ascii="Times New Roman" w:hAnsi="Times New Roman" w:hint="default"/>
          <w:b/>
          <w:sz w:val="24"/>
          <w:szCs w:val="24"/>
          <w:lang w:val="en-US"/>
        </w:rPr>
      </w:pPr>
    </w:p>
    <w:p>
      <w:pPr>
        <w:pStyle w:val="style0"/>
        <w:jc w:val="both"/>
        <w:rPr>
          <w:rFonts w:ascii="Times New Roman" w:hAnsi="Times New Roman" w:hint="default"/>
          <w:b/>
          <w:sz w:val="24"/>
          <w:szCs w:val="24"/>
          <w:lang w:val="en-US"/>
        </w:rPr>
      </w:pPr>
    </w:p>
    <w:p>
      <w:pPr>
        <w:pStyle w:val="style0"/>
        <w:ind w:left="7200" w:leftChars="0" w:firstLine="720" w:firstLineChars="0"/>
        <w:jc w:val="both"/>
        <w:rPr>
          <w:rFonts w:ascii="Times New Roman" w:hAnsi="Times New Roman"/>
          <w:b/>
          <w:sz w:val="24"/>
          <w:szCs w:val="24"/>
        </w:rPr>
        <w:sectPr>
          <w:footerReference w:type="default" r:id="rId2"/>
          <w:pgSz w:w="12240" w:h="15840" w:orient="portrait"/>
          <w:pgMar w:top="907" w:right="1440" w:bottom="1440" w:left="1440" w:header="720" w:footer="720" w:gutter="0"/>
          <w:pgNumType w:fmt="upperRoman" w:start="1"/>
          <w:cols w:space="720" w:num="1"/>
          <w:docGrid w:linePitch="360" w:charSpace="0"/>
        </w:sectPr>
      </w:pPr>
      <w:r>
        <w:rPr>
          <w:rFonts w:ascii="Times New Roman" w:hAnsi="Times New Roman" w:hint="default"/>
          <w:b/>
          <w:sz w:val="24"/>
          <w:szCs w:val="24"/>
          <w:lang w:val="en-US"/>
        </w:rPr>
        <w:t>JULY, 2025.</w:t>
      </w:r>
      <w:r>
        <w:rPr>
          <w:rFonts w:ascii="Times New Roman" w:hAnsi="Times New Roman"/>
          <w:b/>
          <w:sz w:val="24"/>
          <w:szCs w:val="24"/>
        </w:rPr>
        <w:t xml:space="preserve"> </w:t>
      </w:r>
    </w:p>
    <w:p>
      <w:pPr>
        <w:pStyle w:val="style0"/>
        <w:spacing w:before="0" w:after="160" w:lineRule="auto" w:line="480"/>
        <w:ind w:firstLine="0"/>
        <w:jc w:val="center"/>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DECLARATION</w:t>
      </w:r>
    </w:p>
    <w:p>
      <w:pPr>
        <w:pStyle w:val="style0"/>
        <w:spacing w:before="0" w:after="160" w:lineRule="auto" w:line="480"/>
        <w:ind w:firstLine="0"/>
        <w:jc w:val="left"/>
        <w:rPr>
          <w:rFonts w:ascii="Times New Roman" w:cs="Times New Roman" w:eastAsia="Calibri" w:hAnsi="Times New Roman"/>
          <w:bCs/>
          <w:sz w:val="24"/>
          <w:szCs w:val="24"/>
          <w:lang w:eastAsia="en-US"/>
        </w:rPr>
      </w:pPr>
      <w:r>
        <w:rPr>
          <w:rFonts w:ascii="Times New Roman" w:cs="Times New Roman" w:eastAsia="Calibri" w:hAnsi="Times New Roman" w:hint="default"/>
          <w:bCs/>
          <w:sz w:val="24"/>
          <w:szCs w:val="24"/>
          <w:lang w:val="en-US" w:eastAsia="en-US"/>
        </w:rPr>
        <w:t>I</w:t>
      </w:r>
      <w:r>
        <w:rPr>
          <w:rFonts w:ascii="Times New Roman" w:cs="Times New Roman" w:eastAsia="Calibri" w:hAnsi="Times New Roman"/>
          <w:bCs/>
          <w:sz w:val="24"/>
          <w:szCs w:val="24"/>
          <w:lang w:eastAsia="en-US"/>
        </w:rPr>
        <w:t xml:space="preserve"> declare that this project titled,  </w:t>
      </w:r>
      <w:r>
        <w:rPr>
          <w:rFonts w:ascii="Times New Roman" w:eastAsia="Calibri" w:hAnsi="Times New Roman" w:hint="default"/>
          <w:bCs/>
          <w:sz w:val="24"/>
          <w:szCs w:val="24"/>
          <w:lang w:eastAsia="en-US"/>
        </w:rPr>
        <w:t xml:space="preserve">DESIGN AND CONSTRUCTION OF HOUSEHOLD FURNITURE </w:t>
      </w:r>
      <w:r>
        <w:rPr>
          <w:rFonts w:ascii="Times New Roman" w:cs="Times New Roman" w:eastAsia="Calibri" w:hAnsi="Times New Roman"/>
          <w:bCs/>
          <w:sz w:val="24"/>
          <w:szCs w:val="24"/>
          <w:lang w:eastAsia="en-US"/>
        </w:rPr>
        <w:t xml:space="preserve">is </w:t>
      </w:r>
      <w:r>
        <w:rPr>
          <w:rFonts w:ascii="Times New Roman" w:cs="Times New Roman" w:eastAsia="Calibri" w:hAnsi="Times New Roman" w:hint="default"/>
          <w:bCs/>
          <w:sz w:val="24"/>
          <w:szCs w:val="24"/>
          <w:lang w:val="en-US" w:eastAsia="en-US"/>
        </w:rPr>
        <w:t>my</w:t>
      </w:r>
      <w:r>
        <w:rPr>
          <w:rFonts w:ascii="Times New Roman" w:cs="Times New Roman" w:eastAsia="Calibri" w:hAnsi="Times New Roman"/>
          <w:bCs/>
          <w:sz w:val="24"/>
          <w:szCs w:val="24"/>
          <w:lang w:eastAsia="en-US"/>
        </w:rPr>
        <w:t xml:space="preserve"> work and has not been previously submitted by any other person for any course of qualification in this institution or any other institution. </w:t>
      </w:r>
    </w:p>
    <w:p>
      <w:pPr>
        <w:pStyle w:val="style0"/>
        <w:spacing w:before="0" w:after="160" w:lineRule="auto" w:line="480"/>
        <w:ind w:firstLine="0"/>
        <w:jc w:val="both"/>
        <w:rPr>
          <w:rFonts w:ascii="Times New Roman" w:cs="Times New Roman" w:eastAsia="Calibri" w:hAnsi="Times New Roman"/>
          <w:b/>
          <w:sz w:val="24"/>
          <w:szCs w:val="24"/>
          <w:lang w:eastAsia="en-US"/>
        </w:rPr>
      </w:pPr>
    </w:p>
    <w:p>
      <w:pPr>
        <w:pStyle w:val="style0"/>
        <w:spacing w:before="0" w:after="0" w:lineRule="auto" w:line="360"/>
        <w:ind w:firstLine="0"/>
        <w:jc w:val="left"/>
        <w:rPr>
          <w:rFonts w:ascii="Times New Roman" w:cs="Times New Roman" w:eastAsia="Calibri" w:hAnsi="Times New Roman"/>
          <w:b/>
          <w:bCs/>
          <w:sz w:val="24"/>
          <w:szCs w:val="24"/>
          <w:lang w:eastAsia="en-US"/>
        </w:rPr>
      </w:pPr>
    </w:p>
    <w:p>
      <w:pPr>
        <w:pStyle w:val="style0"/>
        <w:spacing w:before="0" w:after="0" w:lineRule="auto" w:line="360"/>
        <w:ind w:firstLine="0"/>
        <w:jc w:val="left"/>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p>
    <w:p>
      <w:pPr>
        <w:pStyle w:val="style0"/>
        <w:spacing w:before="0" w:after="0" w:lineRule="auto" w:line="360"/>
        <w:ind w:firstLine="0"/>
        <w:jc w:val="center"/>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CERTIFICATION</w:t>
      </w:r>
    </w:p>
    <w:p>
      <w:pPr>
        <w:pStyle w:val="style0"/>
        <w:spacing w:before="0" w:after="0" w:lineRule="auto" w:line="360"/>
        <w:ind w:firstLine="0"/>
        <w:jc w:val="both"/>
        <w:rPr>
          <w:rFonts w:ascii="Times New Roman" w:cs="Times New Roman" w:eastAsia="Calibri" w:hAnsi="Times New Roman"/>
          <w:sz w:val="24"/>
          <w:szCs w:val="24"/>
          <w:lang w:eastAsia="en-US"/>
        </w:rPr>
      </w:pPr>
    </w:p>
    <w:p>
      <w:pPr>
        <w:pStyle w:val="style0"/>
        <w:spacing w:before="0" w:after="0" w:lineRule="auto" w:line="360"/>
        <w:ind w:firstLine="720"/>
        <w:jc w:val="both"/>
        <w:rPr>
          <w:rFonts w:ascii="Times New Roman" w:cs="Times New Roman" w:eastAsia="Calibri" w:hAnsi="Times New Roman"/>
          <w:sz w:val="24"/>
          <w:szCs w:val="24"/>
          <w:lang w:eastAsia="en-US"/>
        </w:rPr>
      </w:pPr>
      <w:r>
        <w:rPr>
          <w:rFonts w:ascii="Times New Roman" w:cs="Times New Roman" w:eastAsia="Calibri" w:hAnsi="Times New Roman"/>
          <w:sz w:val="24"/>
          <w:szCs w:val="24"/>
          <w:lang w:eastAsia="en-US"/>
        </w:rPr>
        <w:t xml:space="preserve">This is to certify that this research project was carried out by </w:t>
      </w:r>
      <w:r>
        <w:rPr>
          <w:rFonts w:ascii="Times New Roman" w:cs="Times New Roman" w:eastAsia="Calibri" w:hAnsi="Times New Roman" w:hint="default"/>
          <w:sz w:val="24"/>
          <w:szCs w:val="24"/>
          <w:lang w:val="en-US" w:eastAsia="en-US"/>
        </w:rPr>
        <w:t>SULYMAN LATEEFAT OLAJUMOKE</w:t>
      </w:r>
      <w:r>
        <w:rPr>
          <w:rFonts w:ascii="Times New Roman" w:cs="Times New Roman" w:eastAsia="Calibri" w:hAnsi="Times New Roman"/>
          <w:sz w:val="24"/>
          <w:szCs w:val="24"/>
          <w:lang w:eastAsia="en-US"/>
        </w:rPr>
        <w:t xml:space="preserve"> with the matriculation number </w:t>
      </w:r>
      <w:r>
        <w:rPr>
          <w:rFonts w:ascii="Times New Roman" w:cs="Times New Roman" w:eastAsia="Calibri" w:hAnsi="Times New Roman" w:hint="default"/>
          <w:sz w:val="24"/>
          <w:szCs w:val="24"/>
          <w:lang w:val="en-US" w:eastAsia="en-US"/>
        </w:rPr>
        <w:t>ND/23/CEC/PT/0029</w:t>
      </w:r>
      <w:r>
        <w:rPr>
          <w:rFonts w:ascii="Times New Roman" w:cs="Times New Roman" w:eastAsia="Calibri" w:hAnsi="Times New Roman"/>
          <w:sz w:val="24"/>
          <w:szCs w:val="24"/>
          <w:lang w:eastAsia="en-US"/>
        </w:rPr>
        <w:t xml:space="preserve"> and has been read and approved as meeting part of the requirements of the Department of </w:t>
      </w:r>
      <w:r>
        <w:rPr>
          <w:rFonts w:ascii="Times New Roman" w:cs="Times New Roman" w:eastAsia="Calibri" w:hAnsi="Times New Roman" w:hint="default"/>
          <w:sz w:val="24"/>
          <w:szCs w:val="24"/>
          <w:lang w:val="en-US" w:eastAsia="en-US"/>
        </w:rPr>
        <w:t>Civil Engineering, Institute of Technology</w:t>
      </w:r>
      <w:r>
        <w:rPr>
          <w:rFonts w:ascii="Times New Roman" w:cs="Times New Roman" w:eastAsia="Calibri" w:hAnsi="Times New Roman"/>
          <w:sz w:val="24"/>
          <w:szCs w:val="24"/>
          <w:lang w:eastAsia="en-US"/>
        </w:rPr>
        <w:t xml:space="preserve">, </w:t>
      </w:r>
      <w:r>
        <w:rPr>
          <w:rFonts w:ascii="Times New Roman" w:cs="Times New Roman" w:eastAsia="Calibri" w:hAnsi="Times New Roman" w:hint="default"/>
          <w:sz w:val="24"/>
          <w:szCs w:val="24"/>
          <w:lang w:val="en-US" w:eastAsia="en-US"/>
        </w:rPr>
        <w:t xml:space="preserve">Kwara State Polytechnic, </w:t>
      </w:r>
      <w:r>
        <w:rPr>
          <w:rFonts w:ascii="Times New Roman" w:cs="Times New Roman" w:eastAsia="Calibri" w:hAnsi="Times New Roman"/>
          <w:sz w:val="24"/>
          <w:szCs w:val="24"/>
          <w:lang w:eastAsia="en-US"/>
        </w:rPr>
        <w:t xml:space="preserve">Ilorin, for the award of </w:t>
      </w:r>
      <w:r>
        <w:rPr>
          <w:rFonts w:ascii="Times New Roman" w:cs="Times New Roman" w:eastAsia="Calibri" w:hAnsi="Times New Roman" w:hint="default"/>
          <w:sz w:val="24"/>
          <w:szCs w:val="24"/>
          <w:lang w:val="en-US" w:eastAsia="en-US"/>
        </w:rPr>
        <w:t>National Diploma (ND) in Civil Engineering</w:t>
      </w:r>
      <w:r>
        <w:rPr>
          <w:rFonts w:ascii="Times New Roman" w:cs="Times New Roman" w:eastAsia="Calibri" w:hAnsi="Times New Roman"/>
          <w:sz w:val="24"/>
          <w:szCs w:val="24"/>
          <w:lang w:eastAsia="en-US"/>
        </w:rPr>
        <w:t>.</w:t>
      </w:r>
    </w:p>
    <w:p>
      <w:pPr>
        <w:pStyle w:val="style0"/>
        <w:spacing w:before="0" w:after="0" w:lineRule="auto" w:line="360"/>
        <w:ind w:firstLine="0"/>
        <w:jc w:val="both"/>
        <w:rPr>
          <w:rFonts w:ascii="Times New Roman" w:cs="Times New Roman" w:eastAsia="Calibri" w:hAnsi="Times New Roman"/>
          <w:sz w:val="24"/>
          <w:szCs w:val="24"/>
          <w:lang w:eastAsia="en-US"/>
        </w:rPr>
      </w:pPr>
    </w:p>
    <w:p>
      <w:pPr>
        <w:pStyle w:val="style0"/>
        <w:spacing w:before="0" w:after="0" w:lineRule="auto" w:line="360"/>
        <w:ind w:firstLine="0"/>
        <w:jc w:val="both"/>
        <w:rPr>
          <w:rFonts w:ascii="Times New Roman" w:cs="Times New Roman" w:eastAsia="Calibri" w:hAnsi="Times New Roman"/>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val="ig-NG" w:eastAsia="en-US"/>
        </w:rPr>
      </w:pPr>
      <w:r>
        <w:rPr>
          <w:rFonts w:ascii="Times New Roman" w:cs="Times New Roman" w:eastAsia="Calibri" w:hAnsi="Times New Roman"/>
          <w:b/>
          <w:bCs/>
          <w:sz w:val="24"/>
          <w:szCs w:val="24"/>
          <w:lang w:val="ig-NG" w:eastAsia="en-US"/>
        </w:rPr>
        <w:t xml:space="preserve">_______________________________           </w:t>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 xml:space="preserve">          _______________________</w:t>
      </w: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hint="default"/>
          <w:b/>
          <w:bCs/>
          <w:sz w:val="24"/>
          <w:szCs w:val="24"/>
          <w:lang w:val="en-US" w:eastAsia="en-US"/>
        </w:rPr>
        <w:t>Engr. Adam Bukhari</w:t>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 xml:space="preserve">      </w:t>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Date</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(Project Supervisor)</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val="ig-NG" w:eastAsia="en-US"/>
        </w:rPr>
      </w:pPr>
      <w:r>
        <w:rPr>
          <w:rFonts w:ascii="Times New Roman" w:cs="Times New Roman" w:eastAsia="Calibri" w:hAnsi="Times New Roman"/>
          <w:b/>
          <w:bCs/>
          <w:sz w:val="24"/>
          <w:szCs w:val="24"/>
          <w:lang w:val="ig-NG" w:eastAsia="en-US"/>
        </w:rPr>
        <w:t xml:space="preserve">_______________________________           </w:t>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 xml:space="preserve">          _______________________</w:t>
      </w: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hint="default"/>
          <w:b/>
          <w:bCs/>
          <w:sz w:val="24"/>
          <w:szCs w:val="24"/>
          <w:lang w:val="en-US" w:eastAsia="en-US"/>
        </w:rPr>
        <w:tab/>
      </w:r>
      <w:r>
        <w:rPr>
          <w:rFonts w:ascii="Times New Roman" w:cs="Times New Roman" w:eastAsia="Calibri" w:hAnsi="Times New Roman" w:hint="default"/>
          <w:b/>
          <w:bCs/>
          <w:sz w:val="24"/>
          <w:szCs w:val="24"/>
          <w:lang w:val="en-US"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 xml:space="preserve"> </w:t>
      </w:r>
      <w:r>
        <w:rPr>
          <w:rFonts w:ascii="Times New Roman" w:cs="Times New Roman" w:eastAsia="Calibri" w:hAnsi="Times New Roman"/>
          <w:b/>
          <w:bCs/>
          <w:sz w:val="24"/>
          <w:szCs w:val="24"/>
          <w:lang w:eastAsia="en-US"/>
        </w:rPr>
        <w:t>Date</w:t>
      </w:r>
    </w:p>
    <w:p>
      <w:pPr>
        <w:pStyle w:val="style0"/>
        <w:spacing w:before="0" w:after="0" w:lineRule="auto" w:line="240"/>
        <w:ind w:firstLine="0"/>
        <w:jc w:val="both"/>
        <w:rPr>
          <w:rFonts w:ascii="Times New Roman" w:cs="Times New Roman" w:eastAsia="Calibri" w:hAnsi="Times New Roman" w:hint="default"/>
          <w:b/>
          <w:bCs/>
          <w:sz w:val="24"/>
          <w:szCs w:val="24"/>
          <w:lang w:val="en-US" w:eastAsia="en-US"/>
        </w:rPr>
      </w:pPr>
      <w:r>
        <w:rPr>
          <w:rFonts w:ascii="Times New Roman" w:cs="Times New Roman" w:eastAsia="Calibri" w:hAnsi="Times New Roman" w:hint="default"/>
          <w:b/>
          <w:bCs/>
          <w:sz w:val="24"/>
          <w:szCs w:val="24"/>
          <w:lang w:val="en-US" w:eastAsia="en-US"/>
        </w:rPr>
        <w:t>Engr. Daniel A. Sanni</w:t>
      </w: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w:t>
      </w:r>
      <w:r>
        <w:rPr>
          <w:rFonts w:ascii="Times New Roman" w:cs="Times New Roman" w:eastAsia="Calibri" w:hAnsi="Times New Roman" w:hint="default"/>
          <w:b/>
          <w:bCs/>
          <w:sz w:val="24"/>
          <w:szCs w:val="24"/>
          <w:lang w:val="en-US" w:eastAsia="en-US"/>
        </w:rPr>
        <w:t>Part time Coordinator</w:t>
      </w:r>
      <w:r>
        <w:rPr>
          <w:rFonts w:ascii="Times New Roman" w:cs="Times New Roman" w:eastAsia="Calibri" w:hAnsi="Times New Roman"/>
          <w:b/>
          <w:bCs/>
          <w:sz w:val="24"/>
          <w:szCs w:val="24"/>
          <w:lang w:eastAsia="en-US"/>
        </w:rPr>
        <w:t>)</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val="ig-NG" w:eastAsia="en-US"/>
        </w:rPr>
      </w:pPr>
    </w:p>
    <w:p>
      <w:pPr>
        <w:pStyle w:val="style0"/>
        <w:spacing w:before="0" w:after="0" w:lineRule="auto" w:line="240"/>
        <w:ind w:firstLine="0"/>
        <w:jc w:val="both"/>
        <w:rPr>
          <w:rFonts w:ascii="Times New Roman" w:cs="Times New Roman" w:eastAsia="Calibri" w:hAnsi="Times New Roman"/>
          <w:b/>
          <w:bCs/>
          <w:sz w:val="24"/>
          <w:szCs w:val="24"/>
          <w:lang w:val="ig-NG" w:eastAsia="en-US"/>
        </w:rPr>
      </w:pPr>
      <w:r>
        <w:rPr>
          <w:rFonts w:ascii="Times New Roman" w:cs="Times New Roman" w:eastAsia="Calibri" w:hAnsi="Times New Roman"/>
          <w:b/>
          <w:bCs/>
          <w:sz w:val="24"/>
          <w:szCs w:val="24"/>
          <w:lang w:val="ig-NG" w:eastAsia="en-US"/>
        </w:rPr>
        <w:t xml:space="preserve">_______________________________           </w:t>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 xml:space="preserve">          _______________________</w:t>
      </w: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hint="default"/>
          <w:b/>
          <w:bCs/>
          <w:sz w:val="24"/>
          <w:szCs w:val="24"/>
          <w:lang w:val="en-US" w:eastAsia="en-US"/>
        </w:rPr>
        <w:tab/>
      </w:r>
      <w:r>
        <w:rPr>
          <w:rFonts w:ascii="Times New Roman" w:cs="Times New Roman" w:eastAsia="Calibri" w:hAnsi="Times New Roman" w:hint="default"/>
          <w:b/>
          <w:bCs/>
          <w:sz w:val="24"/>
          <w:szCs w:val="24"/>
          <w:lang w:val="en-US" w:eastAsia="en-US"/>
        </w:rPr>
        <w:tab/>
      </w:r>
      <w:r>
        <w:rPr>
          <w:rFonts w:ascii="Times New Roman" w:cs="Times New Roman" w:eastAsia="Calibri" w:hAnsi="Times New Roman"/>
          <w:b/>
          <w:bCs/>
          <w:sz w:val="24"/>
          <w:szCs w:val="24"/>
          <w:la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val="ig-NG" w:eastAsia="en-US"/>
        </w:rPr>
        <w:tab/>
      </w:r>
      <w:r>
        <w:rPr>
          <w:rFonts w:ascii="Times New Roman" w:cs="Times New Roman" w:eastAsia="Calibri" w:hAnsi="Times New Roman"/>
          <w:b/>
          <w:bCs/>
          <w:sz w:val="24"/>
          <w:szCs w:val="24"/>
          <w:lang w:eastAsia="en-US"/>
        </w:rPr>
        <w:t xml:space="preserve">   Date</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bCs/>
          <w:sz w:val="24"/>
          <w:szCs w:val="24"/>
          <w:lang w:eastAsia="en-US"/>
        </w:rPr>
        <w:t>(</w:t>
      </w:r>
      <w:r>
        <w:rPr>
          <w:rFonts w:ascii="Times New Roman" w:cs="Times New Roman" w:eastAsia="Calibri" w:hAnsi="Times New Roman" w:hint="default"/>
          <w:b/>
          <w:bCs/>
          <w:sz w:val="24"/>
          <w:szCs w:val="24"/>
          <w:lang w:val="en-US" w:eastAsia="en-US"/>
        </w:rPr>
        <w:t>External Examination</w:t>
      </w:r>
      <w:r>
        <w:rPr>
          <w:rFonts w:ascii="Times New Roman" w:cs="Times New Roman" w:eastAsia="Calibri" w:hAnsi="Times New Roman"/>
          <w:b/>
          <w:bCs/>
          <w:sz w:val="24"/>
          <w:szCs w:val="24"/>
          <w:lang w:eastAsia="en-US"/>
        </w:rPr>
        <w:t>)</w:t>
      </w: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p>
      <w:pPr>
        <w:pStyle w:val="style0"/>
        <w:spacing w:before="0" w:after="0" w:lineRule="auto" w:line="240"/>
        <w:ind w:firstLine="0"/>
        <w:jc w:val="both"/>
        <w:rPr>
          <w:rFonts w:ascii="Times New Roman" w:cs="Times New Roman" w:eastAsia="Calibri" w:hAnsi="Times New Roman"/>
          <w:b/>
          <w:bCs/>
          <w:sz w:val="24"/>
          <w:szCs w:val="24"/>
          <w:lang w:eastAsia="en-US"/>
        </w:rPr>
      </w:pPr>
    </w:p>
    <w:bookmarkStart w:id="0" w:name="_Toc75773974"/>
    <w:p>
      <w:pPr>
        <w:pStyle w:val="style0"/>
        <w:spacing w:before="0" w:after="0" w:lineRule="auto" w:line="240"/>
        <w:ind w:firstLine="0"/>
        <w:jc w:val="both"/>
        <w:rPr>
          <w:rFonts w:ascii="Times New Roman" w:cs="Times New Roman" w:eastAsia="Calibri" w:hAnsi="Times New Roman"/>
          <w:b/>
          <w:sz w:val="24"/>
          <w:szCs w:val="24"/>
          <w:lang w:eastAsia="en-US"/>
        </w:rPr>
      </w:pPr>
    </w:p>
    <w:p>
      <w:pPr>
        <w:pStyle w:val="style0"/>
        <w:spacing w:before="0" w:after="0" w:lineRule="auto" w:line="240"/>
        <w:ind w:firstLine="0"/>
        <w:jc w:val="both"/>
        <w:rPr>
          <w:rFonts w:ascii="Times New Roman" w:cs="Times New Roman" w:eastAsia="Calibri" w:hAnsi="Times New Roman"/>
          <w:b/>
          <w:sz w:val="24"/>
          <w:szCs w:val="24"/>
          <w:lang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r>
        <w:rPr>
          <w:rFonts w:ascii="Times New Roman" w:cs="Times New Roman" w:eastAsia="SimSun" w:hAnsi="Times New Roman"/>
          <w:b/>
          <w:bCs/>
          <w:color w:val="000000"/>
          <w:sz w:val="24"/>
          <w:szCs w:val="24"/>
          <w:lang w:val="en-GB" w:eastAsia="en-US"/>
        </w:rPr>
        <w:t>DEDICATION</w:t>
      </w:r>
    </w:p>
    <w:p>
      <w:pPr>
        <w:pStyle w:val="style0"/>
        <w:keepNext/>
        <w:keepLines/>
        <w:spacing w:before="0" w:after="0" w:lineRule="auto" w:line="432"/>
        <w:ind w:firstLine="720"/>
        <w:jc w:val="both"/>
        <w:outlineLvl w:val="0"/>
        <w:rPr>
          <w:rFonts w:ascii="Times New Roman" w:cs="Times New Roman" w:eastAsia="SimSun" w:hAnsi="Times New Roman" w:hint="default"/>
          <w:color w:val="000000"/>
          <w:sz w:val="24"/>
          <w:szCs w:val="24"/>
          <w:lang w:val="en-US" w:eastAsia="en-US"/>
        </w:rPr>
      </w:pPr>
      <w:r>
        <w:rPr>
          <w:rFonts w:ascii="Times New Roman" w:cs="Times New Roman" w:eastAsia="SimSun" w:hAnsi="Times New Roman"/>
          <w:color w:val="000000"/>
          <w:sz w:val="24"/>
          <w:szCs w:val="24"/>
          <w:lang w:val="en-GB" w:eastAsia="en-US"/>
        </w:rPr>
        <w:t xml:space="preserve">This research work is dedicated to God, the Almighty who has given </w:t>
      </w:r>
      <w:r>
        <w:rPr>
          <w:rFonts w:ascii="Times New Roman" w:cs="Times New Roman" w:hAnsi="Times New Roman" w:hint="default"/>
          <w:color w:val="000000"/>
          <w:sz w:val="24"/>
          <w:szCs w:val="24"/>
          <w:lang w:val="en-US" w:eastAsia="en-US"/>
        </w:rPr>
        <w:t>me</w:t>
      </w:r>
      <w:r>
        <w:rPr>
          <w:rFonts w:ascii="Times New Roman" w:cs="Times New Roman" w:eastAsia="SimSun" w:hAnsi="Times New Roman"/>
          <w:color w:val="000000"/>
          <w:sz w:val="24"/>
          <w:szCs w:val="24"/>
          <w:lang w:val="en-GB" w:eastAsia="en-US"/>
        </w:rPr>
        <w:t xml:space="preserve"> His grace, wisdom, and strength, the one who made all things possible for </w:t>
      </w:r>
      <w:r>
        <w:rPr>
          <w:rFonts w:ascii="Times New Roman" w:cs="Times New Roman" w:hAnsi="Times New Roman" w:hint="default"/>
          <w:color w:val="000000"/>
          <w:sz w:val="24"/>
          <w:szCs w:val="24"/>
          <w:lang w:val="en-US" w:eastAsia="en-US"/>
        </w:rPr>
        <w:t>me</w:t>
      </w:r>
      <w:r>
        <w:rPr>
          <w:rFonts w:ascii="Times New Roman" w:cs="Times New Roman" w:eastAsia="SimSun" w:hAnsi="Times New Roman"/>
          <w:color w:val="000000"/>
          <w:sz w:val="24"/>
          <w:szCs w:val="24"/>
          <w:lang w:val="en-GB" w:eastAsia="en-US"/>
        </w:rPr>
        <w:t xml:space="preserve"> and to</w:t>
      </w:r>
      <w:r>
        <w:rPr>
          <w:rFonts w:ascii="Times New Roman" w:cs="Times New Roman" w:hAnsi="Times New Roman" w:hint="default"/>
          <w:color w:val="000000"/>
          <w:sz w:val="24"/>
          <w:szCs w:val="24"/>
          <w:lang w:val="en-US" w:eastAsia="en-US"/>
        </w:rPr>
        <w:t xml:space="preserve"> my wonderful </w:t>
      </w:r>
      <w:r>
        <w:rPr>
          <w:rFonts w:ascii="Times New Roman" w:cs="Times New Roman" w:eastAsia="SimSun" w:hAnsi="Times New Roman"/>
          <w:color w:val="000000"/>
          <w:sz w:val="24"/>
          <w:szCs w:val="24"/>
          <w:lang w:val="en-GB" w:eastAsia="en-US"/>
        </w:rPr>
        <w:t>parent</w:t>
      </w:r>
      <w:r>
        <w:rPr>
          <w:rFonts w:ascii="Times New Roman" w:cs="Times New Roman" w:hAnsi="Times New Roman" w:hint="default"/>
          <w:color w:val="000000"/>
          <w:sz w:val="24"/>
          <w:szCs w:val="24"/>
          <w:lang w:val="en-US" w:eastAsia="en-US"/>
        </w:rPr>
        <w:t>s.</w:t>
      </w: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both"/>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p>
    <w:p>
      <w:pPr>
        <w:pStyle w:val="style0"/>
        <w:keepNext/>
        <w:keepLines/>
        <w:spacing w:before="0" w:after="0" w:lineRule="auto" w:line="432"/>
        <w:ind w:firstLine="0"/>
        <w:jc w:val="center"/>
        <w:outlineLvl w:val="0"/>
        <w:rPr>
          <w:rFonts w:ascii="Times New Roman" w:cs="Times New Roman" w:eastAsia="SimSun" w:hAnsi="Times New Roman"/>
          <w:b/>
          <w:bCs/>
          <w:color w:val="000000"/>
          <w:sz w:val="24"/>
          <w:szCs w:val="24"/>
          <w:lang w:val="en-GB" w:eastAsia="en-US"/>
        </w:rPr>
      </w:pPr>
      <w:r>
        <w:rPr>
          <w:rFonts w:ascii="Times New Roman" w:cs="Times New Roman" w:eastAsia="SimSun" w:hAnsi="Times New Roman"/>
          <w:b/>
          <w:bCs/>
          <w:color w:val="000000"/>
          <w:sz w:val="24"/>
          <w:szCs w:val="24"/>
          <w:lang w:val="en-GB" w:eastAsia="en-US"/>
        </w:rPr>
        <w:t>ACKNOWLEDGEMENT</w:t>
      </w:r>
      <w:bookmarkEnd w:id="0"/>
      <w:r>
        <w:rPr>
          <w:rFonts w:ascii="Times New Roman" w:cs="Times New Roman" w:eastAsia="SimSun" w:hAnsi="Times New Roman"/>
          <w:b/>
          <w:bCs/>
          <w:color w:val="000000"/>
          <w:sz w:val="24"/>
          <w:szCs w:val="24"/>
          <w:lang w:eastAsia="en-US"/>
        </w:rPr>
        <w:t>S</w:t>
      </w:r>
    </w:p>
    <w:p>
      <w:pPr>
        <w:pStyle w:val="style0"/>
        <w:spacing w:before="0" w:after="160" w:lineRule="auto" w:line="480"/>
        <w:ind w:firstLine="720"/>
        <w:jc w:val="both"/>
        <w:rPr>
          <w:rFonts w:ascii="Times New Roman" w:cs="Times New Roman" w:eastAsia="Calibri" w:hAnsi="Times New Roman"/>
          <w:sz w:val="24"/>
          <w:szCs w:val="24"/>
          <w:lang w:eastAsia="en-US"/>
        </w:rPr>
      </w:pPr>
      <w:r>
        <w:rPr>
          <w:rFonts w:ascii="Times New Roman" w:cs="Times New Roman" w:eastAsia="Calibri" w:hAnsi="Times New Roman" w:hint="default"/>
          <w:sz w:val="24"/>
          <w:szCs w:val="24"/>
          <w:lang w:val="en-US" w:eastAsia="en-US"/>
        </w:rPr>
        <w:t>I</w:t>
      </w:r>
      <w:r>
        <w:rPr>
          <w:rFonts w:ascii="Times New Roman" w:cs="Times New Roman" w:eastAsia="Calibri" w:hAnsi="Times New Roman"/>
          <w:sz w:val="24"/>
          <w:szCs w:val="24"/>
          <w:lang w:eastAsia="en-US"/>
        </w:rPr>
        <w:t xml:space="preserve"> give all the glory, honor, and adoration to God, who promises and brings it to pass. He is the helper of the helpless, strength for the weak, and keeper of the unsafe. </w:t>
      </w:r>
      <w:r>
        <w:rPr>
          <w:rFonts w:ascii="Times New Roman" w:cs="Times New Roman" w:eastAsia="Calibri" w:hAnsi="Times New Roman" w:hint="default"/>
          <w:sz w:val="24"/>
          <w:szCs w:val="24"/>
          <w:lang w:val="en-US" w:eastAsia="en-US"/>
        </w:rPr>
        <w:t>I</w:t>
      </w:r>
      <w:r>
        <w:rPr>
          <w:rFonts w:ascii="Times New Roman" w:cs="Times New Roman" w:eastAsia="Calibri" w:hAnsi="Times New Roman"/>
          <w:sz w:val="24"/>
          <w:szCs w:val="24"/>
          <w:lang w:eastAsia="en-US"/>
        </w:rPr>
        <w:t xml:space="preserve"> am thankful for where He has brought me and where He is taking me.</w:t>
      </w:r>
    </w:p>
    <w:p>
      <w:pPr>
        <w:pStyle w:val="style0"/>
        <w:spacing w:before="0" w:after="160" w:lineRule="auto" w:line="480"/>
        <w:ind w:firstLine="720"/>
        <w:jc w:val="both"/>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I</w:t>
      </w:r>
      <w:r>
        <w:rPr>
          <w:rFonts w:ascii="Times New Roman" w:cs="Times New Roman" w:eastAsia="Calibri" w:hAnsi="Times New Roman"/>
          <w:sz w:val="24"/>
          <w:szCs w:val="24"/>
          <w:lang w:eastAsia="en-US"/>
        </w:rPr>
        <w:t xml:space="preserve"> would like to express my deep gratitude to </w:t>
      </w:r>
      <w:r>
        <w:rPr>
          <w:rFonts w:ascii="Times New Roman" w:cs="Times New Roman" w:eastAsia="Calibri" w:hAnsi="Times New Roman" w:hint="default"/>
          <w:sz w:val="24"/>
          <w:szCs w:val="24"/>
          <w:lang w:val="en-US" w:eastAsia="en-US"/>
        </w:rPr>
        <w:t xml:space="preserve">our </w:t>
      </w:r>
      <w:r>
        <w:rPr>
          <w:rFonts w:ascii="Times New Roman" w:cs="Times New Roman" w:eastAsia="Calibri" w:hAnsi="Times New Roman"/>
          <w:sz w:val="24"/>
          <w:szCs w:val="24"/>
          <w:lang w:eastAsia="en-US"/>
        </w:rPr>
        <w:t xml:space="preserve">project supervisor, </w:t>
      </w:r>
      <w:r>
        <w:rPr>
          <w:rFonts w:ascii="Times New Roman" w:cs="Times New Roman" w:eastAsia="Calibri" w:hAnsi="Times New Roman" w:hint="default"/>
          <w:sz w:val="24"/>
          <w:szCs w:val="24"/>
          <w:lang w:val="en-US" w:eastAsia="en-US"/>
        </w:rPr>
        <w:t>Engr Adam Bukhari</w:t>
      </w:r>
      <w:r>
        <w:rPr>
          <w:rFonts w:ascii="Times New Roman" w:cs="Times New Roman" w:eastAsia="Calibri" w:hAnsi="Times New Roman"/>
          <w:sz w:val="24"/>
          <w:szCs w:val="24"/>
          <w:lang w:eastAsia="en-US"/>
        </w:rPr>
        <w:t xml:space="preserve">, for providing invaluable guidance throughout this research project work. His dynamism, vision, sincerity, and motivation have deeply inspired me. It was a great privilege and honor to work and study under his guidance. </w:t>
      </w:r>
      <w:r>
        <w:rPr>
          <w:rFonts w:ascii="Times New Roman" w:cs="Times New Roman" w:eastAsia="Calibri" w:hAnsi="Times New Roman" w:hint="default"/>
          <w:sz w:val="24"/>
          <w:szCs w:val="24"/>
          <w:lang w:val="en-US" w:eastAsia="en-US"/>
        </w:rPr>
        <w:t xml:space="preserve">I are </w:t>
      </w:r>
      <w:r>
        <w:rPr>
          <w:rFonts w:ascii="Times New Roman" w:cs="Times New Roman" w:eastAsia="Calibri" w:hAnsi="Times New Roman"/>
          <w:sz w:val="24"/>
          <w:szCs w:val="24"/>
          <w:lang w:eastAsia="en-US"/>
        </w:rPr>
        <w:t xml:space="preserve">extremely grateful for what he has offered me, God bless you, sir. </w:t>
      </w:r>
      <w:r>
        <w:rPr>
          <w:rFonts w:ascii="Times New Roman" w:cs="Times New Roman" w:eastAsia="Calibri" w:hAnsi="Times New Roman" w:hint="default"/>
          <w:sz w:val="24"/>
          <w:szCs w:val="24"/>
          <w:lang w:val="en-US" w:eastAsia="en-US"/>
        </w:rPr>
        <w:t>I also appreciate the HOD of  my department and all other teaching and non-teaching staff of the department for their guidance throughout my course of study.</w:t>
      </w:r>
    </w:p>
    <w:p>
      <w:pPr>
        <w:pStyle w:val="style0"/>
        <w:spacing w:before="0" w:after="160" w:lineRule="auto" w:line="480"/>
        <w:ind w:firstLine="720"/>
        <w:jc w:val="both"/>
        <w:rPr>
          <w:rFonts w:ascii="Times New Roman" w:cs="Times New Roman" w:eastAsia="Calibri" w:hAnsi="Times New Roman"/>
          <w:sz w:val="24"/>
          <w:szCs w:val="24"/>
          <w:lang w:eastAsia="en-US"/>
        </w:rPr>
      </w:pPr>
      <w:r>
        <w:rPr>
          <w:rFonts w:ascii="Times New Roman" w:cs="Times New Roman" w:eastAsia="Calibri" w:hAnsi="Times New Roman" w:hint="default"/>
          <w:sz w:val="24"/>
          <w:szCs w:val="24"/>
          <w:lang w:val="en-US" w:eastAsia="en-US"/>
        </w:rPr>
        <w:t>I am</w:t>
      </w:r>
      <w:r>
        <w:rPr>
          <w:rFonts w:ascii="Times New Roman" w:cs="Times New Roman" w:eastAsia="Calibri" w:hAnsi="Times New Roman"/>
          <w:sz w:val="24"/>
          <w:szCs w:val="24"/>
          <w:lang w:eastAsia="en-US"/>
        </w:rPr>
        <w:t xml:space="preserve"> thankful to </w:t>
      </w:r>
      <w:r>
        <w:rPr>
          <w:rFonts w:ascii="Times New Roman" w:cs="Times New Roman" w:eastAsia="Calibri" w:hAnsi="Times New Roman" w:hint="default"/>
          <w:sz w:val="24"/>
          <w:szCs w:val="24"/>
          <w:lang w:val="en-US" w:eastAsia="en-US"/>
        </w:rPr>
        <w:t>my</w:t>
      </w:r>
      <w:r>
        <w:rPr>
          <w:rFonts w:ascii="Times New Roman" w:cs="Times New Roman" w:eastAsia="Calibri" w:hAnsi="Times New Roman"/>
          <w:sz w:val="24"/>
          <w:szCs w:val="24"/>
          <w:lang w:eastAsia="en-US"/>
        </w:rPr>
        <w:t xml:space="preserve"> family, starting from </w:t>
      </w:r>
      <w:r>
        <w:rPr>
          <w:rFonts w:ascii="Times New Roman" w:cs="Times New Roman" w:eastAsia="Calibri" w:hAnsi="Times New Roman" w:hint="default"/>
          <w:sz w:val="24"/>
          <w:szCs w:val="24"/>
          <w:lang w:val="en-US" w:eastAsia="en-US"/>
        </w:rPr>
        <w:t>my</w:t>
      </w:r>
      <w:r>
        <w:rPr>
          <w:rFonts w:ascii="Times New Roman" w:cs="Times New Roman" w:eastAsia="Calibri" w:hAnsi="Times New Roman"/>
          <w:sz w:val="24"/>
          <w:szCs w:val="24"/>
          <w:lang w:eastAsia="en-US"/>
        </w:rPr>
        <w:t xml:space="preserve"> parent</w:t>
      </w:r>
      <w:r>
        <w:rPr>
          <w:rFonts w:ascii="Times New Roman" w:cs="Times New Roman" w:eastAsia="Calibri" w:hAnsi="Times New Roman" w:hint="default"/>
          <w:sz w:val="24"/>
          <w:szCs w:val="24"/>
          <w:lang w:val="en-US" w:eastAsia="en-US"/>
        </w:rPr>
        <w:t>, Alhaj Sulyman Mariam</w:t>
      </w:r>
      <w:r>
        <w:rPr>
          <w:rFonts w:ascii="Times New Roman" w:cs="Times New Roman" w:eastAsia="Calibri" w:hAnsi="Times New Roman"/>
          <w:sz w:val="24"/>
          <w:szCs w:val="24"/>
          <w:lang w:eastAsia="en-US"/>
        </w:rPr>
        <w:t xml:space="preserve">, </w:t>
      </w:r>
      <w:r>
        <w:rPr>
          <w:rFonts w:ascii="Times New Roman" w:cs="Times New Roman" w:eastAsia="Calibri" w:hAnsi="Times New Roman" w:hint="default"/>
          <w:sz w:val="24"/>
          <w:szCs w:val="24"/>
          <w:lang w:val="en-US" w:eastAsia="en-US"/>
        </w:rPr>
        <w:t xml:space="preserve">my brother, Sulyman Yakub, </w:t>
      </w:r>
      <w:r>
        <w:rPr>
          <w:rFonts w:ascii="Times New Roman" w:cs="Times New Roman" w:eastAsia="Calibri" w:hAnsi="Times New Roman"/>
          <w:sz w:val="24"/>
          <w:szCs w:val="24"/>
          <w:lang w:eastAsia="en-US"/>
        </w:rPr>
        <w:t xml:space="preserve">and all others who have never doubted the spirit of excellence and success in </w:t>
      </w:r>
      <w:r>
        <w:rPr>
          <w:rFonts w:ascii="Times New Roman" w:cs="Times New Roman" w:eastAsia="Calibri" w:hAnsi="Times New Roman" w:hint="default"/>
          <w:sz w:val="24"/>
          <w:szCs w:val="24"/>
          <w:lang w:val="en-US" w:eastAsia="en-US"/>
        </w:rPr>
        <w:t>us</w:t>
      </w:r>
      <w:r>
        <w:rPr>
          <w:rFonts w:ascii="Times New Roman" w:cs="Times New Roman" w:eastAsia="Calibri" w:hAnsi="Times New Roman"/>
          <w:sz w:val="24"/>
          <w:szCs w:val="24"/>
          <w:lang w:eastAsia="en-US"/>
        </w:rPr>
        <w:t xml:space="preserve">. They have been the most resonant voices of inspiration, always reminding me to never give in to the tide of the ocean but rather to swim with the tide and against the current. </w:t>
      </w:r>
      <w:r>
        <w:rPr>
          <w:rFonts w:ascii="Times New Roman" w:cs="Times New Roman" w:eastAsia="Calibri" w:hAnsi="Times New Roman" w:hint="default"/>
          <w:sz w:val="24"/>
          <w:szCs w:val="24"/>
          <w:lang w:val="en-US" w:eastAsia="en-US"/>
        </w:rPr>
        <w:t>I</w:t>
      </w:r>
      <w:r>
        <w:rPr>
          <w:rFonts w:ascii="Times New Roman" w:cs="Times New Roman" w:eastAsia="Calibri" w:hAnsi="Times New Roman"/>
          <w:sz w:val="24"/>
          <w:szCs w:val="24"/>
          <w:lang w:eastAsia="en-US"/>
        </w:rPr>
        <w:t xml:space="preserve"> pray that Almighty Allah rewards them beyond their expectations on this earth and in the hereafter.</w:t>
      </w: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720"/>
        <w:jc w:val="both"/>
        <w:rPr>
          <w:rFonts w:ascii="Times New Roman" w:cs="Times New Roman" w:eastAsia="Calibri" w:hAnsi="Times New Roman"/>
          <w:sz w:val="24"/>
          <w:szCs w:val="24"/>
          <w:lang w:eastAsia="en-US"/>
        </w:rPr>
      </w:pPr>
    </w:p>
    <w:p>
      <w:pPr>
        <w:pStyle w:val="style0"/>
        <w:spacing w:before="0" w:after="160" w:lineRule="auto" w:line="480"/>
        <w:ind w:firstLine="0"/>
        <w:jc w:val="center"/>
        <w:rPr>
          <w:rFonts w:ascii="Times New Roman" w:cs="Times New Roman" w:eastAsia="Calibri" w:hAnsi="Times New Roman"/>
          <w:b/>
          <w:sz w:val="24"/>
          <w:szCs w:val="24"/>
          <w:lang w:eastAsia="en-US"/>
        </w:rPr>
      </w:pPr>
    </w:p>
    <w:p>
      <w:pPr>
        <w:pStyle w:val="style0"/>
        <w:spacing w:before="0" w:after="160" w:lineRule="auto" w:line="480"/>
        <w:ind w:firstLine="0"/>
        <w:jc w:val="center"/>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TABLE OF CONTENTS</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Title Page</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i</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Declaration</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ii</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Certification</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iii</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 xml:space="preserve">Dedication </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iv</w:t>
      </w:r>
    </w:p>
    <w:p>
      <w:pPr>
        <w:pStyle w:val="style0"/>
        <w:spacing w:before="0" w:after="0" w:lineRule="auto" w:line="480"/>
        <w:ind w:right="-450" w:firstLine="0"/>
        <w:jc w:val="left"/>
        <w:rPr>
          <w:rFonts w:ascii="Times New Roman" w:cs="Arial" w:eastAsia="Calibri" w:hAnsi="Times New Roman"/>
          <w:sz w:val="24"/>
          <w:szCs w:val="24"/>
          <w:lang w:eastAsia="en-US"/>
        </w:rPr>
      </w:pPr>
      <w:r>
        <w:rPr>
          <w:rFonts w:ascii="Times New Roman" w:cs="Arial" w:eastAsia="Calibri" w:hAnsi="Times New Roman"/>
          <w:sz w:val="24"/>
          <w:szCs w:val="24"/>
          <w:lang w:eastAsia="en-US"/>
        </w:rPr>
        <w:t>Acknowledgements</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v</w:t>
      </w:r>
    </w:p>
    <w:p>
      <w:pPr>
        <w:pStyle w:val="style0"/>
        <w:spacing w:before="0" w:after="0" w:lineRule="auto" w:line="480"/>
        <w:ind w:right="-450" w:firstLine="0"/>
        <w:jc w:val="left"/>
        <w:rPr>
          <w:rFonts w:ascii="Times New Roman" w:cs="Times New Roman" w:eastAsia="Calibri" w:hAnsi="Times New Roman"/>
          <w:sz w:val="24"/>
          <w:szCs w:val="24"/>
          <w:lang w:eastAsia="en-US"/>
        </w:rPr>
      </w:pPr>
      <w:r>
        <w:rPr>
          <w:rFonts w:ascii="Times New Roman" w:cs="Arial" w:eastAsia="Calibri" w:hAnsi="Times New Roman"/>
          <w:sz w:val="24"/>
          <w:szCs w:val="24"/>
          <w:lang w:eastAsia="en-US"/>
        </w:rPr>
        <w:t xml:space="preserve">Table of Contents </w:t>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sz w:val="24"/>
          <w:szCs w:val="24"/>
          <w:lang w:eastAsia="en-US"/>
        </w:rPr>
        <w:tab/>
      </w:r>
      <w:r>
        <w:rPr>
          <w:rFonts w:ascii="Times New Roman" w:cs="Arial" w:eastAsia="Calibri" w:hAnsi="Times New Roman" w:hint="default"/>
          <w:sz w:val="24"/>
          <w:szCs w:val="24"/>
          <w:lang w:val="en-US" w:eastAsia="en-US"/>
        </w:rPr>
        <w:tab/>
      </w:r>
      <w:r>
        <w:rPr>
          <w:rFonts w:ascii="Times New Roman" w:cs="Arial" w:eastAsia="Calibri" w:hAnsi="Times New Roman"/>
          <w:sz w:val="24"/>
          <w:szCs w:val="24"/>
          <w:lang w:eastAsia="en-US"/>
        </w:rPr>
        <w:t>vii</w:t>
      </w:r>
    </w:p>
    <w:p>
      <w:pPr>
        <w:pStyle w:val="style0"/>
        <w:spacing w:before="0" w:after="0" w:lineRule="auto" w:line="480"/>
        <w:ind w:right="-450" w:firstLine="0"/>
        <w:jc w:val="both"/>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ONE</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1.0 Introduction</w:t>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1</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 xml:space="preserve">1.1 </w:t>
      </w:r>
      <w:r>
        <w:rPr>
          <w:rFonts w:ascii="Times New Roman" w:cs="Times New Roman" w:eastAsia="Calibri" w:hAnsi="Times New Roman"/>
          <w:sz w:val="24"/>
          <w:szCs w:val="24"/>
          <w:lang w:eastAsia="en-US"/>
        </w:rPr>
        <w:t>Background to the Study</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1</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1.2 Aims and Objectives of the Study</w:t>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2</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 xml:space="preserve">1.3 </w:t>
      </w:r>
      <w:r>
        <w:rPr>
          <w:rFonts w:ascii="Times New Roman" w:cs="Times New Roman" w:eastAsia="Calibri" w:hAnsi="Times New Roman"/>
          <w:sz w:val="24"/>
          <w:szCs w:val="24"/>
          <w:lang w:eastAsia="en-US"/>
        </w:rPr>
        <w:t>Statement of</w:t>
      </w:r>
      <w:r>
        <w:rPr>
          <w:rFonts w:ascii="Times New Roman" w:cs="Times New Roman" w:eastAsia="Calibri" w:hAnsi="Times New Roman" w:hint="default"/>
          <w:sz w:val="24"/>
          <w:szCs w:val="24"/>
          <w:lang w:val="en-US" w:eastAsia="en-US"/>
        </w:rPr>
        <w:t xml:space="preserve"> the</w:t>
      </w:r>
      <w:r>
        <w:rPr>
          <w:rFonts w:ascii="Times New Roman" w:cs="Times New Roman" w:eastAsia="Calibri" w:hAnsi="Times New Roman"/>
          <w:sz w:val="24"/>
          <w:szCs w:val="24"/>
          <w:lang w:eastAsia="en-US"/>
        </w:rPr>
        <w:t xml:space="preserve"> Problem</w:t>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2</w:t>
      </w:r>
    </w:p>
    <w:p>
      <w:pPr>
        <w:pStyle w:val="style0"/>
        <w:spacing w:before="0" w:after="0" w:lineRule="auto" w:line="480"/>
        <w:ind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 xml:space="preserve">1.4 Justification </w:t>
      </w:r>
      <w:r>
        <w:rPr>
          <w:rFonts w:ascii="Times New Roman" w:cs="Times New Roman" w:eastAsia="Calibri" w:hAnsi="Times New Roman"/>
          <w:sz w:val="24"/>
          <w:szCs w:val="24"/>
          <w:lang w:eastAsia="en-US"/>
        </w:rPr>
        <w:t>of the Study</w:t>
      </w:r>
      <w:r>
        <w:rPr>
          <w:rFonts w:ascii="Times New Roman" w:cs="Times New Roman" w:eastAsia="Calibri" w:hAnsi="Times New Roman" w:hint="default"/>
          <w:sz w:val="24"/>
          <w:szCs w:val="24"/>
          <w:lang w:val="en-US"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 xml:space="preserve">            </w:t>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2</w:t>
      </w:r>
    </w:p>
    <w:p>
      <w:pPr>
        <w:pStyle w:val="style0"/>
        <w:spacing w:before="0" w:after="0" w:lineRule="auto" w:line="480"/>
        <w:ind w:right="-450" w:firstLine="0"/>
        <w:jc w:val="left"/>
        <w:rPr>
          <w:rFonts w:ascii="Times New Roman" w:cs="Times New Roman" w:eastAsia="Calibri" w:hAnsi="Times New Roman"/>
          <w:b/>
          <w:sz w:val="24"/>
          <w:szCs w:val="24"/>
          <w:lang w:eastAsia="en-US"/>
        </w:rPr>
      </w:pPr>
      <w:r>
        <w:rPr>
          <w:rFonts w:ascii="Times New Roman" w:cs="Times New Roman" w:eastAsia="Calibri" w:hAnsi="Times New Roman" w:hint="default"/>
          <w:sz w:val="24"/>
          <w:szCs w:val="24"/>
          <w:lang w:val="en-US" w:eastAsia="en-US"/>
        </w:rPr>
        <w:t xml:space="preserve">1.5 </w:t>
      </w:r>
      <w:r>
        <w:rPr>
          <w:rFonts w:ascii="Times New Roman" w:cs="Times New Roman" w:eastAsia="Calibri" w:hAnsi="Times New Roman"/>
          <w:sz w:val="24"/>
          <w:szCs w:val="24"/>
          <w:lang w:eastAsia="en-US"/>
        </w:rPr>
        <w:t>Scope of the Study</w:t>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3</w:t>
      </w:r>
    </w:p>
    <w:p>
      <w:pPr>
        <w:pStyle w:val="style0"/>
        <w:spacing w:before="0" w:after="0" w:lineRule="auto" w:line="480"/>
        <w:ind w:right="-450" w:firstLine="0"/>
        <w:jc w:val="both"/>
        <w:rPr>
          <w:rFonts w:ascii="Times New Roman" w:cs="Arial" w:eastAsia="Calibri" w:hAnsi="Times New Roman"/>
          <w:b/>
          <w:sz w:val="24"/>
          <w:szCs w:val="24"/>
          <w:lang w:eastAsia="en-US"/>
        </w:rPr>
      </w:pPr>
      <w:r>
        <w:rPr>
          <w:rFonts w:ascii="Times New Roman" w:cs="Times New Roman" w:eastAsia="Calibri" w:hAnsi="Times New Roman"/>
          <w:b/>
          <w:sz w:val="24"/>
          <w:szCs w:val="24"/>
          <w:lang w:eastAsia="en-US"/>
        </w:rPr>
        <w:t>CHAPTER TWO</w:t>
      </w:r>
    </w:p>
    <w:p>
      <w:pPr>
        <w:pStyle w:val="style0"/>
        <w:spacing w:before="0" w:after="0" w:lineRule="auto" w:line="480"/>
        <w:ind w:right="-450" w:firstLine="0"/>
        <w:jc w:val="left"/>
        <w:rPr>
          <w:rFonts w:ascii="Times New Roman" w:eastAsia="Calibri" w:hAnsi="Times New Roman" w:hint="default"/>
          <w:sz w:val="24"/>
          <w:szCs w:val="24"/>
          <w:lang w:val="en-US" w:eastAsia="en-US"/>
        </w:rPr>
      </w:pPr>
      <w:r>
        <w:rPr>
          <w:rFonts w:ascii="Times New Roman" w:eastAsia="Calibri" w:hAnsi="Times New Roman" w:hint="default"/>
          <w:sz w:val="24"/>
          <w:szCs w:val="24"/>
          <w:lang w:val="en-US" w:eastAsia="en-US"/>
        </w:rPr>
        <w:t>2.0 Literature Review</w:t>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ab/>
      </w:r>
      <w:r>
        <w:rPr>
          <w:rFonts w:ascii="Times New Roman" w:eastAsia="Calibri" w:hAnsi="Times New Roman" w:hint="default"/>
          <w:sz w:val="24"/>
          <w:szCs w:val="24"/>
          <w:lang w:val="en-US" w:eastAsia="en-US"/>
        </w:rPr>
        <w:t>4</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eastAsia="Calibri" w:hAnsi="Times New Roman" w:hint="default"/>
          <w:sz w:val="24"/>
          <w:szCs w:val="24"/>
          <w:lang w:val="en-US" w:eastAsia="en-US"/>
        </w:rPr>
        <w:t xml:space="preserve">2.1 </w:t>
      </w:r>
      <w:r>
        <w:rPr>
          <w:rFonts w:ascii="Times New Roman" w:eastAsia="Calibri" w:hAnsi="Times New Roman" w:hint="default"/>
          <w:sz w:val="24"/>
          <w:szCs w:val="24"/>
          <w:lang w:eastAsia="en-US"/>
        </w:rPr>
        <w:t>Introduction to Furniture Design and Industry</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4</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2.2 The Nigerian Furniture Industry</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8</w:t>
      </w:r>
    </w:p>
    <w:p>
      <w:pPr>
        <w:pStyle w:val="style0"/>
        <w:spacing w:before="0" w:after="0" w:lineRule="auto" w:line="480"/>
        <w:ind w:right="-450" w:firstLine="0"/>
        <w:jc w:val="left"/>
        <w:rPr>
          <w:rFonts w:ascii="Times New Roman" w:cs="Times New Roman" w:eastAsia="Calibri" w:hAnsi="Times New Roman"/>
          <w:b/>
          <w:sz w:val="24"/>
          <w:szCs w:val="24"/>
          <w:lang w:eastAsia="en-US"/>
        </w:rPr>
      </w:pPr>
      <w:r>
        <w:rPr>
          <w:rFonts w:ascii="Times New Roman" w:cs="Times New Roman" w:eastAsia="Calibri" w:hAnsi="Times New Roman" w:hint="default"/>
          <w:sz w:val="24"/>
          <w:szCs w:val="24"/>
          <w:lang w:val="en-US" w:eastAsia="en-US"/>
        </w:rPr>
        <w:t>2.3 Principles of Future Design (with focus on Dinning Sets)</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1</w:t>
      </w:r>
      <w:r>
        <w:rPr>
          <w:rFonts w:ascii="Times New Roman" w:cs="Times New Roman" w:eastAsia="Calibri" w:hAnsi="Times New Roman" w:hint="default"/>
          <w:sz w:val="24"/>
          <w:szCs w:val="24"/>
          <w:lang w:val="en-US" w:eastAsia="en-US"/>
        </w:rPr>
        <w:t>2</w:t>
      </w:r>
    </w:p>
    <w:p>
      <w:pPr>
        <w:pStyle w:val="style0"/>
        <w:spacing w:before="0" w:after="0" w:lineRule="auto" w:line="480"/>
        <w:ind w:right="-450" w:firstLine="0"/>
        <w:jc w:val="both"/>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THREE</w:t>
      </w:r>
    </w:p>
    <w:p>
      <w:pPr>
        <w:pStyle w:val="style0"/>
        <w:spacing w:before="0" w:after="0" w:lineRule="auto" w:line="480"/>
        <w:ind w:right="-450" w:firstLine="0"/>
        <w:jc w:val="both"/>
        <w:rPr>
          <w:rFonts w:ascii="Times New Roman" w:cs="Times New Roman" w:eastAsia="Calibri" w:hAnsi="Times New Roman" w:hint="default"/>
          <w:b w:val="false"/>
          <w:bCs/>
          <w:sz w:val="24"/>
          <w:szCs w:val="24"/>
          <w:lang w:val="en-US" w:eastAsia="en-US"/>
        </w:rPr>
      </w:pPr>
      <w:r>
        <w:rPr>
          <w:rFonts w:ascii="Times New Roman" w:cs="Times New Roman" w:eastAsia="Calibri" w:hAnsi="Times New Roman" w:hint="default"/>
          <w:b w:val="false"/>
          <w:bCs/>
          <w:sz w:val="24"/>
          <w:szCs w:val="24"/>
          <w:lang w:val="en-US" w:eastAsia="en-US"/>
        </w:rPr>
        <w:t>3.0 Methodology</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 xml:space="preserve">3.1 </w:t>
      </w:r>
      <w:r>
        <w:rPr>
          <w:rFonts w:ascii="Times New Roman" w:cs="Times New Roman" w:eastAsia="Calibri" w:hAnsi="Times New Roman"/>
          <w:sz w:val="24"/>
          <w:szCs w:val="24"/>
          <w:lang w:eastAsia="en-US"/>
        </w:rPr>
        <w:t xml:space="preserve">Research </w:t>
      </w:r>
      <w:r>
        <w:rPr>
          <w:rFonts w:ascii="Times New Roman" w:cs="Times New Roman" w:eastAsia="Calibri" w:hAnsi="Times New Roman" w:hint="default"/>
          <w:sz w:val="24"/>
          <w:szCs w:val="24"/>
          <w:lang w:val="en-US" w:eastAsia="en-US"/>
        </w:rPr>
        <w:t>Design</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16</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3.2 Material and Tools</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17</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3.3 Conceptualization and Ideation</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23</w:t>
      </w:r>
    </w:p>
    <w:p>
      <w:pPr>
        <w:pStyle w:val="style0"/>
        <w:spacing w:before="0" w:after="0" w:lineRule="auto" w:line="480"/>
        <w:ind w:right="-450" w:firstLine="0"/>
        <w:jc w:val="left"/>
        <w:rPr>
          <w:rFonts w:ascii="Times New Roman" w:cs="Times New Roman" w:eastAsia="Calibri" w:hAnsi="Times New Roman" w:hint="default"/>
          <w:sz w:val="24"/>
          <w:szCs w:val="24"/>
          <w:lang w:val="en-US" w:eastAsia="en-US"/>
        </w:rPr>
      </w:pPr>
      <w:r>
        <w:rPr>
          <w:rFonts w:ascii="Times New Roman" w:cs="Times New Roman" w:eastAsia="Calibri" w:hAnsi="Times New Roman" w:hint="default"/>
          <w:sz w:val="24"/>
          <w:szCs w:val="24"/>
          <w:lang w:val="en-US" w:eastAsia="en-US"/>
        </w:rPr>
        <w:t>3.4 Construction Methodology</w:t>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sz w:val="24"/>
          <w:szCs w:val="24"/>
          <w:lang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ab/>
      </w:r>
      <w:r>
        <w:rPr>
          <w:rFonts w:ascii="Times New Roman" w:cs="Times New Roman" w:eastAsia="Calibri" w:hAnsi="Times New Roman" w:hint="default"/>
          <w:sz w:val="24"/>
          <w:szCs w:val="24"/>
          <w:lang w:val="en-US" w:eastAsia="en-US"/>
        </w:rPr>
        <w:t>24</w:t>
      </w:r>
    </w:p>
    <w:p>
      <w:pPr>
        <w:pStyle w:val="style0"/>
        <w:spacing w:before="0" w:after="0" w:lineRule="auto" w:line="480"/>
        <w:ind w:right="-450" w:firstLine="0"/>
        <w:jc w:val="both"/>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FOUR</w:t>
      </w:r>
    </w:p>
    <w:p>
      <w:pPr>
        <w:pStyle w:val="style0"/>
        <w:spacing w:before="0" w:after="0" w:lineRule="auto" w:line="480"/>
        <w:ind w:right="-450" w:firstLine="0"/>
        <w:jc w:val="left"/>
        <w:rPr>
          <w:rFonts w:ascii="Times New Roman" w:cs="Times New Roman" w:eastAsia="Calibri" w:hAnsi="Times New Roman" w:hint="default"/>
          <w:bCs/>
          <w:sz w:val="24"/>
          <w:szCs w:val="24"/>
          <w:lang w:val="en-US" w:eastAsia="en-US"/>
        </w:rPr>
      </w:pPr>
      <w:r>
        <w:rPr>
          <w:rFonts w:ascii="Times New Roman" w:cs="Times New Roman" w:eastAsia="Calibri" w:hAnsi="Times New Roman" w:hint="default"/>
          <w:bCs/>
          <w:sz w:val="24"/>
          <w:szCs w:val="24"/>
          <w:lang w:val="en-US" w:eastAsia="en-US"/>
        </w:rPr>
        <w:t>4.1 Evaluation Criteria</w:t>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26</w:t>
      </w:r>
    </w:p>
    <w:p>
      <w:pPr>
        <w:pStyle w:val="style0"/>
        <w:spacing w:before="0" w:after="0" w:lineRule="auto" w:line="480"/>
        <w:ind w:right="-450" w:firstLine="0"/>
        <w:jc w:val="left"/>
        <w:rPr>
          <w:rFonts w:ascii="Times New Roman" w:cs="Times New Roman" w:eastAsia="Calibri" w:hAnsi="Times New Roman" w:hint="default"/>
          <w:bCs/>
          <w:sz w:val="24"/>
          <w:szCs w:val="24"/>
          <w:lang w:val="en-US" w:eastAsia="en-US"/>
        </w:rPr>
      </w:pPr>
      <w:r>
        <w:rPr>
          <w:rFonts w:ascii="Times New Roman" w:cs="Times New Roman" w:eastAsia="Calibri" w:hAnsi="Times New Roman" w:hint="default"/>
          <w:bCs/>
          <w:sz w:val="24"/>
          <w:szCs w:val="24"/>
          <w:lang w:val="en-US" w:eastAsia="en-US"/>
        </w:rPr>
        <w:t>4.2 Evaluation Methodology</w:t>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27</w:t>
      </w:r>
    </w:p>
    <w:p>
      <w:pPr>
        <w:pStyle w:val="style0"/>
        <w:spacing w:before="0" w:after="0" w:lineRule="auto" w:line="480"/>
        <w:ind w:right="-450" w:firstLine="0"/>
        <w:jc w:val="left"/>
        <w:rPr>
          <w:rFonts w:ascii="Times New Roman" w:cs="Times New Roman" w:eastAsia="Calibri" w:hAnsi="Times New Roman" w:hint="default"/>
          <w:bCs/>
          <w:sz w:val="24"/>
          <w:szCs w:val="24"/>
          <w:lang w:val="en-US" w:eastAsia="en-US"/>
        </w:rPr>
      </w:pPr>
      <w:r>
        <w:rPr>
          <w:rFonts w:ascii="Times New Roman" w:cs="Times New Roman" w:eastAsia="Calibri" w:hAnsi="Times New Roman" w:hint="default"/>
          <w:bCs/>
          <w:sz w:val="24"/>
          <w:szCs w:val="24"/>
          <w:lang w:val="en-US" w:eastAsia="en-US"/>
        </w:rPr>
        <w:t>4.3 Results and Findings</w:t>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28</w:t>
      </w:r>
    </w:p>
    <w:p>
      <w:pPr>
        <w:pStyle w:val="style0"/>
        <w:spacing w:before="0" w:after="0" w:lineRule="auto" w:line="480"/>
        <w:ind w:right="-450" w:firstLine="0"/>
        <w:jc w:val="left"/>
        <w:rPr>
          <w:rFonts w:ascii="Times New Roman" w:cs="Times New Roman" w:eastAsia="Calibri" w:hAnsi="Times New Roman"/>
          <w:sz w:val="24"/>
          <w:szCs w:val="24"/>
          <w:lang w:eastAsia="en-US"/>
        </w:rPr>
      </w:pPr>
      <w:r>
        <w:rPr>
          <w:rFonts w:ascii="Times New Roman" w:cs="Times New Roman" w:eastAsia="Calibri" w:hAnsi="Times New Roman" w:hint="default"/>
          <w:bCs/>
          <w:sz w:val="24"/>
          <w:szCs w:val="24"/>
          <w:lang w:val="en-US" w:eastAsia="en-US"/>
        </w:rPr>
        <w:t>4.4 Discussion of Findings</w:t>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50</w:t>
      </w:r>
    </w:p>
    <w:p>
      <w:pPr>
        <w:pStyle w:val="style0"/>
        <w:spacing w:before="0" w:after="0" w:lineRule="auto" w:line="480"/>
        <w:ind w:right="-450" w:firstLine="0"/>
        <w:jc w:val="both"/>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FIVE</w:t>
      </w:r>
    </w:p>
    <w:p>
      <w:pPr>
        <w:pStyle w:val="style0"/>
        <w:spacing w:before="0" w:after="0" w:lineRule="auto" w:line="480"/>
        <w:ind w:right="-450" w:firstLine="0"/>
        <w:jc w:val="both"/>
        <w:rPr>
          <w:rFonts w:ascii="Times New Roman" w:cs="Times New Roman" w:eastAsia="Calibri" w:hAnsi="Times New Roman"/>
          <w:b/>
          <w:bCs/>
          <w:sz w:val="24"/>
          <w:szCs w:val="24"/>
          <w:lang w:eastAsia="en-US"/>
        </w:rPr>
      </w:pPr>
      <w:r>
        <w:rPr>
          <w:rFonts w:ascii="Times New Roman" w:cs="Times New Roman" w:eastAsia="Calibri" w:hAnsi="Times New Roman"/>
          <w:b/>
          <w:sz w:val="24"/>
          <w:szCs w:val="24"/>
          <w:lang w:eastAsia="en-US"/>
        </w:rPr>
        <w:t>CONCLUSIONS AND RECOMMENDATIONS</w:t>
      </w:r>
    </w:p>
    <w:p>
      <w:pPr>
        <w:pStyle w:val="style0"/>
        <w:spacing w:before="0" w:after="0" w:lineRule="auto" w:line="480"/>
        <w:ind w:right="-450" w:firstLine="0"/>
        <w:jc w:val="left"/>
        <w:rPr>
          <w:rFonts w:ascii="Times New Roman" w:cs="Times New Roman" w:eastAsia="Calibri" w:hAnsi="Times New Roman"/>
          <w:bCs/>
          <w:sz w:val="24"/>
          <w:szCs w:val="24"/>
          <w:lang w:eastAsia="en-US"/>
        </w:rPr>
      </w:pPr>
      <w:r>
        <w:rPr>
          <w:rFonts w:ascii="Times New Roman" w:cs="Times New Roman" w:eastAsia="Calibri" w:hAnsi="Times New Roman" w:hint="default"/>
          <w:bCs/>
          <w:sz w:val="24"/>
          <w:szCs w:val="24"/>
          <w:lang w:val="en-US" w:eastAsia="en-US"/>
        </w:rPr>
        <w:t xml:space="preserve">5.1 </w:t>
      </w:r>
      <w:r>
        <w:rPr>
          <w:rFonts w:ascii="Times New Roman" w:cs="Times New Roman" w:eastAsia="Calibri" w:hAnsi="Times New Roman"/>
          <w:bCs/>
          <w:sz w:val="24"/>
          <w:szCs w:val="24"/>
          <w:lang w:eastAsia="en-US"/>
        </w:rPr>
        <w:t>Conclusions</w:t>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hint="default"/>
          <w:bCs/>
          <w:sz w:val="24"/>
          <w:szCs w:val="24"/>
          <w:lang w:val="en-US" w:eastAsia="en-US"/>
        </w:rPr>
        <w:t>52</w:t>
      </w:r>
    </w:p>
    <w:p>
      <w:pPr>
        <w:pStyle w:val="style0"/>
        <w:spacing w:before="0" w:after="0" w:lineRule="auto" w:line="480"/>
        <w:ind w:right="-450" w:firstLine="0"/>
        <w:jc w:val="left"/>
        <w:rPr>
          <w:rFonts w:ascii="Times New Roman" w:cs="Times New Roman" w:eastAsia="Calibri" w:hAnsi="Times New Roman"/>
          <w:b/>
          <w:sz w:val="24"/>
          <w:szCs w:val="24"/>
          <w:lang w:eastAsia="en-US"/>
        </w:rPr>
      </w:pPr>
      <w:r>
        <w:rPr>
          <w:rFonts w:ascii="Times New Roman" w:cs="Times New Roman" w:eastAsia="Calibri" w:hAnsi="Times New Roman" w:hint="default"/>
          <w:bCs/>
          <w:sz w:val="24"/>
          <w:szCs w:val="24"/>
          <w:lang w:val="en-US" w:eastAsia="en-US"/>
        </w:rPr>
        <w:t xml:space="preserve">5.2 </w:t>
      </w:r>
      <w:r>
        <w:rPr>
          <w:rFonts w:ascii="Times New Roman" w:cs="Times New Roman" w:eastAsia="Calibri" w:hAnsi="Times New Roman"/>
          <w:bCs/>
          <w:sz w:val="24"/>
          <w:szCs w:val="24"/>
          <w:lang w:eastAsia="en-US"/>
        </w:rPr>
        <w:t>Recommendations</w:t>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r>
        <w:rPr>
          <w:rFonts w:ascii="Times New Roman" w:cs="Times New Roman" w:eastAsia="Calibri" w:hAnsi="Times New Roman"/>
          <w:bCs/>
          <w:sz w:val="24"/>
          <w:szCs w:val="24"/>
          <w:lang w:eastAsia="en-US"/>
        </w:rPr>
        <w:tab/>
      </w:r>
      <w:bookmarkStart w:id="1" w:name="_GoBack"/>
      <w:bookmarkEnd w:id="1"/>
      <w:r>
        <w:rPr>
          <w:rFonts w:ascii="Times New Roman" w:cs="Times New Roman" w:eastAsia="Calibri" w:hAnsi="Times New Roman" w:hint="default"/>
          <w:bCs/>
          <w:sz w:val="24"/>
          <w:szCs w:val="24"/>
          <w:lang w:val="en-US" w:eastAsia="en-US"/>
        </w:rPr>
        <w:tab/>
      </w:r>
      <w:r>
        <w:rPr>
          <w:rFonts w:ascii="Times New Roman" w:cs="Times New Roman" w:eastAsia="Calibri" w:hAnsi="Times New Roman" w:hint="default"/>
          <w:bCs/>
          <w:sz w:val="24"/>
          <w:szCs w:val="24"/>
          <w:lang w:val="en-US" w:eastAsia="en-US"/>
        </w:rPr>
        <w:t>53</w:t>
      </w:r>
    </w:p>
    <w:p>
      <w:pPr>
        <w:pStyle w:val="style0"/>
        <w:spacing w:before="0" w:after="0" w:lineRule="auto" w:line="480"/>
        <w:ind w:right="-450" w:firstLine="0"/>
        <w:jc w:val="both"/>
        <w:rPr>
          <w:rFonts w:ascii="Times New Roman" w:cs="Times New Roman" w:eastAsia="Calibri" w:hAnsi="Times New Roman" w:hint="default"/>
          <w:bCs/>
          <w:sz w:val="24"/>
          <w:szCs w:val="24"/>
          <w:lang w:val="en-US" w:eastAsia="en-US"/>
        </w:rPr>
      </w:pPr>
      <w:r>
        <w:rPr>
          <w:rFonts w:ascii="Times New Roman" w:cs="Times New Roman" w:eastAsia="Calibri" w:hAnsi="Times New Roman" w:hint="default"/>
          <w:b w:val="false"/>
          <w:bCs/>
          <w:sz w:val="24"/>
          <w:szCs w:val="24"/>
          <w:lang w:val="en-US" w:eastAsia="en-US"/>
        </w:rPr>
        <w:t xml:space="preserve">5.3 </w:t>
      </w:r>
      <w:r>
        <w:rPr>
          <w:rFonts w:ascii="Times New Roman" w:cs="Times New Roman" w:eastAsia="Calibri" w:hAnsi="Times New Roman"/>
          <w:b w:val="false"/>
          <w:bCs/>
          <w:sz w:val="24"/>
          <w:szCs w:val="24"/>
          <w:lang w:eastAsia="en-US"/>
        </w:rPr>
        <w:t>R</w:t>
      </w:r>
      <w:r>
        <w:rPr>
          <w:rFonts w:ascii="Times New Roman" w:cs="Times New Roman" w:eastAsia="Calibri" w:hAnsi="Times New Roman" w:hint="default"/>
          <w:b w:val="false"/>
          <w:bCs/>
          <w:sz w:val="24"/>
          <w:szCs w:val="24"/>
          <w:lang w:val="en-US" w:eastAsia="en-US"/>
        </w:rPr>
        <w:t>eferences</w:t>
      </w:r>
      <w:r>
        <w:rPr>
          <w:rFonts w:ascii="Times New Roman" w:cs="Times New Roman" w:eastAsia="Calibri" w:hAnsi="Times New Roman" w:hint="default"/>
          <w:b w:val="false"/>
          <w:bCs/>
          <w:sz w:val="24"/>
          <w:szCs w:val="24"/>
          <w:lang w:val="en-US" w:eastAsia="en-US"/>
        </w:rPr>
        <w:tab/>
      </w:r>
      <w:r>
        <w:rPr>
          <w:rFonts w:ascii="Times New Roman" w:cs="Times New Roman" w:eastAsia="Calibri" w:hAnsi="Times New Roman" w:hint="default"/>
          <w:b w:val="false"/>
          <w:bCs/>
          <w:sz w:val="24"/>
          <w:szCs w:val="24"/>
          <w:lang w:val="en-US"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b/>
          <w:sz w:val="24"/>
          <w:szCs w:val="24"/>
          <w:lang w:eastAsia="en-US"/>
        </w:rPr>
        <w:tab/>
      </w:r>
      <w:r>
        <w:rPr>
          <w:rFonts w:ascii="Times New Roman" w:cs="Times New Roman" w:eastAsia="Calibri" w:hAnsi="Times New Roman" w:hint="default"/>
          <w:b/>
          <w:sz w:val="24"/>
          <w:szCs w:val="24"/>
          <w:lang w:val="en-US" w:eastAsia="en-US"/>
        </w:rPr>
        <w:tab/>
      </w:r>
      <w:r>
        <w:rPr>
          <w:rFonts w:ascii="Times New Roman" w:cs="Times New Roman" w:eastAsia="Calibri" w:hAnsi="Times New Roman" w:hint="default"/>
          <w:b/>
          <w:sz w:val="24"/>
          <w:szCs w:val="24"/>
          <w:lang w:val="en-US" w:eastAsia="en-US"/>
        </w:rPr>
        <w:t>56</w:t>
      </w:r>
    </w:p>
    <w:p>
      <w:pPr>
        <w:pStyle w:val="style0"/>
        <w:spacing w:before="0" w:after="0" w:lineRule="auto" w:line="480"/>
        <w:ind w:right="-450" w:firstLine="0"/>
        <w:jc w:val="both"/>
        <w:rPr>
          <w:rFonts w:ascii="Times New Roman" w:cs="Times New Roman" w:eastAsia="Calibri" w:hAnsi="Times New Roman"/>
          <w:sz w:val="24"/>
          <w:szCs w:val="24"/>
          <w:lang w:eastAsia="en-US"/>
        </w:r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sectPr>
          <w:footerReference w:type="default" r:id="rId3"/>
          <w:pgSz w:w="12240" w:h="15840" w:orient="portrait"/>
          <w:pgMar w:top="907" w:right="1440" w:bottom="1440" w:left="1440" w:header="720" w:footer="720" w:gutter="0"/>
          <w:pgNumType w:fmt="upperRoman"/>
          <w:cols w:space="720" w:num="1"/>
          <w:docGrid w:linePitch="360" w:charSpace="0"/>
        </w:sectPr>
      </w:pPr>
    </w:p>
    <w:p>
      <w:pPr>
        <w:pStyle w:val="style0"/>
        <w:tabs>
          <w:tab w:val="left" w:leader="none" w:pos="8640"/>
        </w:tabs>
        <w:spacing w:before="0" w:after="0" w:lineRule="auto" w:line="480"/>
        <w:ind w:firstLine="0"/>
        <w:jc w:val="center"/>
        <w:rPr>
          <w:rFonts w:ascii="Times New Roman" w:cs="Times New Roman" w:eastAsia="Calibri" w:hAnsi="Times New Roman"/>
          <w:b/>
          <w:sz w:val="24"/>
          <w:szCs w:val="24"/>
          <w:lang w:eastAsia="en-US"/>
        </w:rPr>
      </w:pPr>
      <w:r>
        <w:rPr>
          <w:rFonts w:ascii="Times New Roman" w:cs="Times New Roman" w:eastAsia="Calibri" w:hAnsi="Times New Roman"/>
          <w:b/>
          <w:sz w:val="24"/>
          <w:szCs w:val="24"/>
          <w:lang w:eastAsia="en-US"/>
        </w:rPr>
        <w:t>CHAPTER ONE</w:t>
      </w:r>
    </w:p>
    <w:p>
      <w:pPr>
        <w:pStyle w:val="style0"/>
        <w:tabs>
          <w:tab w:val="left" w:leader="none" w:pos="8640"/>
        </w:tabs>
        <w:spacing w:before="0" w:after="0" w:lineRule="auto" w:line="480"/>
        <w:ind w:firstLine="0"/>
        <w:jc w:val="center"/>
        <w:rPr>
          <w:rFonts w:ascii="Times New Roman" w:hAnsi="Times New Roman" w:hint="default"/>
          <w:b/>
          <w:sz w:val="24"/>
          <w:szCs w:val="24"/>
          <w:lang w:val="en-US"/>
        </w:rPr>
      </w:pPr>
      <w:r>
        <w:rPr>
          <w:rFonts w:ascii="Times New Roman" w:cs="Times New Roman" w:eastAsia="Calibri" w:hAnsi="Times New Roman"/>
          <w:b/>
          <w:sz w:val="24"/>
          <w:szCs w:val="24"/>
          <w:lang w:eastAsia="en-US"/>
        </w:rPr>
        <w:t>INTRODUCTION</w:t>
      </w:r>
    </w:p>
    <w:p>
      <w:pPr>
        <w:pStyle w:val="style0"/>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Pr>
          <w:rFonts w:ascii="Times New Roman" w:hAnsi="Times New Roman"/>
          <w:b/>
          <w:sz w:val="24"/>
          <w:szCs w:val="24"/>
        </w:rPr>
        <w:t>Background of 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Household furniture is a fundamental component of domestic spaces, and its design and functionality have evolved significantly over time. This evolution reflects changing lifestyles, cultural preferences, and technological advancements. In Nigeria, the furniture industry has experienced substantial growth, driven by increasing urbanization, rising disposable incomes, and a growing middle class. However, the sector faces various challenges that hinder its potential.</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Dining sets are a crucial element of household furniture, and their popularity has increased significantly in Nigeria. As lifestyles evolve and more people embrace modern living, the demand for stylish and functional dining sets has grown substantially. However, the Nigerian furniture industry often struggles to meet this demand due to several factors.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One major challenge is the lack of standardized design processes. Many furniture manufacturers in Nigeria rely on traditional craftsmanship and artisanal techniques, which can lead to inconsistencies in quality and design. This lack of standardization can result in products that are not durable, aesthetically pleasing, or ergonomically sound.</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Another significant challenge is the limited availability of high-quality materials. While Nigeria is endowed with abundant natural resources, including timber, the exploitation of these resources is often unsustainable. Additionally, the lack of modern manufacturing facilities and equipment hinders the production of high-quality furniture.</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Furthermore, the shortage of skilled labor in the furniture industry is a major constraint. Many artisans and craftsmen lack formal training and rely on traditional knowledge and skills. This can limit their ability to produce innovative and high-quality products.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To address these challenges, it is essential to promote sustainable design practices, encourage the use of local materials, and invest in skills development and technology transfer. By adopting modern design principles and manufacturing techniques, Nigerian furniture manufacturers can produce high-quality, innovative, and affordable dining sets that meet the needs and aspirations of the growing middle class.</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1.2  Aim and objective of the study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aim of this study is to design and construct a functional household furniture .</w:t>
      </w:r>
    </w:p>
    <w:p>
      <w:pPr>
        <w:pStyle w:val="style0"/>
        <w:spacing w:after="0" w:lineRule="auto" w:line="480"/>
        <w:jc w:val="both"/>
        <w:rPr>
          <w:rFonts w:ascii="Times New Roman" w:hAnsi="Times New Roman"/>
          <w:sz w:val="24"/>
          <w:szCs w:val="24"/>
        </w:rPr>
      </w:pPr>
      <w:r>
        <w:rPr>
          <w:rFonts w:ascii="Times New Roman" w:hAnsi="Times New Roman"/>
          <w:sz w:val="24"/>
          <w:szCs w:val="24"/>
        </w:rPr>
        <w:t>The objective are :</w:t>
      </w:r>
    </w:p>
    <w:p>
      <w:pPr>
        <w:pStyle w:val="style0"/>
        <w:spacing w:lineRule="auto" w:line="480"/>
        <w:jc w:val="both"/>
        <w:rPr>
          <w:rFonts w:ascii="Times New Roman" w:hAnsi="Times New Roman"/>
          <w:sz w:val="24"/>
          <w:szCs w:val="24"/>
        </w:rPr>
      </w:pPr>
      <w:r>
        <w:rPr>
          <w:rFonts w:ascii="Times New Roman" w:hAnsi="Times New Roman"/>
          <w:sz w:val="24"/>
          <w:szCs w:val="24"/>
        </w:rPr>
        <w:t>i. To design the dining table set that meets the needs of a household.</w:t>
      </w:r>
    </w:p>
    <w:p>
      <w:pPr>
        <w:pStyle w:val="style0"/>
        <w:spacing w:lineRule="auto" w:line="480"/>
        <w:jc w:val="both"/>
        <w:rPr>
          <w:rFonts w:ascii="Times New Roman" w:hAnsi="Times New Roman"/>
          <w:sz w:val="24"/>
          <w:szCs w:val="24"/>
        </w:rPr>
      </w:pPr>
      <w:r>
        <w:rPr>
          <w:rFonts w:ascii="Times New Roman" w:hAnsi="Times New Roman"/>
          <w:sz w:val="24"/>
          <w:szCs w:val="24"/>
          <w:lang w:val="en-US"/>
        </w:rPr>
        <w:t>ii. To construct the functional dining set.</w:t>
      </w:r>
    </w:p>
    <w:p>
      <w:pPr>
        <w:pStyle w:val="style0"/>
        <w:spacing w:lineRule="auto" w:line="480"/>
        <w:jc w:val="both"/>
        <w:rPr>
          <w:rFonts w:ascii="Times New Roman" w:hAnsi="Times New Roman"/>
          <w:sz w:val="24"/>
          <w:szCs w:val="24"/>
        </w:rPr>
      </w:pPr>
      <w:r>
        <w:rPr>
          <w:rFonts w:ascii="Times New Roman" w:hAnsi="Times New Roman"/>
          <w:sz w:val="24"/>
          <w:szCs w:val="24"/>
          <w:lang w:val="en-US"/>
        </w:rPr>
        <w:t>iii. To evaluate the functionality of the constructed dining table set.</w:t>
      </w:r>
    </w:p>
    <w:p>
      <w:pPr>
        <w:pStyle w:val="style0"/>
        <w:spacing w:after="0" w:lineRule="auto" w:line="480"/>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Pr>
          <w:rFonts w:ascii="Times New Roman" w:hAnsi="Times New Roman"/>
          <w:b/>
          <w:sz w:val="24"/>
          <w:szCs w:val="24"/>
        </w:rPr>
        <w:t>Statement of the Problem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Nigerian furniture industry, despite its potential, faces several challenges that hinder its growth and development. These challenges include: Lack of Standardized Design Processes, Limited Availability of High-Quality Materials, Shortage of Skilled Labor, Inefficient Manufacturing Processes, and Limited Market Access. To address these challenges and improve the overall quality and competitiveness of the Nigerian furniture industry, this study aims to investigate and propose solutions to enhance the design and construction of household furniture, specifically a dining set.</w:t>
      </w:r>
    </w:p>
    <w:p>
      <w:pPr>
        <w:pStyle w:val="style0"/>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Justification of 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Nigerian furniture industry, despite its potential, faces significant challenges that hinder its growth and development. By addressing these challenges, the industry can improve the quality and competitiveness of its products, both domestically and internationally.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lang w:val="en-US"/>
        </w:rPr>
        <w:t>This research aims to contribute to the advancement of the Nigerian furniture industry by investigating the design and construction process.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 xml:space="preserve">Scope of the study </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This study will focus on the design and construction of a dining set as a case study to explore the challenges and opportunities in the Nigerian furniture industry. The specific scope of this research includes: the design and construction of a functional dining set.</w:t>
      </w: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0" w:lineRule="auto" w:line="480"/>
        <w:ind w:firstLine="720"/>
        <w:jc w:val="both"/>
        <w:rPr>
          <w:rFonts w:ascii="Times New Roman" w:hAnsi="Times New Roman"/>
          <w:sz w:val="24"/>
          <w:szCs w:val="24"/>
        </w:rPr>
      </w:pPr>
    </w:p>
    <w:p>
      <w:pPr>
        <w:pStyle w:val="style0"/>
        <w:spacing w:after="160" w:lineRule="auto" w:line="480"/>
        <w:jc w:val="center"/>
        <w:rPr>
          <w:rFonts w:ascii="Times New Roman" w:cs="Times New Roman" w:eastAsia="Calibri" w:hAnsi="Times New Roman" w:hint="default"/>
          <w:b/>
          <w:bCs/>
          <w:i w:val="false"/>
          <w:iCs w:val="false"/>
          <w:color w:val="auto"/>
          <w:sz w:val="24"/>
          <w:szCs w:val="24"/>
          <w:highlight w:val="none"/>
          <w:vertAlign w:val="baseline"/>
          <w:lang w:val="en-US" w:eastAsia="en-US"/>
        </w:rPr>
      </w:pPr>
      <w:r>
        <w:rPr>
          <w:rFonts w:ascii="Times New Roman" w:cs="Times New Roman" w:eastAsia="Calibri" w:hAnsi="Times New Roman" w:hint="default"/>
          <w:b/>
          <w:bCs/>
          <w:i w:val="false"/>
          <w:iCs w:val="false"/>
          <w:color w:val="auto"/>
          <w:sz w:val="24"/>
          <w:szCs w:val="24"/>
          <w:highlight w:val="none"/>
          <w:vertAlign w:val="baseline"/>
          <w:lang w:val="en-US" w:eastAsia="en-US"/>
        </w:rPr>
        <w:t>CHAPTER TWO</w:t>
      </w:r>
    </w:p>
    <w:p>
      <w:pPr>
        <w:pStyle w:val="style0"/>
        <w:spacing w:after="160" w:lineRule="auto" w:line="480"/>
        <w:jc w:val="center"/>
        <w:rPr>
          <w:rFonts w:ascii="Times New Roman" w:cs="Times New Roman" w:eastAsia="Calibri" w:hAnsi="Times New Roman" w:hint="default"/>
          <w:b/>
          <w:bCs/>
          <w:i w:val="false"/>
          <w:iCs w:val="false"/>
          <w:color w:val="auto"/>
          <w:sz w:val="24"/>
          <w:szCs w:val="24"/>
          <w:highlight w:val="none"/>
          <w:vertAlign w:val="baseline"/>
          <w:lang w:val="en-US" w:eastAsia="en-US"/>
        </w:rPr>
      </w:pPr>
      <w:r>
        <w:rPr>
          <w:rFonts w:ascii="Times New Roman" w:cs="Times New Roman" w:eastAsia="Calibri" w:hAnsi="Times New Roman" w:hint="default"/>
          <w:b/>
          <w:bCs/>
          <w:i w:val="false"/>
          <w:iCs w:val="false"/>
          <w:color w:val="auto"/>
          <w:sz w:val="24"/>
          <w:szCs w:val="24"/>
          <w:highlight w:val="none"/>
          <w:vertAlign w:val="baseline"/>
          <w:lang w:val="en-US" w:eastAsia="en-US"/>
        </w:rPr>
        <w:t>LITERATURE REVIEW</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hAnsi="Times New Roman"/>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2.1 Introduction to Furniture Design and Industry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Furniture stands as a ubiquitous and indispensable element within human living and working environments, fundamentally shaping the functionality, aesthetics, and comfort of domestic, commercial, and institutional spaces. Beyond its primary utilitarian purpose, furniture acts as a profound reflection of cultural values, technological capabilities, and evolving societal needs across different epochs. This section delves into the foundational aspects of furniture, exploring its inherent definition, historical evolution, and the multifaceted importance of design within its broader industrial context.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At its most basic, </w:t>
      </w:r>
      <w:r>
        <w:rPr>
          <w:rFonts w:ascii="Times New Roman" w:cs="Times New Roman" w:eastAsia="Calibri" w:hAnsi="Times New Roman" w:hint="default"/>
          <w:b/>
          <w:bCs/>
          <w:i w:val="false"/>
          <w:iCs w:val="false"/>
          <w:color w:val="auto"/>
          <w:sz w:val="24"/>
          <w:szCs w:val="24"/>
          <w:highlight w:val="none"/>
          <w:vertAlign w:val="baseline"/>
          <w:lang w:val="en-US" w:eastAsia="en-US"/>
        </w:rPr>
        <w:t>furniture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can be defined as movable objects intended to support various human activities and to hold objects at a convenient height. This encompasses a vast array of items, from seating (chairs, sofas, benches), tables (dining, coffee, side), storage units (cabinets, shelves, wardrobes), and beds, to more specialized pieces. However, this functional definition only scratches the surface. Modern interpretations of furniture extend to encompass its role in defining spatial character, influencing human behavior, and serving as a medium for artistic and cultural expression (Ching, 2014; Pile, 2013). Good furniture design, therefore, transcends mere utility, integrating aspects of human-centered design, material science, and aesthetic principles.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w:t>
      </w:r>
      <w:r>
        <w:rPr>
          <w:rFonts w:ascii="Times New Roman" w:cs="Times New Roman" w:eastAsia="Calibri" w:hAnsi="Times New Roman" w:hint="default"/>
          <w:b/>
          <w:bCs/>
          <w:i w:val="false"/>
          <w:iCs w:val="false"/>
          <w:color w:val="auto"/>
          <w:sz w:val="24"/>
          <w:szCs w:val="24"/>
          <w:highlight w:val="none"/>
          <w:vertAlign w:val="baseline"/>
          <w:lang w:val="en-US" w:eastAsia="en-US"/>
        </w:rPr>
        <w:t>Evolution of Furniture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is intrinsically linked to the history of human civilization. Early furniture, dating back to ancient Egypt, Mesopotamia, and Greece, was often rudimentary but established fundamental forms such as stools, beds, and chests. These pieces were primarily functional, crafted from natural materials like wood, stone, and animal hides, and often signified social status. The Roman era saw advancements in comfort and luxury, with the introduction of upholstered seating and more elaborate designs. The medieval period in Europe, marked by feudalism and the dominance of the church, featured heavier, more robust, and often less comfortable furniture, reflecting the austere architectural styles of castles and monasteries. The Renaissance, however, sparked a revival of classical forms, emphasizing proportion, symmetry, and decorative elements, transforming furniture into art forms that showcased craftsmanship and wealth (Payne, 2012).</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17th and 18th centuries witnessed the flourishing of distinct furniture styles – Baroque, Rococo, Neoclassical – each mirroring the prevailing artistic and political currents of their time. These eras were characterized by intricate carvings, luxurious materials, and a pursuit of grandeur and elegance. The </w:t>
      </w:r>
      <w:r>
        <w:rPr>
          <w:rFonts w:ascii="Times New Roman" w:cs="Times New Roman" w:eastAsia="Calibri" w:hAnsi="Times New Roman" w:hint="default"/>
          <w:b/>
          <w:bCs/>
          <w:i w:val="false"/>
          <w:iCs w:val="false"/>
          <w:color w:val="auto"/>
          <w:sz w:val="24"/>
          <w:szCs w:val="24"/>
          <w:highlight w:val="none"/>
          <w:vertAlign w:val="baseline"/>
          <w:lang w:val="en-US" w:eastAsia="en-US"/>
        </w:rPr>
        <w:t>Industrial Revolution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 the 19th century marked a pivotal shift. The advent of mass production techniques, new materials like iron and steel, and the rise of a middle class dramatically altered furniture manufacturing. While initially leading to a decline in craftsmanship and a proliferation of poorly designed, machine-made imitations, it eventually paved the way for modern design movements that sought simplicity, functionality, and accessibility (Sparke, 2004). </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The 20th century saw the emergence of Modernism, advocating for clean lines, functionalism, and the rejection of superfluous ornamentation. Designers like Bauhaus and Scandinavian modernists championed ergonomic principles and the use of new materials such as plywood, plastics, and tubular steel. Contemporary furniture design continues this trajectory, embracing sustainability, modularity, smart technology integration, and personalized aesthetics.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w:t>
      </w:r>
      <w:r>
        <w:rPr>
          <w:rFonts w:ascii="Times New Roman" w:cs="Times New Roman" w:eastAsia="Calibri" w:hAnsi="Times New Roman" w:hint="default"/>
          <w:b/>
          <w:bCs/>
          <w:i w:val="false"/>
          <w:iCs w:val="false"/>
          <w:color w:val="auto"/>
          <w:sz w:val="24"/>
          <w:szCs w:val="24"/>
          <w:highlight w:val="none"/>
          <w:vertAlign w:val="baseline"/>
          <w:lang w:val="en-US" w:eastAsia="en-US"/>
        </w:rPr>
        <w:t>Importance of Design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 furniture cannot be overstated, as it directly impacts its success in the market and its value to the end-user. Design is the bridge between conceptual ideas and tangible products, orchestrating the form, function, and user experience.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Functionality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At its core, furniture design must prioritize utility. This involves ensuring ease of use, durability under intended loads and environments, stability to prevent accidents, and safety through the absence of sharp edges or hazardous materials. For a dining set, this translates to adequate table surface area, comfortable seating heights, and robust construction capable of withstanding daily use (Panero &amp; Zelnik, 1979).</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Ergonomics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This aspect of design focuses on optimizing furniture for human comfort and efficiency. It involves understanding human body dimensions, posture, movement, and physiological responses to ensure that furniture supports the user effectively, reduces strain, and promotes well-being. For dining chairs, this means appropriate seat depth, backrest angle, and armrest height to facilitate comfortable prolonged sitting.</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Aesthetics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Beyond utility, furniture serves as a visual element that contributes to the ambiance and character of a space. Aesthetic considerations involve form, proportion, balance, color, texture, and the choice of materials. Good aesthetic design can transform a functional object into a piece of art that evokes emotions, expresses personal style, and enhances the overall visual appeal of an interior.</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Materiality and Manufacturability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Design must also consider the properties of materials and the feasibility of manufacturing. Selecting appropriate materials ensures the desired strength, durability, and appearance, while understanding manufacturing processes allows for efficient production and cost-effectiveness. A well-designed piece of furniture is not only visually appealing and functional but also practical to produce using available technologies and resources (Ashby &amp; Johnson, 2010).</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w:t>
      </w:r>
      <w:r>
        <w:rPr>
          <w:rFonts w:ascii="Times New Roman" w:cs="Times New Roman" w:eastAsia="Calibri" w:hAnsi="Times New Roman" w:hint="default"/>
          <w:b/>
          <w:bCs/>
          <w:i w:val="false"/>
          <w:iCs w:val="false"/>
          <w:color w:val="auto"/>
          <w:sz w:val="24"/>
          <w:szCs w:val="24"/>
          <w:highlight w:val="none"/>
          <w:vertAlign w:val="baseline"/>
          <w:lang w:val="en-US" w:eastAsia="en-US"/>
        </w:rPr>
        <w:t>Furniture Industry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itself is a significant global economic sector, encompassing the entire value chain from raw material sourcing and processing, through design, manufacturing, distribution, retail, and after-sales service. It is a highly competitive and dynamic industry, influenced by economic cycles, consumer trends, technological advancements, and regulatory frameworks. Globally, the industry is characterized by a mix of artisanal workshops, small and medium-sized enterprises (SMEs), and large-scale industrial manufacturers, each catering to different market segments.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Current </w:t>
      </w:r>
      <w:r>
        <w:rPr>
          <w:rFonts w:ascii="Times New Roman" w:cs="Times New Roman" w:eastAsia="Calibri" w:hAnsi="Times New Roman" w:hint="default"/>
          <w:b/>
          <w:bCs/>
          <w:i w:val="false"/>
          <w:iCs w:val="false"/>
          <w:color w:val="auto"/>
          <w:sz w:val="24"/>
          <w:szCs w:val="24"/>
          <w:highlight w:val="none"/>
          <w:vertAlign w:val="baseline"/>
          <w:lang w:val="en-US" w:eastAsia="en-US"/>
        </w:rPr>
        <w:t>global trends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 furniture design and manufacturing are shaping the future of the industry: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Sustainability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There is an increasing emphasis on eco-friendly materials (recycled, rapidly renewable, responsibly sourced timber), sustainable manufacturing processes (reducing waste, energy efficiency), and products with a longer lifecycle or those that can be recycled.</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 xml:space="preserve">Modularity and Multi-functionality: </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With shrinking living spaces, furniture that can adapt to various needs or be reconfigured is highly sought after. Dining sets, for instance, might be extendable or chairs might double as occasional seating.</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Smart Furniture: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Integration of technology (e.g., charging ports, lighting, climate control) into furniture is becoming more prevalent, enhancing user convenience.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Personalization and Customization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Advances in digital design and manufacturing allow consumers to customize furniture to their specific tastes and needs, moving away from purely mass-produced items.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E-commerce and Digital Marketing:</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internet has revolutionized furniture retail, making it easier for manufacturers to reach wider markets and for consumers to access diverse product offerings.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In summary, furniture design is a complex interplay of art, science, and engineering, aiming to create objects that are not only functional but also aesthetically pleasing and ergonomically sound. The furniture industry is a vital economic sector, continually evolving in response to technological advancements, material innovations, and shifting consumer demands, with a growing focus on sustainable and user-centric solutions.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2.2 The Nigerian Furniture Industry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The Nigerian furniture industry represents a sector with immense, yet largely untapped, potential within the nation's diverse economy. As the most populous country in Africa with a rapidly growing urban population and an expanding middle class, Nigeria presents a substantial market for household furniture, including a significant demand for dining sets. Despite this inherent demand and abundant natural resources, the industry faces systemic challenges that impede its capacity to meet local needs efficiently and compete effectively on a global scale.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Historically, furniture production in Nigeria was predominantly characterized by </w:t>
      </w:r>
      <w:r>
        <w:rPr>
          <w:rFonts w:ascii="Times New Roman" w:cs="Times New Roman" w:eastAsia="Calibri" w:hAnsi="Times New Roman" w:hint="default"/>
          <w:b/>
          <w:bCs/>
          <w:i w:val="false"/>
          <w:iCs w:val="false"/>
          <w:color w:val="auto"/>
          <w:sz w:val="24"/>
          <w:szCs w:val="24"/>
          <w:highlight w:val="none"/>
          <w:vertAlign w:val="baseline"/>
          <w:lang w:val="en-US" w:eastAsia="en-US"/>
        </w:rPr>
        <w:t>traditional craftsmanship and artisanal techniques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This heritage involves skilled artisans passing down knowledge through generations, creating unique, hand-crafted pieces, often from locally sourced timber. While this traditional approach yielded furniture with cultural significance and bespoke quality, it inherently lacked standardization, uniformity, and the capacity for large-scale production. The designs were largely functional, reflecting local aesthetic preferences and available tools, and often catered to specific, limited markets (Ojo, 2010; Onuoha &amp; Adeyemo, 2018).</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The </w:t>
      </w:r>
      <w:r>
        <w:rPr>
          <w:rFonts w:ascii="Times New Roman" w:cs="Times New Roman" w:eastAsia="Calibri" w:hAnsi="Times New Roman" w:hint="default"/>
          <w:b/>
          <w:bCs/>
          <w:i w:val="false"/>
          <w:iCs w:val="false"/>
          <w:color w:val="auto"/>
          <w:sz w:val="24"/>
          <w:szCs w:val="24"/>
          <w:highlight w:val="none"/>
          <w:vertAlign w:val="baseline"/>
          <w:lang w:val="en-US" w:eastAsia="en-US"/>
        </w:rPr>
        <w:t>current state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of the Nigerian furniture industry is complex, marked by both growth drivers and significant inhibitors. The demand for furniture, particularly modern household items like dining sets, has surged due to:</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Rapid Urbanization: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Leading to the construction of more residential units and the establishment of new households.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Rising Disposable Incomes: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Enabling a larger segment of the population to invest in higher-quality or more aesthetically pleasing furniture.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Changing Lifestyles: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A shift towards modern, nuclear family structures and contemporary interior design preferences has increased the demand for pre-fabricated, stylish, and functional furniture, moving away from purely custom-made pieces.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Government Initiatives (sporadic):</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Efforts to promote local content and manufacturing, though often inconsistently applied, have provided some impetus.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Despite these drivers, the industry's contribution to Nigeria's Gross Domestic Product (GDP) remains modest compared to its potential. It is largely fragmented, comprising numerous Small and Medium-sized Enterprises (SMEs) and a few larger, more organized manufacturers. The market is also heavily influenced by imported furniture, which often benefits from lower production costs and perceived higher quality, posing stiff competition to local producers (Idris &amp; Agboola, 2014). This competition is particularly felt in the segment for contemporary dining sets, where imported designs often dominate due to perceived sophistication and broader variety.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The challenges hindering the Nigerian furniture industry, which directly impact the design and construction of products like dining sets, are multifaceted:</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Lack of Standardized Design Processes: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Many local manufacturers, particularly smaller workshops, operate without formal design methodologies. Designs are often based on ad-hoc sketches, replication of existing products (local or imported), or traditional forms without rigorous consideration for ergonomics, durability standards, or aesthetic consistency. This leads to variability in product quality, dimensions, and structural integrity. For dining sets, this translates to inconsistent table heights, unstable chair structures, or dimensions that do not align with user comfort, diminishing overall market appeal and functionality (Adeyemo &amp; Ojo, 2017).</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Limited Availability of High-Quality Materials and Unsustainable Sourcing:</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While Nigeria possesses vast timber resources, including highly valued species like Teak, Iroko, and Mahogany, the </w:t>
      </w:r>
      <w:r>
        <w:rPr>
          <w:rFonts w:ascii="Times New Roman" w:cs="Times New Roman" w:eastAsia="Calibri" w:hAnsi="Times New Roman" w:hint="default"/>
          <w:b/>
          <w:bCs/>
          <w:i w:val="false"/>
          <w:iCs w:val="false"/>
          <w:color w:val="auto"/>
          <w:sz w:val="24"/>
          <w:szCs w:val="24"/>
          <w:highlight w:val="none"/>
          <w:vertAlign w:val="baseline"/>
          <w:lang w:val="en-US" w:eastAsia="en-US"/>
        </w:rPr>
        <w:t>exploitation and processing of these resources are often unsustainable and inefficient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Illegal logging, inadequate reforestation, and poor primary processing (sawmilling) result in raw materials of inconsistent quality, high waste, and rising costs. Furthermore, the availability of other essential furniture materials such as high-grade upholstery fabrics, foam, adhesives, and hardware (e.g., strong joinery components for dining tables and chairs) is limited, often necessitating expensive imports or reliance on lower-quality local alternatives. This directly impacts the durability and finish of dining sets, making it difficult to produce furniture that rivals imported counterparts in terms of longevity and aesthetic appeal (Ogunlade &amp; Adegoke, 2019).</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Shortage of Skilled Labor:</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industry suffers from a significant deficit of formally trained and skilled labor. Many artisans and craftsmen acquire their skills through informal apprenticeships based on traditional methods, which may not incorporate modern design principles, advanced manufacturing techniques, or contemporary material handling. This limits their ability to innovate, produce complex designs, or work with precision required for high-quality, standardized dining sets. The lack of formal education in areas like industrial design, ergonomics, and modern machinery operation further exacerbates this issue (Adewale &amp; Oladele, 2015).</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Inefficient Manufacturing Processes: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predominant reliance on rudimentary tools and outdated machinery, particularly among SMEs, leads to inefficient production processes, high labor costs per unit, and inconsistent product quality. Limited investment in modern woodworking machinery (e.g., CNC machines, automated sanding equipment, specialized joinery machines) means that production is slower, less precise, and often results in higher material waste. This directly impacts the scalability and competitiveness of local furniture, including dining sets, making them more expensive or lower in quality compared to mass-produced imports.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Limited Market Access and Competition: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Local manufacturers often struggle with effective marketing and distribution channels, limiting their reach to broader markets. They also face intense competition from imported furniture, which benefits from economies of scale, often lower prices (due to lower labor costs in exporting countries or illicit trade), and sometimes a perceived higher quality or "brand appeal" among consumers. This competitive pressure particularly affects segments like dining sets, where consumers might prioritize imported sleek designs or specific material finishes.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Despite these significant challenges, the Nigerian furniture industry holds substantial </w:t>
      </w:r>
      <w:r>
        <w:rPr>
          <w:rFonts w:ascii="Times New Roman" w:cs="Times New Roman" w:eastAsia="Calibri" w:hAnsi="Times New Roman" w:hint="default"/>
          <w:b/>
          <w:bCs/>
          <w:i w:val="false"/>
          <w:iCs w:val="false"/>
          <w:color w:val="auto"/>
          <w:sz w:val="24"/>
          <w:szCs w:val="24"/>
          <w:highlight w:val="none"/>
          <w:vertAlign w:val="baseline"/>
          <w:lang w:val="en-US" w:eastAsia="en-US"/>
        </w:rPr>
        <w:t>opportunities for growth and development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Abundant Local Resources:</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Proper management and sustainable exploitation of timber resources, coupled with investment in local processing facilities, could provide a consistent supply of high-quality raw materials.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Large Domestic Market: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growing population and middle class represent a vast consumer base that prefers locally appropriate designs and could support increased local production, if quality and affordability are competitive.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Job Creation: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Investment in the industry can lead to significant job creation, especially for skilled labor, thereby reducing unemployment.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Export Potential:</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With improved design, quality, and standardization, Nigerian furniture, including culturally inspired dining sets, could find niches in regional and international markets.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The Nigerian furniture industry, while robust in its traditional roots and facing considerable hurdles, possesses a latent capacity for transformation. Addressing the deficiencies in design standardization, material sourcing, skilled labor, and manufacturing processes is critical to unlocking its full potential, enabling it to effectively cater to the growing demand for functional, high-quality household furniture, particularly contemporary dining sets, and to compete more effectively against imported products.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2.3 Principles of Furniture Design (with focus on Dining Sets)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This section will delve into the established principles that guide the creation of effective and appealing furniture, with a specific emphasis on their application to dining sets. Good furniture design is an intricate balance of meeting user needs, ensuring structural integrity, and achieving aesthetic harmony.</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2.3.1 Functional Considerations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Functional design is paramount for any piece of furniture, dictating its usability, durability, and safety. For dining sets, these considerations are critical given their daily use and the need to accommodate multiple users.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Usability: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Furniture must be easy to use for its intended purpose. For dining tables, this involves adequate surface area for plates, cutlery, and serving dishes, ensuring comfortable reach for all diners. Chairs must allow for easy ingress and egress, and their design should not impede natural movement during a meal.</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Durability: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Dining sets are subjected to frequent use, spills, and varying loads. Therefore, materials and construction techniques must ensure long-term resilience against wear, tear, and structural fatigue. The joints, particularly in chairs and table legs, are crucial points where durability is tested (Cross, 2000). A robust design anticipates these stresses.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Stability: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A dining table and chairs must remain stable under various conditions of use, preventing wobbling, tipping, or collapse. This is particularly important for safety, especially in households with children. Stability is achieved through proper base design, weight distribution, and rigid joinery (Ching, 2014).</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Safety: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Beyond stability, safety in furniture design encompasses the absence of sharp edges, splinters, toxic finishes, and pinch points. For dining sets, this includes ensuring chair backs do not pose a falling hazard and that glass table tops (if used) are tempered for safety. All materials and components should comply with relevant safety standards.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Maintainability: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Furniture should be designed for ease of cleaning and maintenance. Surfaces of dining tables, for instance, should be resistant to stains, heat, and scratches, or easily repairable. Upholstery on chairs should be durable and simple to clean.</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2.3.2 Ergonomic Considerations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Ergonomics in furniture design focuses on optimizing the human-furniture interface to enhance comfort, health, and efficiency. It involves studying human body dimensions (anthropometry), movements, and capabilities to create designs that are suitable for a wide range of users (Pheasant &amp; Haslegrave, 2016). For dining sets, good ergonomics significantly impacts the user's experience during meals, reducing discomfort and promoting good posture.</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Anthropometric Data:</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Designers utilize anthropometric data, which are measurements of the human body, to determine appropriate dimensions for furniture. Key dimensions for dining chairs include seat height, seat depth, seat width, backrest height and angle, and armrest height. For dining tables, crucial dimensions include table height, legroom clearance, and adequate surface area per person. It is important to consider the anthropometry of the target user population (e.g., average Nigerian adult dimensions) to ensure local relevance and comfort.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pPr>
      <w:r>
        <w:rPr>
          <w:rFonts w:ascii="Times New Roman" w:cs="Times New Roman" w:eastAsia="Calibri" w:hAnsi="Times New Roman" w:hint="default"/>
          <w:b/>
          <w:bCs/>
          <w:i w:val="false"/>
          <w:iCs w:val="false"/>
          <w:color w:val="auto"/>
          <w:sz w:val="24"/>
          <w:szCs w:val="24"/>
          <w:highlight w:val="none"/>
          <w:vertAlign w:val="baseline"/>
          <w:lang w:val="en-US" w:eastAsia="en-US"/>
        </w:rPr>
        <w:t>Posture and Support: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An ergonomically designed dining chair should support the natural curves of the spine, particularly the lumbar region, to promote healthy posture during sitting. The seat should allow the user's feet to rest flat on the floor or on a footrest, with thighs parallel to the floor, avoiding pressure points under the thighs.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Comfort and Movement:</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While structural integrity is essential, a dining chair should also allow for some degree of movement and flexibility. The design should not restrict natural shifts in posture during a meal. Cushioning and upholstery, when used, contribute significantly to perceived comfort, but must not compromise support.</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Accessibility: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Consideration for users with varying physical capabilities, including children, the elderly, or individuals with mobility impairments, is part of inclusive ergonomic design. This may influence table leg placement for wheelchair access or chair designs that assist standing.</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2.3.3 Aesthetic Considerations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Aesthetics refers to the visual appeal and sensory qualities of furniture, profoundly influencing how a space is perceived and experienced. Beyond purely functional aspects, the aesthetic design of furniture reflects prevailing styles, cultural tastes, and personal expression. For dining sets, aesthetics often play a significant role in consumer choice, as they are central pieces in a home's communal area.</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Form and Proportion:</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These are fundamental elements of aesthetic design. The overall shape (form) of the dining table and chairs, and the harmonious relationship between their individual parts (proportion), contribute to their visual balance and appeal. Designers often strive for a pleasing ratio that feels natural and visually stable (Pile, 2013).</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Style and Harmony:</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Furniture designs often adhere to specific styles (e.g., traditional, contemporary, minimalist, rustic). A dining set's style should ideally complement the overall interior design of the household. Harmony in design ensures that all components of the dining set (table, chairs, and any accompanying sideboards) look cohesive and balanced together.</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Material and Finish:</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The inherent characteristics of the chosen materials – the grain of wood, the texture of fabric, the sheen of metal – contribute significantly to the aesthetic. The finish (e.g., polished, matte, painted) further enhances or alters the visual and tactile qualities, protecting the material while defining its final appearance. For dining sets, the finish must also be durable and easy to maintain due to exposure to food and liquids.</w:t>
      </w:r>
    </w:p>
    <w:p>
      <w:pPr>
        <w:pStyle w:val="style0"/>
        <w:keepNext w:val="false"/>
        <w:keepLines w:val="false"/>
        <w:pageBreakBefore w:val="false"/>
        <w:widowControl/>
        <w:kinsoku/>
        <w:wordWrap/>
        <w:overflowPunct/>
        <w:topLinePunct w:val="false"/>
        <w:autoSpaceDE/>
        <w:autoSpaceDN/>
        <w:bidi w:val="false"/>
        <w:adjustRightInd/>
        <w:snapToGrid/>
        <w:spacing w:after="16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Cultural and Regional Influence:</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Aesthetic preferences can be deeply rooted in culture. In Nigeria, for instance, traditional motifs, carving styles, or certain timber types may hold cultural significance and influence local aesthetic appreciation for dining sets. Modern designs might also incorporate these elements in contemporary ways.</w:t>
      </w:r>
    </w:p>
    <w:p>
      <w:pPr>
        <w:pStyle w:val="style0"/>
        <w:keepNext w:val="false"/>
        <w:keepLines w:val="false"/>
        <w:pageBreakBefore w:val="false"/>
        <w:widowControl/>
        <w:kinsoku/>
        <w:wordWrap/>
        <w:overflowPunct/>
        <w:topLinePunct w:val="false"/>
        <w:autoSpaceDE/>
        <w:autoSpaceDN/>
        <w:bidi w:val="false"/>
        <w:adjustRightInd/>
        <w:snapToGrid/>
        <w:spacing w:after="0" w:lineRule="auto" w:line="480"/>
        <w:ind w:firstLine="480" w:firstLineChars="200"/>
        <w:jc w:val="both"/>
        <w:textAlignment w:val="auto"/>
        <w:rPr>
          <w:rFonts w:ascii="Times New Roman" w:cs="Times New Roman" w:hAnsi="Times New Roman" w:hint="default"/>
          <w:sz w:val="24"/>
          <w:szCs w:val="24"/>
        </w:rPr>
      </w:pPr>
      <w:r>
        <w:rPr>
          <w:rFonts w:ascii="Times New Roman" w:cs="Times New Roman" w:eastAsia="Calibri" w:hAnsi="Times New Roman" w:hint="default"/>
          <w:b/>
          <w:bCs/>
          <w:i w:val="false"/>
          <w:iCs w:val="false"/>
          <w:color w:val="auto"/>
          <w:sz w:val="24"/>
          <w:szCs w:val="24"/>
          <w:highlight w:val="none"/>
          <w:vertAlign w:val="baseline"/>
          <w:lang w:val="en-US" w:eastAsia="en-US"/>
        </w:rPr>
        <w:t>Visual Balance and Rhythm:</w:t>
      </w:r>
      <w:r>
        <w:rPr>
          <w:rFonts w:ascii="Times New Roman" w:cs="Times New Roman" w:eastAsia="Calibri" w:hAnsi="Times New Roman" w:hint="default"/>
          <w:b w:val="false"/>
          <w:bCs w:val="false"/>
          <w:i w:val="false"/>
          <w:iCs w:val="false"/>
          <w:color w:val="auto"/>
          <w:sz w:val="24"/>
          <w:szCs w:val="24"/>
          <w:highlight w:val="none"/>
          <w:vertAlign w:val="baseline"/>
          <w:lang w:val="en-US" w:eastAsia="en-US"/>
        </w:rPr>
        <w:t xml:space="preserve"> How elements are arranged, the repetition of shapes, and the interplay of positive and negative space contribute to visual balance and rhythm within a furniture piece. For a dining set, this can involve the consistent design of chair legs, the arrangement of table supports, or the uniform application of decorative elements.</w:t>
      </w:r>
    </w:p>
    <w:p>
      <w:pPr>
        <w:pStyle w:val="style0"/>
        <w:spacing w:after="0" w:lineRule="auto" w:line="360"/>
        <w:ind w:firstLine="720"/>
        <w:jc w:val="both"/>
        <w:rPr>
          <w:rFonts w:ascii="Times New Roman" w:cs="Times New Roman" w:hAnsi="Times New Roman" w:hint="default"/>
          <w:sz w:val="24"/>
          <w:szCs w:val="24"/>
        </w:rPr>
      </w:pPr>
    </w:p>
    <w:p>
      <w:pPr>
        <w:pStyle w:val="style0"/>
        <w:spacing w:after="0" w:lineRule="auto" w:line="360"/>
        <w:ind w:firstLine="720"/>
        <w:jc w:val="both"/>
        <w:rPr>
          <w:rFonts w:ascii="Times New Roman" w:cs="Times New Roman" w:hAnsi="Times New Roman" w:hint="default"/>
          <w:sz w:val="24"/>
          <w:szCs w:val="24"/>
        </w:rPr>
      </w:pPr>
    </w:p>
    <w:p>
      <w:pPr>
        <w:pStyle w:val="style0"/>
        <w:spacing w:after="0" w:lineRule="auto" w:line="36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center"/>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CHAPTER 3 </w:t>
      </w:r>
    </w:p>
    <w:p>
      <w:pPr>
        <w:pStyle w:val="style0"/>
        <w:spacing w:after="0" w:lineRule="auto" w:line="480"/>
        <w:jc w:val="center"/>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RESEARCH METHODOLOGY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chapter details the systematic approach employed in the design, construction, and evaluation of the functional dining set. It outlines the specific research design adopted, the meticulous selection and acquisition of materials, the comprehensive manual design processes utilized, the step-by-step construction methodology, and the rigorous methods for evaluating the functionality and performance of the finished dining set. This structured approach ensures that the project's objectives are met through a clear, repeatable, and verifiable process.</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3.1 Research Design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research methodology adopted for this study follows a Design and Build (or Design and Development) approach. This research paradigm is particularly well-suited for projects that involve the creation of a tangible product or system, where the objective extends beyond mere theoretical investigation to include the practical realization and subsequent evaluation of a physical artifact. This methodology is inherently iterative, allowing for refinement during the design and construction phases based on practical considerations and emerging insights.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rationale for selecting this design is rooted directly in the overarching aim and specific objectives of the study: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To design the dining table set that meets the needs of a household: The "design" component of this methodology facilitates the systematic conceptualization, planning, and detailing of the dining set. This involves a thorough understanding of functional, ergonomic, and aesthetic requirements to create a blueprint for the furniture that is tailored to its intended use and environment.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To construct the functional dining set: The "build" or "construction" component directly addresses the objective of physically fabricating the designed dining set. This phase involves the practical application of woodworking techniques, material handling, and assembly processes, transforming the design concepts into a tangible product. It allows for the direct testing of the design's manufacturability and the assessment of material behavior under real-world conditions.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To evaluate the functionality of the constructed dining table set: Following construction, the methodology includes a dedicated phase for evaluating the finished product. This evaluation is critical for assessing whether the dining set successfully meets the initial functional, ergonomic, and aesthetic criteria established during the design phase. It provides empirical evidence of the product's performance and identifies areas for potential improvement, thus closing the design-build loop.</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Design and Build approach is characterized by a cyclical process that typically involves problem identification, conceptual design, detailed design, prototyping/construction, testing, and refinement. For this study, it encompasses the entire journey from understanding household needs for a dining set through its physical creation and a final assessment of its practical utility. This pragmatic research design allows for the generation of practical solutions and tangible outcomes, directly contributing to the body of knowledge on furniture design and construction within the Nigerian context by producing a functional artifacts.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3.2 Materials and Tools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successful construction of a functional dining set necessitates the careful selection of appropriate materials and the use of precise tools and equipment. This section outlines the specific materials chosen for the dining set, justifying their selection based on performance requirements, and details the range of tools and machinery that will be employed throughout the fabrication process to ensure quality and precision.</w:t>
      </w: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3.2.1 Material Selection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primary material for the dining set will be timber, selected for its inherent strength, workability, aesthetic appeal, and suitability for furniture construction. The choice of specific timber species is crucial as it directly impacts the durability, stability, and longevity of the finished product, especially considering the daily use a dining set undergoes.</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Primary Material: Hardwood Timber</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Given the need for durability and stability in a dining set, hardwood timber will be the primary material. Commonly available hardwoods in the Nigerian context that are suitable for robust furniture include species such as Iroko (Milicia excelsa), Mahogany (Khaya grandifoliola), or Teak ( Tectona grandis). These timbers are known for:</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Durability and Strength: </w:t>
      </w:r>
      <w:r>
        <w:rPr>
          <w:rFonts w:ascii="Times New Roman" w:cs="Times New Roman" w:hAnsi="Times New Roman" w:hint="default"/>
          <w:b w:val="false"/>
          <w:bCs w:val="false"/>
          <w:i w:val="false"/>
          <w:iCs w:val="false"/>
          <w:color w:val="auto"/>
          <w:sz w:val="24"/>
          <w:szCs w:val="24"/>
          <w:highlight w:val="none"/>
          <w:vertAlign w:val="baseline"/>
          <w:lang w:val="en-US" w:eastAsia="en-US"/>
        </w:rPr>
        <w:t>They possess high resistance to wear, impact, and decay, making them ideal for high-traffic furniture like dining tables and chairs. This ensures the structural integrity and longevity of the set.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Stability: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Hardwoods generally exhibit good dimensional stability, meaning they are less prone to warping, twisting, or cracking under varying environmental conditions, which is crucial for maintaining the flat surface of a table and the rigid structure of chairs.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Workability: </w:t>
      </w:r>
      <w:r>
        <w:rPr>
          <w:rFonts w:ascii="Times New Roman" w:cs="Times New Roman" w:hAnsi="Times New Roman" w:hint="default"/>
          <w:b w:val="false"/>
          <w:bCs w:val="false"/>
          <w:i w:val="false"/>
          <w:iCs w:val="false"/>
          <w:color w:val="auto"/>
          <w:sz w:val="24"/>
          <w:szCs w:val="24"/>
          <w:highlight w:val="none"/>
          <w:vertAlign w:val="baseline"/>
          <w:lang w:val="en-US" w:eastAsia="en-US"/>
        </w:rPr>
        <w:t>While dense, these timbers are workable with appropriate tools, allowing for precise cutting, shaping, and joinery.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Aesthetic Appeal:</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Their natural grain patterns and rich colors contribute significantly to the aesthetic quality of the furniture, enhancing the visual appeal of the dining space.</w:t>
      </w:r>
    </w:p>
    <w:p>
      <w:pPr>
        <w:pStyle w:val="style0"/>
        <w:spacing w:after="0" w:lineRule="auto" w:line="480"/>
        <w:jc w:val="both"/>
        <w:rPr>
          <w:rFonts w:ascii="Times New Roman" w:cs="Times New Roman" w:hAnsi="Times New Roman" w:hint="default"/>
          <w:b/>
          <w:bCs/>
          <w:sz w:val="24"/>
          <w:szCs w:val="24"/>
          <w:lang w:val="en-US"/>
        </w:rPr>
      </w:pPr>
      <w:r>
        <w:rPr>
          <w:rFonts w:ascii="Times New Roman" w:cs="Times New Roman" w:hAnsi="Times New Roman" w:hint="default"/>
          <w:b/>
          <w:bCs/>
          <w:i w:val="false"/>
          <w:iCs w:val="false"/>
          <w:color w:val="auto"/>
          <w:sz w:val="24"/>
          <w:szCs w:val="24"/>
          <w:highlight w:val="none"/>
          <w:vertAlign w:val="baseline"/>
          <w:lang w:val="en-US" w:eastAsia="en-US"/>
        </w:rPr>
        <w:t>Secondary Materials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In addition to timber, several secondary materials are essential for the assembly, reinforcement, and finishing of the dining set: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Wood Adhesives: High-strength wood glues (e.g., Polyvinyl Acetate – PVA-based wood glue) will be used to create strong, permanent bonds at critical joints. The strength of the adhesive is paramount for the long-term stability of the chairs and table.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Fasteners: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Where necessary for reinforcement or knockdown connections, metal fasteners such as wood screws, bolts, and nuts will be utilized. The selection will prioritize corrosion resistance and adequate length/gauge for secure fastening.</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Abrasives: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Various grits of sandpaper (from coarse to fine) will be used for surface preparation, ensuring a smooth finish before the application of protective coatings.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Finishing Materials: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Varnishes, lacquers, or wood oils will be applied to protect the timber from moisture, stains, and wear, while also enhancing its natural beauty and achieving the desired aesthetic. The chosen finish will be durable and food-safe if it comes into direct contact with the table surface.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Upholstery Materials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(if applicable for chairs): If the dining chairs are designed with upholstered seats or backs, materials such as high-density foam for padding and durable fabric or leatherette will be selected based on comfort, aesthetic, and ease of cleaning.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rationale for selecting these materials is grounded in the project's objective to construct a functional and durable dining set. Hardwood timber provides the necessary structural integrity and aesthetic quality, while the secondary materials ensure robust assembly, surface protection, and user comfort.</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3.2.2 Tools and Equipment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construction process requires a comprehensive set of hand tools and powered equipment to ensure precision, efficiency, and safety. The judicious use of appropriate tools facilitates accurate measurements, clean cuts, strong joints, and a high-quality finish, all critical for a functional and aesthetically pleasing dining set.</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Measuring and Marking Tools: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Tape Measure:</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Indispensable for all general length and dimension measurements during timber and MDF cutting.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Steel Rules and Squares: </w:t>
      </w:r>
      <w:r>
        <w:rPr>
          <w:rFonts w:ascii="Times New Roman" w:cs="Times New Roman" w:hAnsi="Times New Roman" w:hint="default"/>
          <w:b w:val="false"/>
          <w:bCs w:val="false"/>
          <w:i w:val="false"/>
          <w:iCs w:val="false"/>
          <w:color w:val="auto"/>
          <w:sz w:val="24"/>
          <w:szCs w:val="24"/>
          <w:highlight w:val="none"/>
          <w:vertAlign w:val="baseline"/>
          <w:lang w:val="en-US" w:eastAsia="en-US"/>
        </w:rPr>
        <w:t>Used for precise marking of straight lines, verifying right angles, and ensuring square cuts (e.g., try squares, combination squares). These are crucial for the accuracy of components that need to align perfectly in the dining set.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Marking Gauge:</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Employed for scribing precise parallel lines, particularly vital for accurate layout of joinery such as tenons and mortises.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Pencils/Markers: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For clear and precise marking on all materials, ensuring cuts and joints are made exactly to specification.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These tools are fundamental for accurately translating the manual design dimensions into the physical preparation of materials, minimizing errors and material waste.</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Cutting and Shaping Tools: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Hand Saws: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Various types, such as crosscut saws for cutting across the grain and rip saws for cutting along the grain, will be utilized for initial sizing of timber components.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Circular Saw:</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A powered tool essential for making efficient, straight, and precise cuts on larger timber pieces and, critically, for cutting the MDF board for the table top to its exact dimensions.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Jigsaw:</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Utilized for cutting curves and intricate shapes in both timber and MDF, offering versatility in achieving specific design elements.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Hand Planes: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Employed for surface flattening, squaring edges, and achieving precise thickness or chamfers on timber components. They allow for fine adjustments that contribute to a high-quality finish.</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Chisels: </w:t>
      </w:r>
      <w:r>
        <w:rPr>
          <w:rFonts w:ascii="Times New Roman" w:cs="Times New Roman" w:hAnsi="Times New Roman" w:hint="default"/>
          <w:b w:val="false"/>
          <w:bCs w:val="false"/>
          <w:i w:val="false"/>
          <w:iCs w:val="false"/>
          <w:color w:val="auto"/>
          <w:sz w:val="24"/>
          <w:szCs w:val="24"/>
          <w:highlight w:val="none"/>
          <w:vertAlign w:val="baseline"/>
          <w:lang w:val="en-US" w:eastAsia="en-US"/>
        </w:rPr>
        <w:t>Used for carving, paring, and meticulously cleaning out joints, such as mortises and dovetails, ensuring tight-fitting connections essential for the structural integrity of chairs and the table frame.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Router (Manual/Plunge Router):</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This versatile power tool, operated manually, will be used for creating decorative edges, grooves, dados, and precise joinery details in timber components. It is also instrumental in shaping the edges of the MDF table top.</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These tools collectively enable the transformation of raw timber and MDF sheets into the specific, accurately shaped components required for the dining set's assembly.</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Joining and Assembly Tools: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Electric Drill:</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Essential for drilling pilot holes for screws, dowel holes for specific joint types, and potentially for creating initial holes for mortises, using various drill bits (e.g., twist bits, brad point bits, spade bits).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Clamps: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A variety of clamps (e.g., bar clamps, F-clamps, sash clamps) are indispensable for holding components securely during gluing and assembly, ensuring that joints are tight and square while adhesives cure. Their proper use is critical for the long-term stability of the dining set.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Mallet:</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Used with chisels for joinery work, for tapping components into place during assembly without damaging the wood, and for setting dowels.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Screwdrivers/Impact Driver:</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For driving screws efficiently and securely, particularly when attaching the MDF table top to its timber frame or for reinforcing joints.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These tools are pivotal in bringing the individual, prepared components together into a stable, strong, and cohesive dining set structure.</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Sanding and Finishing Tools: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Orbital Sander/Belt Sander: </w:t>
      </w:r>
      <w:r>
        <w:rPr>
          <w:rFonts w:ascii="Times New Roman" w:cs="Times New Roman" w:hAnsi="Times New Roman" w:hint="default"/>
          <w:b w:val="false"/>
          <w:bCs w:val="false"/>
          <w:i w:val="false"/>
          <w:iCs w:val="false"/>
          <w:color w:val="auto"/>
          <w:sz w:val="24"/>
          <w:szCs w:val="24"/>
          <w:highlight w:val="none"/>
          <w:vertAlign w:val="baseline"/>
          <w:lang w:val="en-US" w:eastAsia="en-US"/>
        </w:rPr>
        <w:t>Powered sanders that provide efficient and consistent smoothing of timber surfaces and MDF edges, preparing them for the application of finishes.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Sanding Blocks: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Used for hand sanding intricate areas, edges, and for achieving a very fine finish by using progressively finer grits of sandpaper.</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Brushes/Rollers/Sprayers: </w:t>
      </w:r>
      <w:r>
        <w:rPr>
          <w:rFonts w:ascii="Times New Roman" w:cs="Times New Roman" w:hAnsi="Times New Roman" w:hint="default"/>
          <w:b w:val="false"/>
          <w:bCs w:val="false"/>
          <w:i w:val="false"/>
          <w:iCs w:val="false"/>
          <w:color w:val="auto"/>
          <w:sz w:val="24"/>
          <w:szCs w:val="24"/>
          <w:highlight w:val="none"/>
          <w:vertAlign w:val="baseline"/>
          <w:lang w:val="en-US" w:eastAsia="en-US"/>
        </w:rPr>
        <w:t>Depending on the chosen finishing material (varnish, lacquer, paint), appropriate applicators will be used to ensure an even and professional coating.</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Clean Rags: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For wiping off dust before finishing and for applying oil or polish finishes.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These tools are essential for achieving a high-quality aesthetic finish, protecting the materials, and ensuring the dining set is smooth and pleasant to touch.</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Safety Equipment: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Safety Goggles: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Absolutely essential for protecting the eyes from wood chips, dust, and chemical splashes during cutting, routing, and finishing.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Gloves: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To protect hands from splinters, sharp edges, and chemicals, as well as to improve grip.</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Dust Masks/Respirators: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Crucial for preventing the inhalation of wood dust (especially fine MDF dust) and fumes from adhesives or finishes.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Strict adherence to safety protocols and the consistent use of appropriate Personal Protective Equipment (PPE) is paramount throughout all stages of the construction process to ensure the well-being of the fabricators.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strategic combination of these carefully selected materials and a comprehensive set of tools and equipment will enable the precise and efficient construction of a durable, functional, and aesthetically pleasing dining set, directly addressing the project's objectives.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3.3. Conceptualization and Ideation</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initial stage involved a comprehensive conceptualization of the dining set, driven by the core aim of designing functional household furniture. This began with a thorough understanding of the typical needs and challenges associated with dining furniture in a Nigerian household context. Key considerations during this phase included:</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Functional Requirements: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Determining the optimal seating capacity (e.g., 4-seater, 6-seater), necessary table surface area for dining activities, and the integration of any specific storage or multi-functional features. Usability factors such as ease of cleaning, assembly/disassembly (if designed for that), and overall practicality for daily use were also central.</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Ergonomic Principles: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Drawing from the literature reviewed in Chapter 2, ergonomic guidelines for dining tables and chairs were fundamental. This involved considering standard human body dimensions (anthropometry) to ensure comfortable seating height, seat depth, backrest angle, and adequate legroom beneath the table. The goal was to minimize user discomfort during prolonged sitting and promote good posture.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Aesthetic Considerations:</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 visual appeal of the dining set was a significant aspect. This involved exploring various forms, proportions, and styles that would resonate with contemporary household aesthetics in Nigeria. Considerations were given to how the chosen materials (hardwood timber and MDF) would contribute to the overall look and feel, including grain patterns, finishes, and the visual balance between table and chairs.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Material Suitability and Feasibility: </w:t>
      </w:r>
      <w:r>
        <w:rPr>
          <w:rFonts w:ascii="Times New Roman" w:cs="Times New Roman" w:hAnsi="Times New Roman" w:hint="default"/>
          <w:b w:val="false"/>
          <w:bCs w:val="false"/>
          <w:i w:val="false"/>
          <w:iCs w:val="false"/>
          <w:color w:val="auto"/>
          <w:sz w:val="24"/>
          <w:szCs w:val="24"/>
          <w:highlight w:val="none"/>
          <w:vertAlign w:val="baseline"/>
          <w:lang w:val="en-US" w:eastAsia="en-US"/>
        </w:rPr>
        <w:t>Initial ideas were tempered by the practicalities of the selected materials. Concepts were developed that optimized the use of hardwood for structural integrity and MDF for the stable, flat tabletop, considering their inherent properties and workability.</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3.4 Construction Methodology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construction of the functional dining set followed a systematic, step-by-step methodology, adhering strictly to the detailed manual designs developed in the previous phase. This process emphasized precision, structural integrity, and adherence to best practices in woodworking to ensure the durability and aesthetic appeal of the final product.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construction methodology was broadly divided into the following stages:</w:t>
      </w:r>
    </w:p>
    <w:p>
      <w:pPr>
        <w:pStyle w:val="style0"/>
        <w:numPr>
          <w:ilvl w:val="0"/>
          <w:numId w:val="1"/>
        </w:numPr>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Material Preparation and Dimensioning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initial stage focused on transforming raw timber and MDF sheets into precisely dimensioned components ready for joinery and assembly.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Timber Selection and Inspection:</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Hardwood timber was carefully inspected for defects such as knots, cracks, or warping. Only high-quality, straight-grained pieces were selected to ensure structural stability and aesthetic consistency.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Rough Milling (if necessary):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If rough-sawn timber was acquired, it underwent initial milling processes (e.g., using a planer and jointer) to flatten faces and square edges, preparing it for accurate measurement and cutting.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Marking Out:</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Based on the detailed technical drawings and material schedules, each timber piece and the MDF sheet for the tabletop were accurately marked with their exact dimensions using tape measures, steel rules, and marking gauges. Precision in marking was crucial to minimize waste and ensure components fit correctly.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Cutting: Using a combination of circular saws for straight cuts, jigsaws for curves, and hand saws for initial sizing, all components were cut to their specified dimensions. Careful attention was paid to cutting along or across the grain as required to maintain material strength and avoid splitting.</w:t>
      </w:r>
    </w:p>
    <w:p>
      <w:pPr>
        <w:pStyle w:val="style0"/>
        <w:numPr>
          <w:ilvl w:val="0"/>
          <w:numId w:val="1"/>
        </w:numPr>
        <w:spacing w:after="0" w:lineRule="auto" w:line="480"/>
        <w:ind w:left="0" w:leftChars="0" w:firstLine="0" w:firstLineChars="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Joinery and Component Fabrication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stage involved creating the intricate connections (joints) that would hold the dining set together, as well as fabricating individual parts like table legs, chair rails, and the tabletop.</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Mortise and Tenon Joints (for Chairs and Table Frame): These were the primary joints for strength and durability. Mortises (slots) were precisely cut into chair legs, table legs, and rails using chisels and drills, while tenons (projections) were carefully cut on the ends of corresponding pieces (e.g., chair rails, table aprons) to fit snugly into the mortises.</w:t>
      </w: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sz w:val="24"/>
          <w:szCs w:val="24"/>
        </w:rPr>
      </w:pPr>
    </w:p>
    <w:p>
      <w:pPr>
        <w:pStyle w:val="style0"/>
        <w:spacing w:after="0" w:lineRule="auto" w:line="480"/>
        <w:jc w:val="center"/>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CHAPTER 4 </w:t>
      </w:r>
    </w:p>
    <w:p>
      <w:pPr>
        <w:pStyle w:val="style0"/>
        <w:spacing w:after="0" w:lineRule="auto" w:line="480"/>
        <w:jc w:val="center"/>
        <w:rPr>
          <w:rFonts w:ascii="Times New Roman" w:cs="Times New Roman" w:hAnsi="Times New Roman" w:hint="default"/>
          <w:b/>
          <w:bCs/>
          <w:sz w:val="24"/>
          <w:szCs w:val="24"/>
          <w:lang w:val="en-US"/>
        </w:rPr>
      </w:pPr>
      <w:r>
        <w:rPr>
          <w:rFonts w:ascii="Times New Roman" w:cs="Times New Roman" w:hAnsi="Times New Roman" w:hint="default"/>
          <w:b/>
          <w:bCs/>
          <w:i w:val="false"/>
          <w:iCs w:val="false"/>
          <w:color w:val="auto"/>
          <w:sz w:val="24"/>
          <w:szCs w:val="24"/>
          <w:highlight w:val="none"/>
          <w:vertAlign w:val="baseline"/>
          <w:lang w:val="en-US" w:eastAsia="en-US"/>
        </w:rPr>
        <w:t>EVALUATION AND RESULTS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chapter presents the comprehensive evaluation of the constructed dining set, detailing the methods employed to assess its functionality, performance, and adherence to the initial design objectives. The results derived from this rigorous assessment are thoroughly analyzed to ascertain the success of the Design and Build  methodology in producing a practical, durable, and ergonomically sound piece of household furniture. This evaluation provides critical insights into the real-world utility of the dining set and highlights its contributions to addressing household needs within the Nigerian context.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4.1 Evaluation Criteria</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To systematically evaluate the constructed dining set, a set of specific criteria was established, directly aligned with the project's objectives and the principles of good furniture design. These criteria served as benchmarks against which the performance and usability of the dining table and chairs were measured. The evaluation focused on the following key areas: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Structural Integrity and Stability</w:t>
      </w:r>
      <w:r>
        <w:rPr>
          <w:rFonts w:ascii="Times New Roman" w:cs="Times New Roman" w:hAnsi="Times New Roman" w:hint="default"/>
          <w:b w:val="false"/>
          <w:bCs w:val="false"/>
          <w:i w:val="false"/>
          <w:iCs w:val="false"/>
          <w:color w:val="auto"/>
          <w:sz w:val="24"/>
          <w:szCs w:val="24"/>
          <w:highlight w:val="none"/>
          <w:vertAlign w:val="baseline"/>
          <w:lang w:val="en-US" w:eastAsia="en-US"/>
        </w:rPr>
        <w:t>: This criterion assessed the overall robustness and durability of the dining set. It involved examining the strength of all joints (e.g., mortise and tenon, dowel, screwed connections), the rigidity of the table frame and chair structures, and the absence of wobbling or creaking under normal use. The ability of the set to withstand daily stresses, including seating and movement, was a primary consideration.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Functionality and Usability: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This criterion evaluated how effectively the dining set served its primary purpose. For the table, this included assessing the flatness and stability of the tabletop, its capacity to comfortably accommodate the intended number of diners and dishes, and ease of cleaning. For the chairs, it focused on ease of sitting and rising, and general practicality for daily dining activities.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Ergonomic Comfort: </w:t>
      </w:r>
      <w:r>
        <w:rPr>
          <w:rFonts w:ascii="Times New Roman" w:cs="Times New Roman" w:hAnsi="Times New Roman" w:hint="default"/>
          <w:b w:val="false"/>
          <w:bCs w:val="false"/>
          <w:i w:val="false"/>
          <w:iCs w:val="false"/>
          <w:color w:val="auto"/>
          <w:sz w:val="24"/>
          <w:szCs w:val="24"/>
          <w:highlight w:val="none"/>
          <w:vertAlign w:val="baseline"/>
          <w:lang w:val="en-US" w:eastAsia="en-US"/>
        </w:rPr>
        <w:t>Based on the anthropometric data and ergonomic principles considered during the design phase, this criterion assessed the comfort levels provided by the chairs and the table's height. Specific attention was paid to optimal seat height, depth, backrest angle, and adequate legroom under the table to ensure comfortable posture during prolonged use.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Aesthetic Appeal and Finish Quality: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This criterion evaluated the visual attributes of the dining set. It included assessing the quality of the timber finish (smoothness, evenness of varnish/oil application, absence of blemishes), the consistency of joinery, and the overall craftsmanship. The aesthetic balance, proportion, and how well the natural beauty of the hardwood timber was showcased were also considered.</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Safety:</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 dining set was assessed for any potential safety hazards. This included checking for sharp edges, splinters, protruding fasteners, or any instability that could pose a risk to users, particularly in a household environment.</w:t>
      </w: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4.2 Evaluation Methodology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evaluation of the constructed dining set was conducted through a multi-faceted approach, combining direct observation, practical testing, and qualitative assessment. This methodology allowed for a comprehensive analysis of the dining set's performance against the established criteria.</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Visual Inspection:</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A thorough visual inspection was carried out on all components of the dining set. This included scrutinizing the quality of cuts, the precision of joinery, the consistency of dimensions against the technical drawings, and the overall standard of craftsmanship. The finish quality was examined for smoothness, evenness of coating, and the absence of defects such as drips, bubbles, or rough patches.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Practical Use Testing</w:t>
      </w:r>
      <w:r>
        <w:rPr>
          <w:rFonts w:ascii="Times New Roman" w:cs="Times New Roman" w:hAnsi="Times New Roman" w:hint="default"/>
          <w:b w:val="false"/>
          <w:bCs w:val="false"/>
          <w:i w:val="false"/>
          <w:iCs w:val="false"/>
          <w:color w:val="auto"/>
          <w:sz w:val="24"/>
          <w:szCs w:val="24"/>
          <w:highlight w:val="none"/>
          <w:vertAlign w:val="baseline"/>
          <w:lang w:val="en-US" w:eastAsia="en-US"/>
        </w:rPr>
        <w:t>: The dining set was subjected to practical use scenarios simulating daily household activities. This involved:</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Load Bearing Test: For the table, this involved placing of representative load typical dining wares, serving dishes on the tabletop to assess its deflection and overall stability under weight. For the chairs, individuals of varying weights sat on them to evaluate their structural integrity and resistance to flexing or wobbling.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Stability Test: Both the table and chairs were tested for lateral and vertical stability. This involved applying gentle pressure from various directions to identify any tendencies to wobble, tip, or creak, particularly during seating and rising motions for the chairs.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Ergonomic Simulation:</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Volunteers of different statures sat at the table and on the chairs to provide subjective feedback on comfort, ease of movement, legroom, and overall fit with standard ergonomic guidelines. Observations were made on posture support and any areas of discomfort.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Measurement Verification:</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Key dimensions of the constructed dining set, such as table height, tabletop dimensions, chair seat height, seat depth, and backrest height, were re-measured using tape measures and steel rules. These measurements were then compared against the specifications detailed in the manual design drawings to verify dimensional accuracy and adherence to ergonomic standards.</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 Results and Findings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evaluation process yielded significant results regarding the functionality, structural integrity, ergonomics, and aesthetic appeal of the constructed dining set. These findings are presented below, demonstrating the successful realization of the project's objectives.</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4.3.1 Structural Integrity and Stability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dining set exhibited excellent structural integrity and stability. All joinery, particularly the mortise and tenon joints in the chair frames and table base, proved to be robust and secure.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Joint Strength: Direct observation and practical testing confirmed that all glued and fastened joints (e.g., PVA-based wood glue and screws where applicable) held firm without any signs of separation or weakening under typical loads. The precision of the joinery minimized gaps, contributing to overall rigidity.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Table Stability: The dining table remained remarkably stable, with no discernible wobbling or racking even when subjected to uneven pressure or typical dining activities. The robust hardwood frame and the secure attachment of the MDF tabletop ensured a solid surface.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Chair Stability: Each chair demonstrated exceptional stability. Load-bearing tests with individuals of varying weights revealed no creaking, flexing, or instability. The leg and rail connections were rigid, affirming the strength of the chosen joinery and construction techniques.</w:t>
      </w:r>
    </w:p>
    <w:p>
      <w:pPr>
        <w:pStyle w:val="style0"/>
        <w:spacing w:after="0" w:lineRule="auto" w:line="480"/>
        <w:jc w:val="both"/>
        <w:rPr>
          <w:rFonts w:ascii="Times New Roman" w:cs="Times New Roman" w:hAnsi="Times New Roman" w:hint="default"/>
          <w:b/>
          <w:bCs/>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4.3.2 Functionality and Usability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constructed dining set proved to be highly functional and usable for its intended household purpose.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Tabletop Performance: The MDF tabletop provided a perfectly flat, smooth, and stable surface, ideal for dining. Its dimensions comfortably accommodated a four setting, along with ample space for serving dishes. The chosen finish (varnish) made the surface easy to wipe clean, resisting minor spills effectively.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Seating Capacity: The design successfully met the objective of four seating individuals comfortably, allowing for adequate elbow room and maneuverability around the table. </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Overall Practicality: The set demonstrated high practicality for daily use. Chairs were easy to move and position, and the table's design allowed for comfortable legroom for all users.</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4.3.3 Ergonomic Comfort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Based on the practical use testing and comparison with established anthropometric data, the dining set provided a good level of ergonomic comfort.</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Table Height: The table height of  was found to be appropriate, allowing users to sit comfortably without undue strain on their arms or shoulders during dining.</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Chair Dimensions: The chair seat height of 900mm allowed most users to place their feet flat on the floor, promoting good posture. The seat depth of 600mm provided adequate support for the thighs without restricting blood circulation behind the knees. The backrest angle offered comfortable lumbar support, reducing fatigue during prolonged sitting.</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Legroom: Sufficient legroom was available under the table, preventing knees from hitting the tabletop apron and allowing for comfortable leg extension.</w:t>
      </w:r>
    </w:p>
    <w:p>
      <w:pPr>
        <w:pStyle w:val="style0"/>
        <w:spacing w:after="0" w:lineRule="auto" w:line="48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4.3.4 Aesthetic Appeal and Finish Quality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finished dining set exhibited a high degree of aesthetic appeal and refined finish quality, showcasing the natural beauty of the selected hardwood timber.</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Craftsmanship: The precision of cuts and the tightness of joints were evident throughout the set, indicating careful and skilled craftsmanship. There were no visible gaps, misalignments, or rough edges.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Surface Finish: The application of the chosen finishing material, varnish resulted in a smooth, even, and durable surface on both the timber components and the MDF tabletop. The natural grain patterns and rich color of the Iroko hardwood were beautifully enhanced, contributing to a premium look.</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Visual Balance: The proportions and design elements of both the table and chairs created a harmonious and visually appealing ensemble, consistent with modern household aesthetics in Nigeria.</w:t>
      </w: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553325"/>
            <wp:effectExtent l="0" t="0" r="0" b="9525"/>
            <wp:docPr id="1026" name="Picture 14" descr="IMG-20250708-WA00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 cstate="print"/>
                    <a:srcRect l="0" t="0" r="0" b="0"/>
                    <a:stretch/>
                  </pic:blipFill>
                  <pic:spPr>
                    <a:xfrm rot="0">
                      <a:off x="0" y="0"/>
                      <a:ext cx="5943600" cy="7553325"/>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27" name="Picture 13" descr="IMG-20250708-WA00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3"/>
                    <pic:cNvPicPr/>
                  </pic:nvPicPr>
                  <pic:blipFill>
                    <a:blip r:embed="rId5"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28" name="Picture 12" descr="IMG-20250708-WA00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a:blip r:embed="rId6"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316855" cy="8571230"/>
            <wp:effectExtent l="0" t="0" r="17145" b="1270"/>
            <wp:docPr id="1029" name="Picture 11" descr="IMG-20250708-WA00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316855" cy="857123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4419600" cy="8571230"/>
            <wp:effectExtent l="0" t="0" r="0" b="1270"/>
            <wp:docPr id="1030" name="Picture 10" descr="IMG-20250708-WA00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8" cstate="print"/>
                    <a:srcRect l="0" t="0" r="0" b="0"/>
                    <a:stretch/>
                  </pic:blipFill>
                  <pic:spPr>
                    <a:xfrm rot="0">
                      <a:off x="0" y="0"/>
                      <a:ext cx="4419600" cy="857123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1" name="Picture 9" descr="IMG-20250708-WA00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9"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2" name="Picture 8" descr="IMG-20250708-WA004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0"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3" name="Picture 7" descr="IMG-20250708-WA00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4" name="Picture 6" descr="IMG-20250708-WA004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6"/>
                    <pic:cNvPicPr/>
                  </pic:nvPicPr>
                  <pic:blipFill>
                    <a:blip r:embed="rId12"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5" name="Picture 5" descr="IMG-20250708-WA004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3"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6" name="Picture 4" descr="IMG-20250708-WA004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4"/>
                    <pic:cNvPicPr/>
                  </pic:nvPicPr>
                  <pic:blipFill>
                    <a:blip r:embed="rId14"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7" name="Picture 3" descr="IMG-20250708-WA004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5"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8" name="Picture 2" descr="IMG-20250708-WA004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
                    <pic:cNvPicPr/>
                  </pic:nvPicPr>
                  <pic:blipFill>
                    <a:blip r:embed="rId16"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3600" cy="7924800"/>
            <wp:effectExtent l="0" t="0" r="0" b="0"/>
            <wp:docPr id="1039" name="Picture 1" descr="IMG-20250708-WA004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17" cstate="print"/>
                    <a:srcRect l="0" t="0" r="0" b="0"/>
                    <a:stretch/>
                  </pic:blipFill>
                  <pic:spPr>
                    <a:xfrm rot="0">
                      <a:off x="0" y="0"/>
                      <a:ext cx="5943600" cy="792480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1060" cy="7920990"/>
            <wp:effectExtent l="0" t="0" r="2540" b="3810"/>
            <wp:docPr id="1040" name="Picture 19" descr="IMG-20250708-WA009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9"/>
                    <pic:cNvPicPr/>
                  </pic:nvPicPr>
                  <pic:blipFill>
                    <a:blip r:embed="rId18" cstate="print"/>
                    <a:srcRect l="0" t="0" r="0" b="0"/>
                    <a:stretch/>
                  </pic:blipFill>
                  <pic:spPr>
                    <a:xfrm rot="0">
                      <a:off x="0" y="0"/>
                      <a:ext cx="5941060" cy="792099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35345" cy="4451985"/>
            <wp:effectExtent l="0" t="0" r="8255" b="5715"/>
            <wp:docPr id="1041" name="Picture 18" descr="IMG-20250708-WA00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8"/>
                    <pic:cNvPicPr/>
                  </pic:nvPicPr>
                  <pic:blipFill>
                    <a:blip r:embed="rId19" cstate="print"/>
                    <a:srcRect l="0" t="0" r="0" b="0"/>
                    <a:stretch/>
                  </pic:blipFill>
                  <pic:spPr>
                    <a:xfrm rot="0">
                      <a:off x="0" y="0"/>
                      <a:ext cx="5935345" cy="4451985"/>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41060" cy="7920990"/>
            <wp:effectExtent l="0" t="0" r="2540" b="3810"/>
            <wp:docPr id="1042" name="Picture 17" descr="IMG-20250708-WA00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7"/>
                    <pic:cNvPicPr/>
                  </pic:nvPicPr>
                  <pic:blipFill>
                    <a:blip r:embed="rId20" cstate="print"/>
                    <a:srcRect l="0" t="0" r="0" b="0"/>
                    <a:stretch/>
                  </pic:blipFill>
                  <pic:spPr>
                    <a:xfrm rot="0">
                      <a:off x="0" y="0"/>
                      <a:ext cx="5941060" cy="7920990"/>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35345" cy="4451985"/>
            <wp:effectExtent l="0" t="0" r="8255" b="5715"/>
            <wp:docPr id="1043" name="Picture 16" descr="IMG-20250708-WA009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21" cstate="print"/>
                    <a:srcRect l="0" t="0" r="0" b="0"/>
                    <a:stretch/>
                  </pic:blipFill>
                  <pic:spPr>
                    <a:xfrm rot="0">
                      <a:off x="0" y="0"/>
                      <a:ext cx="5935345" cy="4451985"/>
                    </a:xfrm>
                    <a:prstGeom prst="rect"/>
                  </pic:spPr>
                </pic:pic>
              </a:graphicData>
            </a:graphic>
          </wp:inline>
        </w:drawing>
      </w:r>
      <w:r>
        <w:rPr>
          <w:rFonts w:ascii="Times New Roman" w:cs="Times New Roman" w:hAnsi="Times New Roman" w:hint="default"/>
          <w:b w:val="false"/>
          <w:bCs w:val="false"/>
          <w:i w:val="false"/>
          <w:iCs w:val="false"/>
          <w:color w:val="auto"/>
          <w:sz w:val="24"/>
          <w:szCs w:val="24"/>
          <w:highlight w:val="none"/>
          <w:vertAlign w:val="baseline"/>
          <w:lang w:val="en-US" w:eastAsia="en-US"/>
        </w:rPr>
        <w:drawing>
          <wp:inline distL="0" distT="0" distB="0" distR="0">
            <wp:extent cx="5935345" cy="4451985"/>
            <wp:effectExtent l="0" t="0" r="8255" b="5715"/>
            <wp:docPr id="1044" name="Picture 15" descr="IMG-20250708-WA00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5"/>
                    <pic:cNvPicPr/>
                  </pic:nvPicPr>
                  <pic:blipFill>
                    <a:blip r:embed="rId22" cstate="print"/>
                    <a:srcRect l="0" t="0" r="0" b="0"/>
                    <a:stretch/>
                  </pic:blipFill>
                  <pic:spPr>
                    <a:xfrm rot="0">
                      <a:off x="0" y="0"/>
                      <a:ext cx="5935345" cy="4451985"/>
                    </a:xfrm>
                    <a:prstGeom prst="rect"/>
                  </pic:spPr>
                </pic:pic>
              </a:graphicData>
            </a:graphic>
          </wp:inline>
        </w:drawing>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4.3.5 Safety</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evaluation confirmed that the constructed dining set met high safety standards. All edges were carefully smoothed and chamfered or rounded where appropriate, eliminating sharp points or splinters. All fasteners were properly counter-sunk, ensuring no protrusions. The overall stability of both table and chairs meant there was no risk of tipping or collapse under normal use, contributing to a safe environment for household members.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4.4 Discussion of Findings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findings from the evaluation strongly support the effectiveness of the Design and Build methodology in creating a functional, durable, and aesthetically pleasing dining set tailored to household needs. The success in achieving robust structural integrity highlights the judicious selection of hardwood timber and the meticulous application of traditional joinery techniques, particularly the mortise and tenon joints, reinforced by appropriate adhesives and fasteners. This demonstrates that durable furniture, capable of withstanding daily use, can be reliably constructed within the local context, directly addressing the project's construction objective.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positive results concerning functionality, usability, and ergonomic comfort affirm that the design process, even without explicit "conceptual sketching" as a separate preliminary step, successfully translated user requirements into a practical artifact. The adherence to ergonomic principles in dimensional accuracy ensures that the dining set is not only functional but also provides a comfortable experience for users of varying statures, a critical aspect often overlooked in mass-produced alternatives.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Furthermore, the high standard of aesthetic appeal and finish quality underscores the importance of skilled craftsmanship and careful material preparation. The natural beauty of the timber, enhanced by protective finishes, contributes significantly to the visual environment of a dining space, demonstrating the potential for locally fabricated furniture to meet high aesthetic expectations.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In essence, the constructed dining set serves as a tangible prototype that validates the entire research process, from material selection and detailed manual design to precise construction and comprehensive evaluation. The outcomes directly address all the project's objectives, proving the viability of producing high-quality, custom-built furniture solutions that are suitable for Nigerian households.</w:t>
      </w:r>
    </w:p>
    <w:p>
      <w:pPr>
        <w:pStyle w:val="style0"/>
        <w:spacing w:after="0" w:lineRule="auto" w:line="480"/>
        <w:ind w:firstLine="720"/>
        <w:jc w:val="both"/>
        <w:rPr>
          <w:rFonts w:ascii="Times New Roman" w:cs="Times New Roman" w:hAnsi="Times New Roman" w:hint="default"/>
          <w:sz w:val="24"/>
          <w:szCs w:val="24"/>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jc w:val="center"/>
        <w:rPr>
          <w:rFonts w:ascii="Times New Roman" w:cs="Times New Roman" w:hAnsi="Times New Roman" w:hint="default"/>
          <w:b/>
          <w:bCs/>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CHAPTER 5 </w:t>
      </w:r>
    </w:p>
    <w:p>
      <w:pPr>
        <w:pStyle w:val="style0"/>
        <w:spacing w:after="0" w:lineRule="auto" w:line="480"/>
        <w:jc w:val="center"/>
        <w:rPr>
          <w:rFonts w:ascii="Times New Roman" w:cs="Times New Roman" w:hAnsi="Times New Roman" w:hint="default"/>
          <w:b/>
          <w:bCs/>
          <w:sz w:val="24"/>
          <w:szCs w:val="24"/>
          <w:lang w:val="en-US"/>
        </w:rPr>
      </w:pPr>
      <w:r>
        <w:rPr>
          <w:rFonts w:ascii="Times New Roman" w:cs="Times New Roman" w:hAnsi="Times New Roman" w:hint="default"/>
          <w:b/>
          <w:bCs/>
          <w:i w:val="false"/>
          <w:iCs w:val="false"/>
          <w:color w:val="auto"/>
          <w:sz w:val="24"/>
          <w:szCs w:val="24"/>
          <w:highlight w:val="none"/>
          <w:vertAlign w:val="baseline"/>
          <w:lang w:val="en-US" w:eastAsia="en-US"/>
        </w:rPr>
        <w:t>CONCLUSION AND RECOMMENDATIONS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This final chapter synthesizes the findings from the preceding sections, drawing definitive conclusions regarding the successful design, construction, and evaluation of the functional dining set. It revisits the initial project objectives to determine their attainment and offers actionable recommendations for future research, practical application, and potential improvements within the context of furniture design and fabrication in Nigeria.</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Conclusion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The overarching aim of this project was to design, construct, and evaluate a functional dining set tailored to the needs of a typical household. Based on the rigorous methodology employed and the comprehensive evaluation presented in Chapter 4, it can be concluded that all primary objectives of this study have been successfully achieved:</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bCs/>
          <w:i w:val="false"/>
          <w:iCs w:val="false"/>
          <w:color w:val="auto"/>
          <w:sz w:val="24"/>
          <w:szCs w:val="24"/>
          <w:highlight w:val="none"/>
          <w:vertAlign w:val="baseline"/>
          <w:lang w:val="en-US" w:eastAsia="en-US"/>
        </w:rPr>
        <w:t xml:space="preserve">Objective 1: To design a functional dining table set that meets the needs of a household. </w:t>
      </w:r>
      <w:r>
        <w:rPr>
          <w:rFonts w:ascii="Times New Roman" w:cs="Times New Roman" w:hAnsi="Times New Roman" w:hint="default"/>
          <w:b w:val="false"/>
          <w:bCs w:val="false"/>
          <w:i w:val="false"/>
          <w:iCs w:val="false"/>
          <w:color w:val="auto"/>
          <w:sz w:val="24"/>
          <w:szCs w:val="24"/>
          <w:highlight w:val="none"/>
          <w:vertAlign w:val="baseline"/>
          <w:lang w:val="en-US" w:eastAsia="en-US"/>
        </w:rPr>
        <w:t>The detailed manual design process, informed by functional requirements, ergonomic principles, and material considerations, successfully yielded a comprehensive set of technical drawings and material schedules. These designs provided a precise blueprint for a dining set that directly addressed the practical, comfort, and aesthetic needs of a household, demonstrating the viability of traditional design methodologies in producing effective furniture solutions.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Objective 2: To construct the functional dining set.</w:t>
      </w:r>
      <w:r>
        <w:rPr>
          <w:rFonts w:ascii="Times New Roman" w:cs="Times New Roman" w:hAnsi="Times New Roman" w:hint="default"/>
          <w:b w:val="false"/>
          <w:bCs w:val="false"/>
          <w:i w:val="false"/>
          <w:iCs w:val="false"/>
          <w:color w:val="auto"/>
          <w:sz w:val="24"/>
          <w:szCs w:val="24"/>
          <w:highlight w:val="none"/>
          <w:vertAlign w:val="baseline"/>
          <w:lang w:val="en-US" w:eastAsia="en-US"/>
        </w:rPr>
        <w:t xml:space="preserve"> The construction phase successfully translated the detailed designs into a tangible, high-quality dining set. The meticulous selection of hardwood timber, iroko and secondary materials, coupled with the precise application of woodworking techniques and the use of appropriate tools and equipment, resulted in a structurally sound, durable, and well-crafted furniture piece. This validates the practical feasibility of fabricating robust dining sets within the local context, adhering to professional standards.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 xml:space="preserve">Objective 3: To evaluate the functionality of the constructed dining table set. </w:t>
      </w:r>
      <w:r>
        <w:rPr>
          <w:rFonts w:ascii="Times New Roman" w:cs="Times New Roman" w:hAnsi="Times New Roman" w:hint="default"/>
          <w:b w:val="false"/>
          <w:bCs w:val="false"/>
          <w:i w:val="false"/>
          <w:iCs w:val="false"/>
          <w:color w:val="auto"/>
          <w:sz w:val="24"/>
          <w:szCs w:val="24"/>
          <w:highlight w:val="none"/>
          <w:vertAlign w:val="baseline"/>
          <w:lang w:val="en-US" w:eastAsia="en-US"/>
        </w:rPr>
        <w:t>The comprehensive evaluation revealed that the constructed dining set exhibited excellent structural integrity, high functionality and usability, good ergonomic comfort, strong aesthetic appeal, and adherence to safety standards. The positive results from practical use testing and dimensional verification confirmed that the dining set performs optimally in a real-world setting, effectively serving its intended purpose and providing a comfortable, durable, and visually pleasing solution for household dining needs.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In essence, this project successfully demonstrated that a functional, durable, and aesthetically pleasing dining set can be meticulously designed and expertly constructed using a Design and Build approach, relying on traditional tools and local hardwood resources. The final product stands as a testament to skilled craftsmanship and a systematic methodology, offering a valuable prototype for household furniture solutions in Nigeria.</w:t>
      </w:r>
    </w:p>
    <w:p>
      <w:pPr>
        <w:pStyle w:val="style0"/>
        <w:spacing w:after="0" w:lineRule="auto" w:line="48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Recommendations</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Based on the findings and the experience gained during this project, the following recommendations are put forward to guide future research, improve furniture fabrication practices, and enhance the utility of similar projects:</w:t>
      </w:r>
    </w:p>
    <w:p>
      <w:pPr>
        <w:pStyle w:val="style0"/>
        <w:spacing w:after="0" w:lineRule="auto" w:line="480"/>
        <w:ind w:firstLine="72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1.  For Future Research and Design:</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Explore Alternative Indigenous Timbers: While hardwoods like Iroko are excellent, further research could explore the suitability of other sustainable, lesser-known indigenous timber species available in Nigeria. This could help diversify material options and potentially reduce costs.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Investigate Modular/Expandable Designs: Future designs could explore modular or expandable dining sets (e.g., extendable tables) to cater to varying household sizes or space constraints, offering greater versatility.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Formal User Feedback Collection: For a more robust evaluation, future projects could incorporate structured surveys or interviews with a wider range of potential users to gather more extensive qualitative and quantitative feedback on comfort, usability, and aesthetic preferences.</w:t>
      </w:r>
    </w:p>
    <w:p>
      <w:pPr>
        <w:pStyle w:val="style0"/>
        <w:spacing w:after="0" w:lineRule="auto" w:line="480"/>
        <w:ind w:firstLine="720"/>
        <w:jc w:val="both"/>
        <w:rPr>
          <w:rFonts w:ascii="Times New Roman" w:cs="Times New Roman" w:hAnsi="Times New Roman" w:hint="default"/>
          <w:b/>
          <w:bCs/>
          <w:sz w:val="24"/>
          <w:szCs w:val="24"/>
          <w:lang w:val="en-US"/>
        </w:rPr>
      </w:pPr>
      <w:r>
        <w:rPr>
          <w:rFonts w:ascii="Times New Roman" w:cs="Times New Roman" w:hAnsi="Times New Roman" w:hint="default"/>
          <w:b/>
          <w:bCs/>
          <w:i w:val="false"/>
          <w:iCs w:val="false"/>
          <w:color w:val="auto"/>
          <w:sz w:val="24"/>
          <w:szCs w:val="24"/>
          <w:highlight w:val="none"/>
          <w:vertAlign w:val="baseline"/>
          <w:lang w:val="en-US" w:eastAsia="en-US"/>
        </w:rPr>
        <w:t>2. For Practical Furniture Fabrication:</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Promote Standardized Joinery Training: Emphasize and standardize training in advanced traditional joinery techniques (like mortise and tenon) within vocational schools and workshops to ensure high levels of structural integrity in locally manufactured furniture.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Focus on Sustainable Sourcing: Encourage and develop supply chains for sustainably harvested timber to ensure the long-term availability of quality materials and promote environmentally responsible practices in the furniture industry.</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Quality Control in Finishing: Implement stringent quality control measures for finishing processes to consistently achieve durable, aesthetically pleasing, and safe surfaces, enhancing the market value and longevity of products.</w:t>
      </w:r>
    </w:p>
    <w:p>
      <w:pPr>
        <w:pStyle w:val="style0"/>
        <w:spacing w:after="0" w:lineRule="auto" w:line="480"/>
        <w:ind w:firstLine="720"/>
        <w:jc w:val="both"/>
        <w:rPr>
          <w:rFonts w:ascii="Times New Roman" w:cs="Times New Roman" w:hAnsi="Times New Roman" w:hint="default"/>
          <w:b/>
          <w:bCs/>
          <w:sz w:val="24"/>
          <w:szCs w:val="24"/>
        </w:rPr>
      </w:pPr>
      <w:r>
        <w:rPr>
          <w:rFonts w:ascii="Times New Roman" w:cs="Times New Roman" w:hAnsi="Times New Roman" w:hint="default"/>
          <w:b/>
          <w:bCs/>
          <w:i w:val="false"/>
          <w:iCs w:val="false"/>
          <w:color w:val="auto"/>
          <w:sz w:val="24"/>
          <w:szCs w:val="24"/>
          <w:highlight w:val="none"/>
          <w:vertAlign w:val="baseline"/>
          <w:lang w:val="en-US" w:eastAsia="en-US"/>
        </w:rPr>
        <w:t>3. For Policy and Industry Development:</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Support Local Artisans and Workshops: Government and non-governmental organizations should provide support, training, and access to modern tools for local furniture makers to boost the quality and competitiveness of locally produced furniture.</w:t>
      </w:r>
    </w:p>
    <w:p>
      <w:pPr>
        <w:pStyle w:val="style0"/>
        <w:spacing w:after="0" w:lineRule="auto" w:line="480"/>
        <w:ind w:firstLine="720"/>
        <w:jc w:val="both"/>
        <w:rPr>
          <w:rFonts w:ascii="Times New Roman" w:cs="Times New Roman" w:hAnsi="Times New Roman" w:hint="default"/>
          <w:sz w:val="24"/>
          <w:szCs w:val="24"/>
        </w:rPr>
      </w:pPr>
      <w:r>
        <w:rPr>
          <w:rFonts w:ascii="Times New Roman" w:cs="Times New Roman" w:hAnsi="Times New Roman" w:hint="default"/>
          <w:b w:val="false"/>
          <w:bCs w:val="false"/>
          <w:i w:val="false"/>
          <w:iCs w:val="false"/>
          <w:color w:val="auto"/>
          <w:sz w:val="24"/>
          <w:szCs w:val="24"/>
          <w:highlight w:val="none"/>
          <w:vertAlign w:val="baseline"/>
          <w:lang w:val="en-US" w:eastAsia="en-US"/>
        </w:rPr>
        <w:t>Develop Furniture Standards: Establish national standards for furniture quality, safety, and ergonomics to ensure that locally manufactured products meet international benchmarks and consumer expectations.</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r>
        <w:rPr>
          <w:rFonts w:ascii="Times New Roman" w:cs="Times New Roman" w:hAnsi="Times New Roman" w:hint="default"/>
          <w:b w:val="false"/>
          <w:bCs w:val="false"/>
          <w:i w:val="false"/>
          <w:iCs w:val="false"/>
          <w:color w:val="auto"/>
          <w:sz w:val="24"/>
          <w:szCs w:val="24"/>
          <w:highlight w:val="none"/>
          <w:vertAlign w:val="baseline"/>
          <w:lang w:val="en-US" w:eastAsia="en-US"/>
        </w:rPr>
        <w:t>By implementing these recommendations, the furniture design and manufacturing sector in Nigeria can continue to evolve, producing high-quality, functional, and culturally relevant pieces that effectively meet the needs of its populace.</w:t>
      </w: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p>
      <w:pPr>
        <w:pStyle w:val="style0"/>
        <w:spacing w:before="240" w:after="0" w:lineRule="auto" w:line="480"/>
        <w:ind w:left="720" w:hanging="720"/>
        <w:jc w:val="center"/>
        <w:rPr>
          <w:rFonts w:ascii="Times New Roman" w:cs="Times New Roman" w:eastAsia="Calibri" w:hAnsi="Times New Roman"/>
          <w:b/>
          <w:sz w:val="24"/>
          <w:szCs w:val="24"/>
          <w:lang w:eastAsia="en-US"/>
        </w:rPr>
      </w:pPr>
    </w:p>
    <w:p>
      <w:pPr>
        <w:pStyle w:val="style0"/>
        <w:spacing w:before="240" w:after="0" w:lineRule="auto" w:line="480"/>
        <w:ind w:left="720" w:hanging="720"/>
        <w:jc w:val="center"/>
        <w:rPr>
          <w:rFonts w:ascii="Times New Roman" w:cs="Times New Roman" w:eastAsia="Calibri" w:hAnsi="Times New Roman"/>
          <w:b/>
          <w:sz w:val="24"/>
          <w:szCs w:val="24"/>
          <w:lang w:eastAsia="en-US"/>
        </w:rPr>
      </w:pPr>
    </w:p>
    <w:p>
      <w:pPr>
        <w:pStyle w:val="style0"/>
        <w:spacing w:before="240" w:after="0" w:lineRule="auto" w:line="480"/>
        <w:ind w:left="720" w:hanging="720"/>
        <w:jc w:val="center"/>
        <w:rPr>
          <w:rFonts w:ascii="Times New Roman" w:cs="Times New Roman" w:eastAsia="Calibri" w:hAnsi="Times New Roman"/>
          <w:b/>
          <w:sz w:val="24"/>
          <w:szCs w:val="24"/>
          <w:lang w:eastAsia="en-US"/>
        </w:rPr>
      </w:pPr>
    </w:p>
    <w:p>
      <w:pPr>
        <w:pStyle w:val="style0"/>
        <w:spacing w:before="240" w:after="0" w:lineRule="auto" w:line="480"/>
        <w:ind w:left="720" w:hanging="720"/>
        <w:jc w:val="center"/>
        <w:rPr>
          <w:rFonts w:ascii="Times New Roman" w:cs="Times New Roman" w:eastAsia="Times New Roman" w:hAnsi="Times New Roman"/>
          <w:sz w:val="24"/>
          <w:szCs w:val="24"/>
          <w:lang w:val="en-US" w:bidi="ar-SA" w:eastAsia="en-US"/>
        </w:rPr>
      </w:pPr>
      <w:r>
        <w:rPr>
          <w:rFonts w:ascii="Times New Roman" w:cs="Times New Roman" w:eastAsia="Calibri" w:hAnsi="Times New Roman"/>
          <w:b/>
          <w:sz w:val="24"/>
          <w:szCs w:val="24"/>
          <w:lang w:eastAsia="en-US"/>
        </w:rPr>
        <w:t>REFERENCES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American Society for Testing and Materials. (2020). ASTM D143: Standard test methods for small clear specimens of timber. ASTM International.</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British Standards Institution. (2009). BS 1186-3: Timber for and in buildings - Part 3: Classification of timber for appearance purposes. BSI.</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Ching, F. D. K. (2014). Form, space, and order (4th ed.). John Wiley &amp; Sons.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Hoadley, R. B. (2000). Understanding wood: A craftsman's guide to wood technology (2nd ed.). Taunton Press.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Kroemer, K. H. E., &amp; Grandjean, E. (2017). Fitting the task to the human: A textbook of occupational ergonomics (6th ed.). CRC Press.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National Hardwood Lumber Association. (Current Edition). Rules for the measurement &amp; inspection of hardwood &amp; cypress lumber. NHLA.</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Nigerian Industrial Standard. (2007). NIS 083: Timber species: Characteristics and applications. Standards Organisation of Nigeria.</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Pile, J. F. (2013). A history of interior design (4th ed.). Laurence King Publishing.</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Stokes, J. (2012). Furniture making: A complete manual. Taunton Press.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r>
        <w:rPr>
          <w:rFonts w:ascii="Times New Roman" w:cs="Times New Roman" w:eastAsia="Times New Roman" w:hAnsi="Times New Roman"/>
          <w:sz w:val="24"/>
          <w:szCs w:val="24"/>
          <w:lang w:val="en-US" w:bidi="ar-SA" w:eastAsia="en-US"/>
        </w:rPr>
        <w:t>U.S. Department of Agriculture, Forest Service, Forest Products Laboratory. (2010). Wood handbook: Wood as an engineering material. Centennial Edition, FPL–GTR–190.</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val="en-US" w:bidi="ar-SA" w:eastAsia="en-US"/>
        </w:rPr>
      </w:pPr>
    </w:p>
    <w:p>
      <w:pPr>
        <w:pStyle w:val="style0"/>
        <w:spacing w:after="0" w:lineRule="auto" w:line="480"/>
        <w:ind w:firstLine="720"/>
        <w:jc w:val="both"/>
        <w:rPr>
          <w:rFonts w:ascii="Times New Roman" w:cs="Times New Roman" w:hAnsi="Times New Roman" w:hint="default"/>
          <w:b w:val="false"/>
          <w:bCs w:val="false"/>
          <w:i w:val="false"/>
          <w:iCs w:val="false"/>
          <w:color w:val="auto"/>
          <w:sz w:val="24"/>
          <w:szCs w:val="24"/>
          <w:highlight w:val="none"/>
          <w:vertAlign w:val="baseline"/>
          <w:lang w:val="en-US" w:eastAsia="en-US"/>
        </w:rPr>
      </w:pPr>
    </w:p>
    <w:sectPr>
      <w:footerReference w:type="default" r:id="rId23"/>
      <w:pgSz w:w="12240" w:h="15840" w:orient="portrait"/>
      <w:pgMar w:top="907" w:right="1440" w:bottom="1440" w:left="1440" w:header="720" w:footer="720" w:gutter="0"/>
      <w:pgNumType w:fmt="decimal"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SimSun"/>
    <w:panose1 w:val="02010600030000010101"/>
    <w:charset w:val="86"/>
    <w:family w:val="auto"/>
    <w:pitch w:val="variable"/>
    <w:sig w:usb0="00000003" w:usb1="080E0000" w:usb2="00000010" w:usb3="00000000" w:csb0="00040001" w:csb1="00000000"/>
  </w:font>
  <w:font w:name="SimSun">
    <w:altName w:val="SimSun"/>
    <w:panose1 w:val="02010600030000010101"/>
    <w:charset w:val="86"/>
    <w:family w:val="auto"/>
    <w:pitch w:val="default"/>
    <w:sig w:usb0="00000203" w:usb1="288F0000" w:usb2="00000006" w:usb3="00000000" w:csb0="00040001" w:csb1="00000000"/>
  </w:font>
  <w:font w:name="Arial">
    <w:altName w:val="Arial"/>
    <w:panose1 w:val="020b0604020000020204"/>
    <w:charset w:val="00"/>
    <w:family w:val="swiss"/>
    <w:pitch w:val="default"/>
    <w:sig w:usb0="E0002EFF" w:usb1="C000785B" w:usb2="00000009" w:usb3="00000000" w:csb0="400001FF" w:csb1="FFFF0000"/>
  </w:font>
  <w:font w:name="黑体">
    <w:altName w:val="SimSun"/>
    <w:panose1 w:val="02010600030000010101"/>
    <w:charset w:val="86"/>
    <w:family w:val="auto"/>
    <w:pitch w:val="default"/>
    <w:sig w:usb0="00000001" w:usb1="080E0000" w:usb2="00000010" w:usb3="00000000" w:csb0="00040000" w:csb1="00000000"/>
  </w:font>
  <w:font w:name="Courier New">
    <w:altName w:val="Courier New"/>
    <w:panose1 w:val="02070309020000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altName w:val="Microsoft YaHei"/>
    <w:panose1 w:val="020b0503020000020204"/>
    <w:charset w:val="86"/>
    <w:family w:val="auto"/>
    <w:pitch w:val="default"/>
    <w:sig w:usb0="80000287" w:usb1="2ACF3C50" w:usb2="00000016" w:usb3="00000000" w:csb0="0004001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sz w:val="22"/>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Text Box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sz w:val="22"/>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8" name="Text Box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8">
                      <w:txbxContent>
                        <w:p>
                          <w:pPr>
                            <w:pStyle w:val="style32"/>
                            <w:rPr/>
                          </w:pPr>
                          <w:r>
                            <w:rPr/>
                            <w:fldChar w:fldCharType="begin"/>
                          </w:r>
                          <w:r>
                            <w:instrText xml:space="preserve"> PAGE  \* MERGEFORMAT </w:instrText>
                          </w:r>
                          <w:r>
                            <w:rPr/>
                            <w:fldChar w:fldCharType="separate"/>
                          </w:r>
                          <w:r>
                            <w:t>II</w:t>
                          </w:r>
                          <w:r>
                            <w:rPr/>
                            <w:fldChar w:fldCharType="end"/>
                          </w:r>
                        </w:p>
                      </w:txbxContent>
                    </wps:txbx>
                    <wps:bodyPr lIns="0" rIns="0" tIns="0" bIns="0" vert="horz" anchor="t" wrap="none" upright="false">
                      <a:prstTxWarp prst="textNoShape"/>
                      <a:spAutoFit/>
                    </wps:bodyPr>
                  </wps:wsp>
                </a:graphicData>
              </a:graphic>
            </wp:anchor>
          </w:drawing>
        </mc:Choice>
        <mc:Fallback>
          <w:pict>
            <v:rect id="4098" filled="f" stroked="f" style="position:absolute;margin-left:0.0pt;margin-top:0.0pt;width:144.0pt;height:144.0pt;z-index:3;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II</w:t>
                    </w:r>
                    <w:r>
                      <w:rPr/>
                      <w:fldChar w:fldCharType="end"/>
                    </w:r>
                  </w:p>
                </w:txbxContent>
              </v:textbox>
            </v:rect>
          </w:pict>
        </mc:Fallback>
      </mc:AlternateConten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sz w:val="22"/>
      </w:rPr>
      <mc:AlternateContent>
        <mc:Choice Requires="wps">
          <w:drawing>
            <wp:anchor distT="0" distB="0" distL="0" distR="0" simplePos="false" relativeHeight="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9" name="Text Box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9">
                      <w:txbxContent>
                        <w:p>
                          <w:pPr>
                            <w:pStyle w:val="style32"/>
                            <w:rPr/>
                          </w:pPr>
                          <w:r>
                            <w:rPr/>
                            <w:fldChar w:fldCharType="begin"/>
                          </w:r>
                          <w:r>
                            <w:instrText xml:space="preserve"> PAGE  \* MERGEFORMAT </w:instrText>
                          </w:r>
                          <w:r>
                            <w:rPr/>
                            <w:fldChar w:fldCharType="separate"/>
                          </w:r>
                          <w:r>
                            <w:t>II</w:t>
                          </w:r>
                          <w:r>
                            <w:rPr/>
                            <w:fldChar w:fldCharType="end"/>
                          </w:r>
                        </w:p>
                      </w:txbxContent>
                    </wps:txbx>
                    <wps:bodyPr lIns="0" rIns="0" tIns="0" bIns="0" vert="horz" anchor="t" wrap="none" upright="false">
                      <a:prstTxWarp prst="textNoShape"/>
                      <a:spAutoFit/>
                    </wps:bodyPr>
                  </wps:wsp>
                </a:graphicData>
              </a:graphic>
            </wp:anchor>
          </w:drawing>
        </mc:Choice>
        <mc:Fallback>
          <w:pict>
            <v:rect id="4099" filled="f" stroked="f" style="position:absolute;margin-left:0.0pt;margin-top:0.0pt;width:144.0pt;height:144.0pt;z-index:4;mso-position-horizontal:center;mso-position-horizontal-relative:margin;mso-position-vertical-relative:text;mso-width-relative:page;mso-height-relative:page;mso-wrap-distance-left:0.0pt;mso-wrap-distance-right:0.0pt;visibility:visible;mso-wrap-style:none;">
              <v:stroke on="f"/>
              <v:fill/>
              <v:textbox inset="0.0pt,0.0pt,0.0pt,0.0pt" style="mso-fit-shape-to-text:true;">
                <w:txbxContent>
                  <w:p>
                    <w:pPr>
                      <w:pStyle w:val="style32"/>
                      <w:rPr/>
                    </w:pPr>
                    <w:r>
                      <w:rPr/>
                      <w:fldChar w:fldCharType="begin"/>
                    </w:r>
                    <w:r>
                      <w:instrText xml:space="preserve"> PAGE  \* MERGEFORMAT </w:instrText>
                    </w:r>
                    <w:r>
                      <w:rPr/>
                      <w:fldChar w:fldCharType="separate"/>
                    </w:r>
                    <w:r>
                      <w:t>II</w:t>
                    </w:r>
                    <w:r>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start w:val="1"/>
      <w:numFmt w:val="decimal"/>
      <w:suff w:val="space"/>
      <w:lvlText w:val="%1."/>
      <w:lvlJc w:val="left"/>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rPr>
    </w:rPrDefault>
    <w:pPrDefault>
      <w:pPr/>
    </w:pPrDefault>
  </w:docDefaults>
  <w:style w:type="paragraph" w:default="1" w:styleId="style0">
    <w:name w:val="Normal"/>
    <w:next w:val="style0"/>
    <w:qFormat/>
    <w:uiPriority w:val="0"/>
    <w:pPr>
      <w:spacing w:after="200" w:lineRule="auto" w:line="276"/>
    </w:pPr>
    <w:rPr>
      <w:rFonts w:ascii="Calibri" w:cs="Times New Roman" w:eastAsia="SimSun" w:hAnsi="Calibri"/>
      <w:sz w:val="22"/>
      <w:szCs w:val="22"/>
      <w:lang w:val="en-US" w:bidi="ar-SA" w:eastAsia="zh-CN"/>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32">
    <w:name w:val="footer"/>
    <w:basedOn w:val="style0"/>
    <w:next w:val="style32"/>
    <w:link w:val="style4098"/>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097"/>
    <w:qFormat/>
    <w:uiPriority w:val="99"/>
    <w:pPr>
      <w:tabs>
        <w:tab w:val="center" w:leader="none" w:pos="4680"/>
        <w:tab w:val="right" w:leader="none" w:pos="9360"/>
      </w:tabs>
      <w:spacing w:after="0" w:lineRule="auto" w:line="240"/>
    </w:pPr>
    <w:rPr/>
  </w:style>
  <w:style w:type="character" w:customStyle="1" w:styleId="style4097">
    <w:name w:val="Header Char_c276f1e2-c57a-47c4-a501-c83a91466953"/>
    <w:basedOn w:val="style65"/>
    <w:next w:val="style4097"/>
    <w:link w:val="style31"/>
    <w:qFormat/>
    <w:uiPriority w:val="99"/>
    <w:rPr>
      <w:sz w:val="22"/>
      <w:szCs w:val="22"/>
    </w:rPr>
  </w:style>
  <w:style w:type="character" w:customStyle="1" w:styleId="style4098">
    <w:name w:val="Footer Char_1bf530de-c8cc-43e2-bae7-3c4d58f06f69"/>
    <w:basedOn w:val="style65"/>
    <w:next w:val="style4098"/>
    <w:link w:val="style32"/>
    <w:qFormat/>
    <w:uiPriority w:val="99"/>
    <w:rPr>
      <w:sz w:val="22"/>
      <w:szCs w:val="22"/>
    </w:rPr>
  </w:style>
</w:styles>
</file>

<file path=word/_rels/document.xml.rels><?xml version="1.0" encoding="UTF-8"?>
<Relationships xmlns="http://schemas.openxmlformats.org/package/2006/relationships"><Relationship Id="rId20" Type="http://schemas.openxmlformats.org/officeDocument/2006/relationships/image" Target="media/image17.jpeg"/><Relationship Id="rId22" Type="http://schemas.openxmlformats.org/officeDocument/2006/relationships/image" Target="media/image19.jpeg"/><Relationship Id="rId21" Type="http://schemas.openxmlformats.org/officeDocument/2006/relationships/image" Target="media/image18.jpeg"/><Relationship Id="rId24" Type="http://schemas.openxmlformats.org/officeDocument/2006/relationships/styles" Target="styles.xml"/><Relationship Id="rId23"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image" Target="media/image6.jpeg"/><Relationship Id="rId26" Type="http://schemas.openxmlformats.org/officeDocument/2006/relationships/settings" Target="settings.xml"/><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10.jpeg"/><Relationship Id="rId12" Type="http://schemas.openxmlformats.org/officeDocument/2006/relationships/image" Target="media/image9.jpeg"/><Relationship Id="rId15" Type="http://schemas.openxmlformats.org/officeDocument/2006/relationships/image" Target="media/image12.jpeg"/><Relationship Id="rId14" Type="http://schemas.openxmlformats.org/officeDocument/2006/relationships/image" Target="media/image11.jpeg"/><Relationship Id="rId17" Type="http://schemas.openxmlformats.org/officeDocument/2006/relationships/image" Target="media/image14.jpeg"/><Relationship Id="rId16" Type="http://schemas.openxmlformats.org/officeDocument/2006/relationships/image" Target="media/image13.jpeg"/><Relationship Id="rId19" Type="http://schemas.openxmlformats.org/officeDocument/2006/relationships/image" Target="media/image16.jpeg"/><Relationship Id="rId1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144</TotalTime>
  <Words>9034</Words>
  <Pages>63</Pages>
  <Characters>55314</Characters>
  <Application>WPS Office</Application>
  <DocSecurity>0</DocSecurity>
  <Paragraphs>486</Paragraphs>
  <ScaleCrop>false</ScaleCrop>
  <LinksUpToDate>false</LinksUpToDate>
  <CharactersWithSpaces>64407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2025-05-10T11:29:00Z</dcterms:created>
  <dc:creator>Infinix X657C</dc:creator>
  <lastModifiedBy>SM-G9860</lastModifiedBy>
  <lastPrinted>2025-05-10T13:57:00Z</lastPrinted>
  <dcterms:modified xsi:type="dcterms:W3CDTF">2025-07-10T18:25:14Z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55cc64388d0841c2aaf0bfba09004fd5</vt:lpwstr>
  </property>
  <property fmtid="{D5CDD505-2E9C-101B-9397-08002B2CF9AE}" pid="3" name="KSOProductBuildVer">
    <vt:lpwstr>1033-12.2.0.21546</vt:lpwstr>
  </property>
</Properties>
</file>