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B9DC" w14:textId="77777777"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2B11C8CB" w14:textId="77777777" w:rsidR="0055334D" w:rsidRPr="0055334D" w:rsidRDefault="0055334D" w:rsidP="0033040D">
      <w:pPr>
        <w:spacing w:line="480" w:lineRule="auto"/>
        <w:jc w:val="center"/>
        <w:rPr>
          <w:rFonts w:ascii="Times New Roman" w:hAnsi="Times New Roman" w:cs="Times New Roman"/>
          <w:b/>
          <w:bCs/>
          <w:sz w:val="36"/>
          <w:szCs w:val="36"/>
        </w:rPr>
      </w:pPr>
      <w:r w:rsidRPr="0055334D">
        <w:rPr>
          <w:rFonts w:ascii="Times New Roman" w:hAnsi="Times New Roman" w:cs="Times New Roman"/>
          <w:b/>
          <w:bCs/>
          <w:sz w:val="36"/>
          <w:szCs w:val="36"/>
        </w:rPr>
        <w:t xml:space="preserve">ADEWARA TOLULOPE MOSES </w:t>
      </w:r>
    </w:p>
    <w:p w14:paraId="178924D5" w14:textId="4871BD7C"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w:t>
      </w:r>
      <w:r w:rsidR="0055334D">
        <w:rPr>
          <w:rFonts w:ascii="Times New Roman" w:hAnsi="Times New Roman" w:cs="Times New Roman"/>
          <w:b/>
          <w:bCs/>
          <w:sz w:val="36"/>
          <w:szCs w:val="36"/>
        </w:rPr>
        <w:t>74</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C3197BB"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w:t>
      </w:r>
      <w:r w:rsidR="0055334D">
        <w:rPr>
          <w:rFonts w:ascii="Times New Roman" w:hAnsi="Times New Roman" w:cs="Times New Roman"/>
          <w:b/>
          <w:bCs/>
          <w:sz w:val="36"/>
          <w:szCs w:val="36"/>
        </w:rPr>
        <w:t xml:space="preserve"> </w:t>
      </w:r>
      <w:r>
        <w:rPr>
          <w:rFonts w:ascii="Times New Roman" w:hAnsi="Times New Roman" w:cs="Times New Roman"/>
          <w:b/>
          <w:bCs/>
          <w:sz w:val="36"/>
          <w:szCs w:val="36"/>
        </w:rPr>
        <w:t>2025</w:t>
      </w:r>
      <w:r w:rsidR="0055334D">
        <w:rPr>
          <w:rFonts w:ascii="Times New Roman" w:hAnsi="Times New Roman" w:cs="Times New Roman"/>
          <w:b/>
          <w:bCs/>
          <w:sz w:val="36"/>
          <w:szCs w:val="36"/>
        </w:rPr>
        <w:t>.</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1C222827"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55334D">
        <w:rPr>
          <w:rFonts w:ascii="Times New Roman" w:hAnsi="Times New Roman" w:cs="Times New Roman"/>
          <w:sz w:val="28"/>
          <w:szCs w:val="28"/>
        </w:rPr>
        <w:t>ADEWARA TOLULOPE MOSES</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C0452A">
        <w:rPr>
          <w:rFonts w:ascii="Times New Roman" w:hAnsi="Times New Roman" w:cs="Times New Roman"/>
          <w:sz w:val="28"/>
          <w:szCs w:val="28"/>
        </w:rPr>
        <w:t>0</w:t>
      </w:r>
      <w:r w:rsidR="0055334D">
        <w:rPr>
          <w:rFonts w:ascii="Times New Roman" w:hAnsi="Times New Roman" w:cs="Times New Roman"/>
          <w:sz w:val="28"/>
          <w:szCs w:val="28"/>
        </w:rPr>
        <w:t>74</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5494C53E" w14:textId="4C346D7E"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r w:rsidR="005A3BB5">
        <w:rPr>
          <w:rFonts w:ascii="Times New Roman" w:hAnsi="Times New Roman" w:cs="Times New Roman"/>
          <w:b/>
          <w:bCs/>
          <w:sz w:val="28"/>
          <w:szCs w:val="28"/>
        </w:rPr>
        <w:t>Ordinator</w:t>
      </w:r>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77777777"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 O.A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BBFA2F" w14:textId="77777777" w:rsidR="0033040D" w:rsidRDefault="0033040D" w:rsidP="0033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402F146A" w14:textId="1CEAC6EC" w:rsidR="00C70676" w:rsidRDefault="006142FB" w:rsidP="00C70676">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w:t>
      </w:r>
      <w:r w:rsidR="00C70676">
        <w:rPr>
          <w:rFonts w:ascii="Times New Roman" w:hAnsi="Times New Roman" w:cs="Times New Roman"/>
          <w:sz w:val="28"/>
          <w:szCs w:val="28"/>
        </w:rPr>
        <w:t xml:space="preserve">s to God </w:t>
      </w:r>
      <w:r w:rsidR="00C70676" w:rsidRPr="005A1EAB">
        <w:rPr>
          <w:rFonts w:ascii="Times New Roman" w:hAnsi="Times New Roman" w:cs="Times New Roman"/>
          <w:sz w:val="28"/>
          <w:szCs w:val="28"/>
        </w:rPr>
        <w:t xml:space="preserve">for His unlimited grace, consistent love, immeasurable faithfulness, and for sparing my life throughout my HND </w:t>
      </w:r>
      <w:r w:rsidR="00C70676" w:rsidRPr="005A1EAB">
        <w:rPr>
          <w:rFonts w:ascii="Times New Roman" w:hAnsi="Times New Roman" w:cs="Times New Roman"/>
          <w:sz w:val="28"/>
          <w:szCs w:val="28"/>
        </w:rPr>
        <w:t>program</w:t>
      </w:r>
      <w:r w:rsidR="00C70676">
        <w:rPr>
          <w:rFonts w:ascii="Times New Roman" w:hAnsi="Times New Roman" w:cs="Times New Roman"/>
          <w:sz w:val="28"/>
          <w:szCs w:val="28"/>
        </w:rPr>
        <w:t xml:space="preserve">, my loving Parents </w:t>
      </w:r>
      <w:proofErr w:type="spellStart"/>
      <w:r w:rsidR="00C70676">
        <w:rPr>
          <w:rFonts w:ascii="Times New Roman" w:hAnsi="Times New Roman" w:cs="Times New Roman"/>
          <w:sz w:val="28"/>
          <w:szCs w:val="28"/>
        </w:rPr>
        <w:t>Mr</w:t>
      </w:r>
      <w:proofErr w:type="spellEnd"/>
      <w:r w:rsidR="00C70676">
        <w:rPr>
          <w:rFonts w:ascii="Times New Roman" w:hAnsi="Times New Roman" w:cs="Times New Roman"/>
          <w:sz w:val="28"/>
          <w:szCs w:val="28"/>
        </w:rPr>
        <w:t xml:space="preserve">.&amp;Mrs. Adewara, who has been supportive all through the journey of completion of this project </w:t>
      </w:r>
      <w:r w:rsidR="00C70676" w:rsidRPr="005A1EAB">
        <w:rPr>
          <w:rFonts w:ascii="Times New Roman" w:hAnsi="Times New Roman" w:cs="Times New Roman"/>
          <w:sz w:val="28"/>
          <w:szCs w:val="28"/>
        </w:rPr>
        <w:t xml:space="preserve">and </w:t>
      </w:r>
      <w:r w:rsidR="00C70676">
        <w:rPr>
          <w:rFonts w:ascii="Times New Roman" w:hAnsi="Times New Roman" w:cs="Times New Roman"/>
          <w:sz w:val="28"/>
          <w:szCs w:val="28"/>
        </w:rPr>
        <w:t xml:space="preserve">to </w:t>
      </w:r>
      <w:r w:rsidR="00C70676" w:rsidRPr="005A1EAB">
        <w:rPr>
          <w:rFonts w:ascii="Times New Roman" w:hAnsi="Times New Roman" w:cs="Times New Roman"/>
          <w:sz w:val="28"/>
          <w:szCs w:val="28"/>
        </w:rPr>
        <w:t xml:space="preserve">my wonderful siblings for their </w:t>
      </w:r>
      <w:r w:rsidR="00C70676">
        <w:rPr>
          <w:rFonts w:ascii="Times New Roman" w:hAnsi="Times New Roman" w:cs="Times New Roman"/>
          <w:sz w:val="28"/>
          <w:szCs w:val="28"/>
        </w:rPr>
        <w:t xml:space="preserve">encouragement, </w:t>
      </w:r>
      <w:r w:rsidR="00C70676" w:rsidRPr="005A1EAB">
        <w:rPr>
          <w:rFonts w:ascii="Times New Roman" w:hAnsi="Times New Roman" w:cs="Times New Roman"/>
          <w:sz w:val="28"/>
          <w:szCs w:val="28"/>
        </w:rPr>
        <w:t xml:space="preserve">support and unquantifiable assistance throughout the whole exercise, and also to my beloved friends </w:t>
      </w:r>
      <w:r w:rsidR="00C70676">
        <w:rPr>
          <w:rFonts w:ascii="Times New Roman" w:hAnsi="Times New Roman" w:cs="Times New Roman"/>
          <w:sz w:val="28"/>
          <w:szCs w:val="28"/>
        </w:rPr>
        <w:t xml:space="preserve">more especially my project mates, we encourage ourselves even when it tiring and when we feel like giving up our </w:t>
      </w:r>
      <w:r w:rsidR="005A3BB5">
        <w:rPr>
          <w:rFonts w:ascii="Times New Roman" w:hAnsi="Times New Roman" w:cs="Times New Roman"/>
          <w:sz w:val="28"/>
          <w:szCs w:val="28"/>
        </w:rPr>
        <w:t>hard work</w:t>
      </w:r>
      <w:r w:rsidR="00C70676">
        <w:rPr>
          <w:rFonts w:ascii="Times New Roman" w:hAnsi="Times New Roman" w:cs="Times New Roman"/>
          <w:sz w:val="28"/>
          <w:szCs w:val="28"/>
        </w:rPr>
        <w:t xml:space="preserve"> has paid off all thanks to God. </w:t>
      </w:r>
    </w:p>
    <w:p w14:paraId="1F34DEB7" w14:textId="692EEB4A" w:rsidR="0033040D" w:rsidRDefault="0033040D" w:rsidP="00C70676">
      <w:pPr>
        <w:tabs>
          <w:tab w:val="left" w:pos="2160"/>
        </w:tabs>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3A8AF4E6" w14:textId="77777777" w:rsidR="0033040D" w:rsidRDefault="0033040D" w:rsidP="0033040D">
      <w:pPr>
        <w:spacing w:line="480" w:lineRule="auto"/>
        <w:jc w:val="both"/>
        <w:rPr>
          <w:rFonts w:ascii="Times New Roman" w:hAnsi="Times New Roman" w:cs="Times New Roman"/>
          <w:b/>
          <w:bCs/>
          <w:sz w:val="28"/>
          <w:szCs w:val="28"/>
        </w:rPr>
      </w:pPr>
    </w:p>
    <w:p w14:paraId="6BE28A9D" w14:textId="77777777" w:rsidR="003B7D1A" w:rsidRDefault="003B7D1A" w:rsidP="00C35172">
      <w:pPr>
        <w:spacing w:line="480" w:lineRule="auto"/>
        <w:jc w:val="center"/>
        <w:rPr>
          <w:rFonts w:ascii="Times New Roman" w:hAnsi="Times New Roman" w:cs="Times New Roman"/>
          <w:b/>
          <w:bCs/>
          <w:sz w:val="28"/>
          <w:szCs w:val="28"/>
        </w:rPr>
      </w:pPr>
    </w:p>
    <w:p w14:paraId="02D55EA0" w14:textId="77777777" w:rsidR="003B7D1A" w:rsidRDefault="003B7D1A" w:rsidP="00C35172">
      <w:pPr>
        <w:spacing w:line="480" w:lineRule="auto"/>
        <w:jc w:val="center"/>
        <w:rPr>
          <w:rFonts w:ascii="Times New Roman" w:hAnsi="Times New Roman" w:cs="Times New Roman"/>
          <w:b/>
          <w:bCs/>
          <w:sz w:val="28"/>
          <w:szCs w:val="28"/>
        </w:rPr>
      </w:pPr>
    </w:p>
    <w:p w14:paraId="58B4BE91" w14:textId="0F6FD110" w:rsidR="00C35172" w:rsidRPr="00C35172" w:rsidRDefault="0033040D" w:rsidP="003B7D1A">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28FFA442" w14:textId="5EA7C380" w:rsidR="00C35172" w:rsidRPr="00C35172" w:rsidRDefault="00C35172" w:rsidP="00C35172">
      <w:pPr>
        <w:rPr>
          <w:sz w:val="24"/>
          <w:szCs w:val="24"/>
        </w:rPr>
      </w:pPr>
      <w:r w:rsidRPr="00C35172">
        <w:rPr>
          <w:sz w:val="24"/>
          <w:szCs w:val="24"/>
        </w:rPr>
        <w:t xml:space="preserve">I give all thanks and praises to Almighty </w:t>
      </w:r>
      <w:r w:rsidR="002062F4">
        <w:rPr>
          <w:sz w:val="24"/>
          <w:szCs w:val="24"/>
        </w:rPr>
        <w:t>God,</w:t>
      </w:r>
      <w:r w:rsidRPr="00C35172">
        <w:rPr>
          <w:sz w:val="24"/>
          <w:szCs w:val="24"/>
        </w:rPr>
        <w:t xml:space="preserve"> for His guidance, strength, and protection throughout my academic journey.</w:t>
      </w:r>
      <w:r w:rsidRPr="00C35172">
        <w:rPr>
          <w:sz w:val="24"/>
          <w:szCs w:val="24"/>
        </w:rPr>
        <w:br/>
      </w:r>
      <w:r w:rsidRPr="00C35172">
        <w:rPr>
          <w:sz w:val="24"/>
          <w:szCs w:val="24"/>
        </w:rPr>
        <w:br/>
        <w:t xml:space="preserve">I appreciate my dear parents, </w:t>
      </w:r>
      <w:r w:rsidR="005B42E8" w:rsidRPr="00C35172">
        <w:rPr>
          <w:sz w:val="24"/>
          <w:szCs w:val="24"/>
        </w:rPr>
        <w:t>Mr.</w:t>
      </w:r>
      <w:r w:rsidRPr="00C35172">
        <w:rPr>
          <w:sz w:val="24"/>
          <w:szCs w:val="24"/>
        </w:rPr>
        <w:t xml:space="preserve"> and Mrs. </w:t>
      </w:r>
      <w:r w:rsidR="002062F4">
        <w:rPr>
          <w:sz w:val="24"/>
          <w:szCs w:val="24"/>
        </w:rPr>
        <w:t>Adewara</w:t>
      </w:r>
      <w:r w:rsidRPr="00C35172">
        <w:rPr>
          <w:sz w:val="24"/>
          <w:szCs w:val="24"/>
        </w:rPr>
        <w:t xml:space="preserve">, for their endless love, sacrifices, and prayers. To my siblings </w:t>
      </w:r>
      <w:r w:rsidR="002062F4">
        <w:rPr>
          <w:sz w:val="24"/>
          <w:szCs w:val="24"/>
        </w:rPr>
        <w:t>SEGUN</w:t>
      </w:r>
      <w:r w:rsidRPr="00C35172">
        <w:rPr>
          <w:sz w:val="24"/>
          <w:szCs w:val="24"/>
        </w:rPr>
        <w:t xml:space="preserve">, </w:t>
      </w:r>
      <w:r w:rsidR="002062F4">
        <w:rPr>
          <w:sz w:val="24"/>
          <w:szCs w:val="24"/>
        </w:rPr>
        <w:t>PELUMI</w:t>
      </w:r>
      <w:r w:rsidRPr="00C35172">
        <w:rPr>
          <w:sz w:val="24"/>
          <w:szCs w:val="24"/>
        </w:rPr>
        <w:t xml:space="preserve">, and </w:t>
      </w:r>
      <w:r w:rsidR="002062F4">
        <w:rPr>
          <w:sz w:val="24"/>
          <w:szCs w:val="24"/>
        </w:rPr>
        <w:t>TOYOSI</w:t>
      </w:r>
      <w:r w:rsidRPr="00C35172">
        <w:rPr>
          <w:sz w:val="24"/>
          <w:szCs w:val="24"/>
        </w:rPr>
        <w:t>, thank you for your support and encouragement.</w:t>
      </w:r>
      <w:r w:rsidRPr="00C35172">
        <w:rPr>
          <w:sz w:val="24"/>
          <w:szCs w:val="24"/>
        </w:rPr>
        <w:br/>
      </w:r>
      <w:r w:rsidRPr="00C35172">
        <w:rPr>
          <w:sz w:val="24"/>
          <w:szCs w:val="24"/>
        </w:rPr>
        <w:br/>
        <w:t xml:space="preserve">My special appreciation goes to the Rector, ENGR. Dr. ABDUL JIMOH MUHAMMED, and the Director of IOT, ENGR. Dr. </w:t>
      </w:r>
      <w:r w:rsidR="005B42E8">
        <w:rPr>
          <w:sz w:val="24"/>
          <w:szCs w:val="24"/>
        </w:rPr>
        <w:t>M.Z.</w:t>
      </w:r>
      <w:r w:rsidRPr="00C35172">
        <w:rPr>
          <w:sz w:val="24"/>
          <w:szCs w:val="24"/>
        </w:rPr>
        <w:t xml:space="preserve"> OBA, and my HOD, ENGR. Dr. O. A. LAWAL, for their commitment to excellence in the institution.</w:t>
      </w:r>
      <w:r w:rsidRPr="00C35172">
        <w:rPr>
          <w:sz w:val="24"/>
          <w:szCs w:val="24"/>
        </w:rPr>
        <w:br/>
      </w:r>
      <w:r w:rsidRPr="00C35172">
        <w:rPr>
          <w:sz w:val="24"/>
          <w:szCs w:val="24"/>
        </w:rPr>
        <w:br/>
        <w:t>My heartfelt gratitude goes to my supervisor, ENGR. Z. A. ABDULKADIR, for her patient supervision and invaluable contributions to our research titled “Studying the Developmental Benefits and Future Trends of Mobile Network Generations.”</w:t>
      </w:r>
      <w:r w:rsidRPr="00C35172">
        <w:rPr>
          <w:sz w:val="24"/>
          <w:szCs w:val="24"/>
        </w:rPr>
        <w:br/>
      </w:r>
      <w:r w:rsidRPr="00C35172">
        <w:rPr>
          <w:sz w:val="24"/>
          <w:szCs w:val="24"/>
        </w:rPr>
        <w:br/>
        <w:t>My sincere thanks to my project partners: ADEWARA TOLULOPE MOSES, SAMUEL TIMILEYIN AKANMU, and SANNI KAZEEM OLUWATOSIN.</w:t>
      </w:r>
      <w:r w:rsidRPr="00C35172">
        <w:rPr>
          <w:sz w:val="24"/>
          <w:szCs w:val="24"/>
        </w:rPr>
        <w:br/>
      </w:r>
      <w:r w:rsidRPr="00C35172">
        <w:rPr>
          <w:sz w:val="24"/>
          <w:szCs w:val="24"/>
        </w:rPr>
        <w:br/>
        <w:t xml:space="preserve">I also appreciate my friends QUADRI, </w:t>
      </w:r>
      <w:r w:rsidR="002062F4">
        <w:rPr>
          <w:sz w:val="24"/>
          <w:szCs w:val="24"/>
        </w:rPr>
        <w:t>BALLO</w:t>
      </w:r>
      <w:r w:rsidRPr="00C35172">
        <w:rPr>
          <w:sz w:val="24"/>
          <w:szCs w:val="24"/>
        </w:rPr>
        <w:t xml:space="preserve">, </w:t>
      </w:r>
      <w:r w:rsidR="002062F4">
        <w:rPr>
          <w:sz w:val="24"/>
          <w:szCs w:val="24"/>
        </w:rPr>
        <w:t>BODE</w:t>
      </w:r>
      <w:r w:rsidRPr="00C35172">
        <w:rPr>
          <w:sz w:val="24"/>
          <w:szCs w:val="24"/>
        </w:rPr>
        <w:t xml:space="preserve">, </w:t>
      </w:r>
      <w:r w:rsidR="002062F4">
        <w:rPr>
          <w:sz w:val="24"/>
          <w:szCs w:val="24"/>
        </w:rPr>
        <w:t>LAMBE DANIEL</w:t>
      </w:r>
      <w:r w:rsidRPr="00C35172">
        <w:rPr>
          <w:sz w:val="24"/>
          <w:szCs w:val="24"/>
        </w:rPr>
        <w:t>, TOHEEB, KAZEEM, TIMILEYIN, TABITHA, PREVAIL, TIFE, and ABDULLAHI KAOSARA for their support.</w:t>
      </w:r>
      <w:r w:rsidRPr="00C35172">
        <w:rPr>
          <w:sz w:val="24"/>
          <w:szCs w:val="24"/>
        </w:rPr>
        <w:br/>
      </w:r>
      <w:r w:rsidRPr="00C35172">
        <w:rPr>
          <w:sz w:val="24"/>
          <w:szCs w:val="24"/>
        </w:rPr>
        <w:br/>
        <w:t>To my classmates and well-wishers, I’m grateful. Any name not mentioned is not forgotten. May Almighty Allah bless you all.</w:t>
      </w:r>
    </w:p>
    <w:p w14:paraId="34AB9D35" w14:textId="77777777" w:rsidR="0033040D" w:rsidRPr="0029580A" w:rsidRDefault="0033040D" w:rsidP="0033040D">
      <w:pPr>
        <w:spacing w:line="480" w:lineRule="auto"/>
        <w:jc w:val="both"/>
        <w:rPr>
          <w:rFonts w:ascii="Times New Roman" w:hAnsi="Times New Roman" w:cs="Times New Roman"/>
          <w:sz w:val="28"/>
          <w:szCs w:val="28"/>
        </w:rPr>
      </w:pPr>
    </w:p>
    <w:p w14:paraId="4ECA90C7" w14:textId="77777777" w:rsidR="00C35172" w:rsidRDefault="00C35172" w:rsidP="0033040D">
      <w:pPr>
        <w:spacing w:line="480" w:lineRule="auto"/>
        <w:jc w:val="center"/>
        <w:rPr>
          <w:rFonts w:ascii="Times New Roman" w:hAnsi="Times New Roman" w:cs="Times New Roman"/>
          <w:b/>
          <w:bCs/>
          <w:sz w:val="28"/>
          <w:szCs w:val="28"/>
        </w:rPr>
      </w:pPr>
    </w:p>
    <w:p w14:paraId="61F7AEA1" w14:textId="77777777" w:rsidR="002062F4" w:rsidRDefault="002062F4" w:rsidP="0033040D">
      <w:pPr>
        <w:spacing w:line="480" w:lineRule="auto"/>
        <w:jc w:val="center"/>
        <w:rPr>
          <w:rFonts w:ascii="Times New Roman" w:hAnsi="Times New Roman" w:cs="Times New Roman"/>
          <w:b/>
          <w:bCs/>
          <w:sz w:val="28"/>
          <w:szCs w:val="28"/>
        </w:rPr>
      </w:pPr>
    </w:p>
    <w:p w14:paraId="0D8378D6" w14:textId="77777777" w:rsidR="002062F4" w:rsidRDefault="002062F4" w:rsidP="0033040D">
      <w:pPr>
        <w:spacing w:line="480" w:lineRule="auto"/>
        <w:jc w:val="center"/>
        <w:rPr>
          <w:rFonts w:ascii="Times New Roman" w:hAnsi="Times New Roman" w:cs="Times New Roman"/>
          <w:b/>
          <w:bCs/>
          <w:sz w:val="28"/>
          <w:szCs w:val="28"/>
        </w:rPr>
      </w:pPr>
    </w:p>
    <w:p w14:paraId="56701C19" w14:textId="77777777" w:rsidR="002062F4" w:rsidRDefault="002062F4" w:rsidP="0033040D">
      <w:pPr>
        <w:spacing w:line="480" w:lineRule="auto"/>
        <w:jc w:val="center"/>
        <w:rPr>
          <w:rFonts w:ascii="Times New Roman" w:hAnsi="Times New Roman" w:cs="Times New Roman"/>
          <w:b/>
          <w:bCs/>
          <w:sz w:val="28"/>
          <w:szCs w:val="28"/>
        </w:rPr>
      </w:pPr>
    </w:p>
    <w:p w14:paraId="6D626470" w14:textId="77777777" w:rsidR="002062F4" w:rsidRDefault="002062F4" w:rsidP="0033040D">
      <w:pPr>
        <w:spacing w:line="480" w:lineRule="auto"/>
        <w:jc w:val="center"/>
        <w:rPr>
          <w:rFonts w:ascii="Times New Roman" w:hAnsi="Times New Roman" w:cs="Times New Roman"/>
          <w:b/>
          <w:bCs/>
          <w:sz w:val="28"/>
          <w:szCs w:val="28"/>
        </w:rPr>
      </w:pPr>
    </w:p>
    <w:p w14:paraId="36BAD824" w14:textId="25F2C453"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lastRenderedPageBreak/>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lastRenderedPageBreak/>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40</w:t>
      </w:r>
      <w:proofErr w:type="gramEnd"/>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45</w:t>
      </w:r>
      <w:proofErr w:type="gramEnd"/>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55</w:t>
      </w:r>
      <w:proofErr w:type="gramEnd"/>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60</w:t>
      </w:r>
      <w:proofErr w:type="gramEnd"/>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EB57975" w:rsidR="0033040D" w:rsidRPr="0025338D" w:rsidRDefault="0033040D" w:rsidP="00895805">
      <w:pPr>
        <w:spacing w:before="100" w:beforeAutospacing="1" w:after="100" w:afterAutospacing="1" w:line="480" w:lineRule="auto"/>
        <w:rPr>
          <w:rFonts w:ascii="Times New Roman" w:hAnsi="Times New Roman" w:cs="Times New Roman"/>
          <w:b/>
          <w:bCs/>
          <w:sz w:val="28"/>
          <w:szCs w:val="28"/>
        </w:rPr>
      </w:pP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 xml:space="preserve">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 xml:space="preserve">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 xml:space="preserve">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 xml:space="preserve">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4.2.1  1</w:t>
      </w:r>
      <w:proofErr w:type="gramEnd"/>
      <w:r w:rsidRPr="00662C89">
        <w:rPr>
          <w:rFonts w:ascii="Times New Roman" w:hAnsi="Times New Roman" w:cs="Times New Roman"/>
          <w:b/>
          <w:bCs/>
          <w:sz w:val="28"/>
          <w:szCs w:val="28"/>
        </w:rPr>
        <w:t>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793A2D">
            <w:pPr>
              <w:spacing w:after="160" w:line="480" w:lineRule="auto"/>
              <w:jc w:val="both"/>
              <w:rPr>
                <w:sz w:val="28"/>
                <w:szCs w:val="28"/>
              </w:rPr>
            </w:pPr>
            <w:r w:rsidRPr="00662C89">
              <w:rPr>
                <w:sz w:val="28"/>
                <w:szCs w:val="28"/>
              </w:rPr>
              <w:t>Developmental Impact</w:t>
            </w:r>
          </w:p>
        </w:tc>
      </w:tr>
      <w:tr w:rsidR="0033040D" w:rsidRPr="00662C89" w14:paraId="1C3C8F00"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793A2D">
            <w:pPr>
              <w:spacing w:after="160" w:line="480" w:lineRule="auto"/>
              <w:jc w:val="both"/>
              <w:rPr>
                <w:sz w:val="28"/>
                <w:szCs w:val="28"/>
              </w:rPr>
            </w:pPr>
            <w:r w:rsidRPr="00662C89">
              <w:rPr>
                <w:sz w:val="28"/>
                <w:szCs w:val="28"/>
              </w:rPr>
              <w:t>First step in wireless telephony; enhanced business mobility [</w:t>
            </w:r>
          </w:p>
        </w:tc>
      </w:tr>
      <w:tr w:rsidR="0033040D" w:rsidRPr="00662C89" w14:paraId="09F25D6C"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793A2D">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793A2D">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793A2D">
            <w:pPr>
              <w:spacing w:after="160" w:line="480" w:lineRule="auto"/>
              <w:jc w:val="both"/>
              <w:rPr>
                <w:sz w:val="28"/>
                <w:szCs w:val="28"/>
              </w:rPr>
            </w:pPr>
            <w:r w:rsidRPr="00662C89">
              <w:rPr>
                <w:sz w:val="28"/>
                <w:szCs w:val="28"/>
              </w:rPr>
              <w:t xml:space="preserve">Foundation for smart cities, 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793A2D">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793A2D">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793A2D">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793A2D">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26E66BC8" w14:textId="77777777"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C25C" w14:textId="77777777" w:rsidR="005911F5" w:rsidRDefault="005911F5">
      <w:pPr>
        <w:spacing w:after="0" w:line="240" w:lineRule="auto"/>
      </w:pPr>
      <w:r>
        <w:separator/>
      </w:r>
    </w:p>
  </w:endnote>
  <w:endnote w:type="continuationSeparator" w:id="0">
    <w:p w14:paraId="1A9B514D" w14:textId="77777777" w:rsidR="005911F5" w:rsidRDefault="0059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3D878D2F" w14:textId="77777777" w:rsidR="00927E22" w:rsidRDefault="004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0069D"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319F" w14:textId="77777777" w:rsidR="005911F5" w:rsidRDefault="005911F5">
      <w:pPr>
        <w:spacing w:after="0" w:line="240" w:lineRule="auto"/>
      </w:pPr>
      <w:r>
        <w:separator/>
      </w:r>
    </w:p>
  </w:footnote>
  <w:footnote w:type="continuationSeparator" w:id="0">
    <w:p w14:paraId="5EC4BF52" w14:textId="77777777" w:rsidR="005911F5" w:rsidRDefault="00591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D"/>
    <w:rsid w:val="00020F53"/>
    <w:rsid w:val="00067CD1"/>
    <w:rsid w:val="000A5374"/>
    <w:rsid w:val="00100A50"/>
    <w:rsid w:val="001659D4"/>
    <w:rsid w:val="0019291C"/>
    <w:rsid w:val="002062F4"/>
    <w:rsid w:val="00290C6D"/>
    <w:rsid w:val="002D4FEF"/>
    <w:rsid w:val="002E4C01"/>
    <w:rsid w:val="0033040D"/>
    <w:rsid w:val="003B7D1A"/>
    <w:rsid w:val="00442178"/>
    <w:rsid w:val="00484B65"/>
    <w:rsid w:val="004866FC"/>
    <w:rsid w:val="004F0BFA"/>
    <w:rsid w:val="0055334D"/>
    <w:rsid w:val="005911F5"/>
    <w:rsid w:val="005A1EAB"/>
    <w:rsid w:val="005A3BB5"/>
    <w:rsid w:val="005B42E8"/>
    <w:rsid w:val="006142FB"/>
    <w:rsid w:val="00663C46"/>
    <w:rsid w:val="00670C46"/>
    <w:rsid w:val="006C23B3"/>
    <w:rsid w:val="00827F59"/>
    <w:rsid w:val="00895805"/>
    <w:rsid w:val="008A228F"/>
    <w:rsid w:val="008C798E"/>
    <w:rsid w:val="008F2680"/>
    <w:rsid w:val="00927E22"/>
    <w:rsid w:val="00A552F3"/>
    <w:rsid w:val="00A848DD"/>
    <w:rsid w:val="00B91622"/>
    <w:rsid w:val="00C0452A"/>
    <w:rsid w:val="00C35172"/>
    <w:rsid w:val="00C70676"/>
    <w:rsid w:val="00D42B2A"/>
    <w:rsid w:val="00D57CCF"/>
    <w:rsid w:val="00ED615F"/>
    <w:rsid w:val="00EF506D"/>
    <w:rsid w:val="00F6562D"/>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78</Pages>
  <Words>13507</Words>
  <Characters>76992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adewaratolulope37@gmail.com</cp:lastModifiedBy>
  <cp:revision>9</cp:revision>
  <dcterms:created xsi:type="dcterms:W3CDTF">2025-07-09T14:33:00Z</dcterms:created>
  <dcterms:modified xsi:type="dcterms:W3CDTF">2025-07-10T14:10:00Z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