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659" w:rsidRDefault="009435CA">
      <w:pPr>
        <w:pStyle w:val="normal0"/>
        <w:spacing w:line="360" w:lineRule="auto"/>
        <w:ind w:left="220" w:right="120"/>
        <w:jc w:val="center"/>
        <w:rPr>
          <w:rFonts w:ascii="Times New Roman" w:eastAsia="Times New Roman" w:hAnsi="Times New Roman" w:cs="Times New Roman"/>
          <w:b/>
          <w:sz w:val="28"/>
          <w:szCs w:val="28"/>
        </w:rPr>
      </w:pPr>
      <w:r>
        <w:rPr>
          <w:b/>
          <w:sz w:val="28"/>
          <w:szCs w:val="28"/>
        </w:rPr>
        <w:t xml:space="preserve">   </w:t>
      </w:r>
      <w:r>
        <w:rPr>
          <w:rFonts w:ascii="Times New Roman" w:eastAsia="Times New Roman" w:hAnsi="Times New Roman" w:cs="Times New Roman"/>
          <w:b/>
          <w:sz w:val="24"/>
          <w:szCs w:val="24"/>
        </w:rPr>
        <w:t xml:space="preserve"> </w:t>
      </w:r>
    </w:p>
    <w:p w:rsidR="00C57659" w:rsidRDefault="009435CA" w:rsidP="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DETERMINATION OF PROXIMATE AND MINERAL CONTENT</w:t>
      </w:r>
    </w:p>
    <w:p w:rsidR="00C57659" w:rsidRDefault="009435CA" w:rsidP="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OF BANANA MUSA SPP</w:t>
      </w:r>
    </w:p>
    <w:p w:rsidR="00C57659" w:rsidRDefault="00C57659">
      <w:pPr>
        <w:pStyle w:val="normal0"/>
        <w:spacing w:before="240" w:after="240"/>
        <w:rPr>
          <w:rFonts w:ascii="Times New Roman" w:eastAsia="Times New Roman" w:hAnsi="Times New Roman" w:cs="Times New Roman"/>
          <w:b/>
          <w:sz w:val="28"/>
          <w:szCs w:val="28"/>
        </w:rPr>
      </w:pPr>
    </w:p>
    <w:p w:rsidR="00C57659" w:rsidRDefault="009435CA">
      <w:pPr>
        <w:pStyle w:val="normal0"/>
        <w:spacing w:before="240" w:after="240"/>
        <w:rPr>
          <w:sz w:val="24"/>
          <w:szCs w:val="24"/>
        </w:rPr>
      </w:pPr>
      <w:r>
        <w:rPr>
          <w:rFonts w:ascii="Times New Roman" w:eastAsia="Times New Roman" w:hAnsi="Times New Roman" w:cs="Times New Roman"/>
          <w:b/>
          <w:sz w:val="28"/>
          <w:szCs w:val="28"/>
        </w:rPr>
        <w:t xml:space="preserve">                                                             BY</w:t>
      </w:r>
    </w:p>
    <w:p w:rsidR="00C57659" w:rsidRPr="009435CA" w:rsidRDefault="00C57659" w:rsidP="009435CA">
      <w:pPr>
        <w:pStyle w:val="normal0"/>
        <w:spacing w:before="240" w:after="240"/>
        <w:jc w:val="center"/>
        <w:rPr>
          <w:rFonts w:ascii="Times New Roman" w:eastAsia="Times New Roman" w:hAnsi="Times New Roman" w:cs="Times New Roman"/>
          <w:b/>
          <w:sz w:val="28"/>
          <w:szCs w:val="28"/>
        </w:rPr>
      </w:pPr>
    </w:p>
    <w:p w:rsidR="009435CA" w:rsidRPr="009435CA" w:rsidRDefault="009435CA" w:rsidP="009435CA">
      <w:pPr>
        <w:pStyle w:val="normal0"/>
        <w:spacing w:before="240" w:after="240"/>
        <w:jc w:val="center"/>
        <w:rPr>
          <w:rFonts w:ascii="Times New Roman" w:eastAsia="Times New Roman" w:hAnsi="Times New Roman" w:cs="Times New Roman"/>
          <w:b/>
          <w:sz w:val="28"/>
          <w:szCs w:val="28"/>
        </w:rPr>
      </w:pPr>
      <w:r w:rsidRPr="009435CA">
        <w:rPr>
          <w:rFonts w:ascii="Times New Roman" w:eastAsia="Times New Roman" w:hAnsi="Times New Roman" w:cs="Times New Roman"/>
          <w:b/>
          <w:sz w:val="28"/>
          <w:szCs w:val="28"/>
        </w:rPr>
        <w:t>YUSUF ZAINAB ORIYOMI</w:t>
      </w:r>
    </w:p>
    <w:p w:rsidR="00C57659" w:rsidRPr="009435CA" w:rsidRDefault="009435CA" w:rsidP="009435CA">
      <w:pPr>
        <w:pStyle w:val="normal0"/>
        <w:spacing w:before="240" w:after="240"/>
        <w:jc w:val="center"/>
        <w:rPr>
          <w:rFonts w:ascii="Times New Roman" w:eastAsia="Times New Roman" w:hAnsi="Times New Roman" w:cs="Times New Roman"/>
          <w:b/>
          <w:sz w:val="28"/>
          <w:szCs w:val="28"/>
        </w:rPr>
      </w:pPr>
      <w:r w:rsidRPr="009435CA">
        <w:rPr>
          <w:rFonts w:ascii="Times New Roman" w:eastAsia="Times New Roman" w:hAnsi="Times New Roman" w:cs="Times New Roman"/>
          <w:b/>
          <w:sz w:val="28"/>
          <w:szCs w:val="28"/>
        </w:rPr>
        <w:t>HND/22/SLT/FT/0885</w:t>
      </w:r>
    </w:p>
    <w:p w:rsidR="00C57659" w:rsidRPr="009435CA" w:rsidRDefault="00C57659" w:rsidP="009435CA">
      <w:pPr>
        <w:pStyle w:val="normal0"/>
        <w:spacing w:before="240" w:after="240"/>
        <w:ind w:firstLine="720"/>
        <w:jc w:val="center"/>
        <w:rPr>
          <w:rFonts w:ascii="Times New Roman" w:eastAsia="Times New Roman" w:hAnsi="Times New Roman" w:cs="Times New Roman"/>
          <w:b/>
          <w:sz w:val="28"/>
          <w:szCs w:val="28"/>
        </w:rPr>
      </w:pP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BEING A RESEARCH PROJECT SUBMITTED TO</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DEPARTMENT OF SCIENCE LABORATORY (SLT)</w:t>
      </w:r>
    </w:p>
    <w:p w:rsidR="00C57659" w:rsidRDefault="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TECHNOLOGY, INSTITUTE OF APPLIED SCIENCE (IAS)</w:t>
      </w:r>
    </w:p>
    <w:p w:rsidR="00C57659" w:rsidRDefault="009435CA">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FULFILMENT OF THE REQUIREMENT FOR THE AWARD OF HIGHER NATIONAL DIPLOMA (HND) IN SCIENCE LABORATORY TECHNOLOGY</w:t>
      </w:r>
    </w:p>
    <w:p w:rsidR="00C57659" w:rsidRDefault="009435CA" w:rsidP="009435CA">
      <w:pPr>
        <w:pStyle w:val="normal0"/>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(CHEMISTRY UNIT).</w:t>
      </w:r>
    </w:p>
    <w:p w:rsidR="00C57659" w:rsidRDefault="009435CA">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JULY, 2025</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rsidR="00C57659" w:rsidRDefault="00C57659">
      <w:pPr>
        <w:pStyle w:val="normal0"/>
        <w:spacing w:before="240" w:after="240"/>
        <w:rPr>
          <w:rFonts w:ascii="Times New Roman" w:eastAsia="Times New Roman" w:hAnsi="Times New Roman" w:cs="Times New Roman"/>
          <w:b/>
          <w:sz w:val="28"/>
          <w:szCs w:val="28"/>
        </w:rPr>
      </w:pP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CERTIFICATION</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to certify that this is the original work carried out and reported by  Matric number HND/22/SLT/FT/</w:t>
      </w:r>
      <w:r w:rsidR="00485BC9">
        <w:rPr>
          <w:rFonts w:ascii="Times New Roman" w:eastAsia="Times New Roman" w:hAnsi="Times New Roman" w:cs="Times New Roman"/>
          <w:b/>
          <w:sz w:val="28"/>
          <w:szCs w:val="28"/>
        </w:rPr>
        <w:t>0885</w:t>
      </w:r>
      <w:r>
        <w:rPr>
          <w:rFonts w:ascii="Times New Roman" w:eastAsia="Times New Roman" w:hAnsi="Times New Roman" w:cs="Times New Roman"/>
          <w:b/>
          <w:sz w:val="28"/>
          <w:szCs w:val="28"/>
        </w:rPr>
        <w:t xml:space="preserve"> of the Department of Science Laboratory Technology, Chemistry Unit, Institute of Applied Science (IAS) Kwara State Polytechnic. And it has been Approved in Partial Fulfilment of the Requirements of the Award of Higher National Diploma (HND) in Science Laboratory Technology.</w:t>
      </w:r>
    </w:p>
    <w:p w:rsidR="00C57659" w:rsidRDefault="009435CA">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                                     </w:t>
      </w:r>
      <w:r>
        <w:rPr>
          <w:rFonts w:ascii="Times New Roman" w:eastAsia="Times New Roman" w:hAnsi="Times New Roman" w:cs="Times New Roman"/>
          <w:b/>
          <w:sz w:val="28"/>
          <w:szCs w:val="28"/>
        </w:rPr>
        <w:tab/>
        <w:t>______________</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MR. ADEKUNLE J. A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_____________________                                 </w:t>
      </w:r>
      <w:r>
        <w:rPr>
          <w:rFonts w:ascii="Times New Roman" w:eastAsia="Times New Roman" w:hAnsi="Times New Roman" w:cs="Times New Roman"/>
          <w:b/>
          <w:sz w:val="28"/>
          <w:szCs w:val="28"/>
        </w:rPr>
        <w:tab/>
        <w:t>______________</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Wasiu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DATE</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Unit (Chemistry Unit)</w:t>
      </w:r>
    </w:p>
    <w:p w:rsidR="00C57659" w:rsidRDefault="009435CA">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_______________</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DEPARTMENT)</w:t>
      </w:r>
    </w:p>
    <w:p w:rsidR="00C57659" w:rsidRDefault="009435CA">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EXTERNAL EXAMINER                                       </w:t>
      </w:r>
      <w:r>
        <w:rPr>
          <w:rFonts w:ascii="Times New Roman" w:eastAsia="Times New Roman" w:hAnsi="Times New Roman" w:cs="Times New Roman"/>
          <w:b/>
          <w:sz w:val="28"/>
          <w:szCs w:val="28"/>
        </w:rPr>
        <w:tab/>
        <w:t>DATE</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DEDICATION</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We dedicate this project work to Almighty God.</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ACKNOWLEDGEMENT</w:t>
      </w:r>
    </w:p>
    <w:p w:rsidR="00C57659" w:rsidRPr="00485BC9" w:rsidRDefault="009435CA">
      <w:pPr>
        <w:pStyle w:val="normal0"/>
        <w:spacing w:before="240" w:after="240"/>
        <w:rPr>
          <w:rFonts w:ascii="Times New Roman" w:eastAsia="Times New Roman" w:hAnsi="Times New Roman" w:cs="Times New Roman"/>
          <w:sz w:val="28"/>
          <w:szCs w:val="28"/>
        </w:rPr>
      </w:pPr>
      <w:r w:rsidRPr="00485BC9">
        <w:rPr>
          <w:rFonts w:ascii="Times New Roman" w:eastAsia="Times New Roman" w:hAnsi="Times New Roman" w:cs="Times New Roman"/>
          <w:sz w:val="28"/>
          <w:szCs w:val="28"/>
        </w:rPr>
        <w:t xml:space="preserve"> </w:t>
      </w:r>
    </w:p>
    <w:p w:rsidR="00485BC9" w:rsidRPr="00485BC9" w:rsidRDefault="00485BC9" w:rsidP="00485BC9">
      <w:pPr>
        <w:pStyle w:val="normal0"/>
        <w:spacing w:before="240" w:after="240"/>
        <w:rPr>
          <w:rFonts w:ascii="Times New Roman" w:eastAsia="Times New Roman" w:hAnsi="Times New Roman" w:cs="Times New Roman"/>
          <w:sz w:val="28"/>
          <w:szCs w:val="28"/>
        </w:rPr>
      </w:pPr>
      <w:r w:rsidRPr="00485BC9">
        <w:rPr>
          <w:rFonts w:ascii="Times New Roman" w:eastAsia="Times New Roman" w:hAnsi="Times New Roman" w:cs="Times New Roman"/>
          <w:sz w:val="28"/>
          <w:szCs w:val="28"/>
        </w:rPr>
        <w:t>I would like to acknowledge the Almighty Allah for his strength and support over our life and over this project work, for the privilege to complete this project work, may God be praised forever. Also, to my lovely parent Late MR. YUSUF MUTOLIB and MRS YUSUF MARIAM together with my brother and sisters and my well-wishers who gave me the opportunity to be here and took care of our needs.</w:t>
      </w:r>
    </w:p>
    <w:p w:rsidR="00485BC9" w:rsidRPr="00485BC9" w:rsidRDefault="00485BC9" w:rsidP="00485BC9">
      <w:pPr>
        <w:pStyle w:val="normal0"/>
        <w:spacing w:before="240" w:after="240"/>
        <w:rPr>
          <w:rFonts w:ascii="Times New Roman" w:eastAsia="Times New Roman" w:hAnsi="Times New Roman" w:cs="Times New Roman"/>
          <w:sz w:val="28"/>
          <w:szCs w:val="28"/>
        </w:rPr>
      </w:pPr>
      <w:r w:rsidRPr="00485BC9">
        <w:rPr>
          <w:rFonts w:ascii="Times New Roman" w:eastAsia="Times New Roman" w:hAnsi="Times New Roman" w:cs="Times New Roman"/>
          <w:sz w:val="28"/>
          <w:szCs w:val="28"/>
        </w:rPr>
        <w:t>My greatest appreciation to ADIMULA ADELODUN ADEGOKE for the success of this project for being the most supporting,</w:t>
      </w:r>
      <w:r>
        <w:rPr>
          <w:rFonts w:ascii="Times New Roman" w:eastAsia="Times New Roman" w:hAnsi="Times New Roman" w:cs="Times New Roman"/>
          <w:sz w:val="28"/>
          <w:szCs w:val="28"/>
        </w:rPr>
        <w:t xml:space="preserve"> </w:t>
      </w:r>
      <w:r w:rsidRPr="00485BC9">
        <w:rPr>
          <w:rFonts w:ascii="Times New Roman" w:eastAsia="Times New Roman" w:hAnsi="Times New Roman" w:cs="Times New Roman"/>
          <w:sz w:val="28"/>
          <w:szCs w:val="28"/>
        </w:rPr>
        <w:t xml:space="preserve">patience and understanding person I have ever met thank you so much I’m so grateful </w:t>
      </w:r>
    </w:p>
    <w:p w:rsidR="00C57659" w:rsidRPr="00485BC9" w:rsidRDefault="00485BC9" w:rsidP="00485BC9">
      <w:pPr>
        <w:pStyle w:val="normal0"/>
        <w:spacing w:before="240" w:after="240"/>
        <w:rPr>
          <w:rFonts w:ascii="Times New Roman" w:eastAsia="Times New Roman" w:hAnsi="Times New Roman" w:cs="Times New Roman"/>
          <w:sz w:val="28"/>
          <w:szCs w:val="28"/>
        </w:rPr>
      </w:pPr>
      <w:r w:rsidRPr="00485BC9">
        <w:rPr>
          <w:rFonts w:ascii="Times New Roman" w:eastAsia="Times New Roman" w:hAnsi="Times New Roman" w:cs="Times New Roman"/>
          <w:sz w:val="28"/>
          <w:szCs w:val="28"/>
        </w:rPr>
        <w:t>I am also using this opportunity to acknowledge our supervisor in person of MR ADEKUNLE J.A for his enthusiasm, patience, helpful information, practical advice and unceasing ideas that have helped us tremendously at all times in writing of this project. I appreciate our H, O, U, in person of Dr Wasiu ,and the H.O.D., Dr Ibrahim B. B. for their support and encourage More so, my appreciation goes my colleagues who had the pleasure to work with me during this project work, without their support and cooperation this wouldn't be a success. May Almighty Allah award you all. Ameen</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line="480" w:lineRule="auto"/>
        <w:ind w:left="220" w:right="120"/>
        <w:rPr>
          <w:b/>
          <w:sz w:val="28"/>
          <w:szCs w:val="28"/>
        </w:rPr>
      </w:pPr>
      <w:r>
        <w:rPr>
          <w:b/>
          <w:sz w:val="28"/>
          <w:szCs w:val="28"/>
        </w:rPr>
        <w:t xml:space="preserve">                                     </w:t>
      </w:r>
    </w:p>
    <w:p w:rsidR="00C57659" w:rsidRDefault="009435CA">
      <w:pPr>
        <w:pStyle w:val="normal0"/>
        <w:spacing w:line="480" w:lineRule="auto"/>
        <w:ind w:right="120"/>
        <w:rPr>
          <w:sz w:val="28"/>
          <w:szCs w:val="28"/>
        </w:rPr>
      </w:pPr>
      <w:r>
        <w:rPr>
          <w:b/>
          <w:sz w:val="28"/>
          <w:szCs w:val="28"/>
        </w:rPr>
        <w:lastRenderedPageBreak/>
        <w:t>TABLE OF CONTENT</w:t>
      </w:r>
    </w:p>
    <w:p w:rsidR="00C57659" w:rsidRDefault="009435CA">
      <w:pPr>
        <w:pStyle w:val="normal0"/>
        <w:spacing w:line="480" w:lineRule="auto"/>
        <w:ind w:left="220" w:right="120"/>
        <w:rPr>
          <w:sz w:val="28"/>
          <w:szCs w:val="28"/>
        </w:rPr>
      </w:pPr>
      <w:r>
        <w:rPr>
          <w:sz w:val="28"/>
          <w:szCs w:val="28"/>
        </w:rPr>
        <w:t>Title page</w:t>
      </w:r>
    </w:p>
    <w:p w:rsidR="00C57659" w:rsidRDefault="009435CA">
      <w:pPr>
        <w:pStyle w:val="normal0"/>
        <w:spacing w:line="480" w:lineRule="auto"/>
        <w:ind w:left="220" w:right="120"/>
        <w:rPr>
          <w:sz w:val="28"/>
          <w:szCs w:val="28"/>
        </w:rPr>
      </w:pPr>
      <w:r>
        <w:rPr>
          <w:sz w:val="28"/>
          <w:szCs w:val="28"/>
        </w:rPr>
        <w:t>Certification</w:t>
      </w:r>
    </w:p>
    <w:p w:rsidR="00C57659" w:rsidRDefault="009435CA">
      <w:pPr>
        <w:pStyle w:val="normal0"/>
        <w:spacing w:line="480" w:lineRule="auto"/>
        <w:ind w:left="220" w:right="120"/>
        <w:rPr>
          <w:sz w:val="28"/>
          <w:szCs w:val="28"/>
        </w:rPr>
      </w:pPr>
      <w:r>
        <w:rPr>
          <w:sz w:val="28"/>
          <w:szCs w:val="28"/>
        </w:rPr>
        <w:t>Dedication</w:t>
      </w:r>
    </w:p>
    <w:p w:rsidR="00C57659" w:rsidRDefault="009435CA">
      <w:pPr>
        <w:pStyle w:val="normal0"/>
        <w:spacing w:line="480" w:lineRule="auto"/>
        <w:ind w:left="220" w:right="120"/>
        <w:rPr>
          <w:sz w:val="28"/>
          <w:szCs w:val="28"/>
        </w:rPr>
      </w:pPr>
      <w:r>
        <w:rPr>
          <w:sz w:val="28"/>
          <w:szCs w:val="28"/>
        </w:rPr>
        <w:t>Acknowledgement</w:t>
      </w:r>
    </w:p>
    <w:p w:rsidR="00C57659" w:rsidRDefault="009435CA">
      <w:pPr>
        <w:pStyle w:val="normal0"/>
        <w:spacing w:line="480" w:lineRule="auto"/>
        <w:ind w:left="220" w:right="120"/>
        <w:rPr>
          <w:sz w:val="24"/>
          <w:szCs w:val="24"/>
        </w:rPr>
      </w:pPr>
      <w:r>
        <w:rPr>
          <w:sz w:val="28"/>
          <w:szCs w:val="28"/>
        </w:rPr>
        <w:t>Abstract</w:t>
      </w:r>
      <w:r>
        <w:rPr>
          <w:sz w:val="24"/>
          <w:szCs w:val="24"/>
        </w:rPr>
        <w:t xml:space="preserve"> </w:t>
      </w:r>
    </w:p>
    <w:p w:rsidR="00C57659" w:rsidRDefault="009435CA">
      <w:pPr>
        <w:pStyle w:val="normal0"/>
        <w:spacing w:line="480" w:lineRule="auto"/>
        <w:ind w:left="220" w:right="120"/>
        <w:rPr>
          <w:sz w:val="28"/>
          <w:szCs w:val="28"/>
        </w:rPr>
      </w:pPr>
      <w:r>
        <w:rPr>
          <w:sz w:val="28"/>
          <w:szCs w:val="28"/>
        </w:rPr>
        <w:t>Chapter One</w:t>
      </w:r>
    </w:p>
    <w:p w:rsidR="00C57659" w:rsidRDefault="009435CA">
      <w:pPr>
        <w:pStyle w:val="normal0"/>
        <w:spacing w:line="480" w:lineRule="auto"/>
        <w:ind w:left="220" w:right="120"/>
        <w:rPr>
          <w:sz w:val="28"/>
          <w:szCs w:val="28"/>
        </w:rPr>
      </w:pPr>
      <w:r>
        <w:rPr>
          <w:sz w:val="28"/>
          <w:szCs w:val="28"/>
        </w:rPr>
        <w:t>1.1 Introduction</w:t>
      </w:r>
    </w:p>
    <w:p w:rsidR="00C57659" w:rsidRDefault="009435CA">
      <w:pPr>
        <w:pStyle w:val="normal0"/>
        <w:spacing w:line="480" w:lineRule="auto"/>
        <w:ind w:left="220" w:right="120"/>
        <w:rPr>
          <w:sz w:val="28"/>
          <w:szCs w:val="28"/>
        </w:rPr>
      </w:pPr>
      <w:r>
        <w:rPr>
          <w:sz w:val="28"/>
          <w:szCs w:val="28"/>
        </w:rPr>
        <w:t>1.2 Statement of problem</w:t>
      </w:r>
    </w:p>
    <w:p w:rsidR="00C57659" w:rsidRDefault="009435CA">
      <w:pPr>
        <w:pStyle w:val="normal0"/>
        <w:spacing w:line="480" w:lineRule="auto"/>
        <w:ind w:left="220" w:right="120"/>
        <w:rPr>
          <w:sz w:val="28"/>
          <w:szCs w:val="28"/>
        </w:rPr>
      </w:pPr>
      <w:r>
        <w:rPr>
          <w:sz w:val="28"/>
          <w:szCs w:val="28"/>
        </w:rPr>
        <w:t>1.3 Significant of  the study</w:t>
      </w:r>
    </w:p>
    <w:p w:rsidR="00C57659" w:rsidRDefault="009435CA">
      <w:pPr>
        <w:pStyle w:val="normal0"/>
        <w:spacing w:line="480" w:lineRule="auto"/>
        <w:ind w:right="120"/>
        <w:rPr>
          <w:sz w:val="24"/>
          <w:szCs w:val="24"/>
        </w:rPr>
      </w:pPr>
      <w:r>
        <w:rPr>
          <w:sz w:val="28"/>
          <w:szCs w:val="28"/>
        </w:rPr>
        <w:t xml:space="preserve">   1.4 Aim and Objective of  the study</w:t>
      </w:r>
      <w:r>
        <w:rPr>
          <w:sz w:val="24"/>
          <w:szCs w:val="24"/>
        </w:rPr>
        <w:t xml:space="preserve"> </w:t>
      </w:r>
    </w:p>
    <w:p w:rsidR="00C57659" w:rsidRDefault="009435CA">
      <w:pPr>
        <w:pStyle w:val="normal0"/>
        <w:spacing w:line="480" w:lineRule="auto"/>
        <w:ind w:right="120"/>
        <w:rPr>
          <w:sz w:val="28"/>
          <w:szCs w:val="28"/>
        </w:rPr>
      </w:pPr>
      <w:r>
        <w:rPr>
          <w:sz w:val="28"/>
          <w:szCs w:val="28"/>
        </w:rPr>
        <w:t xml:space="preserve">    Chapter Two</w:t>
      </w:r>
    </w:p>
    <w:p w:rsidR="00C57659" w:rsidRDefault="009435CA">
      <w:pPr>
        <w:pStyle w:val="normal0"/>
        <w:spacing w:before="240" w:after="240" w:line="360" w:lineRule="auto"/>
        <w:rPr>
          <w:sz w:val="24"/>
          <w:szCs w:val="24"/>
        </w:rPr>
      </w:pPr>
      <w:r>
        <w:rPr>
          <w:sz w:val="28"/>
          <w:szCs w:val="28"/>
        </w:rPr>
        <w:t xml:space="preserve">   2.1</w:t>
      </w:r>
      <w:r>
        <w:rPr>
          <w:sz w:val="24"/>
          <w:szCs w:val="24"/>
        </w:rPr>
        <w:t xml:space="preserve"> LITERATURE REVIEW </w:t>
      </w:r>
    </w:p>
    <w:p w:rsidR="00C57659" w:rsidRDefault="009435CA">
      <w:pPr>
        <w:pStyle w:val="normal0"/>
        <w:spacing w:before="240" w:after="240" w:line="360" w:lineRule="auto"/>
        <w:rPr>
          <w:sz w:val="28"/>
          <w:szCs w:val="28"/>
        </w:rPr>
      </w:pPr>
      <w:r>
        <w:rPr>
          <w:sz w:val="28"/>
          <w:szCs w:val="28"/>
        </w:rPr>
        <w:t xml:space="preserve">   2.2 Taxonomy of Musa paradisiacae</w:t>
      </w:r>
    </w:p>
    <w:p w:rsidR="00C57659" w:rsidRDefault="009435CA">
      <w:pPr>
        <w:pStyle w:val="normal0"/>
        <w:spacing w:before="240" w:after="240" w:line="360" w:lineRule="auto"/>
        <w:rPr>
          <w:sz w:val="28"/>
          <w:szCs w:val="28"/>
        </w:rPr>
      </w:pPr>
      <w:r>
        <w:rPr>
          <w:sz w:val="28"/>
          <w:szCs w:val="28"/>
        </w:rPr>
        <w:t xml:space="preserve">   2.3 Common names of Musa paradisiacae </w:t>
      </w:r>
    </w:p>
    <w:p w:rsidR="00C57659" w:rsidRDefault="009435CA">
      <w:pPr>
        <w:pStyle w:val="normal0"/>
        <w:spacing w:before="240" w:after="240" w:line="360" w:lineRule="auto"/>
        <w:rPr>
          <w:sz w:val="28"/>
          <w:szCs w:val="28"/>
        </w:rPr>
      </w:pPr>
      <w:r>
        <w:rPr>
          <w:sz w:val="28"/>
          <w:szCs w:val="28"/>
        </w:rPr>
        <w:t xml:space="preserve">   2.4 Origin of Musa paradisiacae </w:t>
      </w:r>
    </w:p>
    <w:p w:rsidR="00C57659" w:rsidRDefault="009435CA">
      <w:pPr>
        <w:pStyle w:val="normal0"/>
        <w:spacing w:before="240" w:after="240" w:line="360" w:lineRule="auto"/>
        <w:rPr>
          <w:sz w:val="24"/>
          <w:szCs w:val="24"/>
        </w:rPr>
      </w:pPr>
      <w:r>
        <w:rPr>
          <w:sz w:val="28"/>
          <w:szCs w:val="28"/>
        </w:rPr>
        <w:t xml:space="preserve">   2.5 Description of Musa paradisiacae plant </w:t>
      </w:r>
      <w:r>
        <w:rPr>
          <w:sz w:val="24"/>
          <w:szCs w:val="24"/>
        </w:rPr>
        <w:t xml:space="preserve"> </w:t>
      </w:r>
    </w:p>
    <w:p w:rsidR="00C57659" w:rsidRDefault="009435CA">
      <w:pPr>
        <w:pStyle w:val="normal0"/>
        <w:spacing w:before="240" w:after="240" w:line="360" w:lineRule="auto"/>
        <w:rPr>
          <w:sz w:val="28"/>
          <w:szCs w:val="28"/>
        </w:rPr>
      </w:pPr>
      <w:r>
        <w:rPr>
          <w:sz w:val="28"/>
          <w:szCs w:val="28"/>
        </w:rPr>
        <w:t xml:space="preserve">   2.6 Distribution of Musa paradisiacae plant </w:t>
      </w:r>
      <w:r>
        <w:rPr>
          <w:sz w:val="24"/>
          <w:szCs w:val="24"/>
        </w:rPr>
        <w:t xml:space="preserve"> </w:t>
      </w:r>
      <w:r>
        <w:rPr>
          <w:sz w:val="28"/>
          <w:szCs w:val="28"/>
        </w:rPr>
        <w:t xml:space="preserve"> </w:t>
      </w:r>
    </w:p>
    <w:p w:rsidR="00C57659" w:rsidRDefault="009435CA">
      <w:pPr>
        <w:pStyle w:val="normal0"/>
        <w:spacing w:before="240" w:after="240" w:line="480" w:lineRule="auto"/>
        <w:rPr>
          <w:sz w:val="28"/>
          <w:szCs w:val="28"/>
        </w:rPr>
      </w:pPr>
      <w:r>
        <w:rPr>
          <w:sz w:val="28"/>
          <w:szCs w:val="28"/>
        </w:rPr>
        <w:t xml:space="preserve">   2.7 Cultivation and storage of Musa paradisiacae</w:t>
      </w:r>
    </w:p>
    <w:p w:rsidR="00C57659" w:rsidRDefault="009435CA">
      <w:pPr>
        <w:pStyle w:val="normal0"/>
        <w:spacing w:before="240" w:after="240" w:line="480" w:lineRule="auto"/>
        <w:rPr>
          <w:sz w:val="28"/>
          <w:szCs w:val="28"/>
        </w:rPr>
      </w:pPr>
      <w:r>
        <w:rPr>
          <w:sz w:val="28"/>
          <w:szCs w:val="28"/>
        </w:rPr>
        <w:lastRenderedPageBreak/>
        <w:t xml:space="preserve">  2.8 Historical uses of Musa paradisiacae </w:t>
      </w:r>
    </w:p>
    <w:p w:rsidR="00C57659" w:rsidRDefault="009435CA">
      <w:pPr>
        <w:pStyle w:val="normal0"/>
        <w:spacing w:before="240" w:after="240" w:line="480" w:lineRule="auto"/>
        <w:rPr>
          <w:sz w:val="28"/>
          <w:szCs w:val="28"/>
        </w:rPr>
      </w:pPr>
      <w:r>
        <w:rPr>
          <w:sz w:val="28"/>
          <w:szCs w:val="28"/>
        </w:rPr>
        <w:t>Chapter Three</w:t>
      </w:r>
    </w:p>
    <w:p w:rsidR="00C57659" w:rsidRDefault="009435CA">
      <w:pPr>
        <w:pStyle w:val="normal0"/>
        <w:spacing w:before="240" w:after="240" w:line="360" w:lineRule="auto"/>
        <w:rPr>
          <w:sz w:val="28"/>
          <w:szCs w:val="28"/>
        </w:rPr>
      </w:pPr>
      <w:r>
        <w:rPr>
          <w:sz w:val="28"/>
          <w:szCs w:val="28"/>
        </w:rPr>
        <w:t xml:space="preserve">  3.0 Materials and Methods</w:t>
      </w:r>
    </w:p>
    <w:p w:rsidR="00C57659" w:rsidRDefault="009435CA">
      <w:pPr>
        <w:pStyle w:val="normal0"/>
        <w:spacing w:before="240" w:after="240" w:line="360" w:lineRule="auto"/>
        <w:rPr>
          <w:sz w:val="28"/>
          <w:szCs w:val="28"/>
        </w:rPr>
      </w:pPr>
      <w:r>
        <w:rPr>
          <w:sz w:val="28"/>
          <w:szCs w:val="28"/>
        </w:rPr>
        <w:t xml:space="preserve">  3.1Collection and Preparation of sample</w:t>
      </w:r>
    </w:p>
    <w:p w:rsidR="00C57659" w:rsidRDefault="009435CA">
      <w:pPr>
        <w:pStyle w:val="normal0"/>
        <w:spacing w:before="240" w:after="240" w:line="360" w:lineRule="auto"/>
        <w:rPr>
          <w:sz w:val="28"/>
          <w:szCs w:val="28"/>
        </w:rPr>
      </w:pPr>
      <w:r>
        <w:rPr>
          <w:sz w:val="28"/>
          <w:szCs w:val="28"/>
        </w:rPr>
        <w:t xml:space="preserve">  3.2 Proximate Analysis</w:t>
      </w:r>
    </w:p>
    <w:p w:rsidR="00C57659" w:rsidRDefault="009435CA">
      <w:pPr>
        <w:pStyle w:val="normal0"/>
        <w:spacing w:before="240" w:after="240" w:line="360" w:lineRule="auto"/>
        <w:rPr>
          <w:sz w:val="28"/>
          <w:szCs w:val="28"/>
        </w:rPr>
      </w:pPr>
      <w:r>
        <w:rPr>
          <w:sz w:val="28"/>
          <w:szCs w:val="28"/>
        </w:rPr>
        <w:t xml:space="preserve">  3.3 Mineral content determination</w:t>
      </w:r>
    </w:p>
    <w:p w:rsidR="00C57659" w:rsidRDefault="009435CA">
      <w:pPr>
        <w:pStyle w:val="normal0"/>
        <w:spacing w:before="240" w:after="240" w:line="480" w:lineRule="auto"/>
        <w:rPr>
          <w:sz w:val="28"/>
          <w:szCs w:val="28"/>
        </w:rPr>
      </w:pPr>
      <w:r>
        <w:rPr>
          <w:sz w:val="28"/>
          <w:szCs w:val="28"/>
        </w:rPr>
        <w:t>Chapter Four</w:t>
      </w:r>
    </w:p>
    <w:p w:rsidR="00C57659" w:rsidRDefault="009435CA">
      <w:pPr>
        <w:pStyle w:val="normal0"/>
        <w:spacing w:before="240" w:after="240" w:line="360" w:lineRule="auto"/>
        <w:rPr>
          <w:sz w:val="28"/>
          <w:szCs w:val="28"/>
        </w:rPr>
      </w:pPr>
      <w:r>
        <w:rPr>
          <w:sz w:val="28"/>
          <w:szCs w:val="28"/>
        </w:rPr>
        <w:t xml:space="preserve">  4.1Results and Discussion</w:t>
      </w:r>
    </w:p>
    <w:p w:rsidR="00C57659" w:rsidRDefault="009435CA">
      <w:pPr>
        <w:pStyle w:val="normal0"/>
        <w:spacing w:before="240" w:after="240" w:line="480" w:lineRule="auto"/>
        <w:rPr>
          <w:sz w:val="32"/>
          <w:szCs w:val="32"/>
        </w:rPr>
      </w:pPr>
      <w:r>
        <w:rPr>
          <w:sz w:val="28"/>
          <w:szCs w:val="28"/>
        </w:rPr>
        <w:t>Chapter</w:t>
      </w:r>
      <w:r>
        <w:rPr>
          <w:sz w:val="32"/>
          <w:szCs w:val="32"/>
        </w:rPr>
        <w:t xml:space="preserve"> Five</w:t>
      </w:r>
    </w:p>
    <w:p w:rsidR="00C57659" w:rsidRDefault="009435CA">
      <w:pPr>
        <w:pStyle w:val="normal0"/>
        <w:spacing w:before="240" w:after="240" w:line="360" w:lineRule="auto"/>
        <w:ind w:right="160"/>
        <w:jc w:val="both"/>
        <w:rPr>
          <w:sz w:val="32"/>
          <w:szCs w:val="32"/>
        </w:rPr>
      </w:pPr>
      <w:r>
        <w:rPr>
          <w:sz w:val="32"/>
          <w:szCs w:val="32"/>
        </w:rPr>
        <w:t xml:space="preserve">  5.1Conclusion and recommendation</w:t>
      </w:r>
    </w:p>
    <w:p w:rsidR="00C57659" w:rsidRDefault="00C57659">
      <w:pPr>
        <w:pStyle w:val="normal0"/>
        <w:spacing w:before="240" w:after="240" w:line="480" w:lineRule="auto"/>
        <w:ind w:left="160"/>
        <w:jc w:val="both"/>
        <w:rPr>
          <w:sz w:val="24"/>
          <w:szCs w:val="24"/>
        </w:rPr>
      </w:pPr>
    </w:p>
    <w:p w:rsidR="00C57659" w:rsidRDefault="009435CA">
      <w:pPr>
        <w:pStyle w:val="normal0"/>
        <w:spacing w:before="240" w:after="240" w:line="480" w:lineRule="auto"/>
        <w:jc w:val="both"/>
        <w:rPr>
          <w:sz w:val="24"/>
          <w:szCs w:val="24"/>
        </w:rPr>
      </w:pPr>
      <w:r>
        <w:rPr>
          <w:sz w:val="24"/>
          <w:szCs w:val="24"/>
        </w:rPr>
        <w:t xml:space="preserve">    REFERENCE</w:t>
      </w: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9435CA">
      <w:pPr>
        <w:pStyle w:val="normal0"/>
        <w:spacing w:line="480" w:lineRule="auto"/>
        <w:ind w:left="220" w:right="120"/>
        <w:rPr>
          <w:sz w:val="28"/>
          <w:szCs w:val="28"/>
        </w:rPr>
      </w:pPr>
      <w:r>
        <w:rPr>
          <w:b/>
          <w:sz w:val="28"/>
          <w:szCs w:val="28"/>
        </w:rPr>
        <w:t xml:space="preserve">                                        </w:t>
      </w:r>
      <w:r>
        <w:rPr>
          <w:sz w:val="28"/>
          <w:szCs w:val="28"/>
        </w:rPr>
        <w:t xml:space="preserve"> ABSTRACT</w:t>
      </w:r>
      <w:r>
        <w:rPr>
          <w:b/>
          <w:sz w:val="28"/>
          <w:szCs w:val="28"/>
        </w:rPr>
        <w:t xml:space="preserve"> </w:t>
      </w:r>
    </w:p>
    <w:p w:rsidR="00C57659" w:rsidRDefault="009435CA">
      <w:pPr>
        <w:pStyle w:val="normal0"/>
        <w:spacing w:line="480" w:lineRule="auto"/>
        <w:ind w:left="220" w:right="120"/>
        <w:rPr>
          <w:sz w:val="24"/>
          <w:szCs w:val="24"/>
        </w:rPr>
      </w:pPr>
      <w:r>
        <w:rPr>
          <w:sz w:val="24"/>
          <w:szCs w:val="24"/>
        </w:rPr>
        <w:t xml:space="preserve">Plantain fruit constitute an important source of energy as a staple diet in the tropics. The peel of the fruit is discarded as waste after the edible portion is eaten; thereby constituting a menace to the environment, especially where its consumption is common, while the bracts, fruit stalk and leaf are left on the farm as wastes. These waste materials have been considered for use as organic fertilizer in some countries. This study was carried out to determine the proximate and mineral composition of plantain (Musa paradisiaca) wastes flour as possible sources of nutrients in formulating animal feeds. The proximate and mineral composition of plantain wastes (bract, ripe peel, fruit stalk and leaf) were determined using standard methods of analyses of AOAC and atomic absorption spectrophotometric method. The wastes contained between 9.39 and 9.53g moisture, 1.87 and 19.37g crude protein, 0.73 and 1.83g crude fat, 8.10 and 15.50g crude fibre, and 54.00 and 68.00g carbohydrate / 100g sample. Plantain bract is very rich in iron (10.50 – 14.00 mg), calcium (120.00 – 150.00mg) and phosphorus (110.00 – 180.00mg)/100g sample. The plantain wastes can be sources of nutrients in animal feed preparation, as they are high in protein, fibre and essential mineral content. This will result in dual benefits of its use as animal feeds and proper plantain wastes management (waste reduction) strategy, as the wastes would have constitute nuisance to the environment. </w:t>
      </w:r>
    </w:p>
    <w:p w:rsidR="00C57659" w:rsidRDefault="00C57659">
      <w:pPr>
        <w:pStyle w:val="normal0"/>
        <w:spacing w:line="480" w:lineRule="auto"/>
        <w:ind w:left="220" w:right="120"/>
        <w:rPr>
          <w:b/>
          <w:sz w:val="28"/>
          <w:szCs w:val="28"/>
        </w:rPr>
      </w:pPr>
    </w:p>
    <w:p w:rsidR="00C57659" w:rsidRDefault="00C57659">
      <w:pPr>
        <w:pStyle w:val="normal0"/>
        <w:spacing w:line="480" w:lineRule="auto"/>
        <w:ind w:right="120"/>
        <w:rPr>
          <w:b/>
          <w:sz w:val="28"/>
          <w:szCs w:val="28"/>
        </w:rPr>
      </w:pPr>
    </w:p>
    <w:p w:rsidR="00C57659" w:rsidRDefault="00C57659">
      <w:pPr>
        <w:pStyle w:val="normal0"/>
        <w:spacing w:line="480" w:lineRule="auto"/>
        <w:ind w:right="120"/>
        <w:rPr>
          <w:b/>
          <w:sz w:val="28"/>
          <w:szCs w:val="28"/>
        </w:rPr>
      </w:pPr>
    </w:p>
    <w:p w:rsidR="00C57659" w:rsidRDefault="009435CA">
      <w:pPr>
        <w:pStyle w:val="normal0"/>
        <w:spacing w:line="480" w:lineRule="auto"/>
        <w:ind w:right="120"/>
        <w:rPr>
          <w:b/>
          <w:sz w:val="28"/>
          <w:szCs w:val="28"/>
        </w:rPr>
      </w:pPr>
      <w:r>
        <w:rPr>
          <w:b/>
          <w:sz w:val="28"/>
          <w:szCs w:val="28"/>
        </w:rPr>
        <w:t xml:space="preserve">                            CHAPTER ONE</w:t>
      </w:r>
    </w:p>
    <w:p w:rsidR="00C57659" w:rsidRDefault="009435CA">
      <w:pPr>
        <w:pStyle w:val="normal0"/>
        <w:spacing w:before="240" w:after="240" w:line="480" w:lineRule="auto"/>
        <w:rPr>
          <w:sz w:val="28"/>
          <w:szCs w:val="28"/>
        </w:rPr>
      </w:pPr>
      <w:r>
        <w:rPr>
          <w:sz w:val="28"/>
          <w:szCs w:val="28"/>
        </w:rPr>
        <w:t>1.1 INTRODUCTION</w:t>
      </w:r>
    </w:p>
    <w:p w:rsidR="00C57659" w:rsidRDefault="009435CA">
      <w:pPr>
        <w:pStyle w:val="normal0"/>
        <w:spacing w:before="240" w:after="240" w:line="480" w:lineRule="auto"/>
        <w:jc w:val="both"/>
        <w:rPr>
          <w:sz w:val="24"/>
          <w:szCs w:val="24"/>
        </w:rPr>
      </w:pPr>
      <w:r>
        <w:rPr>
          <w:sz w:val="24"/>
          <w:szCs w:val="24"/>
        </w:rPr>
        <w:t>Banana is the common name for moncorapic flowering plants of the genus Musa, for the species Ensete Ventricoum, and for the fruit they produce. Bananas do not grown on trees the banana plant in classified as an arbores cent (tree-like) perennial herb and the banana itself is actually considered a berry. The correct name for bunch of banana is a hand of banana a single banana is a finger.  one banana contains 467mg of potassium providing powerful protection to the cardiovascular system. Regular consumption of the potassium packed fruit helps gauds against high blood pressure, atherosclerosis and stroke. Although banana do not contain high amounts of calcium they do supply the body with an abundance of fructo oligosucchairde  a probiotic substance (one which encourages probioties, the  friendly bacteria in the digestive system). As fructooligosaccharides a probiotic substance (one which encourages probiotics, the friendly bacteria in the digestive system).As fructooligosaccharidesferment in the digestive trace, they enhance the body’s ability to abort calcium.</w:t>
      </w:r>
    </w:p>
    <w:p w:rsidR="00C57659" w:rsidRDefault="009435CA">
      <w:pPr>
        <w:pStyle w:val="normal0"/>
        <w:spacing w:before="240" w:after="240" w:line="480" w:lineRule="auto"/>
        <w:jc w:val="both"/>
        <w:rPr>
          <w:sz w:val="24"/>
          <w:szCs w:val="24"/>
        </w:rPr>
      </w:pPr>
      <w:r>
        <w:rPr>
          <w:sz w:val="24"/>
          <w:szCs w:val="24"/>
        </w:rPr>
        <w:t xml:space="preserve">Banana fruit is one of the high calorie tropical fruits . 100g of fruit provides 90 calories. Besides, it contains goods amounts of health benefiting anti-oxidants, minerals and vitamins. Banana pulp is composed of soft, easily digestible flesh with simple sugars like fructose and sucrose that when eaten replenishes energy and banana are being used by athletes to get intend energy and as supplement food in the treatment plan for </w:t>
      </w:r>
      <w:r>
        <w:rPr>
          <w:sz w:val="24"/>
          <w:szCs w:val="24"/>
        </w:rPr>
        <w:lastRenderedPageBreak/>
        <w:t>underweight children. The fruit contains a good amount of soluble dietary fiber (7% of DRA per 100g) that helps normal bowel movements: there by reducing constipation problems.</w:t>
      </w:r>
    </w:p>
    <w:p w:rsidR="00C57659" w:rsidRDefault="009435CA">
      <w:pPr>
        <w:pStyle w:val="normal0"/>
        <w:spacing w:before="240" w:after="240" w:line="480" w:lineRule="auto"/>
        <w:jc w:val="both"/>
        <w:rPr>
          <w:sz w:val="24"/>
          <w:szCs w:val="24"/>
        </w:rPr>
      </w:pPr>
      <w:r>
        <w:rPr>
          <w:sz w:val="24"/>
          <w:szCs w:val="24"/>
        </w:rPr>
        <w:t>It contains health promoting flavonoid poly-phenolic antioxidants such as lutein, in small amounts. These compound help act as protective scavengers against oxygen-drived free radicals  and reactive oxygen species (Ros) that play a role in aging and various disease processes.</w:t>
      </w:r>
    </w:p>
    <w:p w:rsidR="00C57659" w:rsidRDefault="009435CA">
      <w:pPr>
        <w:pStyle w:val="normal0"/>
        <w:spacing w:before="240" w:after="240" w:line="480" w:lineRule="auto"/>
        <w:jc w:val="both"/>
        <w:rPr>
          <w:sz w:val="24"/>
          <w:szCs w:val="24"/>
        </w:rPr>
      </w:pPr>
      <w:r>
        <w:rPr>
          <w:sz w:val="24"/>
          <w:szCs w:val="24"/>
        </w:rPr>
        <w:t xml:space="preserve">It is also a very good source of vitamin- B6 (phridoxine) provides about 28% of daily-recommended allowance. Phridoxine is an important B-complex vitamin that has a beneficial role for the treatment of neuritis and anemia. Banana is also a source of vitamin C. (about 8.7mg per 100g). consumption of foods rich in vitamin C. helps the body develop resistance against infections agents and scavenge harmful oxygen-free radicals. Fresh bananas provide adequate levels of minerals like copper, magnesium and manganese, are essential for bone strengthening and have a cardiac-protective role as well. Manganese is used by the body as a co-factor for the antioxidant enzyme, super oxide dismatase. Fortin, (2006)                         </w:t>
      </w:r>
    </w:p>
    <w:p w:rsidR="00C57659" w:rsidRDefault="00C57659">
      <w:pPr>
        <w:pStyle w:val="normal0"/>
        <w:spacing w:before="240" w:after="240" w:line="480" w:lineRule="auto"/>
        <w:rPr>
          <w:sz w:val="24"/>
          <w:szCs w:val="24"/>
        </w:rPr>
      </w:pPr>
    </w:p>
    <w:p w:rsidR="00C57659" w:rsidRDefault="009435CA">
      <w:pPr>
        <w:pStyle w:val="normal0"/>
        <w:spacing w:before="240" w:after="240" w:line="480" w:lineRule="auto"/>
        <w:rPr>
          <w:b/>
          <w:sz w:val="24"/>
          <w:szCs w:val="24"/>
        </w:rPr>
      </w:pPr>
      <w:r>
        <w:rPr>
          <w:b/>
          <w:sz w:val="24"/>
          <w:szCs w:val="24"/>
        </w:rPr>
        <w:t>1.2 STATEMENT OF PROBLEM</w:t>
      </w:r>
    </w:p>
    <w:p w:rsidR="00C57659" w:rsidRDefault="009435CA">
      <w:pPr>
        <w:pStyle w:val="normal0"/>
        <w:spacing w:before="240" w:after="240" w:line="480" w:lineRule="auto"/>
        <w:rPr>
          <w:sz w:val="24"/>
          <w:szCs w:val="24"/>
        </w:rPr>
      </w:pPr>
      <w:r>
        <w:rPr>
          <w:sz w:val="24"/>
          <w:szCs w:val="24"/>
        </w:rPr>
        <w:t>Despite the availability of banana in Nigeria and other parts of the world little information is available on the proximate, mineral, vitamin and photochemical composition of the banana pulp. This lead to the study  the nutritional value of banana.</w:t>
      </w: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t>1.3 SIGNIFICANT OF THE STUDY</w:t>
      </w:r>
    </w:p>
    <w:p w:rsidR="00C57659" w:rsidRDefault="009435CA">
      <w:pPr>
        <w:pStyle w:val="normal0"/>
        <w:spacing w:before="240" w:after="240" w:line="480" w:lineRule="auto"/>
        <w:rPr>
          <w:sz w:val="24"/>
          <w:szCs w:val="24"/>
        </w:rPr>
      </w:pPr>
      <w:r>
        <w:rPr>
          <w:sz w:val="24"/>
          <w:szCs w:val="24"/>
        </w:rPr>
        <w:t>The study will make to know the nutritional value of banana.  It will also help to know the healthy effect of the medicinal value of banana. Also to know if banana is toxic to the body at contain level of consumption.</w:t>
      </w:r>
    </w:p>
    <w:p w:rsidR="00C57659" w:rsidRDefault="009435CA">
      <w:pPr>
        <w:pStyle w:val="normal0"/>
        <w:spacing w:before="240" w:after="240" w:line="480" w:lineRule="auto"/>
        <w:rPr>
          <w:b/>
          <w:sz w:val="24"/>
          <w:szCs w:val="24"/>
        </w:rPr>
      </w:pPr>
      <w:r>
        <w:rPr>
          <w:sz w:val="24"/>
          <w:szCs w:val="24"/>
        </w:rPr>
        <w:t xml:space="preserve">1.4 </w:t>
      </w:r>
      <w:r>
        <w:rPr>
          <w:b/>
          <w:sz w:val="24"/>
          <w:szCs w:val="24"/>
        </w:rPr>
        <w:t>AIM</w:t>
      </w:r>
    </w:p>
    <w:p w:rsidR="00C57659" w:rsidRDefault="009435CA">
      <w:pPr>
        <w:pStyle w:val="normal0"/>
        <w:spacing w:before="240" w:after="240" w:line="480" w:lineRule="auto"/>
        <w:rPr>
          <w:sz w:val="24"/>
          <w:szCs w:val="24"/>
        </w:rPr>
      </w:pPr>
      <w:r>
        <w:rPr>
          <w:sz w:val="24"/>
          <w:szCs w:val="24"/>
        </w:rPr>
        <w:t>The aim of this research work is to determine the mineral and proximate content of the banana</w:t>
      </w:r>
    </w:p>
    <w:p w:rsidR="00C57659" w:rsidRDefault="009435CA">
      <w:pPr>
        <w:pStyle w:val="normal0"/>
        <w:spacing w:before="240" w:after="240" w:line="480" w:lineRule="auto"/>
        <w:rPr>
          <w:b/>
          <w:sz w:val="24"/>
          <w:szCs w:val="24"/>
        </w:rPr>
      </w:pPr>
      <w:r>
        <w:rPr>
          <w:b/>
          <w:sz w:val="24"/>
          <w:szCs w:val="24"/>
        </w:rPr>
        <w:t>1.5 OBJECTIVES OF THE STUDY</w:t>
      </w:r>
    </w:p>
    <w:p w:rsidR="00C57659" w:rsidRDefault="009435CA">
      <w:pPr>
        <w:pStyle w:val="normal0"/>
        <w:spacing w:before="240" w:after="240" w:line="480" w:lineRule="auto"/>
        <w:rPr>
          <w:sz w:val="24"/>
          <w:szCs w:val="24"/>
        </w:rPr>
      </w:pPr>
      <w:r>
        <w:rPr>
          <w:sz w:val="24"/>
          <w:szCs w:val="24"/>
        </w:rPr>
        <w:t>The objective of the study are</w:t>
      </w:r>
    </w:p>
    <w:p w:rsidR="00C57659" w:rsidRDefault="009435CA">
      <w:pPr>
        <w:pStyle w:val="normal0"/>
        <w:spacing w:before="240" w:after="240" w:line="480" w:lineRule="auto"/>
        <w:rPr>
          <w:sz w:val="24"/>
          <w:szCs w:val="24"/>
        </w:rPr>
      </w:pPr>
      <w:r>
        <w:rPr>
          <w:sz w:val="24"/>
          <w:szCs w:val="24"/>
        </w:rPr>
        <w:t>i to collect and prepare the sample</w:t>
      </w:r>
    </w:p>
    <w:p w:rsidR="00C57659" w:rsidRDefault="009435CA">
      <w:pPr>
        <w:pStyle w:val="normal0"/>
        <w:spacing w:before="240" w:after="240" w:line="480" w:lineRule="auto"/>
        <w:rPr>
          <w:sz w:val="24"/>
          <w:szCs w:val="24"/>
        </w:rPr>
      </w:pPr>
      <w:r>
        <w:rPr>
          <w:sz w:val="24"/>
          <w:szCs w:val="24"/>
        </w:rPr>
        <w:t>Ii to determine the mineral constituents</w:t>
      </w:r>
    </w:p>
    <w:p w:rsidR="00C57659" w:rsidRDefault="009435CA">
      <w:pPr>
        <w:pStyle w:val="normal0"/>
        <w:spacing w:before="240" w:after="240" w:line="480" w:lineRule="auto"/>
        <w:rPr>
          <w:sz w:val="24"/>
          <w:szCs w:val="24"/>
        </w:rPr>
      </w:pPr>
      <w:r>
        <w:rPr>
          <w:sz w:val="24"/>
          <w:szCs w:val="24"/>
        </w:rPr>
        <w:t>Iii to determine the proximate contents</w:t>
      </w: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9435CA">
      <w:pPr>
        <w:pStyle w:val="normal0"/>
        <w:spacing w:before="240" w:after="240" w:line="480" w:lineRule="auto"/>
        <w:rPr>
          <w:sz w:val="28"/>
          <w:szCs w:val="28"/>
        </w:rPr>
      </w:pPr>
      <w:r>
        <w:rPr>
          <w:sz w:val="24"/>
          <w:szCs w:val="24"/>
        </w:rPr>
        <w:t xml:space="preserve">                                                  </w:t>
      </w:r>
      <w:r>
        <w:rPr>
          <w:sz w:val="28"/>
          <w:szCs w:val="28"/>
        </w:rPr>
        <w:t xml:space="preserve"> </w:t>
      </w:r>
    </w:p>
    <w:p w:rsidR="00C57659" w:rsidRDefault="00C57659">
      <w:pPr>
        <w:pStyle w:val="normal0"/>
        <w:spacing w:before="240" w:after="240" w:line="480" w:lineRule="auto"/>
        <w:rPr>
          <w:b/>
          <w:sz w:val="28"/>
          <w:szCs w:val="28"/>
        </w:rPr>
      </w:pPr>
    </w:p>
    <w:p w:rsidR="00C57659" w:rsidRDefault="00C57659">
      <w:pPr>
        <w:pStyle w:val="normal0"/>
        <w:spacing w:before="240" w:after="240" w:line="480" w:lineRule="auto"/>
        <w:rPr>
          <w:b/>
          <w:sz w:val="28"/>
          <w:szCs w:val="28"/>
        </w:rPr>
      </w:pPr>
    </w:p>
    <w:p w:rsidR="00C57659" w:rsidRDefault="009435CA">
      <w:pPr>
        <w:pStyle w:val="normal0"/>
        <w:spacing w:before="240" w:after="240" w:line="480" w:lineRule="auto"/>
        <w:rPr>
          <w:b/>
          <w:sz w:val="28"/>
          <w:szCs w:val="28"/>
        </w:rPr>
      </w:pPr>
      <w:r>
        <w:rPr>
          <w:b/>
          <w:sz w:val="28"/>
          <w:szCs w:val="28"/>
        </w:rPr>
        <w:t xml:space="preserve">                                       CHAPTER TWO</w:t>
      </w:r>
    </w:p>
    <w:p w:rsidR="00C57659" w:rsidRDefault="009435CA">
      <w:pPr>
        <w:pStyle w:val="normal0"/>
        <w:spacing w:before="240" w:after="240" w:line="480" w:lineRule="auto"/>
        <w:rPr>
          <w:sz w:val="24"/>
          <w:szCs w:val="24"/>
        </w:rPr>
      </w:pPr>
      <w:r>
        <w:rPr>
          <w:sz w:val="24"/>
          <w:szCs w:val="24"/>
        </w:rPr>
        <w:t xml:space="preserve">2.1 LITERATURE REVIEW </w:t>
      </w:r>
    </w:p>
    <w:p w:rsidR="00C57659" w:rsidRDefault="009435CA">
      <w:pPr>
        <w:pStyle w:val="normal0"/>
        <w:spacing w:before="240" w:after="240" w:line="480" w:lineRule="auto"/>
        <w:rPr>
          <w:sz w:val="24"/>
          <w:szCs w:val="24"/>
        </w:rPr>
      </w:pPr>
      <w:r>
        <w:rPr>
          <w:sz w:val="24"/>
          <w:szCs w:val="24"/>
        </w:rPr>
        <w:t xml:space="preserve">The use of traditional medicines in West Africa is probably as old as the duration of human settlement in the region (Abdul-aguye, 1997). A medicinal plant provides an important source of new chemical substances with potential therapeutic effects. These have been used in traditional medicine for the treatment of several diseases and aliments (Mukerjee et al., 1998). It is already important to the global economy with demand steadily increasing not only in developing countries but also in industrialized countries (Sofowara, 1993). </w:t>
      </w:r>
    </w:p>
    <w:p w:rsidR="00C57659" w:rsidRDefault="009435CA">
      <w:pPr>
        <w:pStyle w:val="normal0"/>
        <w:spacing w:before="240" w:after="240" w:line="480" w:lineRule="auto"/>
        <w:rPr>
          <w:sz w:val="24"/>
          <w:szCs w:val="24"/>
        </w:rPr>
      </w:pPr>
      <w:r>
        <w:rPr>
          <w:sz w:val="24"/>
          <w:szCs w:val="24"/>
        </w:rPr>
        <w:t xml:space="preserve">Herbalism or herbal medicine is the use of plants for medicinal purposes, and the study of such use (Briskin, 2000). Herbal medicine is still the mainstay of about 75 - 80% of the world population, mainly in the developing countries, for primary health care (Kamboj, 2000). Plants have been the basis for medical treatments through much of human history, and such traditional medicine is still widely practiced today (Briskin, 2000).  This is primarily because of the general belief that herbal drugs are without any side effects besides being cheap and locally available (Gupta and Raina, 1998). Modern medicine recognizes herbalism as a form of alternative medicine as the practice of herbalism is not strictly based on evidence gathered using the scientific method (Talalay, 2001).  According to the World Health Organization (WHO), the use of herbal remedies throughout the world exceeds that of the conventional drugs by two to three </w:t>
      </w:r>
      <w:r>
        <w:rPr>
          <w:sz w:val="24"/>
          <w:szCs w:val="24"/>
        </w:rPr>
        <w:lastRenderedPageBreak/>
        <w:t xml:space="preserve">times (Evans, 1994). The use of plants for healing purposes predates human history and forms the origin of much modern medicine. Modern medicine, does, however, make use of many plant-derived compounds as the basis for evidence-tested pharmaceutical drugs, and phytotherapy works to apply modern standards of effectiveness testing to herbs and medicines that are derived from natural sources (Talalay, 2001). Examples include aspirin (willow bark), digoxin (from foxglove), quinine (from cinchona bark), and morphine (from the opium poppy) (Vickers and Zollman, 1999).  Currently, a number of medicinal plants with antidiarrhoeal and antimicrobial properties are used in traditional herbal practice in many countries of the world. So it is important to identify and evaluate commonly available natural drugs that could be used against any type of diarrhoeal disease. </w:t>
      </w:r>
    </w:p>
    <w:p w:rsidR="00C57659" w:rsidRDefault="009435CA">
      <w:pPr>
        <w:pStyle w:val="normal0"/>
        <w:spacing w:before="240" w:after="240" w:line="480" w:lineRule="auto"/>
        <w:rPr>
          <w:sz w:val="24"/>
          <w:szCs w:val="24"/>
        </w:rPr>
      </w:pPr>
      <w:r>
        <w:rPr>
          <w:sz w:val="24"/>
          <w:szCs w:val="24"/>
        </w:rPr>
        <w:t xml:space="preserve">A number of herbs are thought to likely have adverse effects (Talay, 2001). Furthermore, "adulteration, inappropriate formulation, or lack of understanding of plant and drug interactions have led to adverse reactions that are sometimes life threatening or lethal (Elvin-Lewis, 2001). Proper double-blind clinical trials are needed to determine the safety and efficacy of each plant before they can be recommended for medical use (Vickers, 2007). Although many consumers believe that herbal medicines are safe because they are "natural", herbal medicines and synthetic drugs may interact, causing toxicity to the patient. Herbal remedies can also be dangerously contaminated, and herbal medicines without established efficacy, may unknowingly be used to replace medicines that do have corroborated efficacy (Ernst, 2007). The World Health Organization (WHO), the specialized agency of the United Nations (UN) that is concerned with international public health, published quality control methods for </w:t>
      </w:r>
      <w:r>
        <w:rPr>
          <w:sz w:val="24"/>
          <w:szCs w:val="24"/>
        </w:rPr>
        <w:lastRenderedPageBreak/>
        <w:t xml:space="preserve">medicinal plant materials in 1998 in order to support WHO Member States in establishing quality standards and specifications for herbal materials, within the overall context of quality assurance and control of herbal medicines (WHO, 2010). </w:t>
      </w:r>
    </w:p>
    <w:p w:rsidR="00C57659" w:rsidRDefault="009435CA">
      <w:pPr>
        <w:pStyle w:val="normal0"/>
        <w:spacing w:before="240" w:after="240" w:line="480" w:lineRule="auto"/>
        <w:rPr>
          <w:sz w:val="24"/>
          <w:szCs w:val="24"/>
        </w:rPr>
      </w:pPr>
      <w:r>
        <w:rPr>
          <w:sz w:val="24"/>
          <w:szCs w:val="24"/>
        </w:rPr>
        <w:t xml:space="preserve">There are different methods of herbal preparations and the exact composition of an herbal product is influenced by the method of extraction. They are: Tisanes or herbal teas; are the resultant liquid of extracting herbs into water (Green, 2000). The methods used are, infusions (hot water extracts of herbs), decoctions (long term boiled extracts usually of harder substances like roots and bark) and maceration (old infusion of plants with high mucilage content) (Green, 2000). Tinctures; alcoholic extracts of herbs generally stronger than tisanes (Green, 2000). Syrups; extracts of herbs made with syrups or honey (Green, 2000).  </w:t>
      </w:r>
    </w:p>
    <w:p w:rsidR="00C57659" w:rsidRDefault="009435CA">
      <w:pPr>
        <w:pStyle w:val="normal0"/>
        <w:spacing w:before="240" w:after="240" w:line="480" w:lineRule="auto"/>
        <w:rPr>
          <w:sz w:val="24"/>
          <w:szCs w:val="24"/>
        </w:rPr>
      </w:pPr>
      <w:r>
        <w:rPr>
          <w:sz w:val="24"/>
          <w:szCs w:val="24"/>
        </w:rPr>
        <w:t xml:space="preserve">In developing countries, diarrhoea continues to be one of the leading causes of mortality and morbidity in children less than 5 years old. According to World Health Report, diarrhoea is the cause of 3.3% of all deaths. Worldwide distribution of diarrhoea accounts for more than 5-8 million deaths each year in children. The incidence of diarrhoeal disease still remains high despite the effort by many government and international organizations to reduce it. Nigeria, the fourth largest economy in Africa with an estimated per capita income of $350 has over half of its population living in poverty (WHO, 2007). This implies that very few people can afford orthodox medicine in curing diseases. Use of traditional medicines to combat the consequences of diarrhoea has been emphasized by WHO in its Diarrhoea Control Programme. It is therefore important to identify and evaluate available natural drugs as alternatives to current antidiarrhoeal drugs, which are not always free from adverse effects. Several studies have shown the </w:t>
      </w:r>
      <w:r>
        <w:rPr>
          <w:sz w:val="24"/>
          <w:szCs w:val="24"/>
        </w:rPr>
        <w:lastRenderedPageBreak/>
        <w:t xml:space="preserve">beneficial effects of a number of medicinal plants used traditionally in the treatment of diarrhoeal disease, one of such being Bombax buonopozense (Akudor et al., 2011), Vitex doniana (Ukwuani et al., 2012), Anacardium occidentale (Omoboyowa et al., 2013) etc.  </w:t>
      </w:r>
    </w:p>
    <w:p w:rsidR="00C57659" w:rsidRDefault="009435CA">
      <w:pPr>
        <w:pStyle w:val="normal0"/>
        <w:spacing w:before="240" w:after="240" w:line="480" w:lineRule="auto"/>
        <w:rPr>
          <w:sz w:val="24"/>
          <w:szCs w:val="24"/>
        </w:rPr>
      </w:pPr>
      <w:r>
        <w:rPr>
          <w:sz w:val="24"/>
          <w:szCs w:val="24"/>
        </w:rPr>
        <w:t xml:space="preserve">Musa paradisiacae belongs to the Musaceae family and is cultivated in many tropics and subtropical countries of the world. It ranks third after yams and cassava for sustainability in Nigeria (Akomolafe and Aborisade, 2007). Musa paradisiacae is a rhizomatous perennial crop used as a source of starchy staple for millions of people in Nigeria (Adeniyi et al., 2006).Unripe Musa paradisiacae, which is the green plantain contains more starch than the ripe plantain in which the starch is converted to sugars (glucose, fructose and sucrose). It has been indicated to posses antidiabetic (Eleazu et al., 2013), antioxidant (Shodehinde and Oboh, 2012), antimicrobial (Hossain et al., 2011), and antiulcerogenic properties (Ralph et al., 1984). There have also been traditional claims that unripe Musa paradisia cae can be used in diarrhoeal treatments even though it has not been scientifically proven.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C57659">
      <w:pPr>
        <w:pStyle w:val="normal0"/>
        <w:spacing w:before="240" w:after="240" w:line="480" w:lineRule="auto"/>
        <w:rPr>
          <w:sz w:val="20"/>
          <w:szCs w:val="20"/>
        </w:rPr>
      </w:pP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9435CA">
      <w:pPr>
        <w:pStyle w:val="normal0"/>
        <w:spacing w:before="240" w:after="240" w:line="480" w:lineRule="auto"/>
        <w:rPr>
          <w:b/>
          <w:sz w:val="24"/>
          <w:szCs w:val="24"/>
        </w:rPr>
      </w:pPr>
      <w:r>
        <w:rPr>
          <w:sz w:val="24"/>
          <w:szCs w:val="24"/>
        </w:rPr>
        <w:t xml:space="preserve"> 1.1 Musa paradisiacae</w:t>
      </w:r>
      <w:r>
        <w:rPr>
          <w:b/>
          <w:sz w:val="24"/>
          <w:szCs w:val="24"/>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noProof/>
          <w:sz w:val="20"/>
          <w:szCs w:val="20"/>
          <w:lang w:val="en-US"/>
        </w:rPr>
        <w:drawing>
          <wp:inline distT="114300" distB="114300" distL="114300" distR="114300">
            <wp:extent cx="3632200" cy="3162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32200" cy="3162300"/>
                    </a:xfrm>
                    <a:prstGeom prst="rect">
                      <a:avLst/>
                    </a:prstGeom>
                    <a:ln/>
                  </pic:spPr>
                </pic:pic>
              </a:graphicData>
            </a:graphic>
          </wp:inline>
        </w:drawing>
      </w:r>
    </w:p>
    <w:p w:rsidR="00C57659" w:rsidRDefault="00C57659">
      <w:pPr>
        <w:pStyle w:val="normal0"/>
        <w:spacing w:before="240" w:after="240" w:line="480" w:lineRule="auto"/>
        <w:rPr>
          <w:sz w:val="20"/>
          <w:szCs w:val="20"/>
        </w:rPr>
      </w:pPr>
    </w:p>
    <w:p w:rsidR="00C57659" w:rsidRDefault="009435CA">
      <w:pPr>
        <w:pStyle w:val="normal0"/>
        <w:spacing w:before="240" w:after="240" w:line="480" w:lineRule="auto"/>
        <w:rPr>
          <w:sz w:val="20"/>
          <w:szCs w:val="20"/>
        </w:rPr>
      </w:pPr>
      <w:r>
        <w:rPr>
          <w:sz w:val="20"/>
          <w:szCs w:val="20"/>
        </w:rPr>
        <w:t xml:space="preserve">Fig. 1: Musa paradisiacae fruit (Gibert et al., 2009). </w:t>
      </w:r>
    </w:p>
    <w:p w:rsidR="00C57659" w:rsidRDefault="00C57659">
      <w:pPr>
        <w:pStyle w:val="normal0"/>
        <w:spacing w:before="240" w:after="240" w:line="480" w:lineRule="auto"/>
        <w:rPr>
          <w:sz w:val="20"/>
          <w:szCs w:val="20"/>
        </w:rPr>
      </w:pP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lastRenderedPageBreak/>
        <w:t xml:space="preserve">                                               </w:t>
      </w:r>
      <w:r>
        <w:rPr>
          <w:noProof/>
          <w:sz w:val="20"/>
          <w:szCs w:val="20"/>
          <w:lang w:val="en-US"/>
        </w:rPr>
        <w:drawing>
          <wp:inline distT="114300" distB="114300" distL="114300" distR="114300">
            <wp:extent cx="5772150" cy="2722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72150" cy="2722587"/>
                    </a:xfrm>
                    <a:prstGeom prst="rect">
                      <a:avLst/>
                    </a:prstGeom>
                    <a:ln/>
                  </pic:spPr>
                </pic:pic>
              </a:graphicData>
            </a:graphic>
          </wp:inline>
        </w:drawing>
      </w: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Fig. 2: Musa paradisiacae trees (Gibert et al., 2009).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r>
        <w:rPr>
          <w:noProof/>
          <w:sz w:val="20"/>
          <w:szCs w:val="20"/>
          <w:lang w:val="en-US"/>
        </w:rPr>
        <w:drawing>
          <wp:inline distT="114300" distB="114300" distL="114300" distR="114300">
            <wp:extent cx="5734050" cy="26512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4050" cy="2651286"/>
                    </a:xfrm>
                    <a:prstGeom prst="rect">
                      <a:avLst/>
                    </a:prstGeom>
                    <a:ln/>
                  </pic:spPr>
                </pic:pic>
              </a:graphicData>
            </a:graphic>
          </wp:inline>
        </w:drawing>
      </w:r>
    </w:p>
    <w:p w:rsidR="00C57659" w:rsidRDefault="009435CA">
      <w:pPr>
        <w:pStyle w:val="normal0"/>
        <w:spacing w:before="240" w:after="240" w:line="480" w:lineRule="auto"/>
        <w:rPr>
          <w:sz w:val="20"/>
          <w:szCs w:val="20"/>
        </w:rPr>
      </w:pPr>
      <w:r>
        <w:rPr>
          <w:sz w:val="20"/>
          <w:szCs w:val="20"/>
        </w:rPr>
        <w:t xml:space="preserve">   Fig. 3:  Musa paradisiacae flower (Gibert et al., 2009). </w:t>
      </w: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2.2 Taxonomy of Musa paradisiacae</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Kingdom-     Plantae </w:t>
      </w:r>
    </w:p>
    <w:p w:rsidR="00C57659" w:rsidRDefault="009435CA">
      <w:pPr>
        <w:pStyle w:val="normal0"/>
        <w:spacing w:before="240" w:after="240" w:line="480" w:lineRule="auto"/>
        <w:rPr>
          <w:sz w:val="24"/>
          <w:szCs w:val="24"/>
        </w:rPr>
      </w:pPr>
      <w:r>
        <w:rPr>
          <w:sz w:val="24"/>
          <w:szCs w:val="24"/>
        </w:rPr>
        <w:t xml:space="preserve">Division –    Spermatophyta </w:t>
      </w:r>
    </w:p>
    <w:p w:rsidR="00C57659" w:rsidRDefault="009435CA">
      <w:pPr>
        <w:pStyle w:val="normal0"/>
        <w:spacing w:before="240" w:after="240" w:line="480" w:lineRule="auto"/>
        <w:rPr>
          <w:sz w:val="24"/>
          <w:szCs w:val="24"/>
        </w:rPr>
      </w:pPr>
      <w:r>
        <w:rPr>
          <w:sz w:val="24"/>
          <w:szCs w:val="24"/>
        </w:rPr>
        <w:t xml:space="preserve">Sub-division – Angiospermae </w:t>
      </w:r>
    </w:p>
    <w:p w:rsidR="00C57659" w:rsidRDefault="009435CA">
      <w:pPr>
        <w:pStyle w:val="normal0"/>
        <w:spacing w:before="240" w:after="240" w:line="480" w:lineRule="auto"/>
        <w:rPr>
          <w:sz w:val="24"/>
          <w:szCs w:val="24"/>
        </w:rPr>
      </w:pPr>
      <w:r>
        <w:rPr>
          <w:sz w:val="24"/>
          <w:szCs w:val="24"/>
        </w:rPr>
        <w:t xml:space="preserve">Phylum – Tracheophyta </w:t>
      </w:r>
    </w:p>
    <w:p w:rsidR="00C57659" w:rsidRDefault="009435CA">
      <w:pPr>
        <w:pStyle w:val="normal0"/>
        <w:spacing w:before="240" w:after="240" w:line="480" w:lineRule="auto"/>
        <w:rPr>
          <w:sz w:val="24"/>
          <w:szCs w:val="24"/>
        </w:rPr>
      </w:pPr>
      <w:r>
        <w:rPr>
          <w:sz w:val="24"/>
          <w:szCs w:val="24"/>
        </w:rPr>
        <w:t xml:space="preserve">Class – Liliopsida </w:t>
      </w:r>
    </w:p>
    <w:p w:rsidR="00C57659" w:rsidRDefault="009435CA">
      <w:pPr>
        <w:pStyle w:val="normal0"/>
        <w:spacing w:before="240" w:after="240" w:line="480" w:lineRule="auto"/>
        <w:rPr>
          <w:sz w:val="24"/>
          <w:szCs w:val="24"/>
        </w:rPr>
      </w:pPr>
      <w:r>
        <w:rPr>
          <w:sz w:val="24"/>
          <w:szCs w:val="24"/>
        </w:rPr>
        <w:t xml:space="preserve">Order – Zingiberales </w:t>
      </w:r>
    </w:p>
    <w:p w:rsidR="00C57659" w:rsidRDefault="009435CA">
      <w:pPr>
        <w:pStyle w:val="normal0"/>
        <w:spacing w:before="240" w:after="240" w:line="480" w:lineRule="auto"/>
        <w:rPr>
          <w:sz w:val="24"/>
          <w:szCs w:val="24"/>
        </w:rPr>
      </w:pPr>
      <w:r>
        <w:rPr>
          <w:sz w:val="24"/>
          <w:szCs w:val="24"/>
        </w:rPr>
        <w:t xml:space="preserve">Family – Musceae </w:t>
      </w:r>
    </w:p>
    <w:p w:rsidR="00C57659" w:rsidRDefault="009435CA">
      <w:pPr>
        <w:pStyle w:val="normal0"/>
        <w:spacing w:before="240" w:after="240" w:line="480" w:lineRule="auto"/>
        <w:rPr>
          <w:sz w:val="24"/>
          <w:szCs w:val="24"/>
        </w:rPr>
      </w:pPr>
      <w:r>
        <w:rPr>
          <w:sz w:val="24"/>
          <w:szCs w:val="24"/>
        </w:rPr>
        <w:t xml:space="preserve">Genus – Musa </w:t>
      </w:r>
    </w:p>
    <w:p w:rsidR="00C57659" w:rsidRDefault="009435CA">
      <w:pPr>
        <w:pStyle w:val="normal0"/>
        <w:spacing w:before="240" w:after="240" w:line="480" w:lineRule="auto"/>
        <w:rPr>
          <w:sz w:val="24"/>
          <w:szCs w:val="24"/>
        </w:rPr>
      </w:pPr>
      <w:r>
        <w:rPr>
          <w:sz w:val="24"/>
          <w:szCs w:val="24"/>
        </w:rPr>
        <w:t xml:space="preserve">Species – Paradisiacae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b/>
          <w:sz w:val="24"/>
          <w:szCs w:val="24"/>
        </w:rPr>
      </w:pPr>
      <w:r>
        <w:rPr>
          <w:b/>
          <w:sz w:val="24"/>
          <w:szCs w:val="24"/>
        </w:rPr>
        <w:t xml:space="preserve">2.3 Common names of Musa paradisiacae </w:t>
      </w:r>
    </w:p>
    <w:p w:rsidR="00C57659" w:rsidRDefault="009435CA">
      <w:pPr>
        <w:pStyle w:val="normal0"/>
        <w:spacing w:before="240" w:after="240" w:line="480" w:lineRule="auto"/>
        <w:rPr>
          <w:sz w:val="24"/>
          <w:szCs w:val="24"/>
        </w:rPr>
      </w:pPr>
      <w:r>
        <w:rPr>
          <w:sz w:val="24"/>
          <w:szCs w:val="24"/>
        </w:rPr>
        <w:t xml:space="preserve">Musa paradisiacae is commonly known as plantain. Among the Igbos of Nigeria, it is known as “ogede or abrika”, in Yoruba as “ogede agbagba”, in “Igala as agbo”, and in Hausa as “agada or afutu”. </w:t>
      </w:r>
    </w:p>
    <w:p w:rsidR="00C57659" w:rsidRDefault="009435CA">
      <w:pPr>
        <w:pStyle w:val="normal0"/>
        <w:spacing w:before="240" w:after="240" w:line="480" w:lineRule="auto"/>
        <w:rPr>
          <w:sz w:val="20"/>
          <w:szCs w:val="20"/>
        </w:rPr>
      </w:pPr>
      <w:r>
        <w:rPr>
          <w:sz w:val="20"/>
          <w:szCs w:val="20"/>
        </w:rPr>
        <w:t xml:space="preserve"> </w:t>
      </w: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 xml:space="preserve">2.4 Origin of Musa paradisiacae </w:t>
      </w:r>
    </w:p>
    <w:p w:rsidR="00C57659" w:rsidRDefault="009435CA">
      <w:pPr>
        <w:pStyle w:val="normal0"/>
        <w:spacing w:before="240" w:after="240" w:line="480" w:lineRule="auto"/>
        <w:rPr>
          <w:sz w:val="24"/>
          <w:szCs w:val="24"/>
        </w:rPr>
      </w:pPr>
      <w:r>
        <w:rPr>
          <w:sz w:val="24"/>
          <w:szCs w:val="24"/>
        </w:rPr>
        <w:t xml:space="preserve">Bananas and plantains belong to the genus Musa. It was Linnaeus that first gave the scientific name Musa sapientum for all sweet bananas, and the scientific name Musa paradisiacae for plantains (Simmonds, 1962). However, Linnaeus did not know that the two species he had described were in fact hybrids and not two distinct species (Zeller, 2005). Therefore, those two names could not be relevant in modern taxonomy. </w:t>
      </w:r>
    </w:p>
    <w:p w:rsidR="00C57659" w:rsidRDefault="009435CA">
      <w:pPr>
        <w:pStyle w:val="normal0"/>
        <w:spacing w:before="240" w:after="240" w:line="480" w:lineRule="auto"/>
        <w:rPr>
          <w:sz w:val="24"/>
          <w:szCs w:val="24"/>
        </w:rPr>
      </w:pPr>
      <w:r>
        <w:rPr>
          <w:sz w:val="24"/>
          <w:szCs w:val="24"/>
        </w:rPr>
        <w:t xml:space="preserve">Genetic studies have then demonstrated that all edible bananas and plantains come from a common ancestor, Musa acuminata. Plantains also carry genes from another ancestor, Musa balbisiana (Lejju et al., 2005). The genome of each ancestor could be represented respectively by the letter A and B. Then, further studies showed that edible bananas are mostly triploids and their genome would be described as AAA. This means that they carry three sets of chromosomes derived from M. acuminate (Simmonds, 1962). Different hybrid combinations have been observed, such as AAB, BBB, and tetraploid groups (AAAA) were also described.  </w:t>
      </w:r>
    </w:p>
    <w:p w:rsidR="00C57659" w:rsidRDefault="009435CA">
      <w:pPr>
        <w:pStyle w:val="normal0"/>
        <w:spacing w:before="240" w:after="240" w:line="480" w:lineRule="auto"/>
        <w:rPr>
          <w:sz w:val="24"/>
          <w:szCs w:val="24"/>
        </w:rPr>
      </w:pPr>
      <w:r>
        <w:rPr>
          <w:sz w:val="24"/>
          <w:szCs w:val="24"/>
        </w:rPr>
        <w:t xml:space="preserve">Therefore, an accurate classification for bananas seems to be a great challenge. However, one thing sure in that banana taxonomists seem to agree that there is no single scientific name that can be attributed to all edible bananas (Zeller, 2005; Solofo and Ellis, 2009). Therefore, a new type of classification was proposed by Simmonds and that would abandon the Latin name to use instead a group indication like this: genus (Musa) + genome group (e.g. AAA) + subgroup name (e.g. Cavendish subgroup “Grand Nain”). In Panama, the sweet bananas come mostly from the Cavendish </w:t>
      </w:r>
      <w:r>
        <w:rPr>
          <w:sz w:val="24"/>
          <w:szCs w:val="24"/>
        </w:rPr>
        <w:lastRenderedPageBreak/>
        <w:t xml:space="preserve">subgroup. The plantain subgroup is also triploid but has the genome group AAB (Simmonds, 1962). </w:t>
      </w:r>
    </w:p>
    <w:p w:rsidR="00C57659" w:rsidRDefault="009435CA">
      <w:pPr>
        <w:pStyle w:val="normal0"/>
        <w:spacing w:before="240" w:after="240" w:line="480" w:lineRule="auto"/>
        <w:rPr>
          <w:b/>
          <w:sz w:val="24"/>
          <w:szCs w:val="24"/>
        </w:rPr>
      </w:pPr>
      <w:r>
        <w:rPr>
          <w:sz w:val="24"/>
          <w:szCs w:val="24"/>
        </w:rPr>
        <w:t xml:space="preserve">2.5 </w:t>
      </w:r>
      <w:r>
        <w:rPr>
          <w:b/>
          <w:sz w:val="24"/>
          <w:szCs w:val="24"/>
        </w:rPr>
        <w:t xml:space="preserve">Description of Musa paradisiacae plant </w:t>
      </w:r>
    </w:p>
    <w:p w:rsidR="00C57659" w:rsidRDefault="009435CA">
      <w:pPr>
        <w:pStyle w:val="normal0"/>
        <w:spacing w:before="240" w:after="240" w:line="480" w:lineRule="auto"/>
        <w:rPr>
          <w:sz w:val="24"/>
          <w:szCs w:val="24"/>
        </w:rPr>
      </w:pPr>
      <w:r>
        <w:rPr>
          <w:sz w:val="24"/>
          <w:szCs w:val="24"/>
        </w:rPr>
        <w:t xml:space="preserve">The common Musa paradisiacae has broad, irregular oval leaves, abruptly contracted at the base into a long broad, channelled footstalk. The fully grown blade is 1.3–2.4 meters long and about two third as broad, usually smooth, with several parallel veins. It is wind pollinated and propagates primarily by seeds which are held on the long narrow spikes which rise well above the foliage (Zeller, 2005). </w:t>
      </w:r>
    </w:p>
    <w:p w:rsidR="00C57659" w:rsidRDefault="009435CA">
      <w:pPr>
        <w:pStyle w:val="normal0"/>
        <w:spacing w:before="240" w:after="240" w:line="480" w:lineRule="auto"/>
        <w:rPr>
          <w:sz w:val="24"/>
          <w:szCs w:val="24"/>
        </w:rPr>
      </w:pPr>
      <w:r>
        <w:rPr>
          <w:sz w:val="24"/>
          <w:szCs w:val="24"/>
        </w:rPr>
        <w:t xml:space="preserve"> Musa x paradisiaca (M. acuminata x M. balbisiana) is a sterile (without seeds or viable pollen) triploid (2n=3x=33 chromosomes) that is cultivated in warm climates for its tasty yellow-skinned fruit (Nelson et al., 2006). This is a large, fast-growing, suckering, herbaceous perennial that produces huge oblong to paddle-shaped leaves that grow to as much as 8’ long with leaf sheaths overlapping to help form a trunk-like pseudo stem (false stem). The pseudostem can reach up to 2-9 m tall and with short underground stem (corm) with buds, from which short rhizomes grow to produce a clump of aerial shoots (suckers) close to the parent plant. The roots are adventitious, spreading 4-5 m laterally, descending to 75cm long, but mainly in the top of 15cm and form a dense mat. It develops from the underground rhizome (Gibert, 2009). </w:t>
      </w:r>
    </w:p>
    <w:p w:rsidR="00C57659" w:rsidRDefault="009435CA">
      <w:pPr>
        <w:pStyle w:val="normal0"/>
        <w:spacing w:before="240" w:after="240" w:line="480" w:lineRule="auto"/>
        <w:rPr>
          <w:sz w:val="24"/>
          <w:szCs w:val="24"/>
        </w:rPr>
      </w:pPr>
      <w:r>
        <w:rPr>
          <w:sz w:val="24"/>
          <w:szCs w:val="24"/>
        </w:rPr>
        <w:t xml:space="preserve">At maturity, the rhizome gives rise to flower (inflorescence) that is carried up along a smooth elongated unbranched stem piercing through the centre of the pseudo-stem, finally emerging out at the top in between the leaf cluster. Yellow flowers with purple-red bracts appear in summer on mature plants. The flower subsequently develops to </w:t>
      </w:r>
      <w:r>
        <w:rPr>
          <w:sz w:val="24"/>
          <w:szCs w:val="24"/>
        </w:rPr>
        <w:lastRenderedPageBreak/>
        <w:t xml:space="preserve">plantain bunch consisting of 3 to 20 hands each with at least 5-10 fingers (fruits) (Zeller, 2005). The plant is also monocarpic, which means that a shoot can only flower once and will die after the fruit is produced. The leaf crown will be oriented downward due to gravity.  </w:t>
      </w:r>
    </w:p>
    <w:p w:rsidR="00C57659" w:rsidRDefault="009435CA">
      <w:pPr>
        <w:pStyle w:val="normal0"/>
        <w:spacing w:before="240" w:after="240" w:line="480" w:lineRule="auto"/>
        <w:rPr>
          <w:sz w:val="24"/>
          <w:szCs w:val="24"/>
        </w:rPr>
      </w:pPr>
      <w:r>
        <w:rPr>
          <w:sz w:val="24"/>
          <w:szCs w:val="24"/>
        </w:rPr>
        <w:t xml:space="preserve">Raw green fruits are only eaten after cooking. Each fruit measures about 3 to 10 inches or more in length depending on the cultivar type. They tend to have coarse external features with prominent edges and flat surfaces. The flesh inside is starch rich with tiny edible black seeds concentrated at its core. Ripening process however enhances flavor and sweetness since the starch converts to sugar (glucose, fructose and sucrose) (Phebe et al., 2007). The genus honors Antonia Musa, Roman physician of the 1st century B.C. </w:t>
      </w:r>
    </w:p>
    <w:p w:rsidR="00C57659" w:rsidRDefault="009435CA">
      <w:pPr>
        <w:pStyle w:val="normal0"/>
        <w:spacing w:before="240" w:after="240" w:line="480" w:lineRule="auto"/>
        <w:rPr>
          <w:sz w:val="24"/>
          <w:szCs w:val="24"/>
        </w:rPr>
      </w:pPr>
      <w:r>
        <w:rPr>
          <w:sz w:val="24"/>
          <w:szCs w:val="24"/>
        </w:rPr>
        <w:t xml:space="preserve">No serious insect or disease problems. In some cases, insects like aphids, mealy bugs, moths, scale, thrips, fruit flies and spider mites may attack the plant. Susceptible to anthracnose, wilt and mosaic virus (Scott et al., 1970). </w:t>
      </w:r>
    </w:p>
    <w:p w:rsidR="00C57659" w:rsidRDefault="009435CA">
      <w:pPr>
        <w:pStyle w:val="normal0"/>
        <w:spacing w:before="240" w:after="240" w:line="480" w:lineRule="auto"/>
        <w:rPr>
          <w:sz w:val="24"/>
          <w:szCs w:val="24"/>
        </w:rPr>
      </w:pPr>
      <w:r>
        <w:rPr>
          <w:sz w:val="24"/>
          <w:szCs w:val="24"/>
        </w:rPr>
        <w:t xml:space="preserve"> 2.6 DISTRIBUTION OF MUSA PARADISIACAE</w:t>
      </w:r>
    </w:p>
    <w:p w:rsidR="00C57659" w:rsidRDefault="009435CA">
      <w:pPr>
        <w:pStyle w:val="normal0"/>
        <w:spacing w:before="240" w:after="240" w:line="480" w:lineRule="auto"/>
        <w:rPr>
          <w:sz w:val="24"/>
          <w:szCs w:val="24"/>
        </w:rPr>
      </w:pPr>
      <w:r>
        <w:rPr>
          <w:sz w:val="24"/>
          <w:szCs w:val="24"/>
        </w:rPr>
        <w:t xml:space="preserve">The plant is widely distributed throughout the tropical regions of Southeast Asia and western Pacific regions.  </w:t>
      </w:r>
    </w:p>
    <w:p w:rsidR="00C57659" w:rsidRDefault="009435CA">
      <w:pPr>
        <w:pStyle w:val="normal0"/>
        <w:spacing w:before="240" w:after="240" w:line="480" w:lineRule="auto"/>
        <w:rPr>
          <w:sz w:val="24"/>
          <w:szCs w:val="24"/>
        </w:rPr>
      </w:pPr>
      <w:r>
        <w:rPr>
          <w:sz w:val="24"/>
          <w:szCs w:val="24"/>
        </w:rPr>
        <w:t xml:space="preserve"> It is native to Southeast Asia, India and Burma through the Malay Archipelago to New Guinea, America, Australia, Samona, and tropical Africa (Ahmad et al., 2006). However, the cultivation is limited to Florida, the Canary Islands, Egypt, Southern Japan, and South Brazil. The top leaders exporting countries of plantain are Ecuador, Colombia, </w:t>
      </w:r>
      <w:r>
        <w:rPr>
          <w:sz w:val="24"/>
          <w:szCs w:val="24"/>
        </w:rPr>
        <w:lastRenderedPageBreak/>
        <w:t xml:space="preserve">Costa Rica, Guatemala and Honduras. Panama occupies the 6th position. The large diversity that occurred in plantain has resulted in a variety of cultivars (Scott et al., 1970).  </w:t>
      </w:r>
    </w:p>
    <w:p w:rsidR="00C57659" w:rsidRDefault="009435CA">
      <w:pPr>
        <w:pStyle w:val="normal0"/>
        <w:spacing w:before="240" w:after="240" w:line="480" w:lineRule="auto"/>
        <w:rPr>
          <w:sz w:val="24"/>
          <w:szCs w:val="24"/>
        </w:rPr>
      </w:pPr>
      <w:r>
        <w:rPr>
          <w:sz w:val="24"/>
          <w:szCs w:val="24"/>
        </w:rPr>
        <w:t xml:space="preserve">The number of Musa paradisiacae cultivated varieties (cultivars) has been reported to vary from one country to another. Swennen (1990) observed that at least 116 plantain cultivars exist in different parts of West and Central Africa. In Nigeria alone, more than 20 cultivars have been reported, although only a few are important commercially Swennen (1990). Musa paradisiacae is a major starch crop of importance in the human tropical zone of Africa, Asia, Central and South America. It is undoubtedly one of the oldest cultivated fruits in West and Central Africa. It is consumed as an energy yielding food and desert. It has been estimated that </w:t>
      </w:r>
    </w:p>
    <w:p w:rsidR="00C57659" w:rsidRDefault="009435CA">
      <w:pPr>
        <w:pStyle w:val="normal0"/>
        <w:spacing w:before="240" w:after="240" w:line="480" w:lineRule="auto"/>
        <w:rPr>
          <w:sz w:val="24"/>
          <w:szCs w:val="24"/>
        </w:rPr>
      </w:pPr>
      <w:r>
        <w:rPr>
          <w:sz w:val="24"/>
          <w:szCs w:val="24"/>
        </w:rPr>
        <w:t xml:space="preserve">Musa paradisiacae and other bananas provide nearly 60 million people in Africa with more than 200 calories (food energy) per day. Fruits such as Musa paradisiacae are an important contribution to the diets of many low and middle class people in many African settings (Stover and Simmonds, 1987). Bananas and plantains constitute the fourth most important global food commodity (after rice, wheat and maize) grown in more than 100 countries over a harvested area of approximately 10 million hectares, with an annual production of 88 million tonnes (Frison and Sharrock, 1999). The all year round fruiting habit of Musa paradisiacae puts the crop in a superior position in bridging the ‘hunger gap’ between crop harvests. It therefore contributes significantly to food and income security of people engaged in its production and trade, particularly in developing countries. Musa paradisiacae is an important staple crop, supplying up to 25% of the </w:t>
      </w:r>
      <w:r>
        <w:rPr>
          <w:sz w:val="24"/>
          <w:szCs w:val="24"/>
        </w:rPr>
        <w:lastRenderedPageBreak/>
        <w:t xml:space="preserve">carbohydrates for approximately 70 million people in the humid zone of subSaharan Africa. (IITA, 1998). </w:t>
      </w:r>
    </w:p>
    <w:p w:rsidR="00C57659" w:rsidRDefault="009435CA">
      <w:pPr>
        <w:pStyle w:val="normal0"/>
        <w:spacing w:before="240" w:after="240" w:line="480" w:lineRule="auto"/>
        <w:rPr>
          <w:b/>
          <w:sz w:val="24"/>
          <w:szCs w:val="24"/>
        </w:rPr>
      </w:pPr>
      <w:r>
        <w:rPr>
          <w:sz w:val="20"/>
          <w:szCs w:val="20"/>
        </w:rPr>
        <w:t xml:space="preserve">  2.7 </w:t>
      </w:r>
      <w:r>
        <w:rPr>
          <w:b/>
          <w:sz w:val="24"/>
          <w:szCs w:val="24"/>
        </w:rPr>
        <w:t xml:space="preserve">Cultivation and storage of Musa paradisiacae </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Musa paradisiacae is grown in 52 countries with world production of 33 million metric tonnes (FAO, 2005). It grows more than any other plant in compacted soils, is abundant beside paths, roadside and other areas with frequent soil compaction. It is also common in grassland and as a weed among crops. Musa paradisiacae originated in the humid tropics and performs best under warm (27-30ºC) and very wet (200-220mm per month) conditions. The musa cultivars can stand warmer and drier climates (Gibert, 2009). The best soils are deep, friable loam with a good drainage and aeration. High soil fertility and organic matter content are desirable. The crop tolerates PH values of 4.5-7.5. It is sensitive to typhoons which cause blowdowns. A major problem of Musa paradisiacae is that the fruits are highly perishable (Scott et al., 1971). The most important physiological function affecting product quality during storage is respiration and transpiration. To extend storage life, these functions should be reduced. This can be done by controlling temperature, humidity, ventilation, and atmospheric composition during storage (Scott and Gandanegara, 1974). </w:t>
      </w:r>
    </w:p>
    <w:p w:rsidR="00C57659" w:rsidRDefault="009435CA">
      <w:pPr>
        <w:pStyle w:val="normal0"/>
        <w:spacing w:before="240" w:after="240" w:line="480" w:lineRule="auto"/>
        <w:rPr>
          <w:b/>
          <w:sz w:val="24"/>
          <w:szCs w:val="24"/>
        </w:rPr>
      </w:pPr>
      <w:r>
        <w:rPr>
          <w:sz w:val="20"/>
          <w:szCs w:val="20"/>
        </w:rPr>
        <w:t xml:space="preserve"> 2.8 </w:t>
      </w:r>
      <w:r>
        <w:rPr>
          <w:b/>
          <w:sz w:val="24"/>
          <w:szCs w:val="24"/>
        </w:rPr>
        <w:t xml:space="preserve">Historical uses of Musa paradisiacae </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 Every part of Musa paradisiacae including root system is used widely in various treatments. The fruit of unripe Musa paradisiacae is traditionally used in the treatment of diarrhoea, dysentery, intestinal lesions in ulcerative colitis, diabetes (unripe), in sprue, uraemia, nephritis, gout, hypertension, cardiac disease (Mwangi et al., 2007). </w:t>
      </w:r>
    </w:p>
    <w:p w:rsidR="00C57659" w:rsidRDefault="009435CA">
      <w:pPr>
        <w:pStyle w:val="normal0"/>
        <w:spacing w:before="240" w:after="240" w:line="480" w:lineRule="auto"/>
        <w:rPr>
          <w:sz w:val="24"/>
          <w:szCs w:val="24"/>
        </w:rPr>
      </w:pPr>
      <w:r>
        <w:rPr>
          <w:sz w:val="24"/>
          <w:szCs w:val="24"/>
        </w:rPr>
        <w:lastRenderedPageBreak/>
        <w:t xml:space="preserve">Unripe bananas and plantain fruits are astringent, and used to treat diarrhoea. The leaves are used for cough and bronchitis. The roots can arrest haemoptysis and posses strongly astringent, and antihelmintic properties. Plantain juice is used as an antidote for snakebite. Other uses are asthma, burns, diabetes, dysentery, excessive menstrual flow, fever, gangrene, gout, headache, haemorrhage, inflammation, insomnia, intestinal parasites, sores, syphilis, tuberculosis, ulcers, and warts (Coe and Anderson, 1999). In Suriname's traditional medicine, the red protecting leaves of the bud was used against heavy menstrual bleeding (menorrhagia). </w:t>
      </w:r>
    </w:p>
    <w:p w:rsidR="00C57659" w:rsidRDefault="009435CA">
      <w:pPr>
        <w:pStyle w:val="normal0"/>
        <w:spacing w:before="240" w:after="240" w:line="480" w:lineRule="auto"/>
        <w:rPr>
          <w:sz w:val="24"/>
          <w:szCs w:val="24"/>
        </w:rPr>
      </w:pPr>
      <w:r>
        <w:rPr>
          <w:sz w:val="24"/>
          <w:szCs w:val="24"/>
        </w:rPr>
        <w:t xml:space="preserve">Other therapeutic uses were against dysentery, migraine, hypertension, asthma and jaundice. </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Indeed, they are very reliable sources of starch and energy ensuring food security for millions of households worldwide (Swennen, 1990).   </w:t>
      </w:r>
    </w:p>
    <w:p w:rsidR="00C57659" w:rsidRDefault="009435CA">
      <w:pPr>
        <w:pStyle w:val="normal0"/>
        <w:spacing w:before="240" w:after="240" w:line="480" w:lineRule="auto"/>
        <w:jc w:val="both"/>
        <w:rPr>
          <w:sz w:val="24"/>
          <w:szCs w:val="24"/>
        </w:rPr>
      </w:pPr>
      <w:r>
        <w:rPr>
          <w:sz w:val="24"/>
          <w:szCs w:val="24"/>
        </w:rPr>
        <w:t xml:space="preserve"> It contains dietary fibre. Adequate amount of Dietary-fibre in the food helps normal bowel movements, thereby reducing constipation problems. </w:t>
      </w:r>
    </w:p>
    <w:p w:rsidR="00C57659" w:rsidRDefault="009435CA">
      <w:pPr>
        <w:pStyle w:val="normal0"/>
        <w:spacing w:before="240" w:after="240" w:line="480" w:lineRule="auto"/>
        <w:jc w:val="both"/>
        <w:rPr>
          <w:sz w:val="24"/>
          <w:szCs w:val="24"/>
        </w:rPr>
      </w:pPr>
      <w:r>
        <w:rPr>
          <w:sz w:val="24"/>
          <w:szCs w:val="24"/>
        </w:rPr>
        <w:t xml:space="preserve"> Musa paradisiacae is rich in vitamin C. Consumption of foods rich in vitamin-C helps the body develop resistance against infectious agents and scavenge harmful oxygen-free radicals. </w:t>
      </w:r>
    </w:p>
    <w:p w:rsidR="00C57659" w:rsidRDefault="009435CA">
      <w:pPr>
        <w:pStyle w:val="normal0"/>
        <w:spacing w:before="240" w:after="240" w:line="480" w:lineRule="auto"/>
        <w:jc w:val="both"/>
        <w:rPr>
          <w:sz w:val="24"/>
          <w:szCs w:val="24"/>
        </w:rPr>
      </w:pPr>
      <w:r>
        <w:rPr>
          <w:sz w:val="24"/>
          <w:szCs w:val="24"/>
        </w:rPr>
        <w:t xml:space="preserve"> Musa paradisiacae contains enough of vitamin A. In addition to being a powerful antioxidant, vitamin A plays a vital role in the visual cycle, maintaining healthy mucus membranes, and enhancing skin complexion. </w:t>
      </w:r>
    </w:p>
    <w:p w:rsidR="00C57659" w:rsidRDefault="009435CA">
      <w:pPr>
        <w:pStyle w:val="normal0"/>
        <w:spacing w:before="240" w:after="240" w:line="480" w:lineRule="auto"/>
        <w:jc w:val="both"/>
        <w:rPr>
          <w:sz w:val="24"/>
          <w:szCs w:val="24"/>
        </w:rPr>
      </w:pPr>
      <w:r>
        <w:rPr>
          <w:sz w:val="24"/>
          <w:szCs w:val="24"/>
        </w:rPr>
        <w:lastRenderedPageBreak/>
        <w:t xml:space="preserve"> As in bananas, they too are rich sources of B-complex vitamins, particularly high in vitamin-B6 (pyridoxine). Pyridoxine is an important B-complex vitamin that has a beneficial role in the treatment of neuritis, anaemia, and to decrease homocystine (one of the causative factors for coronary artery disease (CHD) and stroke episodes) levels in the body. In addition, the fruit contains moderate levels of folates, niacin, riboflavin and thiamine (Ogazi, 1996). </w:t>
      </w:r>
    </w:p>
    <w:p w:rsidR="00C57659" w:rsidRDefault="009435CA">
      <w:pPr>
        <w:pStyle w:val="normal0"/>
        <w:spacing w:before="240" w:after="240" w:line="480" w:lineRule="auto"/>
        <w:jc w:val="both"/>
        <w:rPr>
          <w:sz w:val="24"/>
          <w:szCs w:val="24"/>
        </w:rPr>
      </w:pPr>
      <w:r>
        <w:rPr>
          <w:sz w:val="24"/>
          <w:szCs w:val="24"/>
        </w:rPr>
        <w:t xml:space="preserve"> They also provide adequate levels of minerals such as iron, magnesium, and phosphorous. Magnesium is essential for bone strengthening and has a cardiac-protective role as well. </w:t>
      </w:r>
    </w:p>
    <w:p w:rsidR="00C57659" w:rsidRDefault="009435CA">
      <w:pPr>
        <w:pStyle w:val="normal0"/>
        <w:spacing w:before="240" w:after="240" w:line="480" w:lineRule="auto"/>
        <w:jc w:val="both"/>
        <w:rPr>
          <w:sz w:val="24"/>
          <w:szCs w:val="24"/>
        </w:rPr>
      </w:pPr>
      <w:r>
        <w:rPr>
          <w:sz w:val="24"/>
          <w:szCs w:val="24"/>
        </w:rPr>
        <w:t>Musa paradisiacae are also rich in potassium. Potassium is an important component of cell and body fluids that helps control heart rate and blood pressure, countering negative effects of sodium (Ogazi, 1996).</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9435CA">
      <w:pPr>
        <w:pStyle w:val="normal0"/>
        <w:spacing w:before="240" w:after="240" w:line="480" w:lineRule="auto"/>
        <w:jc w:val="both"/>
        <w:rPr>
          <w:b/>
          <w:sz w:val="28"/>
          <w:szCs w:val="28"/>
        </w:rPr>
      </w:pPr>
      <w:r>
        <w:rPr>
          <w:b/>
          <w:sz w:val="24"/>
          <w:szCs w:val="24"/>
        </w:rPr>
        <w:lastRenderedPageBreak/>
        <w:t xml:space="preserve">                                       </w:t>
      </w:r>
      <w:r>
        <w:rPr>
          <w:b/>
          <w:sz w:val="28"/>
          <w:szCs w:val="28"/>
        </w:rPr>
        <w:t>CHAPTER THREE</w:t>
      </w:r>
    </w:p>
    <w:p w:rsidR="00C57659" w:rsidRDefault="009435CA">
      <w:pPr>
        <w:pStyle w:val="normal0"/>
        <w:spacing w:before="240" w:after="240" w:line="480" w:lineRule="auto"/>
        <w:jc w:val="both"/>
        <w:rPr>
          <w:sz w:val="24"/>
          <w:szCs w:val="24"/>
        </w:rPr>
      </w:pPr>
      <w:r>
        <w:rPr>
          <w:b/>
          <w:sz w:val="24"/>
          <w:szCs w:val="24"/>
        </w:rPr>
        <w:t xml:space="preserve">                                   </w:t>
      </w:r>
      <w:r>
        <w:rPr>
          <w:sz w:val="24"/>
          <w:szCs w:val="24"/>
        </w:rPr>
        <w:t xml:space="preserve">MATERIALS AND METHODS </w:t>
      </w:r>
    </w:p>
    <w:p w:rsidR="00C57659" w:rsidRDefault="009435CA">
      <w:pPr>
        <w:pStyle w:val="normal0"/>
        <w:spacing w:before="240" w:after="240" w:line="480" w:lineRule="auto"/>
        <w:jc w:val="both"/>
        <w:rPr>
          <w:b/>
          <w:sz w:val="24"/>
          <w:szCs w:val="24"/>
        </w:rPr>
      </w:pPr>
      <w:r>
        <w:rPr>
          <w:b/>
          <w:sz w:val="24"/>
          <w:szCs w:val="24"/>
        </w:rPr>
        <w:t>3.1 Plantain Wastes Sample Preparation</w:t>
      </w:r>
    </w:p>
    <w:p w:rsidR="00C57659" w:rsidRDefault="009435CA">
      <w:pPr>
        <w:pStyle w:val="normal0"/>
        <w:spacing w:before="240" w:after="240" w:line="480" w:lineRule="auto"/>
        <w:jc w:val="both"/>
        <w:rPr>
          <w:sz w:val="24"/>
          <w:szCs w:val="24"/>
        </w:rPr>
      </w:pPr>
      <w:r>
        <w:rPr>
          <w:sz w:val="24"/>
          <w:szCs w:val="24"/>
        </w:rPr>
        <w:t xml:space="preserve"> Ripe plantain fruit was purchased at Oje market in Ilorin, Kwara State, Nigeria while plantain bracts, fruit stalk, and leaves were collected from plantain plantation in Offa, Kwara State, Nigeria. The peel, bract, fruit stalk and leaves were removed, washed with distilled water, sun dried for 168 hours and then oven dried at 1050C to constant weight. The samples were grinded, passed through a 0.1mm mesh size and, stored in polythene container till when needed for analysis.</w:t>
      </w:r>
    </w:p>
    <w:p w:rsidR="00C57659" w:rsidRDefault="009435CA">
      <w:pPr>
        <w:pStyle w:val="normal0"/>
        <w:spacing w:before="240" w:after="240" w:line="480" w:lineRule="auto"/>
        <w:jc w:val="both"/>
        <w:rPr>
          <w:sz w:val="24"/>
          <w:szCs w:val="24"/>
        </w:rPr>
      </w:pPr>
      <w:r>
        <w:rPr>
          <w:sz w:val="24"/>
          <w:szCs w:val="24"/>
        </w:rPr>
        <w:t xml:space="preserve">Chemicals and Reagents; All the chemicals and reagents used in this study were of analytical grade and were products of British drug House Laboratory, England. </w:t>
      </w:r>
    </w:p>
    <w:p w:rsidR="00C57659" w:rsidRDefault="009435CA">
      <w:pPr>
        <w:pStyle w:val="normal0"/>
        <w:spacing w:before="240" w:after="240" w:line="480" w:lineRule="auto"/>
        <w:jc w:val="both"/>
        <w:rPr>
          <w:b/>
          <w:sz w:val="24"/>
          <w:szCs w:val="24"/>
        </w:rPr>
      </w:pPr>
      <w:r>
        <w:rPr>
          <w:b/>
          <w:sz w:val="24"/>
          <w:szCs w:val="24"/>
        </w:rPr>
        <w:t xml:space="preserve">3.2 Proximate analysis </w:t>
      </w:r>
    </w:p>
    <w:p w:rsidR="00C57659" w:rsidRDefault="009435CA">
      <w:pPr>
        <w:pStyle w:val="normal0"/>
        <w:spacing w:before="240" w:after="240" w:line="480" w:lineRule="auto"/>
        <w:jc w:val="both"/>
        <w:rPr>
          <w:sz w:val="24"/>
          <w:szCs w:val="24"/>
        </w:rPr>
      </w:pPr>
      <w:r>
        <w:rPr>
          <w:sz w:val="24"/>
          <w:szCs w:val="24"/>
        </w:rPr>
        <w:t xml:space="preserve">The proximate analysis of powdered samples was done using the Association of Analytical Chemists' varied analytical methods. The following are all the methods of proximate analysis.  </w:t>
      </w:r>
    </w:p>
    <w:p w:rsidR="00C57659" w:rsidRDefault="009435CA">
      <w:pPr>
        <w:pStyle w:val="normal0"/>
        <w:spacing w:before="240" w:after="240" w:line="480" w:lineRule="auto"/>
        <w:jc w:val="both"/>
        <w:rPr>
          <w:sz w:val="24"/>
          <w:szCs w:val="24"/>
        </w:rPr>
      </w:pPr>
      <w:r>
        <w:rPr>
          <w:sz w:val="24"/>
          <w:szCs w:val="24"/>
        </w:rPr>
        <w:t xml:space="preserve">i Determination of moisture content: </w:t>
      </w:r>
    </w:p>
    <w:p w:rsidR="00C57659" w:rsidRDefault="009435CA">
      <w:pPr>
        <w:pStyle w:val="normal0"/>
        <w:spacing w:before="240" w:after="240" w:line="480" w:lineRule="auto"/>
        <w:jc w:val="both"/>
        <w:rPr>
          <w:sz w:val="24"/>
          <w:szCs w:val="24"/>
        </w:rPr>
      </w:pPr>
      <w:r>
        <w:rPr>
          <w:sz w:val="24"/>
          <w:szCs w:val="24"/>
        </w:rPr>
        <w:t xml:space="preserve">The moisture content was easily determined by the drying method in the sample. 2 g of sample was taken (initial weight). The sample was placed in an oven at 105°C temperatures for 12 hours-24 hours and its weight was recorded after operation (final </w:t>
      </w:r>
      <w:r>
        <w:rPr>
          <w:sz w:val="24"/>
          <w:szCs w:val="24"/>
        </w:rPr>
        <w:lastRenderedPageBreak/>
        <w:t xml:space="preserve">weight). The following formula was used to calculate the percentage of moisture: Moisture (%) = W1 – W2 × 100 W1 </w:t>
      </w:r>
    </w:p>
    <w:p w:rsidR="00C57659" w:rsidRDefault="009435CA">
      <w:pPr>
        <w:pStyle w:val="normal0"/>
        <w:spacing w:before="240" w:after="240" w:line="480" w:lineRule="auto"/>
        <w:jc w:val="both"/>
        <w:rPr>
          <w:sz w:val="24"/>
          <w:szCs w:val="24"/>
        </w:rPr>
      </w:pPr>
      <w:r>
        <w:rPr>
          <w:sz w:val="24"/>
          <w:szCs w:val="24"/>
        </w:rPr>
        <w:t xml:space="preserve">Ii Ash content: </w:t>
      </w:r>
    </w:p>
    <w:p w:rsidR="00C57659" w:rsidRDefault="009435CA">
      <w:pPr>
        <w:pStyle w:val="normal0"/>
        <w:spacing w:before="240" w:after="240" w:line="480" w:lineRule="auto"/>
        <w:jc w:val="both"/>
        <w:rPr>
          <w:sz w:val="24"/>
          <w:szCs w:val="24"/>
        </w:rPr>
      </w:pPr>
      <w:r>
        <w:rPr>
          <w:sz w:val="24"/>
          <w:szCs w:val="24"/>
        </w:rPr>
        <w:t xml:space="preserve">The dried plant powders were weighed 2 g (initial weight) in a dry and clean crucible. This crucible was placed in a muffle furnace. The sample was burnt in the Muffle Total Ash (%) = W1-W2 × 100 W1 </w:t>
      </w:r>
    </w:p>
    <w:p w:rsidR="00C57659" w:rsidRDefault="009435CA">
      <w:pPr>
        <w:pStyle w:val="normal0"/>
        <w:spacing w:before="240" w:after="240" w:line="480" w:lineRule="auto"/>
        <w:jc w:val="both"/>
        <w:rPr>
          <w:sz w:val="24"/>
          <w:szCs w:val="24"/>
        </w:rPr>
      </w:pPr>
      <w:r>
        <w:rPr>
          <w:sz w:val="24"/>
          <w:szCs w:val="24"/>
        </w:rPr>
        <w:t xml:space="preserve">Iii Crude fiber: </w:t>
      </w:r>
    </w:p>
    <w:p w:rsidR="00C57659" w:rsidRDefault="009435CA">
      <w:pPr>
        <w:pStyle w:val="normal0"/>
        <w:spacing w:before="240" w:after="240" w:line="480" w:lineRule="auto"/>
        <w:jc w:val="both"/>
        <w:rPr>
          <w:sz w:val="24"/>
          <w:szCs w:val="24"/>
        </w:rPr>
      </w:pPr>
      <w:r>
        <w:rPr>
          <w:sz w:val="24"/>
          <w:szCs w:val="24"/>
        </w:rPr>
        <w:t xml:space="preserve">The fibers content was evaluated by counting the number of dried lipid-free residues that lost their capacity to ignite after being digested for four hours with 200 mL of each 1.25 N H2SO4 and 1.25 N NaOH before being rinsed at 600°C. The following is how the crude percentage was calculated: </w:t>
      </w:r>
      <w:r>
        <w:rPr>
          <w:sz w:val="24"/>
          <w:szCs w:val="24"/>
        </w:rPr>
        <w:tab/>
        <w:t xml:space="preserve">Crude fibre (%) = W1-W2 × 100 W1 </w:t>
      </w:r>
    </w:p>
    <w:p w:rsidR="00C57659" w:rsidRDefault="009435CA">
      <w:pPr>
        <w:pStyle w:val="normal0"/>
        <w:spacing w:before="240" w:after="240" w:line="480" w:lineRule="auto"/>
        <w:jc w:val="both"/>
        <w:rPr>
          <w:sz w:val="24"/>
          <w:szCs w:val="24"/>
        </w:rPr>
      </w:pPr>
      <w:r>
        <w:rPr>
          <w:sz w:val="24"/>
          <w:szCs w:val="24"/>
        </w:rPr>
        <w:t xml:space="preserve">iv Determination of crude protein: </w:t>
      </w:r>
    </w:p>
    <w:p w:rsidR="00C57659" w:rsidRDefault="009435CA">
      <w:pPr>
        <w:pStyle w:val="normal0"/>
        <w:spacing w:before="240" w:after="240" w:line="480" w:lineRule="auto"/>
        <w:jc w:val="both"/>
        <w:rPr>
          <w:sz w:val="24"/>
          <w:szCs w:val="24"/>
        </w:rPr>
      </w:pPr>
      <w:r>
        <w:rPr>
          <w:sz w:val="24"/>
          <w:szCs w:val="24"/>
        </w:rPr>
        <w:t xml:space="preserve">The crude protein was determined by micro Kjeldahl technique, as described by Moses et al., (2012). In a heating tube,two grams of materials were dissolved in 10 mL of concentrated H2SO4. It was heated inside a fume cupboard with 1 Selenifurnace at 600°C for at least 4 hours, then cooled down in the muffle furnace to 200°C-300°C and transferred to the desiccator. The Ash in the crucible was weighed (final weight) and the Ash percentage was calculated by the given formula:-um tablet as a catalyst. The mixture was then shifted to a 100 mL flask and the volume was increased with distilled water. 10 mL of the mixture was mixed with an equivalent volume of 45% NaOH solution before being relocated to the Kjeldahl apparatus. The extract was combined </w:t>
      </w:r>
      <w:r>
        <w:rPr>
          <w:sz w:val="24"/>
          <w:szCs w:val="24"/>
        </w:rPr>
        <w:lastRenderedPageBreak/>
        <w:t xml:space="preserve">with 4% H3BO3 and 3 droplets of methyl red as an indicator. A sample of 50 mL of distillate was obtained and titrated. The test was repeated three times, and the mean value was computed. The nitrogen content was calculated and multiplied by 6.25 to get crude protein content. CP (%) = (T-B) x N × 14 ×100 × 6.25 Ws x 1000 </w:t>
      </w:r>
    </w:p>
    <w:p w:rsidR="00C57659" w:rsidRDefault="009435CA">
      <w:pPr>
        <w:pStyle w:val="normal0"/>
        <w:spacing w:before="240" w:after="240" w:line="480" w:lineRule="auto"/>
        <w:jc w:val="both"/>
        <w:rPr>
          <w:sz w:val="24"/>
          <w:szCs w:val="24"/>
        </w:rPr>
      </w:pPr>
      <w:r>
        <w:rPr>
          <w:sz w:val="24"/>
          <w:szCs w:val="24"/>
        </w:rPr>
        <w:t xml:space="preserve">v Determination of fat content: </w:t>
      </w:r>
    </w:p>
    <w:p w:rsidR="00C57659" w:rsidRDefault="009435CA">
      <w:pPr>
        <w:pStyle w:val="normal0"/>
        <w:spacing w:before="240" w:after="240" w:line="480" w:lineRule="auto"/>
        <w:jc w:val="both"/>
        <w:rPr>
          <w:sz w:val="24"/>
          <w:szCs w:val="24"/>
        </w:rPr>
      </w:pPr>
      <w:r>
        <w:rPr>
          <w:sz w:val="24"/>
          <w:szCs w:val="24"/>
        </w:rPr>
        <w:t xml:space="preserve">2 g of each sample was wrapped loosely in filter paper and placed in the thimble, which was fixed to a round bottom flask that had been dried, cleaned, and weighed. The flask was filled with 120 mL of petroleum ether. The sample was boiled with a heating mantle and refluxed for 5 hours. The warming was turned off, and the thimbles with the expended samples were saved and later weighed. The weight difference was reported as a quantity of fat in a sample. The percentage of fats was computed as follows: Crude Fat (%) = W1 – W2 × 100 W1 </w:t>
      </w:r>
    </w:p>
    <w:p w:rsidR="00C57659" w:rsidRDefault="009435CA">
      <w:pPr>
        <w:pStyle w:val="normal0"/>
        <w:spacing w:before="240" w:after="240" w:line="480" w:lineRule="auto"/>
        <w:jc w:val="both"/>
        <w:rPr>
          <w:sz w:val="24"/>
          <w:szCs w:val="24"/>
        </w:rPr>
      </w:pPr>
      <w:r>
        <w:rPr>
          <w:sz w:val="24"/>
          <w:szCs w:val="24"/>
        </w:rPr>
        <w:t xml:space="preserve">Vi Determination of carbohydrate content: </w:t>
      </w:r>
    </w:p>
    <w:p w:rsidR="00C57659" w:rsidRDefault="009435CA">
      <w:pPr>
        <w:pStyle w:val="normal0"/>
        <w:spacing w:before="240" w:after="240" w:line="480" w:lineRule="auto"/>
        <w:jc w:val="both"/>
        <w:rPr>
          <w:sz w:val="24"/>
          <w:szCs w:val="24"/>
        </w:rPr>
      </w:pPr>
      <w:r>
        <w:rPr>
          <w:sz w:val="24"/>
          <w:szCs w:val="24"/>
        </w:rPr>
        <w:t xml:space="preserve">The percentages of carbohydrates were found out by the Nitrogen-free approach. The carbohydrate amount was calculated by subtracting the total sum of other proximate characteristics such as crude fat, crude protein, crude fiber, ash, and moisture from 100. The formula is as follows: Carbohydrates (%) =100-(% ash+% Moisture+% Fats+%Fibres+%Protein) </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9435CA">
      <w:pPr>
        <w:pStyle w:val="normal0"/>
        <w:spacing w:before="240" w:after="240" w:line="480" w:lineRule="auto"/>
        <w:jc w:val="both"/>
        <w:rPr>
          <w:sz w:val="24"/>
          <w:szCs w:val="24"/>
        </w:rPr>
      </w:pPr>
      <w:r>
        <w:rPr>
          <w:sz w:val="24"/>
          <w:szCs w:val="24"/>
        </w:rPr>
        <w:lastRenderedPageBreak/>
        <w:t xml:space="preserve">3.3 Mineral analysis </w:t>
      </w:r>
    </w:p>
    <w:p w:rsidR="00C57659" w:rsidRDefault="009435CA">
      <w:pPr>
        <w:pStyle w:val="normal0"/>
        <w:spacing w:before="240" w:after="240" w:line="480" w:lineRule="auto"/>
        <w:jc w:val="both"/>
        <w:rPr>
          <w:sz w:val="24"/>
          <w:szCs w:val="24"/>
        </w:rPr>
      </w:pPr>
      <w:r>
        <w:rPr>
          <w:sz w:val="24"/>
          <w:szCs w:val="24"/>
        </w:rPr>
        <w:t xml:space="preserve">The dried sample of our selected medicinal plant was subjected to evaluate Calcium (Ca), Sodium (Na), and Potassium (K) concentration. These mineral ion contents were determined in triplicate using the Association of Official Analytical Chemists' wet digestion technique (1990). One gram of powdered material was dissolved in ten milliliters of strong Nitric acid (HNO3) and ignited until the formation of scarlet Nitrous oxide (N2O) fumes ceased. After cooling, 10 mL of HClO4 (Perchloric acid) was added to it. This combination was cooked once again and reduced to a minor fraction. The processed filtrate was liquefied in distilled water to a volume of 50 ml. Mineral ion concentrations were measured in parts per million (ppm) using a flame photometer devised by Sherwood model 360 and converting it to a percentage using the following formulae: </w:t>
      </w:r>
    </w:p>
    <w:p w:rsidR="00C57659" w:rsidRDefault="009435CA">
      <w:pPr>
        <w:pStyle w:val="normal0"/>
        <w:spacing w:before="240" w:after="240" w:line="480" w:lineRule="auto"/>
        <w:jc w:val="both"/>
        <w:rPr>
          <w:sz w:val="24"/>
          <w:szCs w:val="24"/>
        </w:rPr>
      </w:pPr>
      <w:r>
        <w:rPr>
          <w:sz w:val="24"/>
          <w:szCs w:val="24"/>
        </w:rPr>
        <w:t xml:space="preserve">(% ) = Reading × Dilution factor 10,000 × Sample Weight </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9435CA">
      <w:pPr>
        <w:pStyle w:val="normal0"/>
        <w:spacing w:before="240" w:after="240" w:line="480" w:lineRule="auto"/>
        <w:jc w:val="both"/>
        <w:rPr>
          <w:b/>
          <w:sz w:val="28"/>
          <w:szCs w:val="28"/>
        </w:rPr>
      </w:pPr>
      <w:r>
        <w:rPr>
          <w:b/>
          <w:sz w:val="28"/>
          <w:szCs w:val="28"/>
        </w:rPr>
        <w:lastRenderedPageBreak/>
        <w:t xml:space="preserve">                                CHAPTER FOUR</w:t>
      </w:r>
    </w:p>
    <w:p w:rsidR="00C57659" w:rsidRDefault="009435CA">
      <w:pPr>
        <w:pStyle w:val="normal0"/>
        <w:spacing w:before="240" w:after="240" w:line="480" w:lineRule="auto"/>
        <w:jc w:val="both"/>
        <w:rPr>
          <w:sz w:val="24"/>
          <w:szCs w:val="24"/>
        </w:rPr>
      </w:pPr>
      <w:r>
        <w:rPr>
          <w:sz w:val="24"/>
          <w:szCs w:val="24"/>
        </w:rPr>
        <w:t xml:space="preserve">                               RESULTS AND DISCUSSION</w:t>
      </w:r>
    </w:p>
    <w:p w:rsidR="00C57659" w:rsidRDefault="009435CA">
      <w:pPr>
        <w:pStyle w:val="normal0"/>
        <w:spacing w:before="240" w:after="240" w:line="480" w:lineRule="auto"/>
        <w:jc w:val="both"/>
        <w:rPr>
          <w:sz w:val="24"/>
          <w:szCs w:val="24"/>
        </w:rPr>
      </w:pPr>
      <w:r>
        <w:rPr>
          <w:sz w:val="24"/>
          <w:szCs w:val="24"/>
        </w:rPr>
        <w:t xml:space="preserve">The result of proximate nutrient composition of plantain wastes is as shown in Table 1. The residual moisture content of plantain wastes was very low (less than 10g/100g sample). The moisture content of bracts, ripe peel and fruit stalk was not significantly different from each other (p&gt;0.05), while their value was significantly lower than that of the leaf (p&lt;0.05). The protein content of the waste products was significantly different from each other with leaf protein being the highest, followed by bract, the fruit stalk having the lowest value. The crude lipid content of bract and leaf was not significantly different but was significantly different from that of ripe peel and fruit stalk.. The ash value of all samples was significantly different from each other, fruit stalk having the highest value followed by ripe peel, with the leaf having the lowest. The crude fibre content of the waste products was significantly different from one another, fruit stalk having the highest value followed by ripe peel, bract and leaf .. The carbohydrate </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18"/>
          <w:szCs w:val="18"/>
        </w:rPr>
      </w:pPr>
    </w:p>
    <w:p w:rsidR="00C57659" w:rsidRDefault="00C57659">
      <w:pPr>
        <w:pStyle w:val="normal0"/>
        <w:spacing w:before="240" w:after="240" w:line="480" w:lineRule="auto"/>
        <w:jc w:val="both"/>
        <w:rPr>
          <w:sz w:val="18"/>
          <w:szCs w:val="18"/>
        </w:rPr>
      </w:pPr>
    </w:p>
    <w:p w:rsidR="00C57659" w:rsidRDefault="00C57659">
      <w:pPr>
        <w:pStyle w:val="normal0"/>
        <w:spacing w:before="240" w:after="240" w:line="480" w:lineRule="auto"/>
        <w:jc w:val="both"/>
        <w:rPr>
          <w:sz w:val="18"/>
          <w:szCs w:val="18"/>
        </w:rPr>
      </w:pPr>
    </w:p>
    <w:p w:rsidR="00C57659" w:rsidRDefault="009435CA">
      <w:pPr>
        <w:pStyle w:val="normal0"/>
        <w:spacing w:before="240" w:after="240" w:line="480" w:lineRule="auto"/>
        <w:jc w:val="both"/>
        <w:rPr>
          <w:sz w:val="24"/>
          <w:szCs w:val="24"/>
        </w:rPr>
      </w:pPr>
      <w:r>
        <w:rPr>
          <w:sz w:val="18"/>
          <w:szCs w:val="18"/>
        </w:rPr>
        <w:lastRenderedPageBreak/>
        <w:t>Table 1. Proximate composition (Dry Matter, DM) of plantain wastes flour (g/100g)</w:t>
      </w:r>
    </w:p>
    <w:tbl>
      <w:tblPr>
        <w:tblStyle w:val="a"/>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00"/>
        <w:gridCol w:w="1440"/>
        <w:gridCol w:w="1380"/>
        <w:gridCol w:w="1410"/>
        <w:gridCol w:w="1305"/>
        <w:gridCol w:w="1530"/>
      </w:tblGrid>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Sample</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Bract</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Ripe peel</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Fruit stalk</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Leaf</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Mean</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Moisture</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9.5b±0.1</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9.5b±0.2 </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9.5b±0.1</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9.4a±0.3</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9.4±0.3 </w:t>
            </w:r>
          </w:p>
        </w:tc>
      </w:tr>
      <w:tr w:rsidR="00C57659">
        <w:trPr>
          <w:cantSplit/>
          <w:tblHeader/>
        </w:trPr>
        <w:tc>
          <w:tcPr>
            <w:tcW w:w="180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44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38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41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305"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53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Protein</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11.5c±0.2</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2.3b±0.6</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1.9a±06</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19.4d±0.3   </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8.7±0.5</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Crude lipid</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1.8c ±0.1</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0.9b±0.1</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0.7a± 0.6 </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1.8c±0.6 </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1.3±0.5</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Ash</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7.8b±0.6 </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8.9c±0.6 </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9.1d±0.6</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7.2a±0.1</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8.2±0.8</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Crude Fibre</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8.5b±0.1</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10.4c±0.6</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15.5d±0.1 </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8.1a±0.2 </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10.6±3.1</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Carbohydrates</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60.9b±0.5</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68.0d±0.3 </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63.3c±0.2 </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54.6a±0.3</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61.7±5.1</w:t>
            </w:r>
          </w:p>
        </w:tc>
      </w:tr>
    </w:tbl>
    <w:p w:rsidR="00C57659" w:rsidRDefault="00C57659">
      <w:pPr>
        <w:pStyle w:val="normal0"/>
        <w:spacing w:after="240" w:line="480" w:lineRule="auto"/>
        <w:jc w:val="both"/>
        <w:rPr>
          <w:sz w:val="16"/>
          <w:szCs w:val="16"/>
        </w:rPr>
      </w:pPr>
    </w:p>
    <w:p w:rsidR="00C57659" w:rsidRDefault="00C57659">
      <w:pPr>
        <w:pStyle w:val="normal0"/>
        <w:spacing w:after="240" w:line="480" w:lineRule="auto"/>
        <w:jc w:val="both"/>
        <w:rPr>
          <w:sz w:val="16"/>
          <w:szCs w:val="16"/>
        </w:rPr>
      </w:pPr>
    </w:p>
    <w:p w:rsidR="00C57659" w:rsidRDefault="009435CA">
      <w:pPr>
        <w:pStyle w:val="normal0"/>
        <w:spacing w:after="240" w:line="480" w:lineRule="auto"/>
        <w:jc w:val="both"/>
        <w:rPr>
          <w:sz w:val="18"/>
          <w:szCs w:val="18"/>
        </w:rPr>
      </w:pPr>
      <w:r>
        <w:rPr>
          <w:sz w:val="18"/>
          <w:szCs w:val="18"/>
        </w:rPr>
        <w:t xml:space="preserve">Table 2. Mineral composition (Dry Matter, DM) of plantain wastes flour (mg/100g) </w:t>
      </w:r>
    </w:p>
    <w:tbl>
      <w:tblPr>
        <w:tblStyle w:val="a0"/>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20"/>
        <w:gridCol w:w="1665"/>
        <w:gridCol w:w="1275"/>
        <w:gridCol w:w="1440"/>
        <w:gridCol w:w="1455"/>
        <w:gridCol w:w="1530"/>
        <w:gridCol w:w="1380"/>
      </w:tblGrid>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Sample</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Na</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K</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Ca</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Mg</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P</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Fe</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Bract</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280.0b±0.0</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40.0±0.0 </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135.0±0.0</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18.0d±0.0</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151.7c±2.9</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14.0c±0.0</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Ripe peel</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315.0c±12.0</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35.0±0.0 </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120.0±0.0 </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14.5b±0.0</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145.0b±0.0</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12.3b±0.3</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Fruit stalk </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253.3a±5.8 </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30.0±0.0</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125.0±0.0</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15.3c±0.3 </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110.0a±0.0</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12.1b±0.1</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Leaf</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280.0b±23.2</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35.0±3.7</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150.0±0.0</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12.3a±0.3  </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180.0d±0.0</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10.5a±0.0 </w:t>
            </w:r>
          </w:p>
        </w:tc>
      </w:tr>
    </w:tbl>
    <w:p w:rsidR="00C57659" w:rsidRDefault="009435CA">
      <w:pPr>
        <w:pStyle w:val="normal0"/>
        <w:spacing w:line="480" w:lineRule="auto"/>
        <w:jc w:val="both"/>
        <w:rPr>
          <w:sz w:val="24"/>
          <w:szCs w:val="24"/>
        </w:rPr>
      </w:pPr>
      <w:r>
        <w:rPr>
          <w:sz w:val="24"/>
          <w:szCs w:val="24"/>
        </w:rPr>
        <w:lastRenderedPageBreak/>
        <w:t xml:space="preserve">content of the peel was highest and that of leaf lowest (p&lt;0.05). The mineral composition of plantain wastes are shown in Table 2. There were significant differences in values of all the minerals for all the samples. Ripe peel was highest in sodium, bract was highest in potassium, magnesium and iron, while the leaf sample was highest in calcium and phosphorus.. </w:t>
      </w:r>
      <w:r>
        <w:rPr>
          <w:sz w:val="24"/>
          <w:szCs w:val="24"/>
        </w:rPr>
        <w:tab/>
      </w:r>
    </w:p>
    <w:p w:rsidR="00C57659" w:rsidRDefault="00C57659">
      <w:pPr>
        <w:pStyle w:val="normal0"/>
        <w:spacing w:line="480" w:lineRule="auto"/>
        <w:jc w:val="both"/>
        <w:rPr>
          <w:sz w:val="24"/>
          <w:szCs w:val="24"/>
        </w:rPr>
      </w:pPr>
    </w:p>
    <w:p w:rsidR="00C57659" w:rsidRDefault="009435CA">
      <w:pPr>
        <w:pStyle w:val="normal0"/>
        <w:spacing w:line="480" w:lineRule="auto"/>
        <w:jc w:val="both"/>
        <w:rPr>
          <w:sz w:val="24"/>
          <w:szCs w:val="24"/>
        </w:rPr>
      </w:pPr>
      <w:r>
        <w:rPr>
          <w:sz w:val="24"/>
          <w:szCs w:val="24"/>
        </w:rPr>
        <w:t xml:space="preserve">The moisture level (Table1) of the samples was very high compared to the value reported in the literature (5.43%, USDA, 2009). The moisture content of foods or its processed products gives an indication of its freshness and shelf life, and high moisture content subjects food items to increased microbial spoilage and short shelf life, which can lead to its deterioration (Adepoju and Onasanya, 2008). The leaf and the bract samples were relatively high in crude protein when compared with other sources of plant protein. They are higher than that of Shea butter fruit pulp (Adepoju and Ketiku, 2003), amaranthus and cocoyam leaves (Adepoju et al., 2006). Protein content of plantain ripe peel and fruit stalk powder was low compared with that of other widely eaten staple roots, tubers and fruits (Aurand, 1987; USDA, 2009), significantly lower than that of leaf and bract samples, but higher than that of fluted pumpkin pod and pulp (Essien et al., 1992). Protein is an essential component of diet needed for survival of animals and human being, their basic function in nutrition is to supply adequate amount of required amino acids.  The crude fat content of samples of the plantain wastes was very low and may not be good source of fat soluble vitamins nor can contribute significantly to energy content of the feeds that can be prepared with the wastes. Plantain fruit stalk and bract had the lowest and highest fat content respectively. Their </w:t>
      </w:r>
      <w:r>
        <w:rPr>
          <w:sz w:val="24"/>
          <w:szCs w:val="24"/>
        </w:rPr>
        <w:lastRenderedPageBreak/>
        <w:t>low fat content will increase the storage life of the flour by reducing the chances of developing rancidity. The high values of the ash were indicative of high mineral (especially the macrominerals) content of the wastes. Plantain leaf and fruit stalk recorded the lowest and highest value of ash respectively. The plantain wastes were high in crude fibre, comparably higher than the value obtained for plant products such as Ube (Dacryodes edulis) (2.1g/100g, Adepoju and Adeniji, 2008) and fruit pulp, (4.3g/100g, Adepoju and Adeniji, 2012). The increment may be attributed to the high total dietary fibre content found in the plantain waste especially peel (Haslinda et al., 2009). The plantain fruit stalk had the highest value of crude fibre, closely followed by ripe peel, with the leaf having the lowest value. High fibre content in diets have been reported to result in increased removal of potential mutagens, steroids and xenobotics by binding or absorbing to dietary fibre components and thereby aids digestion; hence these wastes will have health promoting benefits for livestock and fish farming. The samples were high in carbohydrate content and can be good sources of energy for the animals. The peel had highest value of carbohydrate while the leaf had the lowest value.</w:t>
      </w:r>
    </w:p>
    <w:p w:rsidR="00C57659" w:rsidRDefault="00C57659">
      <w:pPr>
        <w:pStyle w:val="normal0"/>
        <w:spacing w:line="480" w:lineRule="auto"/>
        <w:jc w:val="both"/>
        <w:rPr>
          <w:sz w:val="24"/>
          <w:szCs w:val="24"/>
        </w:rPr>
      </w:pPr>
    </w:p>
    <w:p w:rsidR="00C57659" w:rsidRDefault="009435CA">
      <w:pPr>
        <w:pStyle w:val="normal0"/>
        <w:spacing w:line="480" w:lineRule="auto"/>
        <w:jc w:val="both"/>
        <w:rPr>
          <w:sz w:val="24"/>
          <w:szCs w:val="24"/>
        </w:rPr>
      </w:pPr>
      <w:r>
        <w:rPr>
          <w:sz w:val="24"/>
          <w:szCs w:val="24"/>
        </w:rPr>
        <w:t xml:space="preserve">The mineral content of the samples were high in sodium, calcium, phosphorus and potassium, but low in iron and magnesium (Table 2). Bract was highest in potassium, magnesium and iron content, the peel highest in sodium while the leaf was highest in calcium and phosphorus content. The wastes can be good sources of calcium, phosphorus and iron. Calcium and phosphorus are very important in the formation of strong bones and teeth, for growth, blood clotting, heart function and cell metabolism. </w:t>
      </w:r>
      <w:r>
        <w:rPr>
          <w:sz w:val="24"/>
          <w:szCs w:val="24"/>
        </w:rPr>
        <w:lastRenderedPageBreak/>
        <w:t xml:space="preserve">Potassium is an important raw material in soap production and in soil neutralization (Adeolu and Enesi, 2013). The iron level of the wastes was higher than the values recorded for dry guinea corn leaf extracts (1.2mg - 2.1mg/100g, Adepoju, 2007) and fresh and roasted Dacryodes edulis fruit (7.0mg and 3.0mg/100mg respectively, Adepoju and Adeniji, 2008). Being rich in macrominerals, it can also be formulated into instant flours for convalescence and in the formulation of baby foods as these categories of humans require high levels of minerals for growth and repair. </w:t>
      </w:r>
    </w:p>
    <w:p w:rsidR="00C57659" w:rsidRDefault="00C57659">
      <w:pPr>
        <w:pStyle w:val="normal0"/>
        <w:spacing w:line="480" w:lineRule="auto"/>
        <w:jc w:val="both"/>
        <w:rPr>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t xml:space="preserve">                                                    </w:t>
      </w: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 xml:space="preserve">                                                           CHAPTER 5</w:t>
      </w:r>
      <w:r>
        <w:rPr>
          <w:b/>
          <w:sz w:val="24"/>
          <w:szCs w:val="24"/>
        </w:rPr>
        <w:br/>
      </w:r>
      <w:r>
        <w:rPr>
          <w:sz w:val="24"/>
          <w:szCs w:val="24"/>
        </w:rPr>
        <w:t>CONCLUSION</w:t>
      </w:r>
      <w:r>
        <w:rPr>
          <w:b/>
          <w:sz w:val="24"/>
          <w:szCs w:val="24"/>
        </w:rPr>
        <w:t xml:space="preserve"> </w:t>
      </w:r>
    </w:p>
    <w:p w:rsidR="00C57659" w:rsidRDefault="009435CA">
      <w:pPr>
        <w:pStyle w:val="normal0"/>
        <w:spacing w:before="240" w:after="240" w:line="480" w:lineRule="auto"/>
        <w:rPr>
          <w:sz w:val="24"/>
          <w:szCs w:val="24"/>
        </w:rPr>
      </w:pPr>
      <w:r>
        <w:rPr>
          <w:sz w:val="24"/>
          <w:szCs w:val="24"/>
        </w:rPr>
        <w:t xml:space="preserve">The plantain wastes were rich in crude fibre, carbohydrates and ash and can serve as basic  materials or components of animal feed. The leaf and bract samples were high in crude protein, and can serve as protein source for animal feed if bioavailable. The wastes were high in calcium, phosphorus, and iron, and can be good source of these minerals. Plantain wastes pose to be potential good sources of nutrients for production of animal feeds, and their utilisation for this purpose should be encouraged, as this will also help in reducing the menace of plantain waste in the environment. </w:t>
      </w: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8"/>
          <w:szCs w:val="28"/>
        </w:rPr>
      </w:pPr>
      <w:r>
        <w:rPr>
          <w:b/>
          <w:sz w:val="24"/>
          <w:szCs w:val="24"/>
        </w:rPr>
        <w:lastRenderedPageBreak/>
        <w:t xml:space="preserve">                                                   </w:t>
      </w:r>
      <w:r>
        <w:rPr>
          <w:b/>
          <w:sz w:val="28"/>
          <w:szCs w:val="28"/>
        </w:rPr>
        <w:t xml:space="preserve"> REFERENCES</w:t>
      </w:r>
    </w:p>
    <w:p w:rsidR="00C57659" w:rsidRDefault="009435CA">
      <w:pPr>
        <w:pStyle w:val="normal0"/>
        <w:spacing w:before="240" w:after="240" w:line="480" w:lineRule="auto"/>
        <w:jc w:val="both"/>
        <w:rPr>
          <w:sz w:val="20"/>
          <w:szCs w:val="20"/>
        </w:rPr>
      </w:pPr>
      <w:r>
        <w:rPr>
          <w:sz w:val="20"/>
          <w:szCs w:val="20"/>
        </w:rPr>
        <w:t>1.</w:t>
      </w:r>
      <w:r>
        <w:rPr>
          <w:sz w:val="20"/>
          <w:szCs w:val="20"/>
        </w:rPr>
        <w:tab/>
        <w:t xml:space="preserve">Abdon IC, del Rosario IF. Food composion tables recommended for use in the Philippines. Hand book1 (5th revision). Food and Nutrition Research Institute, National Science Development Board, Manila, Philippines, 1980. </w:t>
      </w:r>
    </w:p>
    <w:p w:rsidR="00C57659" w:rsidRDefault="009435CA">
      <w:pPr>
        <w:pStyle w:val="normal0"/>
        <w:spacing w:before="240" w:after="240" w:line="480" w:lineRule="auto"/>
        <w:jc w:val="both"/>
        <w:rPr>
          <w:sz w:val="20"/>
          <w:szCs w:val="20"/>
        </w:rPr>
      </w:pPr>
      <w:r>
        <w:rPr>
          <w:sz w:val="20"/>
          <w:szCs w:val="20"/>
        </w:rPr>
        <w:t>2.</w:t>
      </w:r>
      <w:r>
        <w:rPr>
          <w:sz w:val="20"/>
          <w:szCs w:val="20"/>
        </w:rPr>
        <w:tab/>
        <w:t xml:space="preserve">Amorim EP, Vilarinhos AD, Cohen KO, Amorim VBO, Santos-Serejo JAD, Silva SO et al. Genetic diversity of carotenoid-rich bananas evaluated by Diversity Arrays Technology (DArT). Genetics and Molecular Biology. 2009; 32:96-103. </w:t>
      </w:r>
    </w:p>
    <w:p w:rsidR="00C57659" w:rsidRDefault="009435CA">
      <w:pPr>
        <w:pStyle w:val="normal0"/>
        <w:spacing w:before="240" w:after="240" w:line="480" w:lineRule="auto"/>
        <w:jc w:val="both"/>
        <w:rPr>
          <w:sz w:val="20"/>
          <w:szCs w:val="20"/>
        </w:rPr>
      </w:pPr>
      <w:r>
        <w:rPr>
          <w:sz w:val="20"/>
          <w:szCs w:val="20"/>
        </w:rPr>
        <w:t>3.</w:t>
      </w:r>
      <w:r>
        <w:rPr>
          <w:sz w:val="20"/>
          <w:szCs w:val="20"/>
        </w:rPr>
        <w:tab/>
        <w:t xml:space="preserve">Aurore G, Parfaitb B, Fahrasmaneb L. Bananas, raw materials for making processed food products. Trends in Food Science &amp; Technology. 2009; 20:78-91. </w:t>
      </w:r>
    </w:p>
    <w:p w:rsidR="00C57659" w:rsidRDefault="009435CA">
      <w:pPr>
        <w:pStyle w:val="normal0"/>
        <w:spacing w:before="240" w:after="240" w:line="480" w:lineRule="auto"/>
        <w:jc w:val="both"/>
        <w:rPr>
          <w:sz w:val="20"/>
          <w:szCs w:val="20"/>
        </w:rPr>
      </w:pPr>
      <w:r>
        <w:rPr>
          <w:sz w:val="20"/>
          <w:szCs w:val="20"/>
        </w:rPr>
        <w:t>4.</w:t>
      </w:r>
      <w:r>
        <w:rPr>
          <w:sz w:val="20"/>
          <w:szCs w:val="20"/>
        </w:rPr>
        <w:tab/>
        <w:t xml:space="preserve">Coyne T, Ibiebele TI, Baade PD, Dobson A, McClintock C, Dunn S et al. Diabetes mellitus and serum carotenoids: findings of a population-based study in Queensland, Australia. American Journal of Clinical Nutrition. 2005; 82(3):685-693. </w:t>
      </w:r>
    </w:p>
    <w:p w:rsidR="00C57659" w:rsidRDefault="009435CA">
      <w:pPr>
        <w:pStyle w:val="normal0"/>
        <w:spacing w:before="240" w:after="240" w:line="480" w:lineRule="auto"/>
        <w:jc w:val="both"/>
        <w:rPr>
          <w:sz w:val="20"/>
          <w:szCs w:val="20"/>
        </w:rPr>
      </w:pPr>
      <w:r>
        <w:rPr>
          <w:sz w:val="20"/>
          <w:szCs w:val="20"/>
        </w:rPr>
        <w:t>5.</w:t>
      </w:r>
      <w:r>
        <w:rPr>
          <w:sz w:val="20"/>
          <w:szCs w:val="20"/>
        </w:rPr>
        <w:tab/>
        <w:t xml:space="preserve">Doymaz I. Evaluation of mathematical models for prediction of thin-layer drying of banana slices. </w:t>
      </w:r>
    </w:p>
    <w:p w:rsidR="00C57659" w:rsidRDefault="009435CA">
      <w:pPr>
        <w:pStyle w:val="normal0"/>
        <w:spacing w:before="240" w:after="240" w:line="480" w:lineRule="auto"/>
        <w:jc w:val="both"/>
        <w:rPr>
          <w:sz w:val="20"/>
          <w:szCs w:val="20"/>
        </w:rPr>
      </w:pPr>
      <w:r>
        <w:rPr>
          <w:sz w:val="20"/>
          <w:szCs w:val="20"/>
        </w:rPr>
        <w:t xml:space="preserve">International </w:t>
      </w:r>
      <w:r>
        <w:rPr>
          <w:sz w:val="20"/>
          <w:szCs w:val="20"/>
        </w:rPr>
        <w:tab/>
        <w:t xml:space="preserve">Journal </w:t>
      </w:r>
      <w:r>
        <w:rPr>
          <w:sz w:val="20"/>
          <w:szCs w:val="20"/>
        </w:rPr>
        <w:tab/>
        <w:t xml:space="preserve">of </w:t>
      </w:r>
      <w:r>
        <w:rPr>
          <w:sz w:val="20"/>
          <w:szCs w:val="20"/>
        </w:rPr>
        <w:tab/>
        <w:t xml:space="preserve">Food </w:t>
      </w:r>
      <w:r>
        <w:rPr>
          <w:sz w:val="20"/>
          <w:szCs w:val="20"/>
        </w:rPr>
        <w:tab/>
        <w:t xml:space="preserve">Properties. </w:t>
      </w:r>
      <w:r>
        <w:rPr>
          <w:sz w:val="20"/>
          <w:szCs w:val="20"/>
        </w:rPr>
        <w:tab/>
        <w:t xml:space="preserve">2010; 13(3):486-497.  </w:t>
      </w:r>
    </w:p>
    <w:p w:rsidR="00C57659" w:rsidRDefault="009435CA">
      <w:pPr>
        <w:pStyle w:val="normal0"/>
        <w:spacing w:before="240" w:after="240" w:line="480" w:lineRule="auto"/>
        <w:jc w:val="both"/>
        <w:rPr>
          <w:sz w:val="20"/>
          <w:szCs w:val="20"/>
        </w:rPr>
      </w:pPr>
      <w:r>
        <w:rPr>
          <w:sz w:val="20"/>
          <w:szCs w:val="20"/>
        </w:rPr>
        <w:t>6.</w:t>
      </w:r>
      <w:r>
        <w:rPr>
          <w:sz w:val="20"/>
          <w:szCs w:val="20"/>
        </w:rPr>
        <w:tab/>
        <w:t xml:space="preserve">Englberger L, Lyons G, Foley W, Daniells J, Aalbersberg B, Dolodolotawake U et al. Carotenoid and riboflavin content of banana cultivars from Makira, Solomon Islands. Journal of Food Composition and Analysis. 2010; 23:624-632. </w:t>
      </w:r>
    </w:p>
    <w:p w:rsidR="00C57659" w:rsidRDefault="009435CA">
      <w:pPr>
        <w:pStyle w:val="normal0"/>
        <w:spacing w:before="240" w:after="240" w:line="480" w:lineRule="auto"/>
        <w:jc w:val="both"/>
        <w:rPr>
          <w:sz w:val="20"/>
          <w:szCs w:val="20"/>
        </w:rPr>
      </w:pPr>
      <w:r>
        <w:rPr>
          <w:sz w:val="20"/>
          <w:szCs w:val="20"/>
        </w:rPr>
        <w:t>7.</w:t>
      </w:r>
      <w:r>
        <w:rPr>
          <w:sz w:val="20"/>
          <w:szCs w:val="20"/>
        </w:rPr>
        <w:tab/>
        <w:t xml:space="preserve">Englberger L, Aalbersberg W, Ravi P, Bonnin E, Marks </w:t>
      </w:r>
    </w:p>
    <w:p w:rsidR="00C57659" w:rsidRDefault="009435CA">
      <w:pPr>
        <w:pStyle w:val="normal0"/>
        <w:spacing w:before="240" w:after="240" w:line="480" w:lineRule="auto"/>
        <w:jc w:val="both"/>
        <w:rPr>
          <w:sz w:val="20"/>
          <w:szCs w:val="20"/>
        </w:rPr>
      </w:pPr>
      <w:r>
        <w:rPr>
          <w:sz w:val="20"/>
          <w:szCs w:val="20"/>
        </w:rPr>
        <w:t xml:space="preserve">GC, Fitzgerald MH et al. Further analyses on </w:t>
      </w:r>
    </w:p>
    <w:p w:rsidR="00C57659" w:rsidRDefault="009435CA">
      <w:pPr>
        <w:pStyle w:val="normal0"/>
        <w:spacing w:before="240" w:after="240" w:line="480" w:lineRule="auto"/>
        <w:jc w:val="both"/>
        <w:rPr>
          <w:sz w:val="20"/>
          <w:szCs w:val="20"/>
        </w:rPr>
      </w:pPr>
      <w:r>
        <w:rPr>
          <w:sz w:val="20"/>
          <w:szCs w:val="20"/>
        </w:rPr>
        <w:t xml:space="preserve">Micronesian banana, taro, breadfruit and other foods for provitamin A carotenoids and minerals. Journal of Food Composition and Analysis. 2003; 16:219-236. </w:t>
      </w:r>
    </w:p>
    <w:p w:rsidR="00C57659" w:rsidRDefault="009435CA">
      <w:pPr>
        <w:pStyle w:val="normal0"/>
        <w:spacing w:before="240" w:after="240" w:line="480" w:lineRule="auto"/>
        <w:jc w:val="both"/>
        <w:rPr>
          <w:sz w:val="20"/>
          <w:szCs w:val="20"/>
        </w:rPr>
      </w:pPr>
      <w:r>
        <w:rPr>
          <w:sz w:val="20"/>
          <w:szCs w:val="20"/>
        </w:rPr>
        <w:lastRenderedPageBreak/>
        <w:t>8.</w:t>
      </w:r>
      <w:r>
        <w:rPr>
          <w:sz w:val="20"/>
          <w:szCs w:val="20"/>
        </w:rPr>
        <w:tab/>
        <w:t xml:space="preserve">Englberger L, Schierle J, Aalbersberg W, Hofmann P, Humphries J, Huang A et al. Carotenoid and vitamin content of Karat and other Micronesian banana cultivars. International Journal of Food Sciences and Nutrition, 2006; 57(5, 6):399-418. </w:t>
      </w:r>
    </w:p>
    <w:p w:rsidR="00C57659" w:rsidRDefault="009435CA">
      <w:pPr>
        <w:pStyle w:val="normal0"/>
        <w:spacing w:before="240" w:after="240" w:line="480" w:lineRule="auto"/>
        <w:jc w:val="both"/>
        <w:rPr>
          <w:sz w:val="20"/>
          <w:szCs w:val="20"/>
        </w:rPr>
      </w:pPr>
      <w:r>
        <w:rPr>
          <w:sz w:val="20"/>
          <w:szCs w:val="20"/>
        </w:rPr>
        <w:t>9.</w:t>
      </w:r>
      <w:r>
        <w:rPr>
          <w:sz w:val="20"/>
          <w:szCs w:val="20"/>
        </w:rPr>
        <w:tab/>
        <w:t xml:space="preserve">Fungo R, Pillay M. ß-Carotene content of selected banana genotypes from Uganda. African Journal of Biotechnology. 2011; 10:5423-5430. </w:t>
      </w:r>
    </w:p>
    <w:p w:rsidR="00C57659" w:rsidRDefault="009435CA">
      <w:pPr>
        <w:pStyle w:val="normal0"/>
        <w:spacing w:before="240" w:after="240" w:line="480" w:lineRule="auto"/>
        <w:jc w:val="both"/>
        <w:rPr>
          <w:sz w:val="20"/>
          <w:szCs w:val="20"/>
        </w:rPr>
      </w:pPr>
      <w:r>
        <w:rPr>
          <w:sz w:val="20"/>
          <w:szCs w:val="20"/>
        </w:rPr>
        <w:t>10.</w:t>
      </w:r>
      <w:r>
        <w:rPr>
          <w:sz w:val="20"/>
          <w:szCs w:val="20"/>
        </w:rPr>
        <w:tab/>
        <w:t xml:space="preserve">Fungo R, Kikafunda JK, Pillay M. Variation of ßcarotene, iron and zinc in bananas grown in east Africa. African Crop Science Conference Proceedings. 2007; 8:2117-2126. </w:t>
      </w:r>
    </w:p>
    <w:p w:rsidR="00C57659" w:rsidRDefault="009435CA">
      <w:pPr>
        <w:pStyle w:val="normal0"/>
        <w:spacing w:before="240" w:after="240" w:line="480" w:lineRule="auto"/>
        <w:jc w:val="both"/>
        <w:rPr>
          <w:sz w:val="20"/>
          <w:szCs w:val="20"/>
        </w:rPr>
      </w:pPr>
      <w:r>
        <w:rPr>
          <w:sz w:val="20"/>
          <w:szCs w:val="20"/>
        </w:rPr>
        <w:t>11.</w:t>
      </w:r>
      <w:r>
        <w:rPr>
          <w:sz w:val="20"/>
          <w:szCs w:val="20"/>
        </w:rPr>
        <w:tab/>
        <w:t xml:space="preserve">Fungo R, Kikafunda JK, Pillay M. ß-carotene, iron and zinc content in Papua New Guinea and East African highland bananas. African Journal of Food Agriculture, Nutrition and Development. 2010; 10:2629-2644. </w:t>
      </w:r>
    </w:p>
    <w:p w:rsidR="00C57659" w:rsidRDefault="009435CA">
      <w:pPr>
        <w:pStyle w:val="normal0"/>
        <w:spacing w:before="240" w:after="240" w:line="480" w:lineRule="auto"/>
        <w:jc w:val="both"/>
        <w:rPr>
          <w:sz w:val="20"/>
          <w:szCs w:val="20"/>
        </w:rPr>
      </w:pPr>
      <w:r>
        <w:rPr>
          <w:sz w:val="20"/>
          <w:szCs w:val="20"/>
        </w:rPr>
        <w:t>12.</w:t>
      </w:r>
      <w:r>
        <w:rPr>
          <w:sz w:val="20"/>
          <w:szCs w:val="20"/>
        </w:rPr>
        <w:tab/>
        <w:t xml:space="preserve">Ganapathi TR, Suprasanna PS, Bapat VA, Kulkarni VM, Rao PS. Somatic embryogenesis and plant regeneration from male flower buds of banana. Current Science. 1999; 76:1128-1231.  </w:t>
      </w:r>
    </w:p>
    <w:p w:rsidR="00C57659" w:rsidRDefault="009435CA">
      <w:pPr>
        <w:pStyle w:val="normal0"/>
        <w:spacing w:before="240" w:after="240" w:line="480" w:lineRule="auto"/>
        <w:jc w:val="both"/>
        <w:rPr>
          <w:sz w:val="20"/>
          <w:szCs w:val="20"/>
        </w:rPr>
      </w:pPr>
      <w:r>
        <w:rPr>
          <w:sz w:val="20"/>
          <w:szCs w:val="20"/>
        </w:rPr>
        <w:t>13.</w:t>
      </w:r>
      <w:r>
        <w:rPr>
          <w:sz w:val="20"/>
          <w:szCs w:val="20"/>
        </w:rPr>
        <w:tab/>
        <w:t xml:space="preserve">Gerard NN, Claudie DM, Juan RG, Kodjo T, Elie F, François XE. Carotenoid contents during ripening of banana hybrids and cultivars grown in Cameroon. Fruits. 2009; 64(4):197-206. </w:t>
      </w:r>
    </w:p>
    <w:p w:rsidR="00C57659" w:rsidRDefault="009435CA">
      <w:pPr>
        <w:pStyle w:val="normal0"/>
        <w:spacing w:before="240" w:after="240" w:line="480" w:lineRule="auto"/>
        <w:jc w:val="both"/>
        <w:rPr>
          <w:sz w:val="20"/>
          <w:szCs w:val="20"/>
        </w:rPr>
      </w:pPr>
      <w:r>
        <w:rPr>
          <w:sz w:val="20"/>
          <w:szCs w:val="20"/>
        </w:rPr>
        <w:t>14.</w:t>
      </w:r>
      <w:r>
        <w:rPr>
          <w:sz w:val="20"/>
          <w:szCs w:val="20"/>
        </w:rPr>
        <w:tab/>
        <w:t xml:space="preserve">Holden JM, Eldridge AL, Beecher GR, Buzzard IM, Bhagwat S, Davis CS et al. Carotenoid content of U.S. foods: an update of the database. Journal of Food Composition and Analysis. 1999; 12:169-96. </w:t>
      </w:r>
    </w:p>
    <w:p w:rsidR="00C57659" w:rsidRDefault="009435CA">
      <w:pPr>
        <w:pStyle w:val="normal0"/>
        <w:spacing w:before="240" w:after="240" w:line="480" w:lineRule="auto"/>
        <w:jc w:val="both"/>
        <w:rPr>
          <w:sz w:val="20"/>
          <w:szCs w:val="20"/>
        </w:rPr>
      </w:pPr>
      <w:r>
        <w:rPr>
          <w:sz w:val="20"/>
          <w:szCs w:val="20"/>
        </w:rPr>
        <w:t>15.</w:t>
      </w:r>
      <w:r>
        <w:rPr>
          <w:sz w:val="20"/>
          <w:szCs w:val="20"/>
        </w:rPr>
        <w:tab/>
        <w:t xml:space="preserve">McLaren DS, Frigg M. Sight and Life Manual on Vitamin A Deficiency Disorders (VADD), 2nd ed. Task Force Sight and Life, Basel, Switzerland, 2001. </w:t>
      </w:r>
    </w:p>
    <w:p w:rsidR="00C57659" w:rsidRDefault="009435CA">
      <w:pPr>
        <w:pStyle w:val="normal0"/>
        <w:spacing w:before="240" w:after="240" w:line="480" w:lineRule="auto"/>
        <w:jc w:val="both"/>
        <w:rPr>
          <w:sz w:val="20"/>
          <w:szCs w:val="20"/>
        </w:rPr>
      </w:pPr>
      <w:r>
        <w:rPr>
          <w:sz w:val="20"/>
          <w:szCs w:val="20"/>
        </w:rPr>
        <w:t>16.</w:t>
      </w:r>
      <w:r>
        <w:rPr>
          <w:sz w:val="20"/>
          <w:szCs w:val="20"/>
        </w:rPr>
        <w:tab/>
        <w:t xml:space="preserve">Newilah GN, Lusty C, Van den Bergh I, Akyeampong E, Davey M, Tomekpe K. Evaluating bananas and plantains grown in Cameroon as a potential sources of carotenoids. Food. 2008; 2(2):135-138. </w:t>
      </w:r>
    </w:p>
    <w:p w:rsidR="00C57659" w:rsidRDefault="009435CA">
      <w:pPr>
        <w:pStyle w:val="normal0"/>
        <w:spacing w:before="240" w:after="240" w:line="480" w:lineRule="auto"/>
        <w:jc w:val="both"/>
        <w:rPr>
          <w:sz w:val="20"/>
          <w:szCs w:val="20"/>
        </w:rPr>
      </w:pPr>
      <w:r>
        <w:rPr>
          <w:sz w:val="20"/>
          <w:szCs w:val="20"/>
        </w:rPr>
        <w:lastRenderedPageBreak/>
        <w:t>17.</w:t>
      </w:r>
      <w:r>
        <w:rPr>
          <w:sz w:val="20"/>
          <w:szCs w:val="20"/>
        </w:rPr>
        <w:tab/>
        <w:t xml:space="preserve">Offem JO, Njoku PC. Mineral distribution in the fruits of the plantain plant (Musa paradisiaca) in relation to mode and degree of maturation. Food Chemistry. 1993; 48(1):63-68.  </w:t>
      </w:r>
    </w:p>
    <w:p w:rsidR="00C57659" w:rsidRDefault="009435CA">
      <w:pPr>
        <w:pStyle w:val="normal0"/>
        <w:spacing w:before="240" w:after="240" w:line="480" w:lineRule="auto"/>
        <w:jc w:val="both"/>
        <w:rPr>
          <w:sz w:val="20"/>
          <w:szCs w:val="20"/>
        </w:rPr>
      </w:pPr>
      <w:r>
        <w:rPr>
          <w:sz w:val="20"/>
          <w:szCs w:val="20"/>
        </w:rPr>
        <w:t>Onwuka GI, Onwuka ND. The effects of ripening on the functional properties of plantain and plantain based cake. International Journal of Food Properties. 2005; 8(2):34735</w:t>
      </w:r>
    </w:p>
    <w:p w:rsidR="00C57659" w:rsidRDefault="00C57659">
      <w:pPr>
        <w:pStyle w:val="normal0"/>
        <w:spacing w:line="480" w:lineRule="auto"/>
        <w:jc w:val="both"/>
        <w:rPr>
          <w:sz w:val="24"/>
          <w:szCs w:val="24"/>
        </w:rPr>
      </w:pPr>
    </w:p>
    <w:sectPr w:rsidR="00C57659" w:rsidSect="00C57659">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129" w:rsidRDefault="00793129" w:rsidP="00C57659">
      <w:pPr>
        <w:spacing w:line="240" w:lineRule="auto"/>
      </w:pPr>
      <w:r>
        <w:separator/>
      </w:r>
    </w:p>
  </w:endnote>
  <w:endnote w:type="continuationSeparator" w:id="1">
    <w:p w:rsidR="00793129" w:rsidRDefault="00793129" w:rsidP="00C576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CA" w:rsidRDefault="009435CA">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129" w:rsidRDefault="00793129" w:rsidP="00C57659">
      <w:pPr>
        <w:spacing w:line="240" w:lineRule="auto"/>
      </w:pPr>
      <w:r>
        <w:separator/>
      </w:r>
    </w:p>
  </w:footnote>
  <w:footnote w:type="continuationSeparator" w:id="1">
    <w:p w:rsidR="00793129" w:rsidRDefault="00793129" w:rsidP="00C576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CA" w:rsidRDefault="009435CA">
    <w:pPr>
      <w:pStyle w:val="normal0"/>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57659"/>
    <w:rsid w:val="00485BC9"/>
    <w:rsid w:val="00793129"/>
    <w:rsid w:val="009435CA"/>
    <w:rsid w:val="00C576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57659"/>
    <w:pPr>
      <w:keepNext/>
      <w:keepLines/>
      <w:spacing w:before="400" w:after="120"/>
      <w:outlineLvl w:val="0"/>
    </w:pPr>
    <w:rPr>
      <w:sz w:val="40"/>
      <w:szCs w:val="40"/>
    </w:rPr>
  </w:style>
  <w:style w:type="paragraph" w:styleId="Heading2">
    <w:name w:val="heading 2"/>
    <w:basedOn w:val="normal0"/>
    <w:next w:val="normal0"/>
    <w:rsid w:val="00C57659"/>
    <w:pPr>
      <w:keepNext/>
      <w:keepLines/>
      <w:spacing w:before="360" w:after="120"/>
      <w:outlineLvl w:val="1"/>
    </w:pPr>
    <w:rPr>
      <w:sz w:val="32"/>
      <w:szCs w:val="32"/>
    </w:rPr>
  </w:style>
  <w:style w:type="paragraph" w:styleId="Heading3">
    <w:name w:val="heading 3"/>
    <w:basedOn w:val="normal0"/>
    <w:next w:val="normal0"/>
    <w:rsid w:val="00C57659"/>
    <w:pPr>
      <w:keepNext/>
      <w:keepLines/>
      <w:spacing w:before="320" w:after="80"/>
      <w:outlineLvl w:val="2"/>
    </w:pPr>
    <w:rPr>
      <w:color w:val="434343"/>
      <w:sz w:val="28"/>
      <w:szCs w:val="28"/>
    </w:rPr>
  </w:style>
  <w:style w:type="paragraph" w:styleId="Heading4">
    <w:name w:val="heading 4"/>
    <w:basedOn w:val="normal0"/>
    <w:next w:val="normal0"/>
    <w:rsid w:val="00C57659"/>
    <w:pPr>
      <w:keepNext/>
      <w:keepLines/>
      <w:spacing w:before="280" w:after="80"/>
      <w:outlineLvl w:val="3"/>
    </w:pPr>
    <w:rPr>
      <w:color w:val="666666"/>
      <w:sz w:val="24"/>
      <w:szCs w:val="24"/>
    </w:rPr>
  </w:style>
  <w:style w:type="paragraph" w:styleId="Heading5">
    <w:name w:val="heading 5"/>
    <w:basedOn w:val="normal0"/>
    <w:next w:val="normal0"/>
    <w:rsid w:val="00C57659"/>
    <w:pPr>
      <w:keepNext/>
      <w:keepLines/>
      <w:spacing w:before="240" w:after="80"/>
      <w:outlineLvl w:val="4"/>
    </w:pPr>
    <w:rPr>
      <w:color w:val="666666"/>
    </w:rPr>
  </w:style>
  <w:style w:type="paragraph" w:styleId="Heading6">
    <w:name w:val="heading 6"/>
    <w:basedOn w:val="normal0"/>
    <w:next w:val="normal0"/>
    <w:rsid w:val="00C5765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57659"/>
  </w:style>
  <w:style w:type="table" w:customStyle="1" w:styleId="TableNormal0">
    <w:name w:val="TableNormal"/>
    <w:rsid w:val="00C57659"/>
    <w:tblPr>
      <w:tblCellMar>
        <w:top w:w="0" w:type="dxa"/>
        <w:left w:w="0" w:type="dxa"/>
        <w:bottom w:w="0" w:type="dxa"/>
        <w:right w:w="0" w:type="dxa"/>
      </w:tblCellMar>
    </w:tblPr>
  </w:style>
  <w:style w:type="paragraph" w:styleId="Title">
    <w:name w:val="Title"/>
    <w:basedOn w:val="normal0"/>
    <w:next w:val="normal0"/>
    <w:rsid w:val="00C57659"/>
    <w:pPr>
      <w:keepNext/>
      <w:keepLines/>
      <w:spacing w:after="60"/>
    </w:pPr>
    <w:rPr>
      <w:sz w:val="52"/>
      <w:szCs w:val="52"/>
    </w:rPr>
  </w:style>
  <w:style w:type="paragraph" w:styleId="Subtitle">
    <w:name w:val="Subtitle"/>
    <w:basedOn w:val="normal0"/>
    <w:next w:val="normal0"/>
    <w:rsid w:val="00C57659"/>
    <w:pPr>
      <w:keepNext/>
      <w:keepLines/>
      <w:spacing w:after="320"/>
    </w:pPr>
    <w:rPr>
      <w:color w:val="666666"/>
      <w:sz w:val="30"/>
      <w:szCs w:val="30"/>
    </w:rPr>
  </w:style>
  <w:style w:type="table" w:customStyle="1" w:styleId="a">
    <w:basedOn w:val="TableNormal0"/>
    <w:rsid w:val="00C57659"/>
    <w:tblPr>
      <w:tblStyleRowBandSize w:val="1"/>
      <w:tblStyleColBandSize w:val="1"/>
      <w:tblCellMar>
        <w:top w:w="100" w:type="dxa"/>
        <w:left w:w="100" w:type="dxa"/>
        <w:bottom w:w="100" w:type="dxa"/>
        <w:right w:w="100" w:type="dxa"/>
      </w:tblCellMar>
    </w:tblPr>
  </w:style>
  <w:style w:type="table" w:customStyle="1" w:styleId="a0">
    <w:basedOn w:val="TableNormal0"/>
    <w:rsid w:val="00C57659"/>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6374</Words>
  <Characters>36334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2025-07-09T06:46:00Z</dcterms:created>
  <dcterms:modified xsi:type="dcterms:W3CDTF">2025-07-09T06:46:00Z</dcterms:modified>
</cp:coreProperties>
</file>