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9E509C" w:rsidRDefault="005939E1" w:rsidP="006775A3">
      <w:pPr>
        <w:pStyle w:val="NormalWeb"/>
        <w:spacing w:beforeAutospacing="0" w:after="150" w:afterAutospacing="0" w:line="18" w:lineRule="atLeast"/>
        <w:jc w:val="center"/>
        <w:rPr>
          <w:rFonts w:eastAsiaTheme="minorHAnsi" w:cstheme="minorBidi"/>
          <w:b/>
          <w:bCs/>
          <w:color w:val="000000"/>
          <w:sz w:val="32"/>
          <w:szCs w:val="32"/>
        </w:rPr>
      </w:pPr>
      <w:r w:rsidRPr="005939E1">
        <w:rPr>
          <w:rFonts w:eastAsiaTheme="minorHAnsi" w:cstheme="minorBidi"/>
          <w:b/>
          <w:bCs/>
          <w:color w:val="000000"/>
          <w:sz w:val="32"/>
          <w:szCs w:val="32"/>
        </w:rPr>
        <w:t>ABDULLATEEF KAOTHARA ARIKE</w:t>
      </w:r>
    </w:p>
    <w:p w:rsidR="00806A2A" w:rsidRDefault="009E509C" w:rsidP="006775A3">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w:t>
      </w:r>
      <w:r w:rsidR="005939E1" w:rsidRPr="005939E1">
        <w:rPr>
          <w:rFonts w:eastAsiaTheme="minorHAnsi" w:cstheme="minorBidi"/>
          <w:b/>
          <w:bCs/>
          <w:color w:val="000000"/>
          <w:sz w:val="32"/>
          <w:szCs w:val="32"/>
        </w:rPr>
        <w:t>0074</w:t>
      </w:r>
      <w:bookmarkEnd w:id="0"/>
    </w:p>
    <w:p w:rsidR="006775A3" w:rsidRDefault="006775A3" w:rsidP="006775A3">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26CB" w:rsidRDefault="00B426CB" w:rsidP="00B426CB">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5939E1" w:rsidRPr="005939E1">
        <w:rPr>
          <w:rFonts w:ascii="Times New Roman" w:hAnsi="Times New Roman"/>
          <w:b/>
          <w:bCs/>
          <w:color w:val="000000"/>
          <w:sz w:val="28"/>
          <w:szCs w:val="28"/>
        </w:rPr>
        <w:t>ABDULLATEEF KAOTHARA ARIKE</w:t>
      </w:r>
      <w:r w:rsidR="00294104" w:rsidRPr="00294104">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6775A3">
        <w:rPr>
          <w:rFonts w:ascii="Times New Roman" w:hAnsi="Times New Roman"/>
          <w:b/>
          <w:bCs/>
          <w:color w:val="000000"/>
          <w:sz w:val="28"/>
          <w:szCs w:val="32"/>
        </w:rPr>
        <w:t>HND/23/SLT/FT/</w:t>
      </w:r>
      <w:r w:rsidR="005939E1" w:rsidRPr="005939E1">
        <w:rPr>
          <w:rFonts w:ascii="Times New Roman" w:hAnsi="Times New Roman"/>
          <w:b/>
          <w:bCs/>
          <w:color w:val="000000"/>
          <w:sz w:val="28"/>
          <w:szCs w:val="32"/>
        </w:rPr>
        <w:t>0074</w:t>
      </w:r>
      <w:r w:rsidR="006775A3">
        <w:rPr>
          <w:rFonts w:ascii="Times New Roman" w:hAnsi="Times New Roman"/>
          <w:b/>
          <w:bCs/>
          <w:color w:val="000000"/>
          <w:sz w:val="28"/>
          <w:szCs w:val="32"/>
        </w:rPr>
        <w:t xml:space="preserve"> </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MS. AHMED T. </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480" w:lineRule="auto"/>
        <w:jc w:val="center"/>
        <w:rPr>
          <w:rFonts w:ascii="Times New Roman" w:hAnsi="Times New Roman"/>
          <w:b/>
          <w:bCs/>
          <w:color w:val="000000"/>
          <w:sz w:val="28"/>
          <w:szCs w:val="28"/>
        </w:rPr>
      </w:pPr>
    </w:p>
    <w:p w:rsidR="00B426CB" w:rsidRDefault="00B426CB" w:rsidP="00B426CB">
      <w:pPr>
        <w:rPr>
          <w:rFonts w:ascii="Times New Roman" w:hAnsi="Times New Roman"/>
          <w:b/>
          <w:bCs/>
          <w:color w:val="000000"/>
          <w:sz w:val="28"/>
          <w:szCs w:val="28"/>
        </w:rPr>
      </w:pPr>
      <w:r>
        <w:rPr>
          <w:rFonts w:ascii="Times New Roman" w:hAnsi="Times New Roman"/>
          <w:b/>
          <w:bCs/>
          <w:color w:val="000000"/>
          <w:sz w:val="28"/>
          <w:szCs w:val="28"/>
        </w:rPr>
        <w:br w:type="page"/>
      </w:r>
    </w:p>
    <w:p w:rsidR="00B426CB" w:rsidRPr="0035602D"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426CB" w:rsidRDefault="005939E1" w:rsidP="005939E1">
      <w:pPr>
        <w:spacing w:after="0" w:line="480" w:lineRule="auto"/>
        <w:jc w:val="both"/>
        <w:rPr>
          <w:rFonts w:ascii="Times New Roman" w:hAnsi="Times New Roman"/>
          <w:b/>
          <w:bCs/>
          <w:color w:val="000000"/>
          <w:sz w:val="26"/>
          <w:szCs w:val="26"/>
        </w:rPr>
      </w:pPr>
      <w:r w:rsidRPr="005939E1">
        <w:rPr>
          <w:rFonts w:ascii="Times New Roman" w:hAnsi="Times New Roman"/>
          <w:color w:val="000000"/>
          <w:sz w:val="28"/>
          <w:szCs w:val="28"/>
        </w:rPr>
        <w:t>This project is dedicated to Almighty Allah, who has blessed me with the strength, wisdom, and knowledge to complete this academic endeavor. May His name be praised forever.</w:t>
      </w: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Pr>
          <w:rFonts w:ascii="Times New Roman" w:hAnsi="Times New Roman" w:cs="Times New Roman"/>
          <w:b/>
          <w:bCs/>
          <w:color w:val="000000" w:themeColor="text1"/>
          <w:sz w:val="28"/>
          <w:szCs w:val="28"/>
        </w:rPr>
        <w:t>S</w:t>
      </w:r>
    </w:p>
    <w:p w:rsidR="005939E1" w:rsidRPr="005939E1" w:rsidRDefault="005939E1" w:rsidP="005939E1">
      <w:pPr>
        <w:spacing w:line="480" w:lineRule="auto"/>
        <w:jc w:val="both"/>
        <w:rPr>
          <w:rFonts w:ascii="Times New Roman" w:hAnsi="Times New Roman" w:cs="Times New Roman"/>
          <w:color w:val="000000" w:themeColor="text1"/>
          <w:sz w:val="28"/>
          <w:szCs w:val="28"/>
        </w:rPr>
      </w:pPr>
      <w:r w:rsidRPr="005939E1">
        <w:rPr>
          <w:rFonts w:ascii="Times New Roman" w:hAnsi="Times New Roman" w:cs="Times New Roman"/>
          <w:color w:val="000000" w:themeColor="text1"/>
          <w:sz w:val="28"/>
          <w:szCs w:val="28"/>
        </w:rPr>
        <w:t>I would like to express my heartfelt gratitude to the following individuals who have suppor</w:t>
      </w:r>
      <w:r>
        <w:rPr>
          <w:rFonts w:ascii="Times New Roman" w:hAnsi="Times New Roman" w:cs="Times New Roman"/>
          <w:color w:val="000000" w:themeColor="text1"/>
          <w:sz w:val="28"/>
          <w:szCs w:val="28"/>
        </w:rPr>
        <w:t>ted me throughout this project:</w:t>
      </w:r>
    </w:p>
    <w:p w:rsidR="005939E1" w:rsidRPr="005939E1" w:rsidRDefault="005939E1" w:rsidP="005939E1">
      <w:pPr>
        <w:spacing w:line="480" w:lineRule="auto"/>
        <w:jc w:val="both"/>
        <w:rPr>
          <w:rFonts w:ascii="Times New Roman" w:hAnsi="Times New Roman" w:cs="Times New Roman"/>
          <w:color w:val="000000" w:themeColor="text1"/>
          <w:sz w:val="28"/>
          <w:szCs w:val="28"/>
        </w:rPr>
      </w:pPr>
      <w:r w:rsidRPr="005939E1">
        <w:rPr>
          <w:rFonts w:ascii="Times New Roman" w:hAnsi="Times New Roman" w:cs="Times New Roman"/>
          <w:color w:val="000000" w:themeColor="text1"/>
          <w:sz w:val="28"/>
          <w:szCs w:val="28"/>
        </w:rPr>
        <w:t xml:space="preserve">First and foremost, I thank Almighty Allah </w:t>
      </w:r>
      <w:r>
        <w:rPr>
          <w:rFonts w:ascii="Times New Roman" w:hAnsi="Times New Roman" w:cs="Times New Roman"/>
          <w:color w:val="000000" w:themeColor="text1"/>
          <w:sz w:val="28"/>
          <w:szCs w:val="28"/>
        </w:rPr>
        <w:t>for His guidance and blessings.</w:t>
      </w:r>
    </w:p>
    <w:p w:rsidR="005939E1" w:rsidRPr="005939E1" w:rsidRDefault="005939E1" w:rsidP="005939E1">
      <w:pPr>
        <w:spacing w:line="480" w:lineRule="auto"/>
        <w:jc w:val="both"/>
        <w:rPr>
          <w:rFonts w:ascii="Times New Roman" w:hAnsi="Times New Roman" w:cs="Times New Roman"/>
          <w:color w:val="000000" w:themeColor="text1"/>
          <w:sz w:val="28"/>
          <w:szCs w:val="28"/>
        </w:rPr>
      </w:pPr>
      <w:r w:rsidRPr="005939E1">
        <w:rPr>
          <w:rFonts w:ascii="Times New Roman" w:hAnsi="Times New Roman" w:cs="Times New Roman"/>
          <w:color w:val="000000" w:themeColor="text1"/>
          <w:sz w:val="28"/>
          <w:szCs w:val="28"/>
        </w:rPr>
        <w:t xml:space="preserve">I also extend my deepest appreciation to my parents, who have been my pillars of strength and inspiration. Their love, encouragement, and sacrifices have enabled </w:t>
      </w:r>
      <w:r>
        <w:rPr>
          <w:rFonts w:ascii="Times New Roman" w:hAnsi="Times New Roman" w:cs="Times New Roman"/>
          <w:color w:val="000000" w:themeColor="text1"/>
          <w:sz w:val="28"/>
          <w:szCs w:val="28"/>
        </w:rPr>
        <w:t>me to pursue my academic goals.</w:t>
      </w:r>
    </w:p>
    <w:p w:rsidR="009E509C" w:rsidRPr="009E509C" w:rsidRDefault="005939E1" w:rsidP="005939E1">
      <w:pPr>
        <w:spacing w:line="480" w:lineRule="auto"/>
        <w:jc w:val="both"/>
        <w:rPr>
          <w:rFonts w:ascii="Times New Roman" w:hAnsi="Times New Roman" w:cs="Times New Roman"/>
          <w:color w:val="000000" w:themeColor="text1"/>
          <w:sz w:val="28"/>
          <w:szCs w:val="28"/>
        </w:rPr>
      </w:pPr>
      <w:r w:rsidRPr="005939E1">
        <w:rPr>
          <w:rFonts w:ascii="Times New Roman" w:hAnsi="Times New Roman" w:cs="Times New Roman"/>
          <w:color w:val="000000" w:themeColor="text1"/>
          <w:sz w:val="28"/>
          <w:szCs w:val="28"/>
        </w:rPr>
        <w:t>To my supervisor, Mrs. Abdullahi H.J., I thank you for your guidance, expertise, and unwavering support. Your constructive feedback and encouragement helped shape this project into its final form.</w:t>
      </w:r>
    </w:p>
    <w:p w:rsidR="00806A2A" w:rsidRDefault="00806A2A" w:rsidP="009E509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2134160721"/>
        <w:docPartObj>
          <w:docPartGallery w:val="Table of Contents"/>
          <w:docPartUnique/>
        </w:docPartObj>
      </w:sdtPr>
      <w:sdtEndPr>
        <w:rPr>
          <w:rFonts w:ascii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52" w:history="1">
            <w:r w:rsidR="00806A2A" w:rsidRPr="00806A2A">
              <w:rPr>
                <w:rStyle w:val="Hyperlink"/>
                <w:rFonts w:ascii="Times New Roman" w:hAnsi="Times New Roman" w:cs="Times New Roman"/>
                <w:b/>
                <w:noProof/>
                <w:color w:val="auto"/>
                <w:sz w:val="28"/>
                <w:szCs w:val="28"/>
              </w:rPr>
              <w:t>1.1 Literature Review</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6</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53" w:history="1">
            <w:r w:rsidR="00806A2A" w:rsidRPr="00806A2A">
              <w:rPr>
                <w:rStyle w:val="Hyperlink"/>
                <w:rFonts w:ascii="Times New Roman" w:hAnsi="Times New Roman" w:cs="Times New Roman"/>
                <w:b/>
                <w:noProof/>
                <w:color w:val="auto"/>
                <w:sz w:val="28"/>
                <w:szCs w:val="28"/>
              </w:rPr>
              <w:t>1.3 Aim</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54" w:history="1">
            <w:r w:rsidR="00806A2A" w:rsidRPr="00806A2A">
              <w:rPr>
                <w:rStyle w:val="Hyperlink"/>
                <w:rFonts w:ascii="Times New Roman" w:hAnsi="Times New Roman" w:cs="Times New Roman"/>
                <w:b/>
                <w:noProof/>
                <w:color w:val="auto"/>
                <w:sz w:val="28"/>
                <w:szCs w:val="28"/>
              </w:rPr>
              <w:t>1.4 Objectives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55" w:history="1">
            <w:r w:rsidR="00806A2A" w:rsidRPr="00806A2A">
              <w:rPr>
                <w:rStyle w:val="Hyperlink"/>
                <w:rFonts w:ascii="Times New Roman" w:eastAsia="Times New Roman" w:hAnsi="Times New Roman" w:cs="Times New Roman"/>
                <w:b/>
                <w:noProof/>
                <w:color w:val="auto"/>
                <w:sz w:val="28"/>
                <w:szCs w:val="28"/>
              </w:rPr>
              <w:t>CHAPTER TWO</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56" w:history="1">
            <w:r w:rsidR="00806A2A" w:rsidRPr="00806A2A">
              <w:rPr>
                <w:rStyle w:val="Hyperlink"/>
                <w:rFonts w:ascii="Times New Roman" w:eastAsia="Times New Roman" w:hAnsi="Times New Roman" w:cs="Times New Roman"/>
                <w:b/>
                <w:noProof/>
                <w:color w:val="auto"/>
                <w:sz w:val="28"/>
                <w:szCs w:val="28"/>
              </w:rPr>
              <w:t>2.0 MATERIALS AND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57" w:history="1">
            <w:r w:rsidR="00806A2A" w:rsidRPr="00806A2A">
              <w:rPr>
                <w:rStyle w:val="Hyperlink"/>
                <w:rFonts w:ascii="Times New Roman" w:eastAsia="Times New Roman" w:hAnsi="Times New Roman" w:cs="Times New Roman"/>
                <w:noProof/>
                <w:color w:val="auto"/>
                <w:sz w:val="28"/>
                <w:szCs w:val="28"/>
              </w:rPr>
              <w:t>2.1 Materials Used</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58" w:history="1">
            <w:r w:rsidR="00806A2A" w:rsidRPr="00806A2A">
              <w:rPr>
                <w:rStyle w:val="Hyperlink"/>
                <w:rFonts w:ascii="Times New Roman" w:eastAsia="Times New Roman" w:hAnsi="Times New Roman" w:cs="Times New Roman"/>
                <w:noProof/>
                <w:color w:val="auto"/>
                <w:sz w:val="28"/>
                <w:szCs w:val="28"/>
              </w:rPr>
              <w:t>2.2 Chemicals and Reagents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59" w:history="1">
            <w:r w:rsidR="00806A2A" w:rsidRPr="00806A2A">
              <w:rPr>
                <w:rStyle w:val="Hyperlink"/>
                <w:rFonts w:ascii="Times New Roman" w:eastAsia="Times New Roman" w:hAnsi="Times New Roman" w:cs="Times New Roman"/>
                <w:noProof/>
                <w:color w:val="auto"/>
                <w:sz w:val="28"/>
                <w:szCs w:val="28"/>
              </w:rPr>
              <w:t>2.3 Sterilization of Glasswares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_Toc202848559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12</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60" w:history="1">
            <w:r w:rsidR="00806A2A" w:rsidRPr="00806A2A">
              <w:rPr>
                <w:rStyle w:val="Hyperlink"/>
                <w:rFonts w:ascii="Times New Roman" w:eastAsia="Times New Roman" w:hAnsi="Times New Roman" w:cs="Times New Roman"/>
                <w:noProof/>
                <w:color w:val="auto"/>
                <w:sz w:val="28"/>
                <w:szCs w:val="28"/>
              </w:rPr>
              <w:t>2.4 Media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_Toc202848560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61" w:history="1">
            <w:r w:rsidR="00806A2A" w:rsidRPr="00806A2A">
              <w:rPr>
                <w:rStyle w:val="Hyperlink"/>
                <w:rFonts w:ascii="Times New Roman" w:eastAsia="Times New Roman" w:hAnsi="Times New Roman" w:cs="Times New Roman"/>
                <w:noProof/>
                <w:color w:val="auto"/>
                <w:sz w:val="28"/>
                <w:szCs w:val="28"/>
              </w:rPr>
              <w:t>2.5 Sample Collection and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_Toc202848561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62" w:history="1">
            <w:r w:rsidR="00806A2A" w:rsidRPr="00806A2A">
              <w:rPr>
                <w:rStyle w:val="Hyperlink"/>
                <w:rFonts w:ascii="Times New Roman" w:eastAsia="Times New Roman" w:hAnsi="Times New Roman" w:cs="Times New Roman"/>
                <w:noProof/>
                <w:color w:val="auto"/>
                <w:sz w:val="28"/>
                <w:szCs w:val="28"/>
              </w:rPr>
              <w:t>2.6 Inoculation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63" w:history="1">
            <w:r w:rsidR="00806A2A" w:rsidRPr="00806A2A">
              <w:rPr>
                <w:rStyle w:val="Hyperlink"/>
                <w:rFonts w:ascii="Times New Roman" w:eastAsia="Times New Roman" w:hAnsi="Times New Roman" w:cs="Times New Roman"/>
                <w:noProof/>
                <w:color w:val="auto"/>
                <w:sz w:val="28"/>
                <w:szCs w:val="28"/>
              </w:rPr>
              <w:t>2.7 Smear Preparation and Staining</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64" w:history="1">
            <w:r w:rsidR="00806A2A" w:rsidRPr="00806A2A">
              <w:rPr>
                <w:rStyle w:val="Hyperlink"/>
                <w:rFonts w:ascii="Times New Roman" w:eastAsia="Times New Roman" w:hAnsi="Times New Roman" w:cs="Times New Roman"/>
                <w:noProof/>
                <w:color w:val="auto"/>
                <w:sz w:val="28"/>
                <w:szCs w:val="28"/>
              </w:rPr>
              <w:t>2.8 Microscopic Observation and Interpretation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15</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65" w:history="1">
            <w:r w:rsidR="00806A2A" w:rsidRPr="00806A2A">
              <w:rPr>
                <w:rStyle w:val="Hyperlink"/>
                <w:rFonts w:ascii="Times New Roman" w:eastAsia="Times New Roman" w:hAnsi="Times New Roman" w:cs="Times New Roman"/>
                <w:b/>
                <w:noProof/>
                <w:color w:val="auto"/>
                <w:sz w:val="28"/>
                <w:szCs w:val="28"/>
              </w:rPr>
              <w:t>CHAPTER THREE</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66" w:history="1">
            <w:r w:rsidR="00806A2A" w:rsidRPr="00806A2A">
              <w:rPr>
                <w:rStyle w:val="Hyperlink"/>
                <w:rFonts w:ascii="Times New Roman" w:hAnsi="Times New Roman" w:cs="Times New Roman"/>
                <w:b/>
                <w:noProof/>
                <w:color w:val="auto"/>
                <w:sz w:val="28"/>
                <w:szCs w:val="28"/>
              </w:rPr>
              <w:t>3.0 RESULT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67" w:history="1">
            <w:r w:rsidR="00806A2A" w:rsidRPr="00806A2A">
              <w:rPr>
                <w:rStyle w:val="Hyperlink"/>
                <w:rFonts w:ascii="Times New Roman" w:hAnsi="Times New Roman" w:cs="Times New Roman"/>
                <w:noProof/>
                <w:color w:val="auto"/>
                <w:sz w:val="28"/>
                <w:szCs w:val="28"/>
              </w:rPr>
              <w:t>3.1 Microscopic Observation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568" w:history="1">
            <w:r w:rsidR="00806A2A" w:rsidRPr="00806A2A">
              <w:rPr>
                <w:rStyle w:val="Hyperlink"/>
                <w:rFonts w:ascii="Times New Roman" w:hAnsi="Times New Roman" w:cs="Times New Roman"/>
                <w:noProof/>
                <w:color w:val="auto"/>
                <w:sz w:val="28"/>
                <w:szCs w:val="28"/>
              </w:rPr>
              <w:t>3.2 Organism isolated with confirmatory test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17</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624" w:history="1">
            <w:r w:rsidR="00806A2A" w:rsidRPr="00806A2A">
              <w:rPr>
                <w:rStyle w:val="Hyperlink"/>
                <w:rFonts w:ascii="Times New Roman" w:hAnsi="Times New Roman" w:cs="Times New Roman"/>
                <w:b/>
                <w:noProof/>
                <w:color w:val="auto"/>
                <w:sz w:val="28"/>
                <w:szCs w:val="28"/>
              </w:rPr>
              <w:t>CHAPTER FOUR</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625" w:history="1">
            <w:r w:rsidR="00806A2A" w:rsidRPr="00806A2A">
              <w:rPr>
                <w:rStyle w:val="Hyperlink"/>
                <w:rFonts w:ascii="Times New Roman" w:hAnsi="Times New Roman" w:cs="Times New Roman"/>
                <w:b/>
                <w:noProof/>
                <w:color w:val="auto"/>
                <w:sz w:val="28"/>
                <w:szCs w:val="28"/>
              </w:rPr>
              <w:t>4.0 DISCUSSION AND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626" w:history="1">
            <w:r w:rsidR="00806A2A" w:rsidRPr="00806A2A">
              <w:rPr>
                <w:rStyle w:val="Hyperlink"/>
                <w:rFonts w:ascii="Times New Roman" w:hAnsi="Times New Roman" w:cs="Times New Roman"/>
                <w:noProof/>
                <w:color w:val="auto"/>
                <w:sz w:val="28"/>
                <w:szCs w:val="28"/>
              </w:rPr>
              <w:t>4.1 Discussion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627" w:history="1">
            <w:r w:rsidR="00806A2A" w:rsidRPr="00806A2A">
              <w:rPr>
                <w:rStyle w:val="Hyperlink"/>
                <w:rFonts w:ascii="Times New Roman" w:eastAsia="Times New Roman" w:hAnsi="Times New Roman" w:cs="Times New Roman"/>
                <w:noProof/>
                <w:color w:val="auto"/>
                <w:sz w:val="28"/>
                <w:szCs w:val="28"/>
              </w:rPr>
              <w:t>4.2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21</w:t>
            </w:r>
            <w:r w:rsidR="00806A2A" w:rsidRPr="00806A2A">
              <w:rPr>
                <w:rFonts w:ascii="Times New Roman" w:hAnsi="Times New Roman" w:cs="Times New Roman"/>
                <w:noProof/>
                <w:webHidden/>
                <w:sz w:val="28"/>
                <w:szCs w:val="28"/>
              </w:rPr>
              <w:fldChar w:fldCharType="end"/>
            </w:r>
          </w:hyperlink>
        </w:p>
        <w:p w:rsidR="00806A2A" w:rsidRPr="00806A2A" w:rsidRDefault="009864D9">
          <w:pPr>
            <w:pStyle w:val="TOC1"/>
            <w:tabs>
              <w:tab w:val="right" w:leader="dot" w:pos="8630"/>
            </w:tabs>
            <w:rPr>
              <w:rFonts w:ascii="Times New Roman" w:eastAsiaTheme="minorEastAsia" w:hAnsi="Times New Roman" w:cs="Times New Roman"/>
              <w:noProof/>
              <w:sz w:val="28"/>
              <w:szCs w:val="28"/>
            </w:rPr>
          </w:pPr>
          <w:hyperlink w:anchor="_Toc202848628" w:history="1">
            <w:r w:rsidR="00806A2A" w:rsidRPr="00806A2A">
              <w:rPr>
                <w:rStyle w:val="Hyperlink"/>
                <w:rFonts w:ascii="Times New Roman" w:hAnsi="Times New Roman" w:cs="Times New Roman"/>
                <w:b/>
                <w:noProof/>
                <w:color w:val="auto"/>
                <w:sz w:val="28"/>
                <w:szCs w:val="28"/>
              </w:rPr>
              <w:t>REFERENCES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22</w:t>
            </w:r>
            <w:r w:rsidR="00806A2A"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8"/>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lastRenderedPageBreak/>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lastRenderedPageBreak/>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w:t>
      </w:r>
      <w:r w:rsidRPr="00806A2A">
        <w:rPr>
          <w:sz w:val="28"/>
          <w:szCs w:val="28"/>
        </w:rPr>
        <w:lastRenderedPageBreak/>
        <w:t xml:space="preserve">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w:t>
      </w:r>
      <w:r w:rsidRPr="00806A2A">
        <w:rPr>
          <w:sz w:val="28"/>
          <w:szCs w:val="28"/>
        </w:rPr>
        <w:lastRenderedPageBreak/>
        <w:t>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w:t>
      </w:r>
      <w:r w:rsidRPr="00806A2A">
        <w:rPr>
          <w:sz w:val="28"/>
          <w:szCs w:val="28"/>
        </w:rPr>
        <w:lastRenderedPageBreak/>
        <w:t xml:space="preserve">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w:t>
      </w:r>
      <w:r w:rsidRPr="00806A2A">
        <w:rPr>
          <w:sz w:val="28"/>
          <w:szCs w:val="28"/>
        </w:rPr>
        <w:lastRenderedPageBreak/>
        <w:t>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w:t>
      </w:r>
      <w:r w:rsidRPr="00806A2A">
        <w:rPr>
          <w:sz w:val="28"/>
          <w:szCs w:val="28"/>
        </w:rPr>
        <w:lastRenderedPageBreak/>
        <w:t xml:space="preserve">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 xml:space="preserve">In a broader investigation of dairy product safety, Ayeni et al. (2022) compared microbial loads of packaged milk brands from open markets and supermarkets. They found that brands stored in open markets exhibited </w:t>
      </w:r>
      <w:r w:rsidRPr="00806A2A">
        <w:rPr>
          <w:sz w:val="28"/>
          <w:szCs w:val="28"/>
        </w:rPr>
        <w:lastRenderedPageBreak/>
        <w:t>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 xml:space="preserve">Globally, the World Health Organization (WHO, 2020) reiterates that milk safety is a critical component of food security, especially in developing countries. The organization emphasizes the need for implementing Hazard </w:t>
      </w:r>
      <w:r w:rsidRPr="00806A2A">
        <w:rPr>
          <w:sz w:val="28"/>
          <w:szCs w:val="28"/>
        </w:rPr>
        <w:lastRenderedPageBreak/>
        <w:t>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lastRenderedPageBreak/>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lastRenderedPageBreak/>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lastRenderedPageBreak/>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lastRenderedPageBreak/>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lastRenderedPageBreak/>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w:t>
      </w:r>
      <w:r w:rsidRPr="00806A2A">
        <w:rPr>
          <w:rFonts w:ascii="Times New Roman" w:eastAsia="Times New Roman" w:hAnsi="Times New Roman" w:cs="Times New Roman"/>
          <w:sz w:val="28"/>
          <w:szCs w:val="28"/>
        </w:rPr>
        <w:lastRenderedPageBreak/>
        <w:t xml:space="preserve">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lastRenderedPageBreak/>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lastRenderedPageBreak/>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lastRenderedPageBreak/>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w:t>
      </w:r>
      <w:r w:rsidRPr="00806A2A">
        <w:rPr>
          <w:rFonts w:ascii="Times New Roman" w:eastAsia="Times New Roman" w:hAnsi="Times New Roman" w:cs="Times New Roman"/>
          <w:sz w:val="28"/>
          <w:szCs w:val="28"/>
        </w:rPr>
        <w:lastRenderedPageBreak/>
        <w:t>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 xml:space="preserve">Akinyele and Fagbemi </w:t>
      </w:r>
      <w:r w:rsidRPr="00806A2A">
        <w:rPr>
          <w:rFonts w:ascii="Times New Roman" w:eastAsia="Times New Roman" w:hAnsi="Times New Roman" w:cs="Times New Roman"/>
          <w:bCs/>
          <w:sz w:val="28"/>
          <w:szCs w:val="28"/>
        </w:rPr>
        <w:lastRenderedPageBreak/>
        <w:t>(2020)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lastRenderedPageBreak/>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lastRenderedPageBreak/>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lastRenderedPageBreak/>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 xml:space="preserve">Morufu Olalekan Raimi, Tonye Vivien </w:t>
      </w:r>
      <w:r w:rsidRPr="00806A2A">
        <w:rPr>
          <w:i/>
          <w:iCs/>
          <w:sz w:val="28"/>
          <w:szCs w:val="28"/>
        </w:rPr>
        <w:lastRenderedPageBreak/>
        <w:t>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9"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4D9" w:rsidRDefault="009864D9" w:rsidP="00FD2511">
      <w:pPr>
        <w:spacing w:after="0" w:line="240" w:lineRule="auto"/>
      </w:pPr>
      <w:r>
        <w:separator/>
      </w:r>
    </w:p>
  </w:endnote>
  <w:endnote w:type="continuationSeparator" w:id="0">
    <w:p w:rsidR="009864D9" w:rsidRDefault="009864D9"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5939E1">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4D9" w:rsidRDefault="009864D9" w:rsidP="00FD2511">
      <w:pPr>
        <w:spacing w:after="0" w:line="240" w:lineRule="auto"/>
      </w:pPr>
      <w:r>
        <w:separator/>
      </w:r>
    </w:p>
  </w:footnote>
  <w:footnote w:type="continuationSeparator" w:id="0">
    <w:p w:rsidR="009864D9" w:rsidRDefault="009864D9"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107089"/>
    <w:rsid w:val="00191234"/>
    <w:rsid w:val="001C78DF"/>
    <w:rsid w:val="00227375"/>
    <w:rsid w:val="00262112"/>
    <w:rsid w:val="00262681"/>
    <w:rsid w:val="00280381"/>
    <w:rsid w:val="00294104"/>
    <w:rsid w:val="002B0BB5"/>
    <w:rsid w:val="002E522D"/>
    <w:rsid w:val="00484397"/>
    <w:rsid w:val="004A433D"/>
    <w:rsid w:val="00583F77"/>
    <w:rsid w:val="005939E1"/>
    <w:rsid w:val="005F4135"/>
    <w:rsid w:val="00645FF4"/>
    <w:rsid w:val="006775A3"/>
    <w:rsid w:val="00772C3F"/>
    <w:rsid w:val="0078606D"/>
    <w:rsid w:val="007A0104"/>
    <w:rsid w:val="007A5C16"/>
    <w:rsid w:val="007C2DB9"/>
    <w:rsid w:val="00806A2A"/>
    <w:rsid w:val="008E05E5"/>
    <w:rsid w:val="0098466D"/>
    <w:rsid w:val="009864D9"/>
    <w:rsid w:val="009E509C"/>
    <w:rsid w:val="00A53201"/>
    <w:rsid w:val="00B426CB"/>
    <w:rsid w:val="00B52347"/>
    <w:rsid w:val="00BA26F8"/>
    <w:rsid w:val="00BC7A3E"/>
    <w:rsid w:val="00C37370"/>
    <w:rsid w:val="00C77AD7"/>
    <w:rsid w:val="00CC21FD"/>
    <w:rsid w:val="00D415F8"/>
    <w:rsid w:val="00DA0F41"/>
    <w:rsid w:val="00DA309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news-room/fact-sheets/detail/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B3ABD-2805-4E91-9286-0D22B32A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4387</Words>
  <Characters>25007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2025-07-09T18:59:00Z</dcterms:created>
  <dcterms:modified xsi:type="dcterms:W3CDTF">2025-07-09T18:59:00Z</dcterms:modified>
</cp:coreProperties>
</file>