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F24B"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INVESTIGATING THE EFFECT OF SPATIAL RESOLUTION ON SWAT</w:t>
      </w:r>
    </w:p>
    <w:p w14:paraId="0426092E"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SIMULATION </w:t>
      </w:r>
    </w:p>
    <w:p w14:paraId="423AECB2" w14:textId="6E38E31C"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(A CASE STUDY OF OMI RIVER)</w:t>
      </w:r>
    </w:p>
    <w:p w14:paraId="69975156" w14:textId="77777777" w:rsidR="00546354" w:rsidRPr="00015DEE" w:rsidRDefault="00546354">
      <w:pPr>
        <w:spacing w:line="300" w:lineRule="auto"/>
        <w:jc w:val="center"/>
        <w:rPr>
          <w:rFonts w:ascii="Times New Roman" w:hAnsi="Times New Roman"/>
          <w:b/>
          <w:bCs/>
          <w:sz w:val="28"/>
          <w:szCs w:val="28"/>
        </w:rPr>
      </w:pPr>
    </w:p>
    <w:p w14:paraId="6D1846ED" w14:textId="77777777" w:rsidR="00546354" w:rsidRPr="00015DEE" w:rsidRDefault="00546354">
      <w:pPr>
        <w:spacing w:line="300" w:lineRule="auto"/>
        <w:jc w:val="center"/>
        <w:rPr>
          <w:rFonts w:ascii="Times New Roman" w:hAnsi="Times New Roman"/>
          <w:b/>
          <w:bCs/>
          <w:sz w:val="28"/>
          <w:szCs w:val="28"/>
        </w:rPr>
      </w:pPr>
    </w:p>
    <w:p w14:paraId="5765E78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BY</w:t>
      </w:r>
    </w:p>
    <w:p w14:paraId="7B6F5857" w14:textId="31C7DEC3" w:rsidR="00546354" w:rsidRPr="00015DEE" w:rsidRDefault="00015DEE">
      <w:pPr>
        <w:spacing w:line="300" w:lineRule="auto"/>
        <w:jc w:val="center"/>
        <w:rPr>
          <w:rFonts w:ascii="Times New Roman" w:hAnsi="Times New Roman"/>
          <w:b/>
          <w:bCs/>
          <w:sz w:val="28"/>
          <w:szCs w:val="28"/>
        </w:rPr>
      </w:pPr>
      <w:r>
        <w:rPr>
          <w:rFonts w:ascii="Times New Roman" w:hAnsi="Times New Roman"/>
          <w:b/>
          <w:bCs/>
          <w:sz w:val="28"/>
          <w:szCs w:val="28"/>
        </w:rPr>
        <w:t>OSENI IBRAHIM OLAMILEKAN</w:t>
      </w:r>
    </w:p>
    <w:p w14:paraId="799CF3F1" w14:textId="6FAB94D2"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HND/23/CEC/FT/01</w:t>
      </w:r>
      <w:r w:rsidR="00015DEE">
        <w:rPr>
          <w:rFonts w:ascii="Times New Roman" w:hAnsi="Times New Roman"/>
          <w:b/>
          <w:bCs/>
          <w:sz w:val="28"/>
          <w:szCs w:val="28"/>
        </w:rPr>
        <w:t>84</w:t>
      </w:r>
    </w:p>
    <w:p w14:paraId="15476BF3" w14:textId="77777777" w:rsidR="00546354" w:rsidRPr="00015DEE" w:rsidRDefault="00546354">
      <w:pPr>
        <w:spacing w:line="300" w:lineRule="auto"/>
        <w:jc w:val="center"/>
        <w:rPr>
          <w:rFonts w:ascii="Times New Roman" w:hAnsi="Times New Roman"/>
          <w:b/>
          <w:bCs/>
          <w:sz w:val="28"/>
          <w:szCs w:val="28"/>
        </w:rPr>
      </w:pPr>
    </w:p>
    <w:p w14:paraId="70050571"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SUBMITTED TO:</w:t>
      </w:r>
    </w:p>
    <w:p w14:paraId="0BAEBAC9"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DEPARTMENT OF CIVIL ENGINEERING,</w:t>
      </w:r>
    </w:p>
    <w:p w14:paraId="494078E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INSTITUTE OF TECHNOLOGY </w:t>
      </w:r>
    </w:p>
    <w:p w14:paraId="496A0AA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KWARA STATE POLYTECHNIC, ILORIN </w:t>
      </w:r>
    </w:p>
    <w:p w14:paraId="0426B9DA" w14:textId="77777777" w:rsidR="00546354" w:rsidRPr="00015DEE" w:rsidRDefault="00546354">
      <w:pPr>
        <w:spacing w:line="300" w:lineRule="auto"/>
        <w:jc w:val="center"/>
        <w:rPr>
          <w:rFonts w:ascii="Times New Roman" w:hAnsi="Times New Roman"/>
          <w:b/>
          <w:bCs/>
          <w:sz w:val="28"/>
          <w:szCs w:val="28"/>
        </w:rPr>
      </w:pPr>
    </w:p>
    <w:p w14:paraId="5CB4A13B" w14:textId="77777777" w:rsidR="00546354" w:rsidRPr="00015DEE" w:rsidRDefault="00546354">
      <w:pPr>
        <w:spacing w:line="300" w:lineRule="auto"/>
        <w:jc w:val="center"/>
        <w:rPr>
          <w:rFonts w:ascii="Times New Roman" w:hAnsi="Times New Roman"/>
          <w:b/>
          <w:bCs/>
          <w:sz w:val="28"/>
          <w:szCs w:val="28"/>
        </w:rPr>
      </w:pPr>
    </w:p>
    <w:p w14:paraId="189A47C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IN PARTIAL FULFILMENT OF THE REQUIREMENTS FOR THE AWARD OF HIGHER NATIONAL DIPLOMA (HND) IN</w:t>
      </w:r>
    </w:p>
    <w:p w14:paraId="71BF5921"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t xml:space="preserve">CIVIL ENGINEERING </w:t>
      </w:r>
    </w:p>
    <w:p w14:paraId="54CB32A9" w14:textId="77777777" w:rsidR="00546354" w:rsidRPr="00015DEE" w:rsidRDefault="00546354">
      <w:pPr>
        <w:spacing w:line="300" w:lineRule="auto"/>
        <w:jc w:val="center"/>
        <w:rPr>
          <w:rFonts w:ascii="Times New Roman" w:hAnsi="Times New Roman"/>
          <w:b/>
          <w:bCs/>
          <w:sz w:val="28"/>
          <w:szCs w:val="28"/>
        </w:rPr>
      </w:pPr>
    </w:p>
    <w:p w14:paraId="126357FC" w14:textId="77777777" w:rsidR="00546354" w:rsidRPr="00015DEE" w:rsidRDefault="00000000">
      <w:pPr>
        <w:spacing w:line="300" w:lineRule="auto"/>
        <w:jc w:val="center"/>
        <w:rPr>
          <w:rFonts w:ascii="Times New Roman" w:hAnsi="Times New Roman"/>
          <w:b/>
          <w:bCs/>
          <w:sz w:val="28"/>
          <w:szCs w:val="28"/>
        </w:rPr>
        <w:sectPr w:rsidR="00546354" w:rsidRPr="00015DEE">
          <w:headerReference w:type="default" r:id="rId7"/>
          <w:footerReference w:type="default" r:id="rId8"/>
          <w:pgSz w:w="12240" w:h="15840"/>
          <w:pgMar w:top="1440" w:right="1440" w:bottom="1440" w:left="1440" w:header="720" w:footer="720" w:gutter="0"/>
          <w:pgNumType w:start="1"/>
          <w:cols w:space="720"/>
          <w:docGrid w:linePitch="360"/>
        </w:sectPr>
      </w:pPr>
      <w:r w:rsidRPr="00015DEE">
        <w:rPr>
          <w:rFonts w:ascii="Times New Roman" w:hAnsi="Times New Roman"/>
          <w:b/>
          <w:bCs/>
          <w:noProof/>
          <w:sz w:val="28"/>
          <w:szCs w:val="28"/>
          <w:lang w:eastAsia="en-US"/>
        </w:rPr>
        <w:pict w14:anchorId="35139E73">
          <v:shapetype id="_x0000_t202" coordsize="21600,21600" o:spt="202" path="m,l,21600r21600,l21600,xe">
            <v:stroke joinstyle="miter"/>
            <v:path gradientshapeok="t" o:connecttype="rect"/>
          </v:shapetype>
          <v:shape id="1027" o:spid="_x0000_s1026" type="#_x0000_t202" style="position:absolute;left:0;text-align:left;margin-left:225pt;margin-top:54.1pt;width:20pt;height:23pt;z-index:2;visibility:visible;mso-wrap-distance-left:0;mso-wrap-distance-right:0;mso-position-horizontal-relative:text;mso-position-vertical-relative:text;mso-width-relative:page;mso-height-relative:page" stroked="f">
            <v:textbox>
              <w:txbxContent>
                <w:p w14:paraId="2ABA44BF" w14:textId="77777777" w:rsidR="00546354" w:rsidRDefault="00546354"/>
              </w:txbxContent>
            </v:textbox>
          </v:shape>
        </w:pict>
      </w:r>
      <w:r w:rsidRPr="00015DEE">
        <w:rPr>
          <w:rFonts w:ascii="Times New Roman" w:hAnsi="Times New Roman"/>
          <w:b/>
          <w:bCs/>
          <w:sz w:val="28"/>
          <w:szCs w:val="28"/>
        </w:rPr>
        <w:t>JUNE, 2025.</w:t>
      </w:r>
    </w:p>
    <w:p w14:paraId="0833292E"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lastRenderedPageBreak/>
        <w:t>CERTIFICATION</w:t>
      </w:r>
    </w:p>
    <w:p w14:paraId="2DBF79E4" w14:textId="67EE51F9"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This is to certify that this research study was conducted by </w:t>
      </w:r>
      <w:r w:rsidR="008A52EF">
        <w:rPr>
          <w:rFonts w:ascii="Times New Roman" w:hAnsi="Times New Roman"/>
          <w:sz w:val="28"/>
          <w:szCs w:val="28"/>
        </w:rPr>
        <w:t>Oseni Ibrahim Olamilekan</w:t>
      </w:r>
      <w:r w:rsidRPr="00015DEE">
        <w:rPr>
          <w:rFonts w:ascii="Times New Roman" w:hAnsi="Times New Roman"/>
          <w:sz w:val="28"/>
          <w:szCs w:val="28"/>
        </w:rPr>
        <w:t xml:space="preserve"> (HND/23/CEC/FT/01</w:t>
      </w:r>
      <w:r w:rsidR="008A52EF">
        <w:rPr>
          <w:rFonts w:ascii="Times New Roman" w:hAnsi="Times New Roman"/>
          <w:sz w:val="28"/>
          <w:szCs w:val="28"/>
        </w:rPr>
        <w:t>84</w:t>
      </w:r>
      <w:r w:rsidRPr="00015DEE">
        <w:rPr>
          <w:rFonts w:ascii="Times New Roman" w:hAnsi="Times New Roman"/>
          <w:sz w:val="28"/>
          <w:szCs w:val="28"/>
        </w:rPr>
        <w:t>) and had been read and approved as meeting the requirement for the Award of Higher National Diploma (HND) in Civil Engineering, Institute of Technology, Kwara State Polytechnic, Ilorin.</w:t>
      </w:r>
    </w:p>
    <w:p w14:paraId="25B3F1CD" w14:textId="77777777" w:rsidR="00546354" w:rsidRPr="00015DEE" w:rsidRDefault="00546354">
      <w:pPr>
        <w:spacing w:line="300" w:lineRule="auto"/>
        <w:rPr>
          <w:rFonts w:ascii="Times New Roman" w:hAnsi="Times New Roman"/>
          <w:sz w:val="28"/>
          <w:szCs w:val="28"/>
        </w:rPr>
      </w:pPr>
    </w:p>
    <w:p w14:paraId="0350146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              </w:t>
      </w:r>
      <w:r w:rsidRPr="00015DEE">
        <w:rPr>
          <w:rFonts w:ascii="Times New Roman" w:hAnsi="Times New Roman"/>
          <w:sz w:val="28"/>
          <w:szCs w:val="28"/>
        </w:rPr>
        <w:tab/>
        <w:t xml:space="preserve">                             …………………….</w:t>
      </w:r>
    </w:p>
    <w:p w14:paraId="322A649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A. SANNI                                                              DATE</w:t>
      </w:r>
    </w:p>
    <w:p w14:paraId="1F62CEA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Project Supervisor</w:t>
      </w:r>
    </w:p>
    <w:p w14:paraId="2C9EB190" w14:textId="77777777" w:rsidR="00546354" w:rsidRPr="00015DEE" w:rsidRDefault="00546354">
      <w:pPr>
        <w:spacing w:line="300" w:lineRule="auto"/>
        <w:rPr>
          <w:rFonts w:ascii="Times New Roman" w:hAnsi="Times New Roman"/>
          <w:sz w:val="28"/>
          <w:szCs w:val="28"/>
        </w:rPr>
      </w:pPr>
    </w:p>
    <w:p w14:paraId="5F0EB36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p>
    <w:p w14:paraId="52068629"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A. B. NA’ALLAH</w:t>
      </w:r>
      <w:r w:rsidRPr="00015DEE">
        <w:rPr>
          <w:rFonts w:ascii="Times New Roman" w:hAnsi="Times New Roman"/>
          <w:sz w:val="28"/>
          <w:szCs w:val="28"/>
        </w:rPr>
        <w:tab/>
        <w:t xml:space="preserve">                                                         DATE</w:t>
      </w:r>
    </w:p>
    <w:p w14:paraId="5F55AEC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Head of Department</w:t>
      </w:r>
    </w:p>
    <w:p w14:paraId="751E1679" w14:textId="77777777" w:rsidR="00546354" w:rsidRPr="00015DEE" w:rsidRDefault="00546354">
      <w:pPr>
        <w:spacing w:line="300" w:lineRule="auto"/>
        <w:rPr>
          <w:rFonts w:ascii="Times New Roman" w:hAnsi="Times New Roman"/>
          <w:sz w:val="28"/>
          <w:szCs w:val="28"/>
        </w:rPr>
      </w:pPr>
    </w:p>
    <w:p w14:paraId="1E512389"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w:t>
      </w:r>
    </w:p>
    <w:p w14:paraId="29CCF0C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ENGR. DR. MUJEDU KASALI ADEBAYO</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DATE</w:t>
      </w:r>
    </w:p>
    <w:p w14:paraId="363CAF25"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sz w:val="28"/>
          <w:szCs w:val="28"/>
        </w:rPr>
        <w:t>External Supervisor</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b/>
          <w:bCs/>
          <w:sz w:val="28"/>
          <w:szCs w:val="28"/>
        </w:rPr>
        <w:tab/>
      </w:r>
    </w:p>
    <w:p w14:paraId="5117FD86"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DEDICATION</w:t>
      </w:r>
    </w:p>
    <w:p w14:paraId="2065EAC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This project is dedicated solemnly to God Almighty, who is the sole inspiration of all things, without whom there would not be, and neither would this project.</w:t>
      </w:r>
    </w:p>
    <w:p w14:paraId="00EC99C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Appreciation goes to my loving parents for their support in the fulfillment of my Higher National Diploma (HND) both orally and financially. May God allow them to eat the fruit of their labor (Amen)</w:t>
      </w:r>
    </w:p>
    <w:p w14:paraId="0FD34334"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ACKNOWLEDGEMENT</w:t>
      </w:r>
    </w:p>
    <w:p w14:paraId="36C5DD5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begin by expressing my deepest gratitude to the Almighty God, who has blessed me with the wisdom, strength, and resilience to complete this project.</w:t>
      </w:r>
    </w:p>
    <w:p w14:paraId="5FC8069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extend my sincere appreciation to my project supervisor, Engr. A. Sanni for his invaluable guidance, support, and encouragement throughout this journey. His expertise and constructive feedback were instrumental in shaping this project.</w:t>
      </w:r>
    </w:p>
    <w:p w14:paraId="17B28E34" w14:textId="02AFF09C"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To my family, I express my heartfelt gratitude for their unwavering support and love. My Dad, Mr. </w:t>
      </w:r>
      <w:r w:rsidR="00E02AB8">
        <w:rPr>
          <w:rFonts w:ascii="Times New Roman" w:hAnsi="Times New Roman"/>
          <w:sz w:val="28"/>
          <w:szCs w:val="28"/>
        </w:rPr>
        <w:t>Oseni Rasaq</w:t>
      </w:r>
      <w:r w:rsidRPr="00015DEE">
        <w:rPr>
          <w:rFonts w:ascii="Times New Roman" w:hAnsi="Times New Roman"/>
          <w:sz w:val="28"/>
          <w:szCs w:val="28"/>
        </w:rPr>
        <w:t xml:space="preserve">, who made me choose this interesting course, and Mom, Mrs. </w:t>
      </w:r>
      <w:r w:rsidR="00E02AB8">
        <w:rPr>
          <w:rFonts w:ascii="Times New Roman" w:hAnsi="Times New Roman"/>
          <w:sz w:val="28"/>
          <w:szCs w:val="28"/>
        </w:rPr>
        <w:t>Ali Oluwabukola</w:t>
      </w:r>
      <w:r w:rsidRPr="00015DEE">
        <w:rPr>
          <w:rFonts w:ascii="Times New Roman" w:hAnsi="Times New Roman"/>
          <w:sz w:val="28"/>
          <w:szCs w:val="28"/>
        </w:rPr>
        <w:t xml:space="preserve">, my dearest </w:t>
      </w:r>
      <w:r w:rsidR="00E02AB8">
        <w:rPr>
          <w:rFonts w:ascii="Times New Roman" w:hAnsi="Times New Roman"/>
          <w:sz w:val="28"/>
          <w:szCs w:val="28"/>
        </w:rPr>
        <w:t>Siblings</w:t>
      </w:r>
      <w:r w:rsidRPr="00015DEE">
        <w:rPr>
          <w:rFonts w:ascii="Times New Roman" w:hAnsi="Times New Roman"/>
          <w:sz w:val="28"/>
          <w:szCs w:val="28"/>
        </w:rPr>
        <w:t>, who motivates me to make this milestone a success,</w:t>
      </w:r>
      <w:r w:rsidR="00E02AB8">
        <w:rPr>
          <w:rFonts w:ascii="Times New Roman" w:hAnsi="Times New Roman"/>
          <w:sz w:val="28"/>
          <w:szCs w:val="28"/>
        </w:rPr>
        <w:t xml:space="preserve"> </w:t>
      </w:r>
      <w:r w:rsidRPr="00015DEE">
        <w:rPr>
          <w:rFonts w:ascii="Times New Roman" w:hAnsi="Times New Roman"/>
          <w:sz w:val="28"/>
          <w:szCs w:val="28"/>
        </w:rPr>
        <w:t>thank you for being a constant source of motivation, encouragement and financial support. I appreciate your love.</w:t>
      </w:r>
    </w:p>
    <w:p w14:paraId="38061A36"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I also acknowledge the entire staffs of the department of Civil Engineering in the Institute of Polytechnic, Ilorin, for their dedication, enlighten and support towards the success of my academics.</w:t>
      </w:r>
    </w:p>
    <w:p w14:paraId="5D2861BB"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To my friends, guardians and colleagues, Bamidele Sijibomi, Kayode John Kehinde, Atoyebi Abdulqudus, Ayomikun Treasure, Saliman Ayinde Ridwan, and many others that their names could not be mentioned, I appreciate your encouragement, advice, and camaraderie.</w:t>
      </w:r>
    </w:p>
    <w:p w14:paraId="713A3426"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Thank you all for being part of my journey</w:t>
      </w:r>
    </w:p>
    <w:p w14:paraId="60EF814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ABSTRACT</w:t>
      </w:r>
    </w:p>
    <w:p w14:paraId="5F3E605F" w14:textId="77777777" w:rsidR="00546354" w:rsidRPr="00015DEE" w:rsidRDefault="00000000">
      <w:pPr>
        <w:spacing w:line="360" w:lineRule="auto"/>
        <w:rPr>
          <w:rFonts w:ascii="Times New Roman" w:hAnsi="Times New Roman"/>
          <w:i/>
          <w:iCs/>
          <w:sz w:val="28"/>
          <w:szCs w:val="28"/>
        </w:rPr>
      </w:pPr>
      <w:r w:rsidRPr="00015DEE">
        <w:rPr>
          <w:rFonts w:ascii="Times New Roman" w:hAnsi="Times New Roman"/>
          <w:i/>
          <w:iCs/>
          <w:sz w:val="28"/>
          <w:szCs w:val="28"/>
        </w:rPr>
        <w:t>The accuracy of hydrological modeling using the Soil and Water Assessment Tool (SWAT) is heavily influenced by the spatial resolution of input datasets such as digital elevation models (DEM), land use/land cover (LULC), and soil maps. This study investigates the impact of different spatial resolutions on SWAT simulation outputs within a selected watershed. By using multiple datasets at varying resolutions (e.g., 30m, 90m, and 250m), the model was set up, calibrated, and validated based on observed streamflow and meteorological data. Key hydrological components such as surface runoff, sediment yield, and water yield were analyzed to assess model sensitivity to spatial scale. Statistical metrics including the Nash-Sutcliffe Efficiency (NSE), Root Mean Square Error (RMSE), and Coefficient of Determination (R²) were employed to evaluate model performance under each resolution scenario. The findings reveal that finer spatial resolutions tend to produce more detailed and accurate hydrological outputs, whereas coarser resolutions may introduce errors and oversimplifications. This study underscores the importance of selecting appropriate spatial data resolution in SWAT applications for reliable watershed management and decision-making.</w:t>
      </w:r>
    </w:p>
    <w:p w14:paraId="7703FA78" w14:textId="77777777" w:rsidR="00546354" w:rsidRPr="00015DEE" w:rsidRDefault="00000000">
      <w:pPr>
        <w:spacing w:line="300" w:lineRule="auto"/>
        <w:jc w:val="center"/>
        <w:rPr>
          <w:rFonts w:ascii="Times New Roman" w:hAnsi="Times New Roman"/>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TABLE OF CONTENT</w:t>
      </w:r>
    </w:p>
    <w:p w14:paraId="6EACC54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b/>
          <w:bCs/>
          <w:sz w:val="28"/>
          <w:szCs w:val="28"/>
        </w:rPr>
        <w:t>Title page</w:t>
      </w:r>
    </w:p>
    <w:p w14:paraId="75182B99"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Certification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i</w:t>
      </w:r>
    </w:p>
    <w:p w14:paraId="3B4D767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Dedication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ii</w:t>
      </w:r>
    </w:p>
    <w:p w14:paraId="25C6334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Acknowledgement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iii</w:t>
      </w:r>
    </w:p>
    <w:p w14:paraId="3FAB182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Abstract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iv</w:t>
      </w:r>
    </w:p>
    <w:p w14:paraId="21CA10F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Table of contents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v</w:t>
      </w:r>
    </w:p>
    <w:p w14:paraId="5FFABA09" w14:textId="77777777" w:rsidR="00546354" w:rsidRPr="00015DEE" w:rsidRDefault="00546354">
      <w:pPr>
        <w:spacing w:line="300" w:lineRule="auto"/>
        <w:rPr>
          <w:rFonts w:ascii="Times New Roman" w:hAnsi="Times New Roman"/>
          <w:sz w:val="28"/>
          <w:szCs w:val="28"/>
        </w:rPr>
      </w:pPr>
    </w:p>
    <w:p w14:paraId="30BFDC56"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ONE</w:t>
      </w:r>
    </w:p>
    <w:p w14:paraId="4B74ACC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1.0</w:t>
      </w:r>
      <w:r w:rsidRPr="00015DEE">
        <w:rPr>
          <w:rFonts w:ascii="Times New Roman" w:hAnsi="Times New Roman"/>
          <w:sz w:val="28"/>
          <w:szCs w:val="28"/>
        </w:rPr>
        <w:tab/>
        <w:t>INTRODUCTION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w:t>
      </w:r>
    </w:p>
    <w:p w14:paraId="561435F6"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1.1</w:t>
      </w:r>
      <w:r w:rsidRPr="00015DEE">
        <w:rPr>
          <w:rFonts w:ascii="Times New Roman" w:hAnsi="Times New Roman"/>
          <w:sz w:val="28"/>
          <w:szCs w:val="28"/>
        </w:rPr>
        <w:tab/>
        <w:t>Background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w:t>
      </w:r>
    </w:p>
    <w:p w14:paraId="6067140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1.2</w:t>
      </w:r>
      <w:r w:rsidRPr="00015DEE">
        <w:rPr>
          <w:rFonts w:ascii="Times New Roman" w:hAnsi="Times New Roman"/>
          <w:sz w:val="28"/>
          <w:szCs w:val="28"/>
        </w:rPr>
        <w:tab/>
        <w:t>Statement of the problem</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4</w:t>
      </w:r>
    </w:p>
    <w:p w14:paraId="6D774AF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1.3</w:t>
      </w:r>
      <w:r w:rsidRPr="00015DEE">
        <w:rPr>
          <w:rFonts w:ascii="Times New Roman" w:hAnsi="Times New Roman"/>
          <w:sz w:val="28"/>
          <w:szCs w:val="28"/>
        </w:rPr>
        <w:tab/>
        <w:t>Aims and Objectives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4</w:t>
      </w:r>
    </w:p>
    <w:p w14:paraId="148304E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1.4</w:t>
      </w:r>
      <w:r w:rsidRPr="00015DEE">
        <w:rPr>
          <w:rFonts w:ascii="Times New Roman" w:hAnsi="Times New Roman"/>
          <w:sz w:val="28"/>
          <w:szCs w:val="28"/>
        </w:rPr>
        <w:tab/>
        <w:t>Justification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4</w:t>
      </w:r>
    </w:p>
    <w:p w14:paraId="0160B7D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1.5</w:t>
      </w:r>
      <w:r w:rsidRPr="00015DEE">
        <w:rPr>
          <w:rFonts w:ascii="Times New Roman" w:hAnsi="Times New Roman"/>
          <w:sz w:val="28"/>
          <w:szCs w:val="28"/>
        </w:rPr>
        <w:tab/>
        <w:t>Scope of the study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5</w:t>
      </w:r>
    </w:p>
    <w:p w14:paraId="767A62D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
      </w:r>
      <w:r w:rsidRPr="00015DEE">
        <w:rPr>
          <w:rFonts w:ascii="Times New Roman" w:hAnsi="Times New Roman"/>
          <w:sz w:val="28"/>
          <w:szCs w:val="28"/>
        </w:rPr>
        <w:tab/>
      </w:r>
    </w:p>
    <w:p w14:paraId="502FA05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TWO</w:t>
      </w:r>
    </w:p>
    <w:p w14:paraId="4E27DA5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2.0</w:t>
      </w:r>
      <w:r w:rsidRPr="00015DEE">
        <w:rPr>
          <w:rFonts w:ascii="Times New Roman" w:hAnsi="Times New Roman"/>
          <w:sz w:val="28"/>
          <w:szCs w:val="28"/>
        </w:rPr>
        <w:tab/>
        <w:t>Preamble</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6</w:t>
      </w:r>
    </w:p>
    <w:p w14:paraId="69F00B2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w:t>
      </w:r>
      <w:r w:rsidRPr="00015DEE">
        <w:rPr>
          <w:rFonts w:ascii="Times New Roman" w:hAnsi="Times New Roman"/>
          <w:sz w:val="28"/>
          <w:szCs w:val="28"/>
        </w:rPr>
        <w:tab/>
        <w:t>Literature Review</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7</w:t>
      </w:r>
    </w:p>
    <w:p w14:paraId="38E9B9C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2.1.1</w:t>
      </w:r>
      <w:r w:rsidRPr="00015DEE">
        <w:rPr>
          <w:rFonts w:ascii="Times New Roman" w:hAnsi="Times New Roman"/>
          <w:sz w:val="28"/>
          <w:szCs w:val="28"/>
        </w:rPr>
        <w:tab/>
        <w:t>SWAT model component</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9</w:t>
      </w:r>
    </w:p>
    <w:p w14:paraId="7989E25C"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2.1.2</w:t>
      </w:r>
      <w:r w:rsidRPr="00015DEE">
        <w:rPr>
          <w:rFonts w:ascii="Times New Roman" w:hAnsi="Times New Roman"/>
          <w:sz w:val="28"/>
          <w:szCs w:val="28"/>
        </w:rPr>
        <w:tab/>
        <w:t>SWAT model application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9</w:t>
      </w:r>
    </w:p>
    <w:p w14:paraId="39BDCB0C"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lastRenderedPageBreak/>
        <w:t xml:space="preserve">2.1.3 SWAT model limitation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9</w:t>
      </w:r>
    </w:p>
    <w:p w14:paraId="41236D4A" w14:textId="77777777" w:rsidR="00546354" w:rsidRPr="00015DEE" w:rsidRDefault="00546354">
      <w:pPr>
        <w:spacing w:line="300" w:lineRule="auto"/>
        <w:rPr>
          <w:rFonts w:ascii="Times New Roman" w:hAnsi="Times New Roman"/>
          <w:sz w:val="28"/>
          <w:szCs w:val="28"/>
        </w:rPr>
      </w:pPr>
    </w:p>
    <w:p w14:paraId="0724993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THREE</w:t>
      </w:r>
    </w:p>
    <w:p w14:paraId="2217551C"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3.0</w:t>
      </w:r>
      <w:r w:rsidRPr="00015DEE">
        <w:rPr>
          <w:rFonts w:ascii="Times New Roman" w:hAnsi="Times New Roman"/>
          <w:sz w:val="28"/>
          <w:szCs w:val="28"/>
        </w:rPr>
        <w:tab/>
        <w:t>Methodology</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10</w:t>
      </w:r>
    </w:p>
    <w:p w14:paraId="7428E37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3.1</w:t>
      </w:r>
      <w:r w:rsidRPr="00015DEE">
        <w:rPr>
          <w:rFonts w:ascii="Times New Roman" w:hAnsi="Times New Roman"/>
          <w:sz w:val="28"/>
          <w:szCs w:val="28"/>
        </w:rPr>
        <w:tab/>
        <w:t>Description of the study area</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10</w:t>
      </w:r>
    </w:p>
    <w:p w14:paraId="5FAC4E2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w:t>
      </w:r>
      <w:r w:rsidRPr="00015DEE">
        <w:rPr>
          <w:rFonts w:ascii="Times New Roman" w:hAnsi="Times New Roman"/>
          <w:sz w:val="28"/>
          <w:szCs w:val="28"/>
        </w:rPr>
        <w:tab/>
        <w:t>Model Selection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12</w:t>
      </w:r>
    </w:p>
    <w:p w14:paraId="7040533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3.2.1</w:t>
      </w:r>
      <w:r w:rsidRPr="00015DEE">
        <w:rPr>
          <w:rFonts w:ascii="Times New Roman" w:hAnsi="Times New Roman"/>
          <w:sz w:val="28"/>
          <w:szCs w:val="28"/>
        </w:rPr>
        <w:tab/>
        <w:t>Introduction to SWAT model description</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12</w:t>
      </w:r>
    </w:p>
    <w:p w14:paraId="6EC44AC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3.2.2</w:t>
      </w:r>
      <w:r w:rsidRPr="00015DEE">
        <w:rPr>
          <w:rFonts w:ascii="Times New Roman" w:hAnsi="Times New Roman"/>
          <w:sz w:val="28"/>
          <w:szCs w:val="28"/>
        </w:rPr>
        <w:tab/>
        <w:t xml:space="preserve">The Conceptual Model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13</w:t>
      </w:r>
    </w:p>
    <w:p w14:paraId="7B75955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3.3     Modelling tools and GIS interface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13</w:t>
      </w:r>
    </w:p>
    <w:p w14:paraId="68EE73A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    Model input and data collection process</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14</w:t>
      </w:r>
    </w:p>
    <w:p w14:paraId="1ED8D50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3.4.1  Digital Elevation Model</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Pr="00015DEE">
        <w:rPr>
          <w:rFonts w:ascii="Times New Roman" w:hAnsi="Times New Roman"/>
          <w:sz w:val="28"/>
          <w:szCs w:val="28"/>
        </w:rPr>
        <w:t>14</w:t>
      </w:r>
    </w:p>
    <w:p w14:paraId="7F70EF7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3.4.2. Land use/Land Cover</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Pr="00015DEE">
        <w:rPr>
          <w:rFonts w:ascii="Times New Roman" w:hAnsi="Times New Roman"/>
          <w:sz w:val="28"/>
          <w:szCs w:val="28"/>
        </w:rPr>
        <w:t>15</w:t>
      </w:r>
    </w:p>
    <w:p w14:paraId="2AA083F9"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3.4.3.Digitalize Soil Data</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 xml:space="preserve">                          </w:t>
      </w:r>
      <w:r w:rsidRPr="00015DEE">
        <w:rPr>
          <w:rFonts w:ascii="Times New Roman" w:hAnsi="Times New Roman"/>
          <w:sz w:val="28"/>
          <w:szCs w:val="28"/>
        </w:rPr>
        <w:t>16</w:t>
      </w:r>
    </w:p>
    <w:p w14:paraId="6AF3C12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3.4.4 Wheather Data.                          </w:t>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r>
      <w:r w:rsidRPr="00015DEE">
        <w:rPr>
          <w:rFonts w:ascii="Times New Roman" w:hAnsi="Times New Roman"/>
        </w:rPr>
        <w:tab/>
        <w:t>17</w:t>
      </w:r>
    </w:p>
    <w:p w14:paraId="2445928B"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3.5    Spatial resolution in SWAT.                                                       18</w:t>
      </w:r>
    </w:p>
    <w:p w14:paraId="1C1399C4"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3.6.   Spatial resolution into sub-basin hydrological response unit</w:t>
      </w:r>
    </w:p>
    <w:p w14:paraId="36FEC1AE" w14:textId="77777777" w:rsidR="00546354" w:rsidRPr="00015DEE" w:rsidRDefault="00000000">
      <w:pPr>
        <w:spacing w:line="300" w:lineRule="auto"/>
        <w:ind w:left="220"/>
        <w:rPr>
          <w:rFonts w:ascii="Times New Roman" w:hAnsi="Times New Roman"/>
          <w:sz w:val="28"/>
          <w:szCs w:val="28"/>
        </w:rPr>
      </w:pPr>
      <w:r w:rsidRPr="00015DEE">
        <w:rPr>
          <w:rFonts w:ascii="Times New Roman" w:hAnsi="Times New Roman"/>
          <w:sz w:val="28"/>
          <w:szCs w:val="28"/>
        </w:rPr>
        <w:t xml:space="preserve">                                                                                                             19</w:t>
      </w:r>
    </w:p>
    <w:p w14:paraId="6659030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3.7.  SWAT set-up and run                                                                  20</w:t>
      </w:r>
    </w:p>
    <w:p w14:paraId="7FD5328C" w14:textId="77777777" w:rsidR="00546354" w:rsidRPr="00015DEE" w:rsidRDefault="00546354">
      <w:pPr>
        <w:spacing w:line="300" w:lineRule="auto"/>
        <w:rPr>
          <w:rFonts w:ascii="Times New Roman" w:hAnsi="Times New Roman"/>
          <w:sz w:val="28"/>
          <w:szCs w:val="28"/>
        </w:rPr>
      </w:pPr>
    </w:p>
    <w:p w14:paraId="3101285C"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FOUR</w:t>
      </w:r>
    </w:p>
    <w:p w14:paraId="147622D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4.1.  Comparison of flow estimats across DEM resolutios.         21</w:t>
      </w:r>
    </w:p>
    <w:p w14:paraId="1324898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lastRenderedPageBreak/>
        <w:t xml:space="preserve">4.2 Variation in sediment concentration with DEM resolutios </w:t>
      </w:r>
      <w:r w:rsidRPr="00015DEE">
        <w:rPr>
          <w:rFonts w:ascii="Times New Roman" w:hAnsi="Times New Roman"/>
          <w:sz w:val="28"/>
          <w:szCs w:val="28"/>
        </w:rPr>
        <w:tab/>
        <w:t>22</w:t>
      </w:r>
    </w:p>
    <w:p w14:paraId="7BBBA7B9"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4.3 Effect of DEM resolution on sediment yield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23</w:t>
      </w:r>
    </w:p>
    <w:p w14:paraId="691E553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4.4 Determination of suitable DEM resolution for Modelling     </w:t>
      </w:r>
      <w:r w:rsidRPr="00015DEE">
        <w:rPr>
          <w:rFonts w:ascii="Times New Roman" w:hAnsi="Times New Roman"/>
          <w:sz w:val="28"/>
          <w:szCs w:val="28"/>
        </w:rPr>
        <w:tab/>
        <w:t>24</w:t>
      </w:r>
    </w:p>
    <w:p w14:paraId="4BB75C1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ab/>
      </w:r>
    </w:p>
    <w:p w14:paraId="5453F082" w14:textId="77777777" w:rsidR="00546354" w:rsidRPr="00015DEE" w:rsidRDefault="00000000">
      <w:pPr>
        <w:spacing w:line="300" w:lineRule="auto"/>
        <w:rPr>
          <w:rFonts w:ascii="Times New Roman" w:hAnsi="Times New Roman"/>
          <w:b/>
          <w:bCs/>
          <w:sz w:val="28"/>
          <w:szCs w:val="28"/>
        </w:rPr>
      </w:pPr>
      <w:r w:rsidRPr="00015DEE">
        <w:rPr>
          <w:rFonts w:ascii="Times New Roman" w:hAnsi="Times New Roman"/>
          <w:b/>
          <w:bCs/>
          <w:sz w:val="28"/>
          <w:szCs w:val="28"/>
        </w:rPr>
        <w:t>CHAPTER FIVE</w:t>
      </w:r>
    </w:p>
    <w:p w14:paraId="333EA07E"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5.1</w:t>
      </w:r>
      <w:r w:rsidRPr="00015DEE">
        <w:rPr>
          <w:rFonts w:ascii="Times New Roman" w:hAnsi="Times New Roman"/>
          <w:sz w:val="28"/>
          <w:szCs w:val="28"/>
        </w:rPr>
        <w:tab/>
        <w:t xml:space="preserve">Conclusion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25</w:t>
      </w:r>
    </w:p>
    <w:p w14:paraId="049FBF8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5.2</w:t>
      </w:r>
      <w:r w:rsidRPr="00015DEE">
        <w:rPr>
          <w:rFonts w:ascii="Times New Roman" w:hAnsi="Times New Roman"/>
          <w:sz w:val="28"/>
          <w:szCs w:val="28"/>
        </w:rPr>
        <w:tab/>
        <w:t xml:space="preserve">Recommendation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26</w:t>
      </w:r>
    </w:p>
    <w:p w14:paraId="7F82F833" w14:textId="77777777" w:rsidR="00546354" w:rsidRPr="00015DEE" w:rsidRDefault="00546354">
      <w:pPr>
        <w:spacing w:line="300" w:lineRule="auto"/>
        <w:rPr>
          <w:rFonts w:ascii="Times New Roman" w:hAnsi="Times New Roman"/>
          <w:sz w:val="28"/>
          <w:szCs w:val="28"/>
        </w:rPr>
      </w:pPr>
    </w:p>
    <w:p w14:paraId="5E78C725"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REFERENCE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28</w:t>
      </w:r>
    </w:p>
    <w:p w14:paraId="5A7CB1C7" w14:textId="77777777" w:rsidR="00546354" w:rsidRPr="00015DEE" w:rsidRDefault="00546354">
      <w:pPr>
        <w:spacing w:line="300" w:lineRule="auto"/>
        <w:rPr>
          <w:rFonts w:ascii="Times New Roman" w:hAnsi="Times New Roman"/>
          <w:sz w:val="28"/>
          <w:szCs w:val="28"/>
        </w:rPr>
      </w:pPr>
    </w:p>
    <w:p w14:paraId="7CBD093D"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LIST OF FIGURE</w:t>
      </w:r>
    </w:p>
    <w:p w14:paraId="7B186337"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3.1: Description of the study area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11</w:t>
      </w:r>
    </w:p>
    <w:p w14:paraId="71A33122"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Figure 3.2: DEM of the study area</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 xml:space="preserve">                               14</w:t>
      </w:r>
    </w:p>
    <w:p w14:paraId="1CA0E4CF"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3.3: Land use map of the study area.                            </w:t>
      </w:r>
      <w:r w:rsidRPr="00015DEE">
        <w:rPr>
          <w:rFonts w:ascii="Times New Roman" w:hAnsi="Times New Roman"/>
          <w:sz w:val="28"/>
          <w:szCs w:val="28"/>
        </w:rPr>
        <w:tab/>
      </w:r>
      <w:r w:rsidRPr="00015DEE">
        <w:rPr>
          <w:rFonts w:ascii="Times New Roman" w:hAnsi="Times New Roman"/>
          <w:sz w:val="28"/>
          <w:szCs w:val="28"/>
        </w:rPr>
        <w:tab/>
        <w:t>15</w:t>
      </w:r>
    </w:p>
    <w:p w14:paraId="63768BA0"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3.4.2: Image of soil map.                               </w:t>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r>
      <w:r w:rsidRPr="00015DEE">
        <w:rPr>
          <w:rFonts w:ascii="Times New Roman" w:hAnsi="Times New Roman"/>
          <w:sz w:val="28"/>
          <w:szCs w:val="28"/>
        </w:rPr>
        <w:tab/>
        <w:t>16</w:t>
      </w:r>
    </w:p>
    <w:p w14:paraId="55D75C54"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4.1: Shows the spatial variation of flow in the study area </w:t>
      </w:r>
      <w:r w:rsidRPr="00015DEE">
        <w:rPr>
          <w:rFonts w:ascii="Times New Roman" w:hAnsi="Times New Roman"/>
          <w:sz w:val="28"/>
          <w:szCs w:val="28"/>
        </w:rPr>
        <w:tab/>
      </w:r>
      <w:r w:rsidRPr="00015DEE">
        <w:rPr>
          <w:rFonts w:ascii="Times New Roman" w:hAnsi="Times New Roman"/>
          <w:sz w:val="28"/>
          <w:szCs w:val="28"/>
        </w:rPr>
        <w:tab/>
        <w:t>21</w:t>
      </w:r>
    </w:p>
    <w:p w14:paraId="41FDEF3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4.2: Shows the spatial variation of flow in the study area </w:t>
      </w:r>
      <w:r w:rsidRPr="00015DEE">
        <w:rPr>
          <w:rFonts w:ascii="Times New Roman" w:hAnsi="Times New Roman"/>
          <w:sz w:val="28"/>
          <w:szCs w:val="28"/>
        </w:rPr>
        <w:tab/>
      </w:r>
      <w:r w:rsidRPr="00015DEE">
        <w:rPr>
          <w:rFonts w:ascii="Times New Roman" w:hAnsi="Times New Roman"/>
          <w:sz w:val="28"/>
          <w:szCs w:val="28"/>
        </w:rPr>
        <w:tab/>
        <w:t>22</w:t>
      </w:r>
    </w:p>
    <w:p w14:paraId="45CFC024"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 xml:space="preserve">Figure 4.3:  Shows the spatial variation of flow in the study area </w:t>
      </w:r>
      <w:r w:rsidRPr="00015DEE">
        <w:rPr>
          <w:rFonts w:ascii="Times New Roman" w:hAnsi="Times New Roman"/>
          <w:sz w:val="28"/>
          <w:szCs w:val="28"/>
        </w:rPr>
        <w:tab/>
      </w:r>
      <w:r w:rsidRPr="00015DEE">
        <w:rPr>
          <w:rFonts w:ascii="Times New Roman" w:hAnsi="Times New Roman"/>
          <w:sz w:val="28"/>
          <w:szCs w:val="28"/>
        </w:rPr>
        <w:tab/>
        <w:t>23</w:t>
      </w:r>
    </w:p>
    <w:p w14:paraId="4E0AFBC5" w14:textId="77777777" w:rsidR="00546354" w:rsidRPr="00015DEE" w:rsidRDefault="00546354">
      <w:pPr>
        <w:spacing w:line="300" w:lineRule="auto"/>
        <w:rPr>
          <w:rFonts w:ascii="Times New Roman" w:hAnsi="Times New Roman"/>
          <w:b/>
          <w:bCs/>
          <w:sz w:val="28"/>
          <w:szCs w:val="28"/>
        </w:rPr>
      </w:pPr>
    </w:p>
    <w:p w14:paraId="1669947A"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br w:type="page"/>
      </w:r>
      <w:r w:rsidRPr="00015DEE">
        <w:rPr>
          <w:rFonts w:ascii="Times New Roman" w:hAnsi="Times New Roman"/>
          <w:b/>
          <w:bCs/>
          <w:sz w:val="28"/>
          <w:szCs w:val="28"/>
        </w:rPr>
        <w:lastRenderedPageBreak/>
        <w:t>LIST OF TABLE</w:t>
      </w:r>
    </w:p>
    <w:p w14:paraId="6B71D2FA"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Table 4.1: DEM resolution on Flow and sediment parameters.         21</w:t>
      </w:r>
    </w:p>
    <w:p w14:paraId="08B7A5AD" w14:textId="77777777" w:rsidR="00546354" w:rsidRPr="00015DEE" w:rsidRDefault="00546354">
      <w:pPr>
        <w:spacing w:line="300" w:lineRule="auto"/>
        <w:rPr>
          <w:rFonts w:ascii="Times New Roman" w:hAnsi="Times New Roman"/>
          <w:b/>
          <w:bCs/>
          <w:sz w:val="28"/>
          <w:szCs w:val="28"/>
        </w:rPr>
        <w:sectPr w:rsidR="00546354" w:rsidRPr="00015DEE">
          <w:pgSz w:w="12240" w:h="15840"/>
          <w:pgMar w:top="1440" w:right="1440" w:bottom="1440" w:left="1440" w:header="720" w:footer="720" w:gutter="0"/>
          <w:pgNumType w:fmt="lowerRoman" w:start="1"/>
          <w:cols w:space="720"/>
          <w:docGrid w:linePitch="360"/>
        </w:sectPr>
      </w:pPr>
    </w:p>
    <w:p w14:paraId="085BA436"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b/>
          <w:bCs/>
          <w:sz w:val="28"/>
          <w:szCs w:val="28"/>
        </w:rPr>
        <w:lastRenderedPageBreak/>
        <w:t>CHAPTER ONE</w:t>
      </w:r>
    </w:p>
    <w:p w14:paraId="3EB74E3C"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 xml:space="preserve">1.0 </w:t>
      </w:r>
      <w:r w:rsidRPr="00015DEE">
        <w:rPr>
          <w:rFonts w:ascii="Times New Roman" w:hAnsi="Times New Roman"/>
          <w:b/>
          <w:bCs/>
          <w:caps/>
          <w:sz w:val="28"/>
          <w:szCs w:val="28"/>
        </w:rPr>
        <w:t>Introduction</w:t>
      </w:r>
    </w:p>
    <w:p w14:paraId="19412A7E"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1.1 BACKGROUND OF THE STUDY</w:t>
      </w:r>
    </w:p>
    <w:p w14:paraId="7407DD5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Soil and Water Assessment Tool (SWAT) is a widely used hydrological model for simulating water quality and quantity in watersheds. Spatial resolution, which refers to the size of the grid cells used to represent the study area, plays a crucial role in determining the accuracy and reliability of SWAT simulation results (Zhang et al., 2015; Liu et al., 2016). The selection of appropriate spatial resolution is critical, as it affects the representation of hydrological processes, such as streamflow, evapotranspiration, and sediment yield (Singh et al., 2017; Chen et al., 2018). SWAT has been applied in various studies to evaluate the impact of land use changes, climate change, and water management practices on water resources (Gassman et al., 2007; Neitsch et al., 2011).</w:t>
      </w:r>
    </w:p>
    <w:p w14:paraId="6CC2597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Previous studies have demonstrated that spatial resolution significantly impacts SWAT simulation results, with coarser resolutions leading to reduced model accuracy and increased uncertainty (Ayana et al., 2019; Malakar et al., 2020). Conversely, finer resolutions can improve model performance, particularly in capturing small-scale hydrological processes (Liu et al., 2016; Chen et al., 2018). The Omi River, located in southwestern Nigeria, is a critical water resource for agricultural, industrial, and domestic purposes. However, the river faces various hydrological challenges, including flooding, sedimentation, and water pollution. To effectively manage these challenges, accurate hydrological modeling is essential. Understanding the river's response to climate change is crucial for developing effective adaptation strategies (Oyebande et al., 2017).</w:t>
      </w:r>
    </w:p>
    <w:p w14:paraId="76EE4F57"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Water resources management is crucial for sustainable development, especially in regions with limited water resources (Falkenmark &amp; Rockström, 2006). The Omi River basin in Nigeria is a vital water resource area that supports agriculture, industry, and domestic uses (Adeniyi, 2010). However, the basin faces challenges such as flooding, soil erosion, and water pollution, which can be addressed through </w:t>
      </w:r>
      <w:r w:rsidRPr="00015DEE">
        <w:rPr>
          <w:rFonts w:ascii="Times New Roman" w:hAnsi="Times New Roman"/>
          <w:sz w:val="28"/>
          <w:szCs w:val="28"/>
        </w:rPr>
        <w:lastRenderedPageBreak/>
        <w:t>effective water resources management (Adeleke, 2015</w:t>
      </w:r>
      <w:r w:rsidRPr="00015DEE">
        <w:rPr>
          <w:rFonts w:ascii="Times New Roman" w:hAnsi="Times New Roman"/>
          <w:b/>
          <w:bCs/>
          <w:sz w:val="28"/>
          <w:szCs w:val="28"/>
        </w:rPr>
        <w:t>)</w:t>
      </w:r>
      <w:r w:rsidRPr="00015DEE">
        <w:rPr>
          <w:rFonts w:ascii="Times New Roman" w:hAnsi="Times New Roman"/>
          <w:sz w:val="28"/>
          <w:szCs w:val="28"/>
        </w:rPr>
        <w:t>. SWAT's ability to simulate hydrologic processes at the watershed scale makes it an ideal tool for evaluating the impact of spatial resolution on simulation accuracy (Ficklin et al., 2010). Spatial resolution is a critical factor in hydrologic modeling, as it affects the accuracy of simulated hydrologic processes (Bosch et al., 2013).</w:t>
      </w:r>
    </w:p>
    <w:p w14:paraId="2F66B03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Soil and Water Assessment Tool (SWAT) is a semi-distributed, physically based hydrologic model that simulates water flow, sediment yield, and nutrient transport in watersheds (Arnold et al., 1998). SWAT was developed by the United States Department of Agriculture (USDA) Agricultural Research Service (ARS) to predict the impact of land management practices on water, sediment, and nutrient yields (Gassman et al., 2007).</w:t>
      </w:r>
    </w:p>
    <w:p w14:paraId="118338A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SWAT is a continuous-time model that operates on a daily time step (Neitsch et al., 2011). The model is divided into two main components: the land phase and the routing phase. The land phase simulates the hydrologic cycle, sedimentation, and nutrient cycling at the watershed scale, while the routing phase simulates the movement of water, sediment, and nutrients through the stream network (Arnold et al., 1998</w:t>
      </w:r>
      <w:r w:rsidRPr="00015DEE">
        <w:rPr>
          <w:rFonts w:ascii="Times New Roman" w:hAnsi="Times New Roman"/>
          <w:b/>
          <w:bCs/>
          <w:sz w:val="28"/>
          <w:szCs w:val="28"/>
        </w:rPr>
        <w:t>)</w:t>
      </w:r>
      <w:r w:rsidRPr="00015DEE">
        <w:rPr>
          <w:rFonts w:ascii="Times New Roman" w:hAnsi="Times New Roman"/>
          <w:sz w:val="28"/>
          <w:szCs w:val="28"/>
        </w:rPr>
        <w:t>.</w:t>
      </w:r>
    </w:p>
    <w:p w14:paraId="722200A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Hydrological modeling is crucial for understanding and managing water resources, particularly in river basins where spatial variability plays a significant role. The SWAT (Soil and Water Assessment Tool) model is a widely used tool for simulating hydrological processes, water quality, and quantity in watersheds. However, the accuracy of SWAT simulations depends on various factors, including spatial resolution, input data quality, and model calibration. Research has shown that spatial resolution significantly affects SWAT model performance, and selecting the optimal resolution is essential for balancing detail and computational efficiency. In the context of the Omi River basin, Nigeria, understanding the impact of spatial resolution on SWAT simulation accuracy is vital for effective water resource management. This study aims to investigate the impact of spatial resolution on SWAT simulation accuracy in the Omi River basin, Nigeria, and contribute to advancing the understanding of hydrological processes in the region.</w:t>
      </w:r>
    </w:p>
    <w:p w14:paraId="1D7F6B7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The Orphaned Medical Informatics (OMI) River basin in Nigeria is a vital water resource system that supports various ecological, agricultural, and socio-economic activities. Effective management of this basin requires a comprehensive understanding of its hydrological processes, including water flow, sediment transport, and nutrient cycling. Hydrological modeling is a crucial tool for achieving this understanding, and the Soil and Water Assessment Tool (SWAT) model is widely used for simulating these processes.</w:t>
      </w:r>
    </w:p>
    <w:p w14:paraId="3C4AB6F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However, the accuracy of SWAT simulations depends on various factors, including the quality of input data, model calibration, and spatial resolution. Spatial resolution, in particular, plays a significant role in determining the level of detail in model simulations, and its impact on model accuracy can be substantial. Recent studies have highlighted the importance of selecting the optimal spatial resolution for SWAT modeling, as it can significantly affect model performance and simulation results.</w:t>
      </w:r>
    </w:p>
    <w:p w14:paraId="195A939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aims to investigate the impact of spatial resolution on SWAT simulation accuracy in the OMI River basin, Nigeria. By exploring the effects of different spatial resolutions on model performance, this research seeks to contribute to the development of more accurate and reliable hydrological models for the basin. The findings of this study will have implications for water resource management, flood risk assessment, and environmental planning in the OMI River basin.</w:t>
      </w:r>
    </w:p>
    <w:p w14:paraId="42DD3B4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1.2 STATEMENT OF THE PROBLEM</w:t>
      </w:r>
    </w:p>
    <w:p w14:paraId="3C3920AA"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sz w:val="28"/>
          <w:szCs w:val="28"/>
        </w:rPr>
        <w:t>The optimal spatial resolution for accurate hydrological modeling of the Omi River basin using the Soil and Water Assessment Tool (SWAT) remains unknown, hindering reliable predictions of water availability and flow patterns.</w:t>
      </w:r>
    </w:p>
    <w:p w14:paraId="76A6E0D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1.3 AIM AND OBJECTIVES</w:t>
      </w:r>
    </w:p>
    <w:p w14:paraId="7B0D6695"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aim of the project is to investigate the impact of spatial resolution on SWAT simulation accuracy in the Omi River basin, Nigeria, and determine the optimal spatial resolution for effective hydrological modeling. The specific objectives are to:</w:t>
      </w:r>
    </w:p>
    <w:p w14:paraId="4C255C56"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1. Evaluate the effect of spatial resolution on SWAT simulation accuracy in the Omi River basin.</w:t>
      </w:r>
    </w:p>
    <w:p w14:paraId="505432F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 Assess the sensitivity of SWAT model outputs to different spatial resolutions (e.g., 30m, 90m, 250m).</w:t>
      </w:r>
    </w:p>
    <w:p w14:paraId="49344B3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3. Determine the optimal spatial resolution for SWAT simulation in the Omi River basin.</w:t>
      </w:r>
    </w:p>
    <w:p w14:paraId="7636E8E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4. Investigate the impact of spatial resolution on water balance components (e.g., evapotranspiration, runoff).</w:t>
      </w:r>
    </w:p>
    <w:p w14:paraId="3392CBC7" w14:textId="77777777" w:rsidR="00546354" w:rsidRPr="00015DEE" w:rsidRDefault="00546354">
      <w:pPr>
        <w:spacing w:line="300" w:lineRule="auto"/>
        <w:jc w:val="both"/>
        <w:rPr>
          <w:rFonts w:ascii="Times New Roman" w:hAnsi="Times New Roman"/>
          <w:b/>
          <w:bCs/>
          <w:sz w:val="28"/>
          <w:szCs w:val="28"/>
        </w:rPr>
      </w:pPr>
    </w:p>
    <w:p w14:paraId="21A0588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1.4 JUSTIFICATION OF THE STUDY</w:t>
      </w:r>
    </w:p>
    <w:p w14:paraId="1F71E91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is justified as it addresses the knowledge gap on the impact of spatial resolution on SWAT simulation accuracy in Nigerian river basins, particularly the Omi River basin, to enhance water resource management, agricultural productivity, and flood risk reduction.</w:t>
      </w:r>
    </w:p>
    <w:p w14:paraId="70082FAF" w14:textId="77777777" w:rsidR="00546354" w:rsidRPr="00015DEE" w:rsidRDefault="00546354">
      <w:pPr>
        <w:spacing w:line="300" w:lineRule="auto"/>
        <w:jc w:val="both"/>
        <w:rPr>
          <w:rFonts w:ascii="Times New Roman" w:hAnsi="Times New Roman"/>
          <w:sz w:val="28"/>
          <w:szCs w:val="28"/>
        </w:rPr>
      </w:pPr>
    </w:p>
    <w:p w14:paraId="051A30F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1.5 SCOPE OF THR STUDY</w:t>
      </w:r>
    </w:p>
    <w:p w14:paraId="58D5CFF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study focuses on evaluating how varying spatial resolutions of input data affect the performance and accuracy of the Soil and Water Assessment Tool (SWAT) in hydrological modelling.</w:t>
      </w:r>
    </w:p>
    <w:p w14:paraId="1D974AB0"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CHAPTER 2</w:t>
      </w:r>
    </w:p>
    <w:p w14:paraId="5018F843"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2.0 PREAMBLE</w:t>
      </w:r>
    </w:p>
    <w:p w14:paraId="68F8F04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concept of hydrologic modeling has evolved significantly over the past few decades, with various models being developed to simulate different aspects of the hydrologic cycle (Beven, 2001). The Soil and Water Assessment Tool (SWAT) is one such model that has gained widespread acceptance and application in hydrologic modeling (Arnold et al., 1998). SWAT's ability to simulate hydrologic processes at the watershed scale makes it an ideal tool for evaluating the impact of land use changes, climate change, and water management practices on water resources (Gassman et al., 2007).</w:t>
      </w:r>
    </w:p>
    <w:p w14:paraId="312636F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However, the accuracy of SWAT simulations is influenced by various factors, including the quality of input data, model parameters, and spatial resolution (Ficklin et al., 2010). Spatial resolution, in particular, plays a crucial role in determining the accuracy of SWAT simulations, as it affects the representation of hydrologic processes and the simulation of water flow and sediment transport (Bosch et al., 2013).</w:t>
      </w:r>
    </w:p>
    <w:p w14:paraId="2216BE6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impact of spatial resolution on SWAT simulation accuracy has been investigated in various studies (Ficklin et al., 2010; Bosch et al., 2013; Zhang et al., 2016). These studies have shown that increasing the spatial resolution of SWAT simulations can improve the accuracy of simulated hydrologic processes, but may also increase the computational requirements and data needs (Ficklin et al., 2010; Bosch et al., 2013).</w:t>
      </w:r>
    </w:p>
    <w:p w14:paraId="5D92484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This chapter reviews the existing literature on the application of SWAT in hydrologic modeling, with a focus on the impact of spatial resolution on simulation accuracy. The chapter also examines the current state of knowledge on the optimal spatial resolution for SWAT simulations and identifies research gaps that need to be addressed.</w:t>
      </w:r>
    </w:p>
    <w:p w14:paraId="4FEAEE95"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 LITERATURE REVIEW</w:t>
      </w:r>
    </w:p>
    <w:p w14:paraId="02CFA578"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The Soil and Water Assessment Tool (SWAT) is a semi-distributed, physically based hydrologic model that simulates water flow, sediment yield, and nutrient transport in watersheds. SWAT was developed by the United States Department of Agriculture (USDA) Agricultural Research Service (ARS) to predict the impact of land management practices on water, sediment, and nutrient yields (Gassman et al., 2007).</w:t>
      </w:r>
    </w:p>
    <w:p w14:paraId="730BB02D"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Ficklin et al. (2010)investigated the impact of spatial resolution on SWAT simulation accuracy in the upper Mississippi River basin. They used SWAT2005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14:paraId="2272A86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Bosch et al. (2013) evaluated the impact of spatial resolution on SWAT simulation accuracy in the Little River watershed. They used SWAT 2009 to simulate sediment yield and nutrient loading at four different spatial resolutions: 10m, 30m, 90m, and 150m. The results showed that increasing the spatial resolution improved the accuracy of simulated sediment yield and nutrient loading.</w:t>
      </w:r>
    </w:p>
    <w:p w14:paraId="23B38A8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Zhang et al. (2016) investigated the impact of spatial resolution on SWAT simulation accuracy in the Mississippi River basin. They used SWAT 2012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14:paraId="39D53FD8"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Gassman et al. (2007) reviewed the application of SWAT in various watersheds around the world. They found that SWAT was widely used for simulating hydrologic processes, sediment yield, and nutrient loading, but noted that the accuracy of SWAT simulations was often affected by the spatial resolution of the input data.</w:t>
      </w:r>
    </w:p>
    <w:p w14:paraId="44FF1829"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Neitsch et al. (2011) documented the theoretical background of SWAT, including its hydrologic, sediment, and nutrient components. They noted that SWAT's spatial resolution was an important factor affecting the accuracy of simulated hydrologic processes.</w:t>
      </w:r>
    </w:p>
    <w:p w14:paraId="094EBCC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Marahatta et al. (2021) appplied the SWAT model to simulate hydrological processes in a complex mountainous river basin. The study found that the SWAT model performed well in simulating daily flow data, with a "very good" performance rating and highlighted the importance of careful model calibration and validation, with a focus on parameter selection and sensitivity analysis.</w:t>
      </w:r>
    </w:p>
    <w:p w14:paraId="2CADF17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Moreira et al. (2020 investigated different calibration procedures for the SWAT model. The study found that careful calibration and validation are crucial for achieving accurate flow estimates. The study highlighted the importance of selecting suitable calibration procedures and objective functions for the SWAT model</w:t>
      </w:r>
    </w:p>
    <w:p w14:paraId="281653A1" w14:textId="77777777" w:rsidR="00546354" w:rsidRPr="00015DEE" w:rsidRDefault="00546354">
      <w:pPr>
        <w:spacing w:line="300" w:lineRule="auto"/>
        <w:jc w:val="both"/>
        <w:rPr>
          <w:rFonts w:ascii="Times New Roman" w:hAnsi="Times New Roman"/>
          <w:sz w:val="28"/>
          <w:szCs w:val="28"/>
        </w:rPr>
      </w:pPr>
    </w:p>
    <w:p w14:paraId="7B930DB1"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2.1.1 SWAT Model Components</w:t>
      </w:r>
    </w:p>
    <w:p w14:paraId="5381471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consists of four main components: hydrology, sedimentation, nutrient cycling, and agricultural management. The hydrology component simulates water flow, evapotranspiration, and groundwater recharge, while the sedimentation component simulates sediment yield, erosion, and deposition. The nutrient cycling component simulates the transport and transformation of nutrients, such as nitrogen and phosphorus, and the agricultural management component simulates the impact of agricultural practices on hydrologic and water quality processes.</w:t>
      </w:r>
    </w:p>
    <w:p w14:paraId="21905C7A" w14:textId="77777777" w:rsidR="00546354" w:rsidRPr="00015DEE" w:rsidRDefault="00546354">
      <w:pPr>
        <w:spacing w:line="300" w:lineRule="auto"/>
        <w:jc w:val="both"/>
        <w:rPr>
          <w:rFonts w:ascii="Times New Roman" w:hAnsi="Times New Roman"/>
          <w:sz w:val="28"/>
          <w:szCs w:val="28"/>
        </w:rPr>
      </w:pPr>
    </w:p>
    <w:p w14:paraId="3A386D1E"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2.1.2 SWAT Model Applications</w:t>
      </w:r>
    </w:p>
    <w:p w14:paraId="21BEE59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The SWAT model has been widely applied in various fields, including watershed management, climate change impact assessment, and water quality modeling. </w:t>
      </w:r>
      <w:r w:rsidRPr="00015DEE">
        <w:rPr>
          <w:rFonts w:ascii="Times New Roman" w:hAnsi="Times New Roman"/>
          <w:sz w:val="28"/>
          <w:szCs w:val="28"/>
        </w:rPr>
        <w:lastRenderedPageBreak/>
        <w:t>SWAT has been used to evaluate the impact of land use changes, conservation practices, and water management strategies on water resources, sediment yield, and nutrient loading. Additionally, SWAT has been applied in agricultural management to simulate the impact of different farming practices on hydrologic and water quality processes.</w:t>
      </w:r>
    </w:p>
    <w:p w14:paraId="337B0649"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2.1.3 SWAT Model Limitations</w:t>
      </w:r>
    </w:p>
    <w:p w14:paraId="11ACE0FC"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has several limitations, including its requirement for significant amounts of input data, which can be time-consuming and expensive to obtain. Additionally, SWAT's spatial resolution can affect the accuracy of simulated hydrologic processes, and increasing the spatial resolution can improve accuracy but also increase computational requirements. Furthermore, SWAT's calibration and validation process can be complex and subjective, requiring expertise and judgment to ensure accurate and reliable results.</w:t>
      </w:r>
    </w:p>
    <w:p w14:paraId="303FDB72" w14:textId="77777777" w:rsidR="00546354" w:rsidRPr="00015DEE" w:rsidRDefault="00000000">
      <w:pPr>
        <w:spacing w:line="300" w:lineRule="auto"/>
        <w:jc w:val="center"/>
        <w:rPr>
          <w:rFonts w:ascii="Times New Roman" w:hAnsi="Times New Roman"/>
          <w:b/>
          <w:bCs/>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CHAPTER 3</w:t>
      </w:r>
    </w:p>
    <w:p w14:paraId="1CD26B39"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3.0 METHODOLOGY</w:t>
      </w:r>
    </w:p>
    <w:p w14:paraId="4F683622"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3.1 DESCRIPTION OF THE STUDY AREA</w:t>
      </w:r>
    </w:p>
    <w:p w14:paraId="6BF19AA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 xml:space="preserve">The Omi River basin is located in southwestern Nigeria, West Africa. The basin covers an area of approximately 2,500 km² and is situated between latitudes 6° 45' N and 7° 15' N, and longitudes 3° 45' E and 4° 15' E. It is characterized by a tropical climate with high temperatures and rainfall throughout the year. The average annual rainfall in the basin is approximately 1,500 mm. It also experiences two distinct seasons: a wet season that lasts from April to October, and a dry season that lasts from November to March. The Omi River is the main watercourse in the basin and flows through the towns of Ibadan and Oyo before emptying into the Atlantic Ocean. The river has a total length of approximately 300 km and a drainage area of approximately 2,500 km². It is also characterized by a diverse range of land use and land cover types, including forest, grassland, and agricultural land. The basin is also home to several urban areas, including the cities of Ibadan and Oyo. The basin has a variety of soil types, including Alfisols, Ultisols, and Inceptisols. The soils in the basin are generally well-drained and fertile, making them suitable for agriculture. </w:t>
      </w:r>
    </w:p>
    <w:p w14:paraId="2EC7E75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Omi River basin has a population of approximately 1.5 million people, with the majority engaged in agriculture, trading, and other small-scale economic activities. The basin is also home to several industries, including textile mills, food processing plants, and construction companies. It faces several water resources management challenges, including flooding, soil erosion, and water pollution. The basin has several dams and reservoirs, including the Omi Dam, which provides water for irrigation, drinking water, and industrial purposes.</w:t>
      </w:r>
    </w:p>
    <w:p w14:paraId="4603D930" w14:textId="77777777" w:rsidR="00546354" w:rsidRPr="00015DEE" w:rsidRDefault="00546354">
      <w:pPr>
        <w:spacing w:line="300" w:lineRule="auto"/>
        <w:jc w:val="both"/>
        <w:rPr>
          <w:rFonts w:ascii="Times New Roman" w:hAnsi="Times New Roman"/>
          <w:b/>
          <w:bCs/>
          <w:sz w:val="28"/>
          <w:szCs w:val="28"/>
        </w:rPr>
      </w:pPr>
    </w:p>
    <w:p w14:paraId="1CAFF0B0"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noProof/>
        </w:rPr>
        <w:drawing>
          <wp:anchor distT="0" distB="0" distL="0" distR="0" simplePos="0" relativeHeight="3" behindDoc="0" locked="0" layoutInCell="1" allowOverlap="1" wp14:anchorId="4CB26CB5" wp14:editId="740127CE">
            <wp:simplePos x="0" y="0"/>
            <wp:positionH relativeFrom="page">
              <wp:posOffset>1053448</wp:posOffset>
            </wp:positionH>
            <wp:positionV relativeFrom="page">
              <wp:posOffset>1273095</wp:posOffset>
            </wp:positionV>
            <wp:extent cx="5624390" cy="6067047"/>
            <wp:effectExtent l="0" t="0" r="0" b="0"/>
            <wp:wrapNone/>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5624390" cy="6067047"/>
                    </a:xfrm>
                    <a:prstGeom prst="rect">
                      <a:avLst/>
                    </a:prstGeom>
                  </pic:spPr>
                </pic:pic>
              </a:graphicData>
            </a:graphic>
          </wp:anchor>
        </w:drawing>
      </w:r>
    </w:p>
    <w:p w14:paraId="24B15925" w14:textId="77777777" w:rsidR="00546354" w:rsidRPr="00015DEE" w:rsidRDefault="00546354">
      <w:pPr>
        <w:spacing w:line="300" w:lineRule="auto"/>
        <w:jc w:val="both"/>
        <w:rPr>
          <w:rFonts w:ascii="Times New Roman" w:hAnsi="Times New Roman"/>
          <w:b/>
          <w:bCs/>
          <w:sz w:val="28"/>
          <w:szCs w:val="28"/>
        </w:rPr>
      </w:pPr>
    </w:p>
    <w:p w14:paraId="42B5A5AD" w14:textId="77777777" w:rsidR="00546354" w:rsidRPr="00015DEE" w:rsidRDefault="00546354">
      <w:pPr>
        <w:spacing w:line="300" w:lineRule="auto"/>
        <w:jc w:val="both"/>
        <w:rPr>
          <w:rFonts w:ascii="Times New Roman" w:hAnsi="Times New Roman"/>
          <w:b/>
          <w:bCs/>
          <w:sz w:val="28"/>
          <w:szCs w:val="28"/>
        </w:rPr>
      </w:pPr>
    </w:p>
    <w:p w14:paraId="4DA1B164" w14:textId="77777777" w:rsidR="00546354" w:rsidRPr="00015DEE" w:rsidRDefault="00546354">
      <w:pPr>
        <w:spacing w:line="300" w:lineRule="auto"/>
        <w:jc w:val="both"/>
        <w:rPr>
          <w:rFonts w:ascii="Times New Roman" w:hAnsi="Times New Roman"/>
          <w:b/>
          <w:bCs/>
          <w:sz w:val="28"/>
          <w:szCs w:val="28"/>
        </w:rPr>
      </w:pPr>
    </w:p>
    <w:p w14:paraId="4F1F3779" w14:textId="77777777" w:rsidR="00546354" w:rsidRPr="00015DEE" w:rsidRDefault="00546354">
      <w:pPr>
        <w:spacing w:line="300" w:lineRule="auto"/>
        <w:jc w:val="both"/>
        <w:rPr>
          <w:rFonts w:ascii="Times New Roman" w:hAnsi="Times New Roman"/>
          <w:b/>
          <w:bCs/>
          <w:sz w:val="28"/>
          <w:szCs w:val="28"/>
        </w:rPr>
      </w:pPr>
    </w:p>
    <w:p w14:paraId="7B9FF73E" w14:textId="77777777" w:rsidR="00546354" w:rsidRPr="00015DEE" w:rsidRDefault="00546354">
      <w:pPr>
        <w:spacing w:line="300" w:lineRule="auto"/>
        <w:jc w:val="both"/>
        <w:rPr>
          <w:rFonts w:ascii="Times New Roman" w:hAnsi="Times New Roman"/>
          <w:b/>
          <w:bCs/>
          <w:sz w:val="28"/>
          <w:szCs w:val="28"/>
        </w:rPr>
      </w:pPr>
    </w:p>
    <w:p w14:paraId="42DD0101" w14:textId="77777777" w:rsidR="00546354" w:rsidRPr="00015DEE" w:rsidRDefault="00546354">
      <w:pPr>
        <w:spacing w:line="300" w:lineRule="auto"/>
        <w:jc w:val="both"/>
        <w:rPr>
          <w:rFonts w:ascii="Times New Roman" w:hAnsi="Times New Roman"/>
          <w:b/>
          <w:bCs/>
          <w:sz w:val="28"/>
          <w:szCs w:val="28"/>
        </w:rPr>
      </w:pPr>
    </w:p>
    <w:p w14:paraId="337C6A64" w14:textId="77777777" w:rsidR="00546354" w:rsidRPr="00015DEE" w:rsidRDefault="00546354">
      <w:pPr>
        <w:spacing w:line="300" w:lineRule="auto"/>
        <w:jc w:val="both"/>
        <w:rPr>
          <w:rFonts w:ascii="Times New Roman" w:hAnsi="Times New Roman"/>
          <w:b/>
          <w:bCs/>
          <w:sz w:val="28"/>
          <w:szCs w:val="28"/>
        </w:rPr>
      </w:pPr>
    </w:p>
    <w:p w14:paraId="470A4ECD" w14:textId="77777777" w:rsidR="00546354" w:rsidRPr="00015DEE" w:rsidRDefault="00546354">
      <w:pPr>
        <w:spacing w:line="300" w:lineRule="auto"/>
        <w:jc w:val="both"/>
        <w:rPr>
          <w:rFonts w:ascii="Times New Roman" w:hAnsi="Times New Roman"/>
          <w:b/>
          <w:bCs/>
          <w:sz w:val="28"/>
          <w:szCs w:val="28"/>
        </w:rPr>
      </w:pPr>
    </w:p>
    <w:p w14:paraId="717DEB75" w14:textId="77777777" w:rsidR="00546354" w:rsidRPr="00015DEE" w:rsidRDefault="00546354">
      <w:pPr>
        <w:spacing w:line="300" w:lineRule="auto"/>
        <w:jc w:val="both"/>
        <w:rPr>
          <w:rFonts w:ascii="Times New Roman" w:hAnsi="Times New Roman"/>
          <w:b/>
          <w:bCs/>
          <w:sz w:val="28"/>
          <w:szCs w:val="28"/>
        </w:rPr>
      </w:pPr>
    </w:p>
    <w:p w14:paraId="06BED14E" w14:textId="77777777" w:rsidR="00546354" w:rsidRPr="00015DEE" w:rsidRDefault="00546354">
      <w:pPr>
        <w:spacing w:line="300" w:lineRule="auto"/>
        <w:jc w:val="both"/>
        <w:rPr>
          <w:rFonts w:ascii="Times New Roman" w:hAnsi="Times New Roman"/>
          <w:b/>
          <w:bCs/>
          <w:sz w:val="28"/>
          <w:szCs w:val="28"/>
        </w:rPr>
      </w:pPr>
    </w:p>
    <w:p w14:paraId="61706318" w14:textId="77777777" w:rsidR="00546354" w:rsidRPr="00015DEE" w:rsidRDefault="00546354">
      <w:pPr>
        <w:spacing w:line="300" w:lineRule="auto"/>
        <w:jc w:val="both"/>
        <w:rPr>
          <w:rFonts w:ascii="Times New Roman" w:hAnsi="Times New Roman"/>
          <w:b/>
          <w:bCs/>
          <w:sz w:val="28"/>
          <w:szCs w:val="28"/>
        </w:rPr>
      </w:pPr>
    </w:p>
    <w:p w14:paraId="2F966DAE" w14:textId="77777777" w:rsidR="00546354" w:rsidRPr="00015DEE" w:rsidRDefault="00546354">
      <w:pPr>
        <w:spacing w:line="300" w:lineRule="auto"/>
        <w:jc w:val="both"/>
        <w:rPr>
          <w:rFonts w:ascii="Times New Roman" w:hAnsi="Times New Roman"/>
          <w:b/>
          <w:bCs/>
          <w:sz w:val="28"/>
          <w:szCs w:val="28"/>
        </w:rPr>
      </w:pPr>
    </w:p>
    <w:p w14:paraId="38FA7D82" w14:textId="77777777" w:rsidR="00546354" w:rsidRPr="00015DEE" w:rsidRDefault="00546354">
      <w:pPr>
        <w:spacing w:line="300" w:lineRule="auto"/>
        <w:jc w:val="both"/>
        <w:rPr>
          <w:rFonts w:ascii="Times New Roman" w:hAnsi="Times New Roman"/>
          <w:b/>
          <w:bCs/>
          <w:sz w:val="28"/>
          <w:szCs w:val="28"/>
        </w:rPr>
      </w:pPr>
    </w:p>
    <w:p w14:paraId="7CADC122" w14:textId="77777777" w:rsidR="00546354" w:rsidRPr="00015DEE" w:rsidRDefault="00546354">
      <w:pPr>
        <w:spacing w:line="300" w:lineRule="auto"/>
        <w:jc w:val="both"/>
        <w:rPr>
          <w:rFonts w:ascii="Times New Roman" w:hAnsi="Times New Roman"/>
          <w:b/>
          <w:bCs/>
          <w:sz w:val="28"/>
          <w:szCs w:val="28"/>
        </w:rPr>
      </w:pPr>
    </w:p>
    <w:p w14:paraId="30D73E8C" w14:textId="77777777" w:rsidR="00546354" w:rsidRPr="00015DEE" w:rsidRDefault="00546354">
      <w:pPr>
        <w:spacing w:line="300" w:lineRule="auto"/>
        <w:jc w:val="center"/>
        <w:rPr>
          <w:rFonts w:ascii="Times New Roman" w:hAnsi="Times New Roman"/>
          <w:sz w:val="28"/>
          <w:szCs w:val="28"/>
        </w:rPr>
      </w:pPr>
    </w:p>
    <w:p w14:paraId="4C874AD0" w14:textId="77777777" w:rsidR="00546354" w:rsidRPr="00015DEE" w:rsidRDefault="00546354">
      <w:pPr>
        <w:spacing w:line="300" w:lineRule="auto"/>
        <w:jc w:val="center"/>
        <w:rPr>
          <w:rFonts w:ascii="Times New Roman" w:hAnsi="Times New Roman"/>
          <w:sz w:val="28"/>
          <w:szCs w:val="28"/>
        </w:rPr>
      </w:pPr>
    </w:p>
    <w:p w14:paraId="7D4DF21D"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 3.1 Description of the study area</w:t>
      </w:r>
    </w:p>
    <w:p w14:paraId="324E3999" w14:textId="77777777" w:rsidR="00546354" w:rsidRPr="00015DEE" w:rsidRDefault="00000000">
      <w:pPr>
        <w:spacing w:line="300" w:lineRule="auto"/>
        <w:jc w:val="center"/>
        <w:rPr>
          <w:rFonts w:ascii="Times New Roman" w:hAnsi="Times New Roman"/>
          <w:sz w:val="28"/>
          <w:szCs w:val="28"/>
        </w:rPr>
      </w:pPr>
      <w:r w:rsidRPr="00015DEE">
        <w:rPr>
          <w:rFonts w:ascii="Times New Roman" w:hAnsi="Times New Roman"/>
          <w:sz w:val="28"/>
          <w:szCs w:val="28"/>
        </w:rPr>
        <w:t>Source: Google</w:t>
      </w:r>
    </w:p>
    <w:p w14:paraId="7E046E2E" w14:textId="77777777" w:rsidR="00546354" w:rsidRPr="00015DEE" w:rsidRDefault="00546354">
      <w:pPr>
        <w:spacing w:line="300" w:lineRule="auto"/>
        <w:jc w:val="both"/>
        <w:rPr>
          <w:rFonts w:ascii="Times New Roman" w:hAnsi="Times New Roman"/>
          <w:b/>
          <w:bCs/>
          <w:sz w:val="28"/>
          <w:szCs w:val="28"/>
        </w:rPr>
      </w:pPr>
    </w:p>
    <w:p w14:paraId="0B03E57B" w14:textId="77777777" w:rsidR="00546354" w:rsidRPr="00015DEE" w:rsidRDefault="00546354">
      <w:pPr>
        <w:spacing w:line="300" w:lineRule="auto"/>
        <w:jc w:val="both"/>
        <w:rPr>
          <w:rFonts w:ascii="Times New Roman" w:hAnsi="Times New Roman"/>
          <w:b/>
          <w:bCs/>
          <w:sz w:val="28"/>
          <w:szCs w:val="28"/>
        </w:rPr>
      </w:pPr>
    </w:p>
    <w:p w14:paraId="2F876272"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3.2 MODEL SELECTION</w:t>
      </w:r>
    </w:p>
    <w:p w14:paraId="77D8832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The selection of a hydrologic model depends on several factors, including the study area, data availability, and research objectives (Refsgaard &amp; Storm, 1995). In this study, the SWAT model was selected for several reasons; they are:</w:t>
      </w:r>
    </w:p>
    <w:p w14:paraId="482D7EC3" w14:textId="77777777" w:rsidR="00546354" w:rsidRPr="00015DEE" w:rsidRDefault="00000000">
      <w:pPr>
        <w:pStyle w:val="ListParagraph"/>
        <w:numPr>
          <w:ilvl w:val="0"/>
          <w:numId w:val="1"/>
        </w:numPr>
        <w:spacing w:line="300" w:lineRule="auto"/>
        <w:jc w:val="both"/>
        <w:rPr>
          <w:sz w:val="28"/>
          <w:szCs w:val="28"/>
        </w:rPr>
      </w:pPr>
      <w:r w:rsidRPr="00015DEE">
        <w:rPr>
          <w:sz w:val="28"/>
          <w:szCs w:val="28"/>
        </w:rPr>
        <w:t>A watershed-scale model that can simulate hydrologic processes at the watershed scale, making it suitable for this study.</w:t>
      </w:r>
    </w:p>
    <w:p w14:paraId="1464CCD8" w14:textId="77777777" w:rsidR="00546354" w:rsidRPr="00015DEE" w:rsidRDefault="00000000">
      <w:pPr>
        <w:pStyle w:val="ListParagraph"/>
        <w:spacing w:line="300" w:lineRule="auto"/>
        <w:jc w:val="both"/>
        <w:rPr>
          <w:sz w:val="28"/>
          <w:szCs w:val="28"/>
        </w:rPr>
      </w:pPr>
      <w:r w:rsidRPr="00015DEE">
        <w:rPr>
          <w:sz w:val="28"/>
          <w:szCs w:val="28"/>
        </w:rPr>
        <w:t>A process-based model that simulates the physical processes of hydrology, sedimentation, and nutrient cycling, allowing for a detailed understanding of the hydrologic system.</w:t>
      </w:r>
    </w:p>
    <w:p w14:paraId="7A133150" w14:textId="77777777" w:rsidR="00546354" w:rsidRPr="00015DEE" w:rsidRDefault="00000000">
      <w:pPr>
        <w:pStyle w:val="ListParagraph"/>
        <w:numPr>
          <w:ilvl w:val="0"/>
          <w:numId w:val="1"/>
        </w:numPr>
        <w:spacing w:line="300" w:lineRule="auto"/>
        <w:jc w:val="both"/>
        <w:rPr>
          <w:sz w:val="28"/>
          <w:szCs w:val="28"/>
        </w:rPr>
      </w:pPr>
      <w:r w:rsidRPr="00015DEE">
        <w:rPr>
          <w:sz w:val="28"/>
          <w:szCs w:val="28"/>
        </w:rPr>
        <w:t>A flexible and adaptable model that can be applied to various watersheds and climates, making it suitable for this study.</w:t>
      </w:r>
    </w:p>
    <w:p w14:paraId="4D57C8C4"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Other hydrologic models, such as the Hydrologic Simulation Program-Fortran (HSPF) and the Storm Water Management Model (SWMM), were also considered for this study. However, SWAT was selected due to its ability to simulate hydrologic processes at the watershed scale and its flexibility and adaptability (Refsgaard &amp; Storm, 1995).</w:t>
      </w:r>
    </w:p>
    <w:p w14:paraId="3BBDE709" w14:textId="77777777" w:rsidR="00546354" w:rsidRPr="00015DEE" w:rsidRDefault="00546354">
      <w:pPr>
        <w:spacing w:line="300" w:lineRule="auto"/>
        <w:jc w:val="both"/>
        <w:rPr>
          <w:rFonts w:ascii="Times New Roman" w:hAnsi="Times New Roman"/>
          <w:sz w:val="28"/>
          <w:szCs w:val="28"/>
        </w:rPr>
      </w:pPr>
    </w:p>
    <w:p w14:paraId="7F552A51"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 xml:space="preserve">3.2.1 </w:t>
      </w:r>
      <w:r w:rsidRPr="00015DEE">
        <w:rPr>
          <w:rFonts w:ascii="Times New Roman" w:hAnsi="Times New Roman"/>
          <w:b/>
          <w:bCs/>
          <w:caps/>
          <w:sz w:val="28"/>
          <w:szCs w:val="28"/>
        </w:rPr>
        <w:t>The Conceptual Model</w:t>
      </w:r>
    </w:p>
    <w:p w14:paraId="014574C5"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conceptual model of SWAT is based on the concept of hydrologic response units (HRUs), which are areas of homogeneous land use, soil, and slope. The model simulates the hydrologic cycle, including precipitation, evapotranspiration, and runoff. The conceptual model also includes components for sedimentation, nutrient cycling, and agricultural management (Gassman et al., 2007). The model's conceptual framework allows for the simulation of complex hydrologic processes at the watershed scale.</w:t>
      </w:r>
    </w:p>
    <w:p w14:paraId="609D491C" w14:textId="77777777" w:rsidR="00546354" w:rsidRPr="00015DEE" w:rsidRDefault="00546354">
      <w:pPr>
        <w:spacing w:line="300" w:lineRule="auto"/>
        <w:jc w:val="both"/>
        <w:rPr>
          <w:rFonts w:ascii="Times New Roman" w:hAnsi="Times New Roman"/>
          <w:sz w:val="28"/>
          <w:szCs w:val="28"/>
        </w:rPr>
      </w:pPr>
    </w:p>
    <w:p w14:paraId="0D0AA313" w14:textId="77777777" w:rsidR="00546354" w:rsidRPr="00015DEE" w:rsidRDefault="00000000">
      <w:pPr>
        <w:spacing w:line="300" w:lineRule="auto"/>
        <w:jc w:val="both"/>
        <w:rPr>
          <w:rFonts w:ascii="Times New Roman" w:hAnsi="Times New Roman"/>
          <w:b/>
          <w:bCs/>
          <w:sz w:val="28"/>
          <w:szCs w:val="28"/>
        </w:rPr>
      </w:pPr>
      <w:r w:rsidRPr="00015DEE">
        <w:rPr>
          <w:rFonts w:ascii="Times New Roman" w:hAnsi="Times New Roman"/>
          <w:b/>
          <w:bCs/>
          <w:sz w:val="28"/>
          <w:szCs w:val="28"/>
        </w:rPr>
        <w:t xml:space="preserve">3.2 </w:t>
      </w:r>
      <w:r w:rsidRPr="00015DEE">
        <w:rPr>
          <w:rFonts w:ascii="Times New Roman" w:hAnsi="Times New Roman"/>
          <w:b/>
          <w:bCs/>
          <w:caps/>
          <w:sz w:val="28"/>
          <w:szCs w:val="28"/>
        </w:rPr>
        <w:t>Modelling Tools and GIS Interface</w:t>
      </w:r>
    </w:p>
    <w:p w14:paraId="6C1EBE0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lastRenderedPageBreak/>
        <w:t>SWAT is a modeling tool that uses a geographic information system (</w:t>
      </w:r>
      <w:r w:rsidRPr="00015DEE">
        <w:rPr>
          <w:rFonts w:ascii="Times New Roman" w:hAnsi="Times New Roman"/>
          <w:b/>
          <w:bCs/>
          <w:sz w:val="28"/>
          <w:szCs w:val="28"/>
        </w:rPr>
        <w:t>GIS</w:t>
      </w:r>
      <w:r w:rsidRPr="00015DEE">
        <w:rPr>
          <w:rFonts w:ascii="Times New Roman" w:hAnsi="Times New Roman"/>
          <w:sz w:val="28"/>
          <w:szCs w:val="28"/>
        </w:rPr>
        <w:t>) interface to input and analyze spatial data. The GIS interface allows users to easily import and manipulate spatial data, such as digital elevation models (DEMs) and land use/land cover data. The SWAT model can be run using the ArcSWAT interface, which provides a user-friendly interface for setting up and running the model. The GIS interface also allows for the visualization of model outputs, such as maps of water quality and sedimentation.</w:t>
      </w:r>
    </w:p>
    <w:p w14:paraId="726E1B17" w14:textId="77777777" w:rsidR="00546354" w:rsidRPr="00015DEE" w:rsidRDefault="00546354">
      <w:pPr>
        <w:spacing w:line="300" w:lineRule="auto"/>
        <w:jc w:val="both"/>
        <w:rPr>
          <w:rFonts w:ascii="Times New Roman" w:hAnsi="Times New Roman"/>
          <w:sz w:val="28"/>
          <w:szCs w:val="28"/>
        </w:rPr>
      </w:pPr>
    </w:p>
    <w:p w14:paraId="051232E0"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3.3 Model Input Data Collection Process</w:t>
      </w:r>
    </w:p>
    <w:p w14:paraId="2636760C"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model input data collection process for SWAT involves gathering spatial and temporal data on precipitation, temperature, soil, land use/land cover, and topography. The data collection process typically involves obtaining data from various sources, such as government agencies, research institutions, and field measurements. The data are then processed and formatted to be compatible with the SWAT model. The quality and accuracy of the input data are critical for ensuring reliable model outputs.</w:t>
      </w:r>
    </w:p>
    <w:p w14:paraId="125B6674" w14:textId="77777777" w:rsidR="00546354" w:rsidRPr="00015DEE" w:rsidRDefault="00546354">
      <w:pPr>
        <w:spacing w:line="300" w:lineRule="auto"/>
        <w:jc w:val="both"/>
        <w:rPr>
          <w:rFonts w:ascii="Times New Roman" w:hAnsi="Times New Roman"/>
          <w:sz w:val="28"/>
          <w:szCs w:val="28"/>
        </w:rPr>
      </w:pPr>
    </w:p>
    <w:p w14:paraId="57763D8A"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 Digital Elevation Model (DEM)</w:t>
      </w:r>
    </w:p>
    <w:p w14:paraId="6E23C95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A digital elevation model (DEM) is a spatial dataset that represents the topography of a watershed. DEMs are used in SWAT to define the spatial distribution of topographic features, such as elevation, slope, and aspect. The DEM is used to delineate the watershed boundaries, define the stream network, and calculate the slope and aspect of each sub-basin. The accuracy of the DEM is critical for ensuring reliable model outputs, as it directly affects the simulation of hydrologic processes such as runoff and sedimen</w:t>
      </w:r>
      <w:r w:rsidRPr="00015DEE">
        <w:rPr>
          <w:rFonts w:ascii="Times New Roman" w:hAnsi="Times New Roman"/>
          <w:noProof/>
        </w:rPr>
        <w:drawing>
          <wp:anchor distT="0" distB="0" distL="0" distR="0" simplePos="0" relativeHeight="4" behindDoc="0" locked="0" layoutInCell="1" allowOverlap="1" wp14:anchorId="6B60F1AF" wp14:editId="0124BD7D">
            <wp:simplePos x="0" y="0"/>
            <wp:positionH relativeFrom="page">
              <wp:posOffset>1562100</wp:posOffset>
            </wp:positionH>
            <wp:positionV relativeFrom="page">
              <wp:posOffset>2045116</wp:posOffset>
            </wp:positionV>
            <wp:extent cx="4187795" cy="2610659"/>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4187795" cy="2610659"/>
                    </a:xfrm>
                    <a:prstGeom prst="rect">
                      <a:avLst/>
                    </a:prstGeom>
                    <a:ln>
                      <a:noFill/>
                    </a:ln>
                  </pic:spPr>
                </pic:pic>
              </a:graphicData>
            </a:graphic>
          </wp:anchor>
        </w:drawing>
      </w:r>
      <w:r w:rsidRPr="00015DEE">
        <w:rPr>
          <w:rFonts w:ascii="Times New Roman" w:hAnsi="Times New Roman"/>
          <w:sz w:val="28"/>
          <w:szCs w:val="28"/>
        </w:rPr>
        <w:t>tation.</w:t>
      </w:r>
    </w:p>
    <w:p w14:paraId="6DEF4818" w14:textId="77777777" w:rsidR="00546354" w:rsidRPr="00015DEE" w:rsidRDefault="00546354">
      <w:pPr>
        <w:spacing w:line="300" w:lineRule="auto"/>
        <w:jc w:val="both"/>
        <w:rPr>
          <w:rFonts w:ascii="Times New Roman" w:hAnsi="Times New Roman"/>
          <w:sz w:val="28"/>
          <w:szCs w:val="28"/>
        </w:rPr>
      </w:pPr>
    </w:p>
    <w:p w14:paraId="0FADC3EC" w14:textId="77777777" w:rsidR="00546354" w:rsidRPr="00015DEE" w:rsidRDefault="00546354">
      <w:pPr>
        <w:spacing w:line="300" w:lineRule="auto"/>
        <w:jc w:val="both"/>
        <w:rPr>
          <w:rFonts w:ascii="Times New Roman" w:hAnsi="Times New Roman"/>
          <w:sz w:val="28"/>
          <w:szCs w:val="28"/>
        </w:rPr>
      </w:pPr>
    </w:p>
    <w:p w14:paraId="1841EA50" w14:textId="77777777" w:rsidR="00546354" w:rsidRPr="00015DEE" w:rsidRDefault="00546354">
      <w:pPr>
        <w:spacing w:line="300" w:lineRule="auto"/>
        <w:jc w:val="both"/>
        <w:rPr>
          <w:rFonts w:ascii="Times New Roman" w:hAnsi="Times New Roman"/>
          <w:sz w:val="28"/>
          <w:szCs w:val="28"/>
        </w:rPr>
      </w:pPr>
    </w:p>
    <w:p w14:paraId="33C6ADAB" w14:textId="77777777" w:rsidR="00546354" w:rsidRPr="00015DEE" w:rsidRDefault="00546354">
      <w:pPr>
        <w:spacing w:line="300" w:lineRule="auto"/>
        <w:jc w:val="both"/>
        <w:rPr>
          <w:rFonts w:ascii="Times New Roman" w:hAnsi="Times New Roman"/>
          <w:sz w:val="28"/>
          <w:szCs w:val="28"/>
        </w:rPr>
      </w:pPr>
    </w:p>
    <w:p w14:paraId="68015235" w14:textId="77777777" w:rsidR="00546354" w:rsidRPr="00015DEE" w:rsidRDefault="00546354">
      <w:pPr>
        <w:spacing w:line="300" w:lineRule="auto"/>
        <w:jc w:val="both"/>
        <w:rPr>
          <w:rFonts w:ascii="Times New Roman" w:hAnsi="Times New Roman"/>
          <w:sz w:val="28"/>
          <w:szCs w:val="28"/>
        </w:rPr>
      </w:pPr>
    </w:p>
    <w:p w14:paraId="15BBBA56" w14:textId="77777777" w:rsidR="00546354" w:rsidRPr="00015DEE" w:rsidRDefault="00546354">
      <w:pPr>
        <w:spacing w:line="300" w:lineRule="auto"/>
        <w:jc w:val="both"/>
        <w:rPr>
          <w:rFonts w:ascii="Times New Roman" w:hAnsi="Times New Roman"/>
          <w:sz w:val="28"/>
          <w:szCs w:val="28"/>
        </w:rPr>
      </w:pPr>
    </w:p>
    <w:p w14:paraId="5DE82B1D" w14:textId="77777777" w:rsidR="00546354" w:rsidRPr="00015DEE" w:rsidRDefault="00546354">
      <w:pPr>
        <w:spacing w:line="300" w:lineRule="auto"/>
        <w:jc w:val="both"/>
        <w:rPr>
          <w:rFonts w:ascii="Times New Roman" w:hAnsi="Times New Roman"/>
          <w:sz w:val="28"/>
          <w:szCs w:val="28"/>
        </w:rPr>
      </w:pPr>
    </w:p>
    <w:p w14:paraId="2ECAE861" w14:textId="77777777" w:rsidR="00546354" w:rsidRPr="00015DEE" w:rsidRDefault="00000000">
      <w:pPr>
        <w:spacing w:line="300" w:lineRule="auto"/>
        <w:rPr>
          <w:rFonts w:ascii="Times New Roman" w:hAnsi="Times New Roman"/>
          <w:sz w:val="28"/>
          <w:szCs w:val="28"/>
        </w:rPr>
      </w:pPr>
      <w:r w:rsidRPr="00015DEE">
        <w:rPr>
          <w:rFonts w:ascii="Times New Roman" w:hAnsi="Times New Roman"/>
          <w:sz w:val="28"/>
          <w:szCs w:val="28"/>
        </w:rPr>
        <w:t>Fig.3.4 Digital elevation model (DEM)</w:t>
      </w:r>
    </w:p>
    <w:p w14:paraId="394199D8" w14:textId="77777777" w:rsidR="00546354" w:rsidRPr="00015DEE" w:rsidRDefault="00000000">
      <w:pPr>
        <w:spacing w:line="300" w:lineRule="auto"/>
        <w:jc w:val="center"/>
        <w:rPr>
          <w:rFonts w:ascii="Times New Roman" w:hAnsi="Times New Roman"/>
          <w:sz w:val="28"/>
          <w:szCs w:val="28"/>
        </w:rPr>
      </w:pPr>
      <w:r w:rsidRPr="00015DEE">
        <w:rPr>
          <w:rFonts w:ascii="Times New Roman" w:hAnsi="Times New Roman"/>
          <w:sz w:val="28"/>
          <w:szCs w:val="28"/>
        </w:rPr>
        <w:t>DEM map of the study area</w:t>
      </w:r>
    </w:p>
    <w:p w14:paraId="24B7CDAF" w14:textId="77777777" w:rsidR="00546354" w:rsidRPr="00015DEE" w:rsidRDefault="00546354">
      <w:pPr>
        <w:spacing w:line="300" w:lineRule="auto"/>
        <w:jc w:val="both"/>
        <w:rPr>
          <w:rFonts w:ascii="Times New Roman" w:hAnsi="Times New Roman"/>
          <w:sz w:val="28"/>
          <w:szCs w:val="28"/>
        </w:rPr>
      </w:pPr>
    </w:p>
    <w:p w14:paraId="3A5A80BA"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3.4.1. Land Use/Land Cover</w:t>
      </w:r>
    </w:p>
    <w:p w14:paraId="3D09245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Land use/land cover (LULC) data are used in SWAT to define the spatial distribution of different land uses, such as agricultural land, forest, and urban areas. They are critical for simulating hydrologic processes, as different land uses have distinct hydrologic properties, such as runoff coefficients and evapotranspiration rates. The accuracy of LULC data is essential for ensuring reliable model outputs.</w:t>
      </w:r>
    </w:p>
    <w:p w14:paraId="22C48729" w14:textId="77777777" w:rsidR="00546354" w:rsidRPr="00015DEE" w:rsidRDefault="00546354">
      <w:pPr>
        <w:spacing w:line="300" w:lineRule="auto"/>
        <w:jc w:val="both"/>
        <w:rPr>
          <w:rFonts w:ascii="Times New Roman" w:hAnsi="Times New Roman"/>
          <w:sz w:val="28"/>
          <w:szCs w:val="28"/>
        </w:rPr>
      </w:pPr>
    </w:p>
    <w:p w14:paraId="6881EA09" w14:textId="77777777" w:rsidR="00546354" w:rsidRPr="00015DEE" w:rsidRDefault="00546354">
      <w:pPr>
        <w:spacing w:line="300" w:lineRule="auto"/>
        <w:jc w:val="both"/>
        <w:rPr>
          <w:rFonts w:ascii="Times New Roman" w:hAnsi="Times New Roman"/>
          <w:sz w:val="28"/>
          <w:szCs w:val="28"/>
        </w:rPr>
      </w:pPr>
    </w:p>
    <w:p w14:paraId="5AFC59AC"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noProof/>
        </w:rPr>
        <w:drawing>
          <wp:anchor distT="0" distB="0" distL="0" distR="0" simplePos="0" relativeHeight="5" behindDoc="0" locked="0" layoutInCell="1" allowOverlap="1" wp14:anchorId="79862213" wp14:editId="29D61F8D">
            <wp:simplePos x="0" y="0"/>
            <wp:positionH relativeFrom="page">
              <wp:posOffset>1483410</wp:posOffset>
            </wp:positionH>
            <wp:positionV relativeFrom="page">
              <wp:posOffset>769977</wp:posOffset>
            </wp:positionV>
            <wp:extent cx="4601307" cy="3035537"/>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srcRect/>
                    <a:stretch/>
                  </pic:blipFill>
                  <pic:spPr>
                    <a:xfrm>
                      <a:off x="0" y="0"/>
                      <a:ext cx="4601307" cy="3035537"/>
                    </a:xfrm>
                    <a:prstGeom prst="rect">
                      <a:avLst/>
                    </a:prstGeom>
                    <a:ln>
                      <a:noFill/>
                    </a:ln>
                  </pic:spPr>
                </pic:pic>
              </a:graphicData>
            </a:graphic>
          </wp:anchor>
        </w:drawing>
      </w:r>
    </w:p>
    <w:p w14:paraId="1E0905BC" w14:textId="77777777" w:rsidR="00546354" w:rsidRPr="00015DEE" w:rsidRDefault="00546354">
      <w:pPr>
        <w:spacing w:line="300" w:lineRule="auto"/>
        <w:jc w:val="both"/>
        <w:rPr>
          <w:rFonts w:ascii="Times New Roman" w:hAnsi="Times New Roman"/>
          <w:sz w:val="28"/>
          <w:szCs w:val="28"/>
        </w:rPr>
      </w:pPr>
    </w:p>
    <w:p w14:paraId="5B2DC680" w14:textId="77777777" w:rsidR="00546354" w:rsidRPr="00015DEE" w:rsidRDefault="00546354">
      <w:pPr>
        <w:spacing w:line="300" w:lineRule="auto"/>
        <w:jc w:val="both"/>
        <w:rPr>
          <w:rFonts w:ascii="Times New Roman" w:hAnsi="Times New Roman"/>
          <w:sz w:val="28"/>
          <w:szCs w:val="28"/>
        </w:rPr>
      </w:pPr>
    </w:p>
    <w:p w14:paraId="0625081A" w14:textId="77777777" w:rsidR="00546354" w:rsidRPr="00015DEE" w:rsidRDefault="00546354">
      <w:pPr>
        <w:spacing w:line="300" w:lineRule="auto"/>
        <w:jc w:val="both"/>
        <w:rPr>
          <w:rFonts w:ascii="Times New Roman" w:hAnsi="Times New Roman"/>
          <w:sz w:val="28"/>
          <w:szCs w:val="28"/>
        </w:rPr>
      </w:pPr>
    </w:p>
    <w:p w14:paraId="55B47AA0" w14:textId="77777777" w:rsidR="00546354" w:rsidRPr="00015DEE" w:rsidRDefault="00546354">
      <w:pPr>
        <w:spacing w:line="300" w:lineRule="auto"/>
        <w:jc w:val="both"/>
        <w:rPr>
          <w:rFonts w:ascii="Times New Roman" w:hAnsi="Times New Roman"/>
          <w:sz w:val="28"/>
          <w:szCs w:val="28"/>
        </w:rPr>
      </w:pPr>
    </w:p>
    <w:p w14:paraId="07D13A46" w14:textId="77777777" w:rsidR="00546354" w:rsidRPr="00015DEE" w:rsidRDefault="00546354">
      <w:pPr>
        <w:spacing w:line="300" w:lineRule="auto"/>
        <w:jc w:val="both"/>
        <w:rPr>
          <w:rFonts w:ascii="Times New Roman" w:hAnsi="Times New Roman"/>
          <w:sz w:val="28"/>
          <w:szCs w:val="28"/>
        </w:rPr>
      </w:pPr>
    </w:p>
    <w:p w14:paraId="00B5435C" w14:textId="77777777" w:rsidR="00546354" w:rsidRPr="00015DEE" w:rsidRDefault="00546354">
      <w:pPr>
        <w:spacing w:line="300" w:lineRule="auto"/>
        <w:jc w:val="both"/>
        <w:rPr>
          <w:rFonts w:ascii="Times New Roman" w:hAnsi="Times New Roman"/>
          <w:sz w:val="28"/>
          <w:szCs w:val="28"/>
        </w:rPr>
      </w:pPr>
    </w:p>
    <w:p w14:paraId="44E5CF2D" w14:textId="77777777" w:rsidR="00546354" w:rsidRPr="00015DEE" w:rsidRDefault="00546354">
      <w:pPr>
        <w:spacing w:line="300" w:lineRule="auto"/>
        <w:jc w:val="both"/>
        <w:rPr>
          <w:rFonts w:ascii="Times New Roman" w:hAnsi="Times New Roman"/>
          <w:sz w:val="28"/>
          <w:szCs w:val="28"/>
        </w:rPr>
      </w:pPr>
    </w:p>
    <w:p w14:paraId="3F49D86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Fig. 3.4.1 Land use map of the study area</w:t>
      </w:r>
    </w:p>
    <w:p w14:paraId="0EFEB6D1" w14:textId="77777777" w:rsidR="00546354" w:rsidRPr="00015DEE" w:rsidRDefault="00000000">
      <w:pPr>
        <w:spacing w:line="300" w:lineRule="auto"/>
        <w:jc w:val="center"/>
        <w:rPr>
          <w:rFonts w:ascii="Times New Roman" w:hAnsi="Times New Roman"/>
          <w:sz w:val="28"/>
          <w:szCs w:val="28"/>
        </w:rPr>
      </w:pPr>
      <w:r w:rsidRPr="00015DEE">
        <w:rPr>
          <w:rFonts w:ascii="Times New Roman" w:hAnsi="Times New Roman"/>
          <w:sz w:val="28"/>
          <w:szCs w:val="28"/>
        </w:rPr>
        <w:t>Land use map of the study area</w:t>
      </w:r>
    </w:p>
    <w:p w14:paraId="5CB81E88" w14:textId="77777777" w:rsidR="00546354" w:rsidRPr="00015DEE" w:rsidRDefault="00546354">
      <w:pPr>
        <w:spacing w:line="300" w:lineRule="auto"/>
        <w:jc w:val="both"/>
        <w:rPr>
          <w:rFonts w:ascii="Times New Roman" w:hAnsi="Times New Roman"/>
          <w:sz w:val="28"/>
          <w:szCs w:val="28"/>
        </w:rPr>
      </w:pPr>
    </w:p>
    <w:p w14:paraId="1E782080"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3.4.2. Digitalized Soil Data</w:t>
      </w:r>
    </w:p>
    <w:p w14:paraId="018380D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Digitalized soil data are used in SWAT to define the spatial distribution of different soil types, including their physical and chemical properties. Soil data are critical for simulating hydrologic processes, as different soils have distinct hydrologic properties, such as infiltration rates and water-holding capacities</w:t>
      </w:r>
      <w:r w:rsidRPr="00015DEE">
        <w:rPr>
          <w:rFonts w:ascii="Times New Roman" w:hAnsi="Times New Roman"/>
          <w:noProof/>
        </w:rPr>
        <w:drawing>
          <wp:anchor distT="0" distB="0" distL="0" distR="0" simplePos="0" relativeHeight="6" behindDoc="0" locked="0" layoutInCell="1" allowOverlap="1" wp14:anchorId="168531C7" wp14:editId="0ED352B2">
            <wp:simplePos x="0" y="0"/>
            <wp:positionH relativeFrom="page">
              <wp:posOffset>1720097</wp:posOffset>
            </wp:positionH>
            <wp:positionV relativeFrom="page">
              <wp:posOffset>6924952</wp:posOffset>
            </wp:positionV>
            <wp:extent cx="4017732" cy="1749039"/>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2" cstate="print"/>
                    <a:srcRect/>
                    <a:stretch/>
                  </pic:blipFill>
                  <pic:spPr>
                    <a:xfrm>
                      <a:off x="0" y="0"/>
                      <a:ext cx="4017732" cy="1749039"/>
                    </a:xfrm>
                    <a:prstGeom prst="rect">
                      <a:avLst/>
                    </a:prstGeom>
                  </pic:spPr>
                </pic:pic>
              </a:graphicData>
            </a:graphic>
          </wp:anchor>
        </w:drawing>
      </w:r>
      <w:r w:rsidRPr="00015DEE">
        <w:rPr>
          <w:rFonts w:ascii="Times New Roman" w:hAnsi="Times New Roman"/>
          <w:sz w:val="28"/>
          <w:szCs w:val="28"/>
        </w:rPr>
        <w:t>.</w:t>
      </w:r>
    </w:p>
    <w:p w14:paraId="2CF3076F" w14:textId="77777777" w:rsidR="00546354" w:rsidRPr="00015DEE" w:rsidRDefault="00546354">
      <w:pPr>
        <w:spacing w:line="300" w:lineRule="auto"/>
        <w:jc w:val="both"/>
        <w:rPr>
          <w:rFonts w:ascii="Times New Roman" w:hAnsi="Times New Roman"/>
          <w:sz w:val="28"/>
          <w:szCs w:val="28"/>
        </w:rPr>
      </w:pPr>
    </w:p>
    <w:p w14:paraId="0270F7CF" w14:textId="77777777" w:rsidR="00546354" w:rsidRPr="00015DEE" w:rsidRDefault="00546354">
      <w:pPr>
        <w:spacing w:line="300" w:lineRule="auto"/>
        <w:jc w:val="both"/>
        <w:rPr>
          <w:rFonts w:ascii="Times New Roman" w:hAnsi="Times New Roman"/>
          <w:b/>
          <w:bCs/>
          <w:caps/>
          <w:sz w:val="28"/>
          <w:szCs w:val="28"/>
        </w:rPr>
      </w:pPr>
    </w:p>
    <w:p w14:paraId="42DF6DF1" w14:textId="77777777" w:rsidR="00546354" w:rsidRPr="00015DEE" w:rsidRDefault="00546354">
      <w:pPr>
        <w:spacing w:line="300" w:lineRule="auto"/>
        <w:jc w:val="both"/>
        <w:rPr>
          <w:rFonts w:ascii="Times New Roman" w:hAnsi="Times New Roman"/>
          <w:caps/>
          <w:sz w:val="28"/>
          <w:szCs w:val="28"/>
        </w:rPr>
      </w:pPr>
    </w:p>
    <w:p w14:paraId="10899F6B" w14:textId="77777777" w:rsidR="00546354" w:rsidRPr="00015DEE" w:rsidRDefault="00546354">
      <w:pPr>
        <w:spacing w:line="300" w:lineRule="auto"/>
        <w:jc w:val="both"/>
        <w:rPr>
          <w:rFonts w:ascii="Times New Roman" w:hAnsi="Times New Roman"/>
          <w:caps/>
          <w:sz w:val="28"/>
          <w:szCs w:val="28"/>
        </w:rPr>
      </w:pPr>
    </w:p>
    <w:p w14:paraId="0AB58B0A" w14:textId="77777777" w:rsidR="00546354" w:rsidRPr="00015DEE" w:rsidRDefault="00000000">
      <w:pPr>
        <w:spacing w:line="300" w:lineRule="auto"/>
        <w:jc w:val="center"/>
        <w:rPr>
          <w:rFonts w:ascii="Times New Roman" w:hAnsi="Times New Roman"/>
          <w:caps/>
          <w:sz w:val="28"/>
          <w:szCs w:val="28"/>
        </w:rPr>
      </w:pPr>
      <w:r w:rsidRPr="00015DEE">
        <w:rPr>
          <w:rFonts w:ascii="Times New Roman" w:hAnsi="Times New Roman"/>
          <w:caps/>
          <w:sz w:val="28"/>
          <w:szCs w:val="28"/>
        </w:rPr>
        <w:t>Source: Google</w:t>
      </w:r>
    </w:p>
    <w:p w14:paraId="71A3B6D4" w14:textId="77777777" w:rsidR="00546354" w:rsidRPr="00015DEE" w:rsidRDefault="00000000">
      <w:pPr>
        <w:spacing w:line="300" w:lineRule="auto"/>
        <w:jc w:val="both"/>
        <w:rPr>
          <w:rFonts w:ascii="Times New Roman" w:hAnsi="Times New Roman"/>
          <w:caps/>
          <w:sz w:val="28"/>
          <w:szCs w:val="28"/>
        </w:rPr>
      </w:pPr>
      <w:r w:rsidRPr="00015DEE">
        <w:rPr>
          <w:rFonts w:ascii="Times New Roman" w:hAnsi="Times New Roman"/>
          <w:caps/>
          <w:sz w:val="28"/>
          <w:szCs w:val="28"/>
        </w:rPr>
        <w:t>Fig 3.4.2: image of the soil map</w:t>
      </w:r>
    </w:p>
    <w:p w14:paraId="30A9C5B3"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3.4.3 Weather Data</w:t>
      </w:r>
    </w:p>
    <w:p w14:paraId="7C12200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Weather data, including precipitation, temperature, and solar radiation, are used in SWAT to drive the simulation of hydrologic processes. Weather data are critical for ensuring reliable model outputs, as they directly affect the simulation of runoff, evapotranspiration, and other hydrologic processes.</w:t>
      </w:r>
    </w:p>
    <w:p w14:paraId="5E6432CA"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3.5 Spatial Resolution in SWAT</w:t>
      </w:r>
    </w:p>
    <w:p w14:paraId="44FD65B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spatial resolution of SWAT refers to the size of the grid cells used to discretize the watershed. The spatial resolution affects the accuracy of the model outputs, as it directly affects the simulation of hydrologic processes.</w:t>
      </w:r>
    </w:p>
    <w:p w14:paraId="4833303C" w14:textId="77777777" w:rsidR="00546354" w:rsidRPr="00015DEE" w:rsidRDefault="00546354">
      <w:pPr>
        <w:spacing w:line="300" w:lineRule="auto"/>
        <w:jc w:val="both"/>
        <w:rPr>
          <w:rFonts w:ascii="Times New Roman" w:hAnsi="Times New Roman"/>
          <w:sz w:val="28"/>
          <w:szCs w:val="28"/>
        </w:rPr>
      </w:pPr>
    </w:p>
    <w:p w14:paraId="6ECE4E14"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3.6 Spatial Resolution into Sub-Basin Hydrologic Response Unit</w:t>
      </w:r>
    </w:p>
    <w:p w14:paraId="7B963EC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spatial resolution of SWAT is used to define the sub-basin hydrologic response units (HRUs), which are areas of homogeneous land use, soil, and slope. The HRUs are used to simulate the hydrologic processes at the sub-basin scale, allowing for a more detailed representation of the watershed's hydrologic behavior. The spatial resolution of SWAT affects the number and size of the HRUs, which in turn affects the accuracy of the model outputs.</w:t>
      </w:r>
    </w:p>
    <w:p w14:paraId="4DF2B573" w14:textId="77777777" w:rsidR="00546354" w:rsidRPr="00015DEE" w:rsidRDefault="00546354">
      <w:pPr>
        <w:spacing w:line="300" w:lineRule="auto"/>
        <w:jc w:val="both"/>
        <w:rPr>
          <w:rFonts w:ascii="Times New Roman" w:hAnsi="Times New Roman"/>
          <w:sz w:val="28"/>
          <w:szCs w:val="28"/>
        </w:rPr>
      </w:pPr>
    </w:p>
    <w:p w14:paraId="7327EB4B" w14:textId="77777777" w:rsidR="00546354" w:rsidRPr="00015DEE" w:rsidRDefault="00000000">
      <w:pPr>
        <w:spacing w:line="300" w:lineRule="auto"/>
        <w:jc w:val="both"/>
        <w:rPr>
          <w:rFonts w:ascii="Times New Roman" w:hAnsi="Times New Roman"/>
          <w:b/>
          <w:bCs/>
          <w:caps/>
          <w:sz w:val="28"/>
          <w:szCs w:val="28"/>
        </w:rPr>
      </w:pPr>
      <w:r w:rsidRPr="00015DEE">
        <w:rPr>
          <w:rFonts w:ascii="Times New Roman" w:hAnsi="Times New Roman"/>
          <w:b/>
          <w:bCs/>
          <w:caps/>
          <w:sz w:val="28"/>
          <w:szCs w:val="28"/>
        </w:rPr>
        <w:t>3.7 SWAT Set-up and Run</w:t>
      </w:r>
    </w:p>
    <w:p w14:paraId="5D7A996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The SWAT model set-up involves defining the watershed boundaries, stream network, and sub-basins, as well as specifying the model inputs, such as weather data, soil properties, and land use/land cover. Once the model is set up, it can be run to simulate the hydrologic processes and predict the watershed's behavior under different scenarios.</w:t>
      </w:r>
    </w:p>
    <w:p w14:paraId="435ADEE7" w14:textId="77777777" w:rsidR="00546354" w:rsidRPr="00015DEE" w:rsidRDefault="00546354">
      <w:pPr>
        <w:spacing w:line="300" w:lineRule="auto"/>
        <w:jc w:val="both"/>
        <w:rPr>
          <w:rFonts w:ascii="Times New Roman" w:hAnsi="Times New Roman"/>
          <w:sz w:val="28"/>
          <w:szCs w:val="28"/>
        </w:rPr>
      </w:pPr>
    </w:p>
    <w:p w14:paraId="10261465" w14:textId="77777777" w:rsidR="00546354" w:rsidRPr="00015DEE" w:rsidRDefault="00000000">
      <w:pPr>
        <w:keepNext/>
        <w:spacing w:before="240" w:after="60"/>
        <w:jc w:val="center"/>
        <w:outlineLvl w:val="0"/>
        <w:rPr>
          <w:rFonts w:ascii="Times New Roman" w:hAnsi="Times New Roman"/>
          <w:sz w:val="28"/>
          <w:szCs w:val="28"/>
        </w:rPr>
      </w:pPr>
      <w:r w:rsidRPr="00015DEE">
        <w:rPr>
          <w:rFonts w:ascii="Times New Roman" w:hAnsi="Times New Roman"/>
          <w:sz w:val="28"/>
          <w:szCs w:val="28"/>
        </w:rPr>
        <w:br w:type="page"/>
      </w:r>
      <w:r w:rsidRPr="00015DEE">
        <w:rPr>
          <w:rStyle w:val="Strong"/>
          <w:bCs/>
          <w:kern w:val="32"/>
          <w:sz w:val="28"/>
          <w:szCs w:val="28"/>
        </w:rPr>
        <w:lastRenderedPageBreak/>
        <w:t>CHAPTER FOUR</w:t>
      </w:r>
    </w:p>
    <w:p w14:paraId="1FE91D51" w14:textId="77777777" w:rsidR="00546354" w:rsidRPr="00015DEE" w:rsidRDefault="00000000">
      <w:pPr>
        <w:keepNext/>
        <w:spacing w:before="240" w:after="60"/>
        <w:jc w:val="both"/>
        <w:outlineLvl w:val="1"/>
        <w:rPr>
          <w:rFonts w:ascii="Times New Roman" w:hAnsi="Times New Roman"/>
          <w:sz w:val="28"/>
          <w:szCs w:val="28"/>
        </w:rPr>
      </w:pPr>
      <w:r w:rsidRPr="00015DEE">
        <w:rPr>
          <w:rStyle w:val="Strong"/>
          <w:bCs/>
          <w:i/>
          <w:iCs/>
          <w:sz w:val="28"/>
          <w:szCs w:val="28"/>
        </w:rPr>
        <w:t>RESULTS AND DISCUSSION</w:t>
      </w:r>
    </w:p>
    <w:p w14:paraId="4D166FDC" w14:textId="77777777" w:rsidR="00546354" w:rsidRPr="00015DEE" w:rsidRDefault="00546354">
      <w:pPr>
        <w:spacing w:line="300" w:lineRule="auto"/>
        <w:jc w:val="both"/>
        <w:rPr>
          <w:rFonts w:ascii="Times New Roman" w:hAnsi="Times New Roman"/>
          <w:sz w:val="28"/>
          <w:szCs w:val="28"/>
        </w:rPr>
      </w:pPr>
    </w:p>
    <w:p w14:paraId="70CE370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sz w:val="28"/>
          <w:szCs w:val="28"/>
        </w:rPr>
        <w:t>Table 4.1 DEM Resolution on Flow and Sediment Parameters</w:t>
      </w:r>
    </w:p>
    <w:tbl>
      <w:tblPr>
        <w:tblW w:w="0" w:type="auto"/>
        <w:tblLook w:val="04A0" w:firstRow="1" w:lastRow="0" w:firstColumn="1" w:lastColumn="0" w:noHBand="0" w:noVBand="1"/>
      </w:tblPr>
      <w:tblGrid>
        <w:gridCol w:w="2332"/>
        <w:gridCol w:w="2223"/>
        <w:gridCol w:w="2737"/>
        <w:gridCol w:w="2284"/>
      </w:tblGrid>
      <w:tr w:rsidR="00546354" w:rsidRPr="00015DEE" w14:paraId="36D356DA" w14:textId="77777777">
        <w:trPr>
          <w:cantSplit/>
          <w:tblHeader/>
        </w:trPr>
        <w:tc>
          <w:tcPr>
            <w:tcW w:w="2348" w:type="dxa"/>
            <w:tcBorders>
              <w:bottom w:val="single" w:sz="4" w:space="0" w:color="7F7F7F"/>
            </w:tcBorders>
            <w:shd w:val="clear" w:color="FFFFFF" w:fill="auto"/>
            <w:tcMar>
              <w:top w:w="0" w:type="dxa"/>
              <w:left w:w="108" w:type="dxa"/>
              <w:bottom w:w="0" w:type="dxa"/>
              <w:right w:w="108" w:type="dxa"/>
            </w:tcMar>
          </w:tcPr>
          <w:p w14:paraId="32227EF5"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Resampling grid size/DEM</w:t>
            </w:r>
          </w:p>
        </w:tc>
        <w:tc>
          <w:tcPr>
            <w:tcW w:w="2306" w:type="dxa"/>
            <w:tcBorders>
              <w:bottom w:val="single" w:sz="4" w:space="0" w:color="7F7F7F"/>
            </w:tcBorders>
            <w:shd w:val="clear" w:color="FFFFFF" w:fill="auto"/>
            <w:tcMar>
              <w:top w:w="0" w:type="dxa"/>
              <w:left w:w="108" w:type="dxa"/>
              <w:bottom w:w="0" w:type="dxa"/>
              <w:right w:w="108" w:type="dxa"/>
            </w:tcMar>
          </w:tcPr>
          <w:p w14:paraId="706D4E7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FLOW</w:t>
            </w:r>
          </w:p>
        </w:tc>
        <w:tc>
          <w:tcPr>
            <w:tcW w:w="2381" w:type="dxa"/>
            <w:tcBorders>
              <w:bottom w:val="single" w:sz="4" w:space="0" w:color="7F7F7F"/>
            </w:tcBorders>
            <w:shd w:val="clear" w:color="FFFFFF" w:fill="auto"/>
            <w:tcMar>
              <w:top w:w="0" w:type="dxa"/>
              <w:left w:w="108" w:type="dxa"/>
              <w:bottom w:w="0" w:type="dxa"/>
              <w:right w:w="108" w:type="dxa"/>
            </w:tcMar>
          </w:tcPr>
          <w:p w14:paraId="2C677CA0"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SEDIMENT CONCENTRATION</w:t>
            </w:r>
          </w:p>
        </w:tc>
        <w:tc>
          <w:tcPr>
            <w:tcW w:w="2327" w:type="dxa"/>
            <w:tcBorders>
              <w:bottom w:val="single" w:sz="4" w:space="0" w:color="7F7F7F"/>
            </w:tcBorders>
            <w:shd w:val="clear" w:color="FFFFFF" w:fill="auto"/>
            <w:tcMar>
              <w:top w:w="0" w:type="dxa"/>
              <w:left w:w="108" w:type="dxa"/>
              <w:bottom w:w="0" w:type="dxa"/>
              <w:right w:w="108" w:type="dxa"/>
            </w:tcMar>
          </w:tcPr>
          <w:p w14:paraId="1924E0D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SEDIMENT YIELD</w:t>
            </w:r>
          </w:p>
        </w:tc>
      </w:tr>
      <w:tr w:rsidR="00546354" w:rsidRPr="00015DEE" w14:paraId="0AB4792B" w14:textId="77777777">
        <w:trPr>
          <w:cantSplit/>
          <w:tblHeader/>
        </w:trPr>
        <w:tc>
          <w:tcPr>
            <w:tcW w:w="2348" w:type="dxa"/>
            <w:tcBorders>
              <w:top w:val="single" w:sz="4" w:space="0" w:color="7F7F7F"/>
              <w:right w:val="single" w:sz="4" w:space="0" w:color="7F7F7F"/>
            </w:tcBorders>
            <w:shd w:val="clear" w:color="FFFFFF" w:fill="F2F2F2"/>
            <w:tcMar>
              <w:top w:w="0" w:type="dxa"/>
              <w:left w:w="108" w:type="dxa"/>
              <w:bottom w:w="0" w:type="dxa"/>
              <w:right w:w="108" w:type="dxa"/>
            </w:tcMar>
          </w:tcPr>
          <w:p w14:paraId="64B7B77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90M</w:t>
            </w:r>
          </w:p>
        </w:tc>
        <w:tc>
          <w:tcPr>
            <w:tcW w:w="2306" w:type="dxa"/>
            <w:tcBorders>
              <w:top w:val="single" w:sz="4" w:space="0" w:color="7F7F7F"/>
              <w:left w:val="single" w:sz="4" w:space="0" w:color="7F7F7F"/>
            </w:tcBorders>
            <w:shd w:val="clear" w:color="FFFFFF" w:fill="F2F2F2"/>
            <w:tcMar>
              <w:top w:w="0" w:type="dxa"/>
              <w:left w:w="108" w:type="dxa"/>
              <w:bottom w:w="0" w:type="dxa"/>
              <w:right w:w="108" w:type="dxa"/>
            </w:tcMar>
          </w:tcPr>
          <w:p w14:paraId="770755DB"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2544.80</w:t>
            </w:r>
          </w:p>
        </w:tc>
        <w:tc>
          <w:tcPr>
            <w:tcW w:w="2381" w:type="dxa"/>
            <w:tcBorders>
              <w:top w:val="single" w:sz="4" w:space="0" w:color="7F7F7F"/>
            </w:tcBorders>
            <w:shd w:val="clear" w:color="FFFFFF" w:fill="F2F2F2"/>
            <w:tcMar>
              <w:top w:w="0" w:type="dxa"/>
              <w:left w:w="108" w:type="dxa"/>
              <w:bottom w:w="0" w:type="dxa"/>
              <w:right w:w="108" w:type="dxa"/>
            </w:tcMar>
          </w:tcPr>
          <w:p w14:paraId="6F75A0C7"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194798.89</w:t>
            </w:r>
          </w:p>
        </w:tc>
        <w:tc>
          <w:tcPr>
            <w:tcW w:w="2327" w:type="dxa"/>
            <w:tcBorders>
              <w:top w:val="single" w:sz="4" w:space="0" w:color="7F7F7F"/>
            </w:tcBorders>
            <w:shd w:val="clear" w:color="FFFFFF" w:fill="F2F2F2"/>
            <w:tcMar>
              <w:top w:w="0" w:type="dxa"/>
              <w:left w:w="108" w:type="dxa"/>
              <w:bottom w:w="0" w:type="dxa"/>
              <w:right w:w="108" w:type="dxa"/>
            </w:tcMar>
          </w:tcPr>
          <w:p w14:paraId="0EA5D3A1"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711.71</w:t>
            </w:r>
          </w:p>
        </w:tc>
      </w:tr>
      <w:tr w:rsidR="00546354" w:rsidRPr="00015DEE" w14:paraId="520AE9EB" w14:textId="77777777">
        <w:trPr>
          <w:cantSplit/>
          <w:tblHeader/>
        </w:trPr>
        <w:tc>
          <w:tcPr>
            <w:tcW w:w="2348" w:type="dxa"/>
            <w:tcBorders>
              <w:right w:val="single" w:sz="4" w:space="0" w:color="7F7F7F"/>
            </w:tcBorders>
            <w:shd w:val="clear" w:color="FFFFFF" w:fill="auto"/>
            <w:tcMar>
              <w:top w:w="0" w:type="dxa"/>
              <w:left w:w="108" w:type="dxa"/>
              <w:bottom w:w="0" w:type="dxa"/>
              <w:right w:w="108" w:type="dxa"/>
            </w:tcMar>
          </w:tcPr>
          <w:p w14:paraId="48992A82"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75M</w:t>
            </w:r>
          </w:p>
        </w:tc>
        <w:tc>
          <w:tcPr>
            <w:tcW w:w="2306" w:type="dxa"/>
            <w:tcBorders>
              <w:left w:val="single" w:sz="4" w:space="0" w:color="7F7F7F"/>
            </w:tcBorders>
            <w:shd w:val="clear" w:color="FFFFFF" w:fill="auto"/>
            <w:tcMar>
              <w:top w:w="0" w:type="dxa"/>
              <w:left w:w="108" w:type="dxa"/>
              <w:bottom w:w="0" w:type="dxa"/>
              <w:right w:w="108" w:type="dxa"/>
            </w:tcMar>
          </w:tcPr>
          <w:p w14:paraId="3700866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2544.38</w:t>
            </w:r>
          </w:p>
        </w:tc>
        <w:tc>
          <w:tcPr>
            <w:tcW w:w="2381" w:type="dxa"/>
            <w:shd w:val="clear" w:color="FFFFFF" w:fill="auto"/>
            <w:tcMar>
              <w:top w:w="0" w:type="dxa"/>
              <w:left w:w="108" w:type="dxa"/>
              <w:bottom w:w="0" w:type="dxa"/>
              <w:right w:w="108" w:type="dxa"/>
            </w:tcMar>
          </w:tcPr>
          <w:p w14:paraId="2A32158F"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193023.13</w:t>
            </w:r>
          </w:p>
        </w:tc>
        <w:tc>
          <w:tcPr>
            <w:tcW w:w="2327" w:type="dxa"/>
            <w:shd w:val="clear" w:color="FFFFFF" w:fill="auto"/>
            <w:tcMar>
              <w:top w:w="0" w:type="dxa"/>
              <w:left w:w="108" w:type="dxa"/>
              <w:bottom w:w="0" w:type="dxa"/>
              <w:right w:w="108" w:type="dxa"/>
            </w:tcMar>
          </w:tcPr>
          <w:p w14:paraId="5E71E27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731.03</w:t>
            </w:r>
          </w:p>
        </w:tc>
      </w:tr>
      <w:tr w:rsidR="00546354" w:rsidRPr="00015DEE" w14:paraId="783CB6DE" w14:textId="77777777">
        <w:trPr>
          <w:cantSplit/>
          <w:tblHeader/>
        </w:trPr>
        <w:tc>
          <w:tcPr>
            <w:tcW w:w="2348" w:type="dxa"/>
            <w:tcBorders>
              <w:right w:val="single" w:sz="4" w:space="0" w:color="7F7F7F"/>
            </w:tcBorders>
            <w:shd w:val="clear" w:color="FFFFFF" w:fill="F2F2F2"/>
            <w:tcMar>
              <w:top w:w="0" w:type="dxa"/>
              <w:left w:w="108" w:type="dxa"/>
              <w:bottom w:w="0" w:type="dxa"/>
              <w:right w:w="108" w:type="dxa"/>
            </w:tcMar>
          </w:tcPr>
          <w:p w14:paraId="07BCB6AA"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b/>
                <w:bCs/>
                <w:caps/>
                <w:sz w:val="28"/>
                <w:szCs w:val="28"/>
              </w:rPr>
              <w:t>60M</w:t>
            </w:r>
          </w:p>
        </w:tc>
        <w:tc>
          <w:tcPr>
            <w:tcW w:w="2306" w:type="dxa"/>
            <w:tcBorders>
              <w:left w:val="single" w:sz="4" w:space="0" w:color="7F7F7F"/>
            </w:tcBorders>
            <w:shd w:val="clear" w:color="FFFFFF" w:fill="F2F2F2"/>
            <w:tcMar>
              <w:top w:w="0" w:type="dxa"/>
              <w:left w:w="108" w:type="dxa"/>
              <w:bottom w:w="0" w:type="dxa"/>
              <w:right w:w="108" w:type="dxa"/>
            </w:tcMar>
          </w:tcPr>
          <w:p w14:paraId="6DB8468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2430.15</w:t>
            </w:r>
          </w:p>
        </w:tc>
        <w:tc>
          <w:tcPr>
            <w:tcW w:w="2381" w:type="dxa"/>
            <w:shd w:val="clear" w:color="FFFFFF" w:fill="F2F2F2"/>
            <w:tcMar>
              <w:top w:w="0" w:type="dxa"/>
              <w:left w:w="108" w:type="dxa"/>
              <w:bottom w:w="0" w:type="dxa"/>
              <w:right w:w="108" w:type="dxa"/>
            </w:tcMar>
          </w:tcPr>
          <w:p w14:paraId="5175F69E"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192103.00</w:t>
            </w:r>
          </w:p>
        </w:tc>
        <w:tc>
          <w:tcPr>
            <w:tcW w:w="2327" w:type="dxa"/>
            <w:shd w:val="clear" w:color="FFFFFF" w:fill="F2F2F2"/>
            <w:tcMar>
              <w:top w:w="0" w:type="dxa"/>
              <w:left w:w="108" w:type="dxa"/>
              <w:bottom w:w="0" w:type="dxa"/>
              <w:right w:w="108" w:type="dxa"/>
            </w:tcMar>
          </w:tcPr>
          <w:p w14:paraId="3582DBF3"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t>752.11</w:t>
            </w:r>
          </w:p>
        </w:tc>
      </w:tr>
    </w:tbl>
    <w:p w14:paraId="4C404853" w14:textId="77777777" w:rsidR="00546354" w:rsidRPr="00015DEE" w:rsidRDefault="00546354">
      <w:pPr>
        <w:spacing w:before="100" w:beforeAutospacing="1" w:after="100" w:afterAutospacing="1" w:line="480" w:lineRule="auto"/>
        <w:jc w:val="both"/>
        <w:outlineLvl w:val="2"/>
        <w:rPr>
          <w:rFonts w:ascii="Times New Roman" w:hAnsi="Times New Roman"/>
          <w:sz w:val="28"/>
          <w:szCs w:val="28"/>
        </w:rPr>
      </w:pPr>
    </w:p>
    <w:p w14:paraId="592384B9"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Fonts w:ascii="Times New Roman" w:eastAsia="Times New Roman" w:hAnsi="Times New Roman"/>
          <w:b/>
          <w:bCs/>
          <w:sz w:val="28"/>
          <w:szCs w:val="28"/>
          <w:lang w:val="en-GB" w:eastAsia="en-GB"/>
        </w:rPr>
        <w:t>4.1 Comparison of Flow Estimates Across DEM Resolutions</w:t>
      </w:r>
    </w:p>
    <w:p w14:paraId="42A78E9D"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Flow simulation results show a slight decrease in flow as DEM resolution becomes finer. The model predicted a flow of 2544.80 m³/s using the 90 m DEM, which decreased marginally to 2544.38 m³/s at 75 m, and further to 2430.15 m³/s at 60 m.</w:t>
      </w:r>
      <w:r w:rsidRPr="00015DEE">
        <w:rPr>
          <w:rFonts w:ascii="Times New Roman" w:eastAsia="Times New Roman" w:hAnsi="Times New Roman"/>
          <w:sz w:val="28"/>
          <w:szCs w:val="28"/>
          <w:lang w:val="en-GB" w:eastAsia="en-GB"/>
        </w:rPr>
        <w:br/>
        <w:t xml:space="preserve">This trend can be attributed to the improved terrain representation in finer-resolution DEMs. Higher resolution grids better delineate watershed boundaries, drainage patterns, and flow accumulation paths, thereby reducing the overestimation of contributing area and resultant flow. The observed reduction suggests that using finer resolutions may yield more realistic flow estimates, </w:t>
      </w:r>
      <w:r w:rsidRPr="00015DEE">
        <w:rPr>
          <w:rFonts w:ascii="Times New Roman" w:eastAsia="Times New Roman" w:hAnsi="Times New Roman"/>
          <w:sz w:val="28"/>
          <w:szCs w:val="28"/>
          <w:lang w:val="en-GB" w:eastAsia="en-GB"/>
        </w:rPr>
        <w:lastRenderedPageBreak/>
        <w:t>particularly in topographically complex watersheds. Fig 4.1 below shows the spatial variation of flow in the study area.</w:t>
      </w:r>
    </w:p>
    <w:p w14:paraId="3116FBF8"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noProof/>
        </w:rPr>
        <w:drawing>
          <wp:anchor distT="0" distB="0" distL="0" distR="0" simplePos="0" relativeHeight="7" behindDoc="0" locked="0" layoutInCell="1" allowOverlap="1" wp14:anchorId="5C18415E" wp14:editId="299090A9">
            <wp:simplePos x="0" y="0"/>
            <wp:positionH relativeFrom="page">
              <wp:posOffset>980974</wp:posOffset>
            </wp:positionH>
            <wp:positionV relativeFrom="page">
              <wp:posOffset>2008723</wp:posOffset>
            </wp:positionV>
            <wp:extent cx="5793410" cy="3332678"/>
            <wp:effectExtent l="0" t="0" r="0" b="0"/>
            <wp:wrapNone/>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3" cstate="print"/>
                    <a:srcRect/>
                    <a:stretch/>
                  </pic:blipFill>
                  <pic:spPr>
                    <a:xfrm>
                      <a:off x="0" y="0"/>
                      <a:ext cx="5793410" cy="3332678"/>
                    </a:xfrm>
                    <a:prstGeom prst="rect">
                      <a:avLst/>
                    </a:prstGeom>
                    <a:ln>
                      <a:noFill/>
                    </a:ln>
                  </pic:spPr>
                </pic:pic>
              </a:graphicData>
            </a:graphic>
          </wp:anchor>
        </w:drawing>
      </w:r>
    </w:p>
    <w:p w14:paraId="59CD3840"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30F3E351"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7645BC4"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002130AB"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454C805"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38A2EA1"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372B8AEC" w14:textId="77777777" w:rsidR="00546354" w:rsidRPr="00015DEE" w:rsidRDefault="00546354">
      <w:pPr>
        <w:spacing w:line="300" w:lineRule="auto"/>
        <w:jc w:val="both"/>
        <w:rPr>
          <w:rFonts w:ascii="Times New Roman" w:eastAsia="Times New Roman" w:hAnsi="Times New Roman"/>
          <w:sz w:val="28"/>
          <w:szCs w:val="28"/>
          <w:lang w:val="en-GB" w:eastAsia="en-GB"/>
        </w:rPr>
      </w:pPr>
    </w:p>
    <w:p w14:paraId="1C7D40C2" w14:textId="77777777" w:rsidR="00546354" w:rsidRPr="00015DEE" w:rsidRDefault="00546354">
      <w:pPr>
        <w:spacing w:line="300" w:lineRule="auto"/>
        <w:jc w:val="both"/>
        <w:rPr>
          <w:rFonts w:ascii="Times New Roman" w:hAnsi="Times New Roman"/>
          <w:sz w:val="28"/>
          <w:szCs w:val="28"/>
        </w:rPr>
      </w:pPr>
    </w:p>
    <w:p w14:paraId="0C2A00F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2729BFA"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4.2 Variation in Sediment Concentration with DEM Resolution</w:t>
      </w:r>
    </w:p>
    <w:p w14:paraId="41D6A6C7"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sz w:val="28"/>
          <w:szCs w:val="28"/>
        </w:rPr>
        <w:t xml:space="preserve">Sediment concentration, expressed in mg/L, also showed a slight decline with decreasing grid size. The concentration reduced from </w:t>
      </w:r>
      <w:r w:rsidRPr="00015DEE">
        <w:rPr>
          <w:rStyle w:val="Strong"/>
          <w:b w:val="0"/>
          <w:sz w:val="28"/>
          <w:szCs w:val="28"/>
        </w:rPr>
        <w:t>194,798.89 mg/L</w:t>
      </w:r>
      <w:r w:rsidRPr="00015DEE">
        <w:rPr>
          <w:rFonts w:ascii="Times New Roman" w:hAnsi="Times New Roman"/>
          <w:sz w:val="28"/>
          <w:szCs w:val="28"/>
        </w:rPr>
        <w:t xml:space="preserve"> at 90 m to </w:t>
      </w:r>
      <w:r w:rsidRPr="00015DEE">
        <w:rPr>
          <w:rStyle w:val="Strong"/>
          <w:b w:val="0"/>
          <w:sz w:val="28"/>
          <w:szCs w:val="28"/>
        </w:rPr>
        <w:t>193,023.13 mg/L</w:t>
      </w:r>
      <w:r w:rsidRPr="00015DEE">
        <w:rPr>
          <w:rFonts w:ascii="Times New Roman" w:hAnsi="Times New Roman"/>
          <w:sz w:val="28"/>
          <w:szCs w:val="28"/>
        </w:rPr>
        <w:t xml:space="preserve"> at 75 m, and further to </w:t>
      </w:r>
      <w:r w:rsidRPr="00015DEE">
        <w:rPr>
          <w:rStyle w:val="Strong"/>
          <w:b w:val="0"/>
          <w:sz w:val="28"/>
          <w:szCs w:val="28"/>
        </w:rPr>
        <w:t>192,103.00 mg/L</w:t>
      </w:r>
      <w:r w:rsidRPr="00015DEE">
        <w:rPr>
          <w:rFonts w:ascii="Times New Roman" w:hAnsi="Times New Roman"/>
          <w:sz w:val="28"/>
          <w:szCs w:val="28"/>
        </w:rPr>
        <w:t xml:space="preserve"> at 60 m.</w:t>
      </w:r>
      <w:r w:rsidRPr="00015DEE">
        <w:rPr>
          <w:rFonts w:ascii="Times New Roman" w:hAnsi="Times New Roman"/>
          <w:sz w:val="28"/>
          <w:szCs w:val="28"/>
        </w:rPr>
        <w:br/>
        <w:t>Finer DEMs enhance slope accuracy and surface flow pathways, which helps in more accurate simulation of erosion and sediment transport. The slight decline in concentration values indicates better sediment dispersion and routing in higher-</w:t>
      </w:r>
      <w:r w:rsidRPr="00015DEE">
        <w:rPr>
          <w:rFonts w:ascii="Times New Roman" w:hAnsi="Times New Roman"/>
          <w:sz w:val="28"/>
          <w:szCs w:val="28"/>
        </w:rPr>
        <w:lastRenderedPageBreak/>
        <w:t xml:space="preserve">resolution terrain models, which may reflect more precise sediment detachment and deposition patterns. </w:t>
      </w:r>
      <w:r w:rsidRPr="00015DEE">
        <w:rPr>
          <w:rFonts w:ascii="Times New Roman" w:eastAsia="Times New Roman" w:hAnsi="Times New Roman"/>
          <w:sz w:val="28"/>
          <w:szCs w:val="28"/>
          <w:lang w:val="en-GB" w:eastAsia="en-GB"/>
        </w:rPr>
        <w:t>Fig 4.2 below shows the spatial variation of flow in the study area.</w:t>
      </w:r>
    </w:p>
    <w:p w14:paraId="62C8FBC7" w14:textId="77777777" w:rsidR="00546354" w:rsidRPr="00015DEE" w:rsidRDefault="00000000">
      <w:pPr>
        <w:spacing w:line="30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Fig 4.2 shows the spatial variation of flow in the study area.</w:t>
      </w:r>
    </w:p>
    <w:p w14:paraId="536FF92D" w14:textId="77777777" w:rsidR="00546354" w:rsidRPr="00015DEE" w:rsidRDefault="00000000">
      <w:pPr>
        <w:spacing w:before="100" w:beforeAutospacing="1" w:after="100" w:afterAutospacing="1" w:line="480" w:lineRule="auto"/>
        <w:jc w:val="both"/>
        <w:outlineLvl w:val="2"/>
        <w:rPr>
          <w:rStyle w:val="Strong"/>
          <w:rFonts w:eastAsia="Times New Roman"/>
          <w:bCs/>
          <w:sz w:val="28"/>
          <w:szCs w:val="28"/>
          <w:lang w:val="en-GB" w:eastAsia="en-GB"/>
        </w:rPr>
      </w:pPr>
      <w:r w:rsidRPr="00015DEE">
        <w:rPr>
          <w:rFonts w:ascii="Times New Roman" w:hAnsi="Times New Roman"/>
          <w:noProof/>
        </w:rPr>
        <w:drawing>
          <wp:anchor distT="0" distB="0" distL="0" distR="0" simplePos="0" relativeHeight="8" behindDoc="0" locked="0" layoutInCell="1" allowOverlap="1" wp14:anchorId="2A0A713F" wp14:editId="6DA74D29">
            <wp:simplePos x="0" y="0"/>
            <wp:positionH relativeFrom="page">
              <wp:posOffset>997283</wp:posOffset>
            </wp:positionH>
            <wp:positionV relativeFrom="page">
              <wp:posOffset>3483451</wp:posOffset>
            </wp:positionV>
            <wp:extent cx="5855778" cy="4408986"/>
            <wp:effectExtent l="0" t="0" r="0" b="0"/>
            <wp:wrapNone/>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4" cstate="print"/>
                    <a:srcRect/>
                    <a:stretch/>
                  </pic:blipFill>
                  <pic:spPr>
                    <a:xfrm>
                      <a:off x="0" y="0"/>
                      <a:ext cx="5855778" cy="4408986"/>
                    </a:xfrm>
                    <a:prstGeom prst="rect">
                      <a:avLst/>
                    </a:prstGeom>
                    <a:ln>
                      <a:noFill/>
                    </a:ln>
                  </pic:spPr>
                </pic:pic>
              </a:graphicData>
            </a:graphic>
          </wp:anchor>
        </w:drawing>
      </w:r>
    </w:p>
    <w:p w14:paraId="09B7252B"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521992B9"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A1EB493"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7023E6C"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C2198F7"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6FF60C8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4D4A835C"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3E9E39D0"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571CAEC9" w14:textId="77777777" w:rsidR="00546354" w:rsidRPr="00015DEE" w:rsidRDefault="00546354">
      <w:pPr>
        <w:spacing w:before="100" w:beforeAutospacing="1" w:after="100" w:afterAutospacing="1" w:line="480" w:lineRule="auto"/>
        <w:jc w:val="both"/>
        <w:outlineLvl w:val="2"/>
        <w:rPr>
          <w:rStyle w:val="Strong"/>
          <w:rFonts w:eastAsia="Times New Roman"/>
          <w:bCs/>
          <w:sz w:val="28"/>
          <w:szCs w:val="28"/>
          <w:lang w:val="en-GB" w:eastAsia="en-GB"/>
        </w:rPr>
      </w:pPr>
    </w:p>
    <w:p w14:paraId="026A4724"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4.3 Effect of DEM Resolution on Sediment Yield</w:t>
      </w:r>
    </w:p>
    <w:p w14:paraId="4237D5B1"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hAnsi="Times New Roman"/>
          <w:sz w:val="28"/>
          <w:szCs w:val="28"/>
        </w:rPr>
        <w:lastRenderedPageBreak/>
        <w:t xml:space="preserve">Contrary to the flow and concentration trends, sediment yield increased as DEM resolution became finer. The sediment yield rose from </w:t>
      </w:r>
      <w:r w:rsidRPr="00015DEE">
        <w:rPr>
          <w:rStyle w:val="Strong"/>
          <w:b w:val="0"/>
          <w:sz w:val="28"/>
          <w:szCs w:val="28"/>
        </w:rPr>
        <w:t>711.71 tons/day</w:t>
      </w:r>
      <w:r w:rsidRPr="00015DEE">
        <w:rPr>
          <w:rFonts w:ascii="Times New Roman" w:hAnsi="Times New Roman"/>
          <w:sz w:val="28"/>
          <w:szCs w:val="28"/>
        </w:rPr>
        <w:t xml:space="preserve"> at 90 m to </w:t>
      </w:r>
      <w:r w:rsidRPr="00015DEE">
        <w:rPr>
          <w:rStyle w:val="Strong"/>
          <w:b w:val="0"/>
          <w:sz w:val="28"/>
          <w:szCs w:val="28"/>
        </w:rPr>
        <w:t>731.03 tons/day</w:t>
      </w:r>
      <w:r w:rsidRPr="00015DEE">
        <w:rPr>
          <w:rFonts w:ascii="Times New Roman" w:hAnsi="Times New Roman"/>
          <w:sz w:val="28"/>
          <w:szCs w:val="28"/>
        </w:rPr>
        <w:t xml:space="preserve"> at 75 m, and </w:t>
      </w:r>
      <w:r w:rsidRPr="00015DEE">
        <w:rPr>
          <w:rStyle w:val="Strong"/>
          <w:b w:val="0"/>
          <w:sz w:val="28"/>
          <w:szCs w:val="28"/>
        </w:rPr>
        <w:t>752.11 tons/day</w:t>
      </w:r>
      <w:r w:rsidRPr="00015DEE">
        <w:rPr>
          <w:rFonts w:ascii="Times New Roman" w:hAnsi="Times New Roman"/>
          <w:sz w:val="28"/>
          <w:szCs w:val="28"/>
        </w:rPr>
        <w:t xml:space="preserve"> at 60 m.</w:t>
      </w:r>
      <w:r w:rsidRPr="00015DEE">
        <w:rPr>
          <w:rFonts w:ascii="Times New Roman" w:hAnsi="Times New Roman"/>
          <w:sz w:val="28"/>
          <w:szCs w:val="28"/>
        </w:rPr>
        <w:br/>
        <w:t xml:space="preserve">This increase suggests that finer DEMs enhance the model’s ability to capture critical erosion-prone areas such as steep slopes or concentrated flow paths. These areas contribute significantly to sediment generation and delivery. Therefore, more detailed topography improves the model’s sensitivity to terrain features influencing sediment yield. </w:t>
      </w:r>
      <w:r w:rsidRPr="00015DEE">
        <w:rPr>
          <w:rFonts w:ascii="Times New Roman" w:eastAsia="Times New Roman" w:hAnsi="Times New Roman"/>
          <w:sz w:val="28"/>
          <w:szCs w:val="28"/>
          <w:lang w:val="en-GB" w:eastAsia="en-GB"/>
        </w:rPr>
        <w:t>Fig 4.3 below sh</w:t>
      </w:r>
      <w:r w:rsidRPr="00015DEE">
        <w:rPr>
          <w:rFonts w:ascii="Times New Roman" w:hAnsi="Times New Roman"/>
          <w:noProof/>
        </w:rPr>
        <w:drawing>
          <wp:anchor distT="0" distB="0" distL="0" distR="0" simplePos="0" relativeHeight="9" behindDoc="0" locked="0" layoutInCell="1" allowOverlap="1" wp14:anchorId="4647FE7A" wp14:editId="52FA6D67">
            <wp:simplePos x="0" y="0"/>
            <wp:positionH relativeFrom="page">
              <wp:posOffset>1128720</wp:posOffset>
            </wp:positionH>
            <wp:positionV relativeFrom="page">
              <wp:posOffset>5199102</wp:posOffset>
            </wp:positionV>
            <wp:extent cx="5144290" cy="3124496"/>
            <wp:effectExtent l="0" t="0" r="0" b="0"/>
            <wp:wrapNone/>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5" cstate="print"/>
                    <a:srcRect/>
                    <a:stretch/>
                  </pic:blipFill>
                  <pic:spPr>
                    <a:xfrm>
                      <a:off x="0" y="0"/>
                      <a:ext cx="5144290" cy="3124496"/>
                    </a:xfrm>
                    <a:prstGeom prst="rect">
                      <a:avLst/>
                    </a:prstGeom>
                    <a:ln>
                      <a:noFill/>
                    </a:ln>
                  </pic:spPr>
                </pic:pic>
              </a:graphicData>
            </a:graphic>
          </wp:anchor>
        </w:drawing>
      </w:r>
      <w:r w:rsidRPr="00015DEE">
        <w:rPr>
          <w:rFonts w:ascii="Times New Roman" w:eastAsia="Times New Roman" w:hAnsi="Times New Roman"/>
          <w:sz w:val="28"/>
          <w:szCs w:val="28"/>
          <w:lang w:val="en-GB" w:eastAsia="en-GB"/>
        </w:rPr>
        <w:t>ows the spatial variation of flow in the study area.</w:t>
      </w:r>
    </w:p>
    <w:p w14:paraId="730DC82F" w14:textId="77777777" w:rsidR="00546354" w:rsidRPr="00015DEE" w:rsidRDefault="00546354">
      <w:pPr>
        <w:spacing w:before="100" w:beforeAutospacing="1" w:after="100" w:afterAutospacing="1" w:line="480" w:lineRule="auto"/>
        <w:jc w:val="both"/>
        <w:rPr>
          <w:rFonts w:ascii="Times New Roman" w:hAnsi="Times New Roman"/>
          <w:sz w:val="28"/>
          <w:szCs w:val="28"/>
        </w:rPr>
      </w:pPr>
    </w:p>
    <w:p w14:paraId="72C59E98" w14:textId="77777777" w:rsidR="00546354" w:rsidRPr="00015DEE" w:rsidRDefault="00546354">
      <w:pPr>
        <w:spacing w:line="300" w:lineRule="auto"/>
        <w:jc w:val="both"/>
        <w:rPr>
          <w:rFonts w:ascii="Times New Roman" w:hAnsi="Times New Roman"/>
          <w:sz w:val="28"/>
          <w:szCs w:val="28"/>
        </w:rPr>
      </w:pPr>
    </w:p>
    <w:p w14:paraId="2262203C"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297B70BF"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7FA105C8"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5F67C4E9" w14:textId="77777777" w:rsidR="00546354" w:rsidRPr="00015DEE" w:rsidRDefault="00546354">
      <w:pPr>
        <w:spacing w:before="100" w:beforeAutospacing="1" w:after="100" w:afterAutospacing="1" w:line="480" w:lineRule="auto"/>
        <w:jc w:val="both"/>
        <w:rPr>
          <w:rFonts w:ascii="Times New Roman" w:eastAsia="Times New Roman" w:hAnsi="Times New Roman"/>
          <w:sz w:val="28"/>
          <w:szCs w:val="28"/>
          <w:lang w:val="en-GB" w:eastAsia="en-GB"/>
        </w:rPr>
      </w:pPr>
    </w:p>
    <w:p w14:paraId="2AFA1735"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Fig 4.3 shows the spatial variation of flow in the study area.</w:t>
      </w:r>
    </w:p>
    <w:p w14:paraId="575909B2"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4.4 Determination of Suitable DEM Resolution for Modeling</w:t>
      </w:r>
    </w:p>
    <w:p w14:paraId="0DD5C969"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lastRenderedPageBreak/>
        <w:t>The comparison of results across the three DEM resolutions highlights the trade-offs in model accuracy and computational efficiency. While finer DEMs (60 m) provide more accurate terrain representation and improved sediment yield estimates, they slightly reduce flow and sediment concentration and demand higher computational resources.</w:t>
      </w:r>
      <w:r w:rsidRPr="00015DEE">
        <w:rPr>
          <w:rFonts w:ascii="Times New Roman" w:eastAsia="Times New Roman" w:hAnsi="Times New Roman"/>
          <w:sz w:val="28"/>
          <w:szCs w:val="28"/>
          <w:lang w:val="en-GB" w:eastAsia="en-GB"/>
        </w:rPr>
        <w:br/>
        <w:t>Thus, the choice of DEM resolution should be guided by the specific goals of the modeling exercise. For instance, if the focus is on sediment dynamics, a finer resolution may be justified. However, for broader hydrological assessments, intermediate resolutions like 75 m may offer a good balance between detail and efficiency.</w:t>
      </w:r>
    </w:p>
    <w:p w14:paraId="5D9C6928"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547AFD38"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0D513772"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7FC8CBAE"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553AC60D" w14:textId="77777777" w:rsidR="00546354" w:rsidRPr="00015DEE" w:rsidRDefault="00546354">
      <w:pPr>
        <w:spacing w:before="100" w:beforeAutospacing="1" w:after="100" w:afterAutospacing="1" w:line="480" w:lineRule="auto"/>
        <w:jc w:val="both"/>
        <w:rPr>
          <w:rFonts w:ascii="Times New Roman" w:eastAsia="Times New Roman" w:hAnsi="Times New Roman"/>
          <w:b/>
          <w:bCs/>
          <w:sz w:val="28"/>
          <w:szCs w:val="28"/>
          <w:lang w:eastAsia="en-GB"/>
        </w:rPr>
      </w:pPr>
    </w:p>
    <w:p w14:paraId="4ACCB3AB" w14:textId="77777777" w:rsidR="00546354" w:rsidRPr="00015DEE" w:rsidRDefault="00546354">
      <w:pPr>
        <w:spacing w:before="100" w:beforeAutospacing="1" w:after="100" w:afterAutospacing="1" w:line="480" w:lineRule="auto"/>
        <w:rPr>
          <w:rFonts w:ascii="Times New Roman" w:eastAsia="Times New Roman" w:hAnsi="Times New Roman"/>
          <w:b/>
          <w:bCs/>
          <w:sz w:val="28"/>
          <w:szCs w:val="28"/>
          <w:lang w:eastAsia="en-GB"/>
        </w:rPr>
      </w:pPr>
    </w:p>
    <w:p w14:paraId="2A1583E2" w14:textId="77777777" w:rsidR="00546354" w:rsidRPr="00015DEE" w:rsidRDefault="00000000">
      <w:pPr>
        <w:spacing w:before="100" w:beforeAutospacing="1" w:after="100" w:afterAutospacing="1" w:line="480" w:lineRule="auto"/>
        <w:jc w:val="center"/>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t>CHAPTER FIVE</w:t>
      </w:r>
    </w:p>
    <w:p w14:paraId="16714A00" w14:textId="77777777" w:rsidR="00546354" w:rsidRPr="00015DEE" w:rsidRDefault="00000000">
      <w:pPr>
        <w:spacing w:before="100" w:beforeAutospacing="1" w:after="100" w:afterAutospacing="1" w:line="480" w:lineRule="auto"/>
        <w:jc w:val="both"/>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lastRenderedPageBreak/>
        <w:t>CONCLUSION AND RECOMMENDATIONS</w:t>
      </w:r>
    </w:p>
    <w:p w14:paraId="13308DC3" w14:textId="77777777" w:rsidR="00546354" w:rsidRPr="00015DEE" w:rsidRDefault="00000000">
      <w:pPr>
        <w:spacing w:before="100" w:beforeAutospacing="1" w:after="100" w:afterAutospacing="1" w:line="480" w:lineRule="auto"/>
        <w:jc w:val="both"/>
        <w:rPr>
          <w:rFonts w:ascii="Times New Roman" w:eastAsia="Times New Roman" w:hAnsi="Times New Roman"/>
          <w:b/>
          <w:bCs/>
          <w:sz w:val="28"/>
          <w:szCs w:val="28"/>
          <w:lang w:val="en-GB" w:eastAsia="en-GB"/>
        </w:rPr>
      </w:pPr>
      <w:r w:rsidRPr="00015DEE">
        <w:rPr>
          <w:rFonts w:ascii="Times New Roman" w:eastAsia="Times New Roman" w:hAnsi="Times New Roman"/>
          <w:b/>
          <w:bCs/>
          <w:sz w:val="28"/>
          <w:szCs w:val="28"/>
          <w:lang w:eastAsia="en-GB"/>
        </w:rPr>
        <w:t>5.1 Conclusion</w:t>
      </w:r>
    </w:p>
    <w:p w14:paraId="48BB2850"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val="en-GB" w:eastAsia="en-GB"/>
        </w:rPr>
      </w:pPr>
      <w:r w:rsidRPr="00015DEE">
        <w:rPr>
          <w:rFonts w:ascii="Times New Roman" w:eastAsia="Times New Roman" w:hAnsi="Times New Roman"/>
          <w:sz w:val="28"/>
          <w:szCs w:val="28"/>
          <w:lang w:eastAsia="en-GB"/>
        </w:rPr>
        <w:t>This study evaluated the influence of different DEM grid resolutions (90 m, 75 m, and 60 m) on the simulation of key hydrological and sediment parameters within a watershed. The following conclusions are drawn in alignment with the research objectives:</w:t>
      </w:r>
    </w:p>
    <w:p w14:paraId="4F0660ED"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val="en-GB" w:eastAsia="en-GB"/>
        </w:rPr>
      </w:pPr>
      <w:r w:rsidRPr="00015DEE">
        <w:rPr>
          <w:rFonts w:ascii="Times New Roman" w:eastAsia="Times New Roman" w:hAnsi="Times New Roman"/>
          <w:sz w:val="28"/>
          <w:szCs w:val="28"/>
          <w:lang w:eastAsia="en-GB"/>
        </w:rPr>
        <w:t>The study found that simulated flow values slightly decreased as DEM resolution became finer. Flow reduced from 2544.80 m³/s at 90 m to 2430.15 m³/s at 60 m. This suggests that finer DEMs lead to more accurate terrain representation, thus reducing overestimated flow contributions caused by coarse generalizations in low-resolution models.</w:t>
      </w:r>
    </w:p>
    <w:p w14:paraId="42C13219" w14:textId="77777777" w:rsidR="00546354" w:rsidRPr="00015DEE" w:rsidRDefault="00000000">
      <w:pPr>
        <w:spacing w:before="100" w:beforeAutospacing="1" w:after="100" w:afterAutospacing="1" w:line="480" w:lineRule="auto"/>
        <w:jc w:val="both"/>
        <w:rPr>
          <w:rFonts w:ascii="Times New Roman" w:eastAsia="Times New Roman" w:hAnsi="Times New Roman"/>
          <w:sz w:val="28"/>
          <w:szCs w:val="28"/>
          <w:lang w:eastAsia="en-GB"/>
        </w:rPr>
      </w:pPr>
      <w:r w:rsidRPr="00015DEE">
        <w:rPr>
          <w:rFonts w:ascii="Times New Roman" w:eastAsia="Times New Roman" w:hAnsi="Times New Roman"/>
          <w:sz w:val="28"/>
          <w:szCs w:val="28"/>
          <w:lang w:eastAsia="en-GB"/>
        </w:rPr>
        <w:t>Sediment concentration exhibited a minor decline from 194,798.89 mg/L (90 m) to 192,103.00 mg/L (60 m). This is attributed to improved slope and flow path modeling with finer resolution, which better disperses sediment and reduces unrealistic accumulation.</w:t>
      </w:r>
    </w:p>
    <w:p w14:paraId="08ABC64C"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eastAsia="en-GB"/>
        </w:rPr>
        <w:t xml:space="preserve">Unlike flow and concentration, sediment yield increased with finer DEM resolution, from 711.71 tons/day at 90 m to 752.11 tons/day at 60 m. This indicates </w:t>
      </w:r>
      <w:r w:rsidRPr="00015DEE">
        <w:rPr>
          <w:rFonts w:ascii="Times New Roman" w:eastAsia="Times New Roman" w:hAnsi="Times New Roman"/>
          <w:sz w:val="28"/>
          <w:szCs w:val="28"/>
          <w:lang w:eastAsia="en-GB"/>
        </w:rPr>
        <w:lastRenderedPageBreak/>
        <w:t xml:space="preserve">improved </w:t>
      </w:r>
      <w:r w:rsidRPr="00015DEE">
        <w:rPr>
          <w:rFonts w:ascii="Times New Roman" w:eastAsia="Times New Roman" w:hAnsi="Times New Roman"/>
          <w:sz w:val="28"/>
          <w:szCs w:val="28"/>
          <w:lang w:val="en-GB" w:eastAsia="en-GB"/>
        </w:rPr>
        <w:t>identification of sediment source areas and delivery pathways, highlighting the advantage of high-resolution data for sediment transport studies.</w:t>
      </w:r>
    </w:p>
    <w:p w14:paraId="40E30396"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The analysis concludes that the choice of DEM resolution significantly affects model outputs. While 60 m offers greater detail and accuracy especially for sediment modelling, it also requires higher computational effort. The 75 m DEM offers a balanced resolution with reliable outputs for both hydrological and sediment analyses.</w:t>
      </w:r>
    </w:p>
    <w:p w14:paraId="600D7140" w14:textId="77777777" w:rsidR="00546354" w:rsidRPr="00015DEE" w:rsidRDefault="00000000">
      <w:pPr>
        <w:spacing w:before="100" w:beforeAutospacing="1" w:after="100" w:afterAutospacing="1" w:line="480" w:lineRule="auto"/>
        <w:jc w:val="both"/>
        <w:outlineLvl w:val="2"/>
        <w:rPr>
          <w:rFonts w:ascii="Times New Roman" w:hAnsi="Times New Roman"/>
          <w:sz w:val="28"/>
          <w:szCs w:val="28"/>
        </w:rPr>
      </w:pPr>
      <w:r w:rsidRPr="00015DEE">
        <w:rPr>
          <w:rStyle w:val="Strong"/>
          <w:rFonts w:eastAsia="Times New Roman"/>
          <w:bCs/>
          <w:sz w:val="28"/>
          <w:szCs w:val="28"/>
          <w:lang w:val="en-GB" w:eastAsia="en-GB"/>
        </w:rPr>
        <w:t>5.2 Recommendations</w:t>
      </w:r>
    </w:p>
    <w:p w14:paraId="7EBE8355" w14:textId="77777777" w:rsidR="00546354" w:rsidRPr="00015DEE" w:rsidRDefault="00000000">
      <w:pPr>
        <w:spacing w:before="100" w:beforeAutospacing="1" w:after="100" w:afterAutospacing="1" w:line="480" w:lineRule="auto"/>
        <w:jc w:val="both"/>
        <w:rPr>
          <w:rFonts w:ascii="Times New Roman" w:hAnsi="Times New Roman"/>
          <w:sz w:val="28"/>
          <w:szCs w:val="28"/>
        </w:rPr>
      </w:pPr>
      <w:r w:rsidRPr="00015DEE">
        <w:rPr>
          <w:rFonts w:ascii="Times New Roman" w:eastAsia="Times New Roman" w:hAnsi="Times New Roman"/>
          <w:sz w:val="28"/>
          <w:szCs w:val="28"/>
          <w:lang w:val="en-GB" w:eastAsia="en-GB"/>
        </w:rPr>
        <w:t>Based on the findings of this study, the following recommendations are made:</w:t>
      </w:r>
    </w:p>
    <w:p w14:paraId="6DC140F9" w14:textId="77777777" w:rsidR="00546354" w:rsidRPr="00015DEE" w:rsidRDefault="00000000">
      <w:pPr>
        <w:pStyle w:val="ListParagraph"/>
        <w:numPr>
          <w:ilvl w:val="0"/>
          <w:numId w:val="2"/>
        </w:numPr>
        <w:spacing w:before="100" w:beforeAutospacing="1" w:after="100" w:afterAutospacing="1" w:line="480" w:lineRule="auto"/>
        <w:jc w:val="both"/>
        <w:rPr>
          <w:rStyle w:val="Strong"/>
          <w:rFonts w:eastAsia="Times New Roman"/>
          <w:b w:val="0"/>
          <w:sz w:val="28"/>
          <w:szCs w:val="28"/>
          <w:lang w:val="en-GB" w:eastAsia="en-GB"/>
        </w:rPr>
      </w:pPr>
      <w:r w:rsidRPr="00015DEE">
        <w:rPr>
          <w:rStyle w:val="Strong"/>
          <w:rFonts w:eastAsia="Times New Roman"/>
          <w:b w:val="0"/>
          <w:sz w:val="28"/>
          <w:szCs w:val="28"/>
          <w:lang w:val="en-GB" w:eastAsia="en-GB"/>
        </w:rPr>
        <w:t>For hydrological studies</w:t>
      </w:r>
      <w:r w:rsidRPr="00015DEE">
        <w:rPr>
          <w:rFonts w:eastAsia="Times New Roman"/>
          <w:sz w:val="28"/>
          <w:szCs w:val="28"/>
          <w:lang w:val="en-GB" w:eastAsia="en-GB"/>
        </w:rPr>
        <w:t xml:space="preserve"> focused on broad-scale flow analysis, a </w:t>
      </w:r>
      <w:r w:rsidRPr="00015DEE">
        <w:rPr>
          <w:rStyle w:val="Strong"/>
          <w:rFonts w:eastAsia="Times New Roman"/>
          <w:b w:val="0"/>
          <w:sz w:val="28"/>
          <w:szCs w:val="28"/>
          <w:lang w:val="en-GB" w:eastAsia="en-GB"/>
        </w:rPr>
        <w:t>75 m DEM</w:t>
      </w:r>
      <w:r w:rsidRPr="00015DEE">
        <w:rPr>
          <w:rFonts w:eastAsia="Times New Roman"/>
          <w:sz w:val="28"/>
          <w:szCs w:val="28"/>
          <w:lang w:val="en-GB" w:eastAsia="en-GB"/>
        </w:rPr>
        <w:t xml:space="preserve"> is recommended for its balance between computational efficiency and model reliability.</w:t>
      </w:r>
    </w:p>
    <w:p w14:paraId="29E67C48"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Style w:val="Strong"/>
          <w:rFonts w:eastAsia="Times New Roman"/>
          <w:b w:val="0"/>
          <w:sz w:val="28"/>
          <w:szCs w:val="28"/>
          <w:lang w:val="en-GB" w:eastAsia="en-GB"/>
        </w:rPr>
        <w:t>For sediment transport and erosion modeling</w:t>
      </w:r>
      <w:r w:rsidRPr="00015DEE">
        <w:rPr>
          <w:rFonts w:eastAsia="Times New Roman"/>
          <w:sz w:val="28"/>
          <w:szCs w:val="28"/>
          <w:lang w:val="en-GB" w:eastAsia="en-GB"/>
        </w:rPr>
        <w:t xml:space="preserve">, a </w:t>
      </w:r>
      <w:r w:rsidRPr="00015DEE">
        <w:rPr>
          <w:rStyle w:val="Strong"/>
          <w:rFonts w:eastAsia="Times New Roman"/>
          <w:b w:val="0"/>
          <w:sz w:val="28"/>
          <w:szCs w:val="28"/>
          <w:lang w:val="en-GB" w:eastAsia="en-GB"/>
        </w:rPr>
        <w:t>60 m DEM</w:t>
      </w:r>
      <w:r w:rsidRPr="00015DEE">
        <w:rPr>
          <w:rFonts w:eastAsia="Times New Roman"/>
          <w:sz w:val="28"/>
          <w:szCs w:val="28"/>
          <w:lang w:val="en-GB" w:eastAsia="en-GB"/>
        </w:rPr>
        <w:t xml:space="preserve"> is preferred due to its ability to capture critical terrain features affecting sediment yield.</w:t>
      </w:r>
    </w:p>
    <w:p w14:paraId="0A3A9852"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Fonts w:eastAsia="Times New Roman"/>
          <w:sz w:val="28"/>
          <w:szCs w:val="28"/>
          <w:lang w:val="en-GB" w:eastAsia="en-GB"/>
        </w:rPr>
        <w:t xml:space="preserve">Future modeling studies should consider </w:t>
      </w:r>
      <w:r w:rsidRPr="00015DEE">
        <w:rPr>
          <w:rStyle w:val="Strong"/>
          <w:rFonts w:eastAsia="Times New Roman"/>
          <w:b w:val="0"/>
          <w:sz w:val="28"/>
          <w:szCs w:val="28"/>
          <w:lang w:val="en-GB" w:eastAsia="en-GB"/>
        </w:rPr>
        <w:t>sensitivity analysis across multiple resolutions</w:t>
      </w:r>
      <w:r w:rsidRPr="00015DEE">
        <w:rPr>
          <w:rFonts w:eastAsia="Times New Roman"/>
          <w:sz w:val="28"/>
          <w:szCs w:val="28"/>
          <w:lang w:val="en-GB" w:eastAsia="en-GB"/>
        </w:rPr>
        <w:t>to select the most suitable DEM for the specific watershed and modeling objectives.</w:t>
      </w:r>
    </w:p>
    <w:p w14:paraId="04F2442E" w14:textId="77777777" w:rsidR="00546354" w:rsidRPr="00015DEE" w:rsidRDefault="00000000">
      <w:pPr>
        <w:pStyle w:val="ListParagraph"/>
        <w:numPr>
          <w:ilvl w:val="0"/>
          <w:numId w:val="2"/>
        </w:numPr>
        <w:spacing w:before="100" w:beforeAutospacing="1" w:after="100" w:afterAutospacing="1" w:line="480" w:lineRule="auto"/>
        <w:jc w:val="both"/>
        <w:rPr>
          <w:rFonts w:eastAsia="Times New Roman"/>
          <w:sz w:val="28"/>
          <w:szCs w:val="28"/>
          <w:lang w:val="en-GB" w:eastAsia="en-GB"/>
        </w:rPr>
      </w:pPr>
      <w:r w:rsidRPr="00015DEE">
        <w:rPr>
          <w:rFonts w:eastAsia="Times New Roman"/>
          <w:sz w:val="28"/>
          <w:szCs w:val="28"/>
          <w:lang w:val="en-GB" w:eastAsia="en-GB"/>
        </w:rPr>
        <w:lastRenderedPageBreak/>
        <w:t xml:space="preserve">Agencies and researchers should prioritize the use of </w:t>
      </w:r>
      <w:r w:rsidRPr="00015DEE">
        <w:rPr>
          <w:rStyle w:val="Strong"/>
          <w:rFonts w:eastAsia="Times New Roman"/>
          <w:b w:val="0"/>
          <w:sz w:val="28"/>
          <w:szCs w:val="28"/>
          <w:lang w:val="en-GB" w:eastAsia="en-GB"/>
        </w:rPr>
        <w:t>finer DEMs in erosion-prone or topographically complex watersheds</w:t>
      </w:r>
      <w:r w:rsidRPr="00015DEE">
        <w:rPr>
          <w:rFonts w:eastAsia="Times New Roman"/>
          <w:sz w:val="28"/>
          <w:szCs w:val="28"/>
          <w:lang w:val="en-GB" w:eastAsia="en-GB"/>
        </w:rPr>
        <w:t>to support accurate environmental management decisions.</w:t>
      </w:r>
    </w:p>
    <w:p w14:paraId="5D2E49A3" w14:textId="77777777" w:rsidR="00546354" w:rsidRPr="00015DEE" w:rsidRDefault="00000000">
      <w:pPr>
        <w:pStyle w:val="ListParagraph"/>
        <w:numPr>
          <w:ilvl w:val="0"/>
          <w:numId w:val="2"/>
        </w:numPr>
        <w:spacing w:before="100" w:beforeAutospacing="1" w:after="100" w:afterAutospacing="1" w:line="480" w:lineRule="auto"/>
        <w:jc w:val="both"/>
        <w:rPr>
          <w:sz w:val="28"/>
          <w:szCs w:val="28"/>
        </w:rPr>
      </w:pPr>
      <w:r w:rsidRPr="00015DEE">
        <w:rPr>
          <w:rFonts w:eastAsia="Times New Roman"/>
          <w:sz w:val="28"/>
          <w:szCs w:val="28"/>
          <w:lang w:val="en-GB" w:eastAsia="en-GB"/>
        </w:rPr>
        <w:t>Additional validation with</w:t>
      </w:r>
      <w:r w:rsidRPr="00015DEE">
        <w:rPr>
          <w:rStyle w:val="Strong"/>
          <w:rFonts w:eastAsia="Times New Roman"/>
          <w:b w:val="0"/>
          <w:sz w:val="28"/>
          <w:szCs w:val="28"/>
          <w:lang w:val="en-GB" w:eastAsia="en-GB"/>
        </w:rPr>
        <w:t>observed field data</w:t>
      </w:r>
      <w:r w:rsidRPr="00015DEE">
        <w:rPr>
          <w:rFonts w:eastAsia="Times New Roman"/>
          <w:sz w:val="28"/>
          <w:szCs w:val="28"/>
          <w:lang w:val="en-GB" w:eastAsia="en-GB"/>
        </w:rPr>
        <w:t xml:space="preserve"> is encouraged to further refine model calibration and confirm the trends observed in this simulation study.</w:t>
      </w:r>
    </w:p>
    <w:p w14:paraId="53CBE381" w14:textId="77777777" w:rsidR="00546354" w:rsidRPr="00015DEE" w:rsidRDefault="00546354">
      <w:pPr>
        <w:spacing w:line="300" w:lineRule="auto"/>
        <w:jc w:val="both"/>
        <w:rPr>
          <w:rFonts w:ascii="Times New Roman" w:hAnsi="Times New Roman"/>
          <w:sz w:val="28"/>
          <w:szCs w:val="28"/>
        </w:rPr>
      </w:pPr>
    </w:p>
    <w:p w14:paraId="4FE3BE47" w14:textId="77777777" w:rsidR="00546354" w:rsidRPr="00015DEE" w:rsidRDefault="00546354">
      <w:pPr>
        <w:spacing w:line="300" w:lineRule="auto"/>
        <w:jc w:val="both"/>
        <w:rPr>
          <w:rFonts w:ascii="Times New Roman" w:hAnsi="Times New Roman"/>
          <w:sz w:val="28"/>
          <w:szCs w:val="28"/>
        </w:rPr>
      </w:pPr>
    </w:p>
    <w:p w14:paraId="6F0791A4" w14:textId="77777777" w:rsidR="00546354" w:rsidRPr="00015DEE" w:rsidRDefault="00000000">
      <w:pPr>
        <w:spacing w:line="300" w:lineRule="auto"/>
        <w:jc w:val="both"/>
        <w:rPr>
          <w:rFonts w:ascii="Times New Roman" w:hAnsi="Times New Roman"/>
          <w:sz w:val="28"/>
          <w:szCs w:val="28"/>
        </w:rPr>
      </w:pPr>
      <w:r w:rsidRPr="00015DEE">
        <w:rPr>
          <w:rFonts w:ascii="Times New Roman" w:hAnsi="Times New Roman"/>
          <w:sz w:val="28"/>
          <w:szCs w:val="28"/>
        </w:rPr>
        <w:br w:type="page"/>
      </w:r>
      <w:r w:rsidRPr="00015DEE">
        <w:rPr>
          <w:rFonts w:ascii="Times New Roman" w:hAnsi="Times New Roman"/>
          <w:b/>
          <w:bCs/>
          <w:sz w:val="28"/>
          <w:szCs w:val="28"/>
        </w:rPr>
        <w:lastRenderedPageBreak/>
        <w:t>REFERENCES</w:t>
      </w:r>
    </w:p>
    <w:p w14:paraId="106B375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Adeniyi, I. F. (2010). Hydrological characteristics of Omi River basin, Nigeria. Journal of Environmental Sciences, 22(3), 433-442.</w:t>
      </w:r>
    </w:p>
    <w:p w14:paraId="7C36DAB2"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Adeleke, O. (2015). Assessment of water pollution in Omi River, Nigeria. Journal of Environmental Science and Health, Part B, 50, 439-447.</w:t>
      </w:r>
    </w:p>
    <w:p w14:paraId="5F70D38D"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Arnold, J. G., Srinivasan, R., Muttiah, R. S., &amp; Williams, J. R. (1998). Large area hydrologic modeling and assessment part I: Model development. Journal of the American Water Resources Association, 34(1), 73-89.</w:t>
      </w:r>
    </w:p>
    <w:p w14:paraId="0670AFDA"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Ayana, E. K., C Santhi, M.R. Reyes (2019). Impact of spatial resolution on SWAT simulation of streamflow and sediment yield in the Lake Tana Watershed. Hydrology and Earth System Sciences, 23(1), 341-355.</w:t>
      </w:r>
    </w:p>
    <w:p w14:paraId="2C16F9B1"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Beven, K. (2001). Rainfall-runoff modelling: The primer. Wiley.</w:t>
      </w:r>
    </w:p>
    <w:p w14:paraId="0875B752"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Bosch, D. D., Arnold, J. G., &amp; Deweese, M. R. (2013). Spatial and temporal variability of sediment and nutrient yields from the Little River watershed. Journal of Environmental Quality, 42(5), 1335-1346</w:t>
      </w:r>
    </w:p>
    <w:p w14:paraId="27068B3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Chen, L. &amp; Xin Zhong Wang (2018). Influence of spatial resolution on SWAT simulation of hydrological and water quality processes in the Taihu Lake Watershed. Ecological Engineering, 118, 147-157.</w:t>
      </w:r>
    </w:p>
    <w:p w14:paraId="4117D9A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Falkenmark, M., &amp; Rockström, J. (2006). The new blue and green water paradigm: Breaking new ground for water resources planning and management. Journal of Water Resources Planning and Management, 132(3), 129-132.</w:t>
      </w:r>
    </w:p>
    <w:p w14:paraId="4B05D49A"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Ficklin, D. L., Luo, Y., Zhang, M., &amp; Gitau, M. W. (2010). Watershed scale impacts of climate change on streamflow and nutrient loading in the upper Mississippi River basin. Journal of Hydrology, 388(3-4), 174-186</w:t>
      </w:r>
    </w:p>
    <w:p w14:paraId="39B9F83B"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Gassman, P. W., Reyes, M. R., Green, C. H., &amp; Arnold, J. G. (2007). The Soil and Water Assessment Tool: Historical development, applications, and future research directions. Transactions of the ASABE, 50(4), 1211-1250.</w:t>
      </w:r>
    </w:p>
    <w:p w14:paraId="2E74B292"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lastRenderedPageBreak/>
        <w:t>Marahatta, S. &amp; J.R Williams(2021) Hydrological Evaluation of the SWAT Model in a Complex Mountainous River Basin.</w:t>
      </w:r>
    </w:p>
    <w:p w14:paraId="4DF35B4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Malakar, H. &amp; J.R Kiniry (2020). Effect of spatial resolution on SWAT simulation of hydrological processes in the Mahanadi River Basin. Journal of Hydroinformatics, 22(3), 537-551.</w:t>
      </w:r>
    </w:p>
    <w:p w14:paraId="0C01EDF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Neitsch, S. L., Arnold, J. G., Kiniry, J. R., &amp; Williams, J. R. (2011). Soil and Water Assessment Tool: Theoretical documentation. Texas A&amp;M University.</w:t>
      </w:r>
    </w:p>
    <w:p w14:paraId="4112EC88"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Refsgaard, J. C., &amp; Storm, B. (1995). Mike SHE. In V. P. Singh (Ed.), Computer models of watershed hydrology (pp. 809-846). Water Resources Publications.</w:t>
      </w:r>
    </w:p>
    <w:p w14:paraId="0E08E20B"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Singh, P., Raghavan Srinivasan &amp; C.H Green (2017). Effect of spatial resolution on SWAT simulation of water balance components in the Upper Ganga River Basin. Journal of Water Resources and Hydraulic Engineering, 6(2), 143-155.</w:t>
      </w:r>
    </w:p>
    <w:p w14:paraId="05D48229" w14:textId="77777777" w:rsidR="00546354" w:rsidRPr="00015DEE" w:rsidRDefault="00000000">
      <w:pPr>
        <w:spacing w:line="300" w:lineRule="auto"/>
        <w:ind w:left="220"/>
        <w:jc w:val="both"/>
        <w:rPr>
          <w:rFonts w:ascii="Times New Roman" w:hAnsi="Times New Roman"/>
          <w:sz w:val="28"/>
          <w:szCs w:val="28"/>
        </w:rPr>
      </w:pPr>
      <w:r w:rsidRPr="00015DEE">
        <w:rPr>
          <w:rFonts w:ascii="Times New Roman" w:hAnsi="Times New Roman"/>
          <w:sz w:val="28"/>
          <w:szCs w:val="28"/>
        </w:rPr>
        <w:t>Zhang, X., P. Tuppad, &amp; Xin Zhong Wang (2015). Effects of spatial resolution on SWAT simulation of hydrological processes in the Yangtze River Basin. Hydrological Processes, 29(15), 3331-3344.</w:t>
      </w:r>
    </w:p>
    <w:p w14:paraId="44922148" w14:textId="77777777" w:rsidR="00546354" w:rsidRPr="00015DEE" w:rsidRDefault="00546354">
      <w:pPr>
        <w:spacing w:line="300" w:lineRule="auto"/>
        <w:jc w:val="both"/>
        <w:rPr>
          <w:rFonts w:ascii="Times New Roman" w:hAnsi="Times New Roman"/>
          <w:sz w:val="28"/>
          <w:szCs w:val="28"/>
        </w:rPr>
      </w:pPr>
    </w:p>
    <w:sectPr w:rsidR="00546354" w:rsidRPr="00015DE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B4C8" w14:textId="77777777" w:rsidR="00C9466F" w:rsidRDefault="00C9466F">
      <w:pPr>
        <w:spacing w:after="0" w:line="240" w:lineRule="auto"/>
      </w:pPr>
      <w:r>
        <w:separator/>
      </w:r>
    </w:p>
  </w:endnote>
  <w:endnote w:type="continuationSeparator" w:id="0">
    <w:p w14:paraId="4010C5D6" w14:textId="77777777" w:rsidR="00C9466F" w:rsidRDefault="00C9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4255" w14:textId="77777777" w:rsidR="00546354" w:rsidRDefault="00000000">
    <w:pPr>
      <w:pStyle w:val="Footer"/>
      <w:tabs>
        <w:tab w:val="clear" w:pos="4680"/>
        <w:tab w:val="clear" w:pos="9360"/>
      </w:tabs>
      <w:jc w:val="center"/>
    </w:pPr>
    <w:r>
      <w:fldChar w:fldCharType="begin"/>
    </w:r>
    <w:r>
      <w:instrText xml:space="preserve"> PAGE   \* MERGEFORMAT </w:instrText>
    </w:r>
    <w:r>
      <w:fldChar w:fldCharType="separate"/>
    </w:r>
    <w:r>
      <w:rPr>
        <w:noProof/>
      </w:rPr>
      <w:t>ii</w:t>
    </w:r>
    <w:r>
      <w:fldChar w:fldCharType="end"/>
    </w:r>
  </w:p>
  <w:p w14:paraId="51B7AA6B" w14:textId="77777777" w:rsidR="00546354" w:rsidRDefault="00546354">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3D48" w14:textId="77777777" w:rsidR="00C9466F" w:rsidRDefault="00C9466F">
      <w:pPr>
        <w:spacing w:after="0" w:line="240" w:lineRule="auto"/>
      </w:pPr>
      <w:r>
        <w:separator/>
      </w:r>
    </w:p>
  </w:footnote>
  <w:footnote w:type="continuationSeparator" w:id="0">
    <w:p w14:paraId="7B7F65A8" w14:textId="77777777" w:rsidR="00C9466F" w:rsidRDefault="00C9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EE70" w14:textId="77777777" w:rsidR="00546354" w:rsidRDefault="005463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874720">
    <w:abstractNumId w:val="1"/>
  </w:num>
  <w:num w:numId="2" w16cid:durableId="24715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354"/>
    <w:rsid w:val="00015DEE"/>
    <w:rsid w:val="00546354"/>
    <w:rsid w:val="006E13BA"/>
    <w:rsid w:val="008A52EF"/>
    <w:rsid w:val="00C9466F"/>
    <w:rsid w:val="00E02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88520"/>
  <w15:docId w15:val="{00A8DE7E-F4AA-4C79-92F4-06EABD08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uiPriority w:val="9"/>
    <w:qFormat/>
    <w:pPr>
      <w:keepNext/>
      <w:spacing w:before="240" w:after="60"/>
      <w:outlineLvl w:val="0"/>
    </w:pPr>
    <w:rPr>
      <w:rFonts w:ascii="Cambria" w:hAnsi="Cambria" w:cs="Cambria"/>
      <w:b/>
      <w:kern w:val="32"/>
      <w:sz w:val="32"/>
      <w:szCs w:val="32"/>
    </w:rPr>
  </w:style>
  <w:style w:type="paragraph" w:styleId="Heading2">
    <w:name w:val="heading 2"/>
    <w:basedOn w:val="Normal"/>
    <w:uiPriority w:val="9"/>
    <w:semiHidden/>
    <w:unhideWhenUsed/>
    <w:qFormat/>
    <w:pPr>
      <w:keepNext/>
      <w:spacing w:before="240" w:after="60"/>
      <w:outlineLvl w:val="1"/>
    </w:pPr>
    <w:rPr>
      <w:rFonts w:ascii="Cambria" w:hAnsi="Cambria" w:cs="Cambria"/>
      <w:b/>
      <w:i/>
      <w:sz w:val="28"/>
      <w:szCs w:val="28"/>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rPr>
      <w:rFonts w:ascii="Times New Roman" w:hAnsi="Times New Roman"/>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Times New Roman" w:hAnsi="Times New Roma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qFormat/>
    <w:rPr>
      <w:rFonts w:ascii="Times New Roman" w:eastAsia="SimSun" w:hAnsi="Times New Roman" w:cs="Times New Roman"/>
      <w:b/>
      <w:sz w:val="21"/>
    </w:rPr>
  </w:style>
  <w:style w:type="character" w:customStyle="1" w:styleId="FooterChar">
    <w:name w:val="Footer Char"/>
    <w:basedOn w:val="DefaultParagraphFont"/>
    <w:link w:val="Footer"/>
    <w:uiPriority w:val="99"/>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5435</Words>
  <Characters>30986</Characters>
  <Application>Microsoft Office Word</Application>
  <DocSecurity>0</DocSecurity>
  <Lines>258</Lines>
  <Paragraphs>72</Paragraphs>
  <ScaleCrop>false</ScaleCrop>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W6501</dc:creator>
  <cp:lastModifiedBy>olamilekan ibrahim</cp:lastModifiedBy>
  <cp:revision>5</cp:revision>
  <dcterms:created xsi:type="dcterms:W3CDTF">2025-07-08T20:13:00Z</dcterms:created>
  <dcterms:modified xsi:type="dcterms:W3CDTF">2025-07-09T09:50:00Z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166144863ed44688ac94e80855dd40d1</vt:lpwstr>
  </property>
</Properties>
</file>