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0F" w:rsidRPr="00FA7FBF" w:rsidRDefault="00AF250F" w:rsidP="00AF250F">
      <w:pPr>
        <w:spacing w:after="0"/>
        <w:jc w:val="center"/>
        <w:rPr>
          <w:rFonts w:ascii="Bookman Old Style" w:hAnsi="Bookman Old Style" w:cs="Times New Roman"/>
          <w:b/>
          <w:sz w:val="40"/>
          <w:szCs w:val="40"/>
        </w:rPr>
      </w:pPr>
      <w:r w:rsidRPr="00A36E5F">
        <w:rPr>
          <w:rFonts w:ascii="Bookman Old Style" w:hAnsi="Bookman Old Style" w:cs="Times New Roman"/>
          <w:b/>
          <w:sz w:val="42"/>
          <w:szCs w:val="42"/>
        </w:rPr>
        <w:t xml:space="preserve">MICROBIAL EXAMINATION OF UTENSILS IN FEMALE TOILETS </w:t>
      </w:r>
    </w:p>
    <w:p w:rsidR="00AF250F" w:rsidRDefault="00AF250F" w:rsidP="00AF250F">
      <w:pPr>
        <w:spacing w:after="0" w:line="480" w:lineRule="auto"/>
        <w:jc w:val="center"/>
        <w:rPr>
          <w:rFonts w:ascii="Monotype Corsiva" w:eastAsia="Calibri" w:hAnsi="Monotype Corsiva"/>
          <w:b/>
          <w:sz w:val="50"/>
          <w:szCs w:val="28"/>
        </w:rPr>
      </w:pPr>
    </w:p>
    <w:p w:rsidR="00AF250F" w:rsidRDefault="00AF250F" w:rsidP="00AF250F">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AF250F" w:rsidRPr="00AF250F" w:rsidRDefault="00AF250F" w:rsidP="00AF250F">
      <w:pPr>
        <w:spacing w:after="0" w:line="240" w:lineRule="auto"/>
        <w:jc w:val="center"/>
        <w:rPr>
          <w:rFonts w:asciiTheme="majorBidi" w:eastAsia="Calibri" w:hAnsiTheme="majorBidi" w:cstheme="majorBidi"/>
          <w:b/>
          <w:sz w:val="32"/>
          <w:szCs w:val="30"/>
        </w:rPr>
      </w:pPr>
      <w:r w:rsidRPr="00AF250F">
        <w:rPr>
          <w:rFonts w:asciiTheme="majorBidi" w:eastAsia="Calibri" w:hAnsiTheme="majorBidi" w:cstheme="majorBidi"/>
          <w:b/>
          <w:sz w:val="40"/>
          <w:szCs w:val="38"/>
        </w:rPr>
        <w:t>SOKOYA OPEYEMI ABISOYE</w:t>
      </w:r>
    </w:p>
    <w:p w:rsidR="00AF250F" w:rsidRPr="000028C3" w:rsidRDefault="00AF250F" w:rsidP="00AF250F">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HND/23/SLT/FT/1108</w:t>
      </w:r>
    </w:p>
    <w:p w:rsidR="00AF250F" w:rsidRPr="00B66C26" w:rsidRDefault="00AF250F" w:rsidP="00AF250F">
      <w:pPr>
        <w:spacing w:after="0" w:line="360" w:lineRule="auto"/>
        <w:jc w:val="both"/>
        <w:rPr>
          <w:rFonts w:ascii="Bookman Old Style" w:eastAsia="Calibri" w:hAnsi="Bookman Old Style"/>
          <w:b/>
          <w:sz w:val="28"/>
          <w:szCs w:val="28"/>
        </w:rPr>
      </w:pPr>
    </w:p>
    <w:p w:rsidR="00AF250F" w:rsidRDefault="00AF250F" w:rsidP="00AF250F">
      <w:pPr>
        <w:tabs>
          <w:tab w:val="left" w:pos="1815"/>
        </w:tabs>
        <w:spacing w:after="0" w:line="480" w:lineRule="auto"/>
        <w:jc w:val="center"/>
        <w:rPr>
          <w:rFonts w:ascii="Bookman Old Style" w:eastAsia="Calibri" w:hAnsi="Bookman Old Style"/>
          <w:b/>
          <w:sz w:val="12"/>
          <w:szCs w:val="28"/>
        </w:rPr>
      </w:pPr>
    </w:p>
    <w:p w:rsidR="00AF250F" w:rsidRPr="004662F1" w:rsidRDefault="00AF250F" w:rsidP="00AF250F">
      <w:pPr>
        <w:tabs>
          <w:tab w:val="left" w:pos="1815"/>
        </w:tabs>
        <w:spacing w:after="0" w:line="480" w:lineRule="auto"/>
        <w:jc w:val="center"/>
        <w:rPr>
          <w:rFonts w:ascii="Bookman Old Style" w:eastAsia="Calibri" w:hAnsi="Bookman Old Style"/>
          <w:b/>
          <w:sz w:val="12"/>
          <w:szCs w:val="28"/>
        </w:rPr>
      </w:pPr>
    </w:p>
    <w:p w:rsidR="00AF250F" w:rsidRPr="000028C3" w:rsidRDefault="00AF250F" w:rsidP="00AF250F">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rsidR="00AF250F" w:rsidRDefault="00AF250F" w:rsidP="00AF250F">
      <w:pPr>
        <w:spacing w:after="0"/>
        <w:rPr>
          <w:rFonts w:asciiTheme="majorBidi" w:eastAsia="Calibri" w:hAnsiTheme="majorBidi" w:cstheme="majorBidi"/>
          <w:b/>
          <w:sz w:val="18"/>
          <w:szCs w:val="28"/>
        </w:rPr>
      </w:pPr>
    </w:p>
    <w:p w:rsidR="00AF250F" w:rsidRPr="007D1A8D" w:rsidRDefault="00AF250F" w:rsidP="00AF250F">
      <w:pPr>
        <w:spacing w:after="0"/>
        <w:rPr>
          <w:rFonts w:asciiTheme="majorBidi" w:eastAsia="Calibri" w:hAnsiTheme="majorBidi" w:cstheme="majorBidi"/>
          <w:b/>
          <w:sz w:val="18"/>
          <w:szCs w:val="28"/>
        </w:rPr>
      </w:pPr>
    </w:p>
    <w:p w:rsidR="00AF250F" w:rsidRPr="00FA7FBF" w:rsidRDefault="00AF250F" w:rsidP="00AF250F">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rsidR="00AF250F" w:rsidRPr="00FA7FBF" w:rsidRDefault="00AF250F" w:rsidP="00AF250F">
      <w:pPr>
        <w:spacing w:after="0"/>
        <w:jc w:val="center"/>
        <w:rPr>
          <w:rFonts w:asciiTheme="majorBidi" w:eastAsia="Calibri" w:hAnsiTheme="majorBidi" w:cstheme="majorBidi"/>
          <w:b/>
          <w:sz w:val="28"/>
          <w:szCs w:val="30"/>
        </w:rPr>
      </w:pPr>
      <w:proofErr w:type="gramStart"/>
      <w:r w:rsidRPr="00FA7FBF">
        <w:rPr>
          <w:rFonts w:asciiTheme="majorBidi" w:eastAsia="Calibri" w:hAnsiTheme="majorBidi" w:cstheme="majorBidi"/>
          <w:b/>
          <w:sz w:val="28"/>
          <w:szCs w:val="30"/>
        </w:rPr>
        <w:t>SCIENCE LABORATORY TECHNOLOGY.</w:t>
      </w:r>
      <w:proofErr w:type="gramEnd"/>
    </w:p>
    <w:p w:rsidR="00AF250F" w:rsidRPr="007D1A8D" w:rsidRDefault="00AF250F" w:rsidP="00AF250F">
      <w:pPr>
        <w:spacing w:after="0" w:line="240" w:lineRule="auto"/>
        <w:jc w:val="center"/>
        <w:rPr>
          <w:rFonts w:asciiTheme="majorBidi" w:eastAsia="Calibri" w:hAnsiTheme="majorBidi" w:cstheme="majorBidi"/>
          <w:b/>
          <w:sz w:val="28"/>
          <w:szCs w:val="28"/>
        </w:rPr>
      </w:pPr>
    </w:p>
    <w:p w:rsidR="00AF250F" w:rsidRDefault="00AF250F" w:rsidP="00AF250F">
      <w:pPr>
        <w:spacing w:after="0" w:line="240" w:lineRule="auto"/>
        <w:jc w:val="right"/>
        <w:rPr>
          <w:rFonts w:asciiTheme="majorBidi" w:eastAsia="Calibri" w:hAnsiTheme="majorBidi" w:cstheme="majorBidi"/>
          <w:b/>
          <w:sz w:val="28"/>
          <w:szCs w:val="28"/>
        </w:rPr>
      </w:pPr>
    </w:p>
    <w:p w:rsidR="00AF250F" w:rsidRPr="007D1A8D" w:rsidRDefault="00AF250F" w:rsidP="00AF250F">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rsidR="00AF250F" w:rsidRDefault="00AF250F" w:rsidP="00AF250F">
      <w:pPr>
        <w:rPr>
          <w:rFonts w:ascii="Bookman Old Style" w:eastAsia="Calibri" w:hAnsi="Bookman Old Style"/>
          <w:b/>
          <w:sz w:val="28"/>
          <w:szCs w:val="28"/>
        </w:rPr>
      </w:pPr>
      <w:r>
        <w:rPr>
          <w:rFonts w:ascii="Bookman Old Style" w:eastAsia="Calibri" w:hAnsi="Bookman Old Style"/>
          <w:b/>
          <w:sz w:val="28"/>
          <w:szCs w:val="28"/>
        </w:rPr>
        <w:br w:type="page"/>
      </w:r>
    </w:p>
    <w:p w:rsidR="00AF250F" w:rsidRPr="007D1A8D" w:rsidRDefault="00AF250F" w:rsidP="00AF250F">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AF250F" w:rsidRPr="007D1A8D" w:rsidRDefault="00AF250F" w:rsidP="00AF250F">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proofErr w:type="spellStart"/>
      <w:r>
        <w:rPr>
          <w:rFonts w:ascii="Times New Roman" w:eastAsia="Calibri" w:hAnsi="Times New Roman"/>
          <w:sz w:val="24"/>
          <w:szCs w:val="24"/>
        </w:rPr>
        <w:t>Sokoya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Opeyemi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Abisoye</w:t>
      </w:r>
      <w:proofErr w:type="spellEnd"/>
      <w:r>
        <w:rPr>
          <w:rFonts w:ascii="Times New Roman" w:eastAsia="Calibri" w:hAnsi="Times New Roman"/>
          <w:sz w:val="24"/>
          <w:szCs w:val="24"/>
        </w:rPr>
        <w:t xml:space="preserve"> with </w:t>
      </w:r>
      <w:proofErr w:type="spellStart"/>
      <w:r>
        <w:rPr>
          <w:rFonts w:ascii="Times New Roman" w:eastAsia="Calibri" w:hAnsi="Times New Roman"/>
          <w:sz w:val="24"/>
          <w:szCs w:val="24"/>
        </w:rPr>
        <w:t>matric</w:t>
      </w:r>
      <w:proofErr w:type="spellEnd"/>
      <w:r>
        <w:rPr>
          <w:rFonts w:ascii="Times New Roman" w:eastAsia="Calibri" w:hAnsi="Times New Roman"/>
          <w:sz w:val="24"/>
          <w:szCs w:val="24"/>
        </w:rPr>
        <w:t xml:space="preserve"> Number HND/23/SLT/FT/1108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AF250F" w:rsidRPr="007D1A8D" w:rsidRDefault="00AF250F" w:rsidP="00AF250F">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MS.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AF250F" w:rsidRPr="007D1A8D" w:rsidRDefault="00AF250F" w:rsidP="00AF250F">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AF250F" w:rsidRPr="007D1A8D" w:rsidRDefault="00AF250F" w:rsidP="00AF250F">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AF250F" w:rsidRPr="007D1A8D" w:rsidRDefault="00AF250F" w:rsidP="00AF250F">
      <w:pPr>
        <w:spacing w:after="0" w:line="240" w:lineRule="auto"/>
        <w:jc w:val="both"/>
        <w:rPr>
          <w:rFonts w:ascii="Times New Roman" w:eastAsia="Calibri" w:hAnsi="Times New Roman"/>
          <w:sz w:val="24"/>
          <w:szCs w:val="24"/>
        </w:rPr>
      </w:pPr>
    </w:p>
    <w:p w:rsidR="00AF250F" w:rsidRDefault="00AF250F" w:rsidP="00AF250F">
      <w:pPr>
        <w:spacing w:line="240" w:lineRule="auto"/>
        <w:rPr>
          <w:rFonts w:ascii="Times New Roman" w:eastAsia="Calibri" w:hAnsi="Times New Roman"/>
          <w:b/>
          <w:sz w:val="24"/>
          <w:szCs w:val="24"/>
        </w:rPr>
      </w:pP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AF250F" w:rsidRPr="007D1A8D" w:rsidRDefault="00AF250F" w:rsidP="00AF250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AF250F" w:rsidRPr="007D1A8D" w:rsidRDefault="00AF250F" w:rsidP="00AF250F">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AF250F" w:rsidRPr="007D1A8D" w:rsidRDefault="00AF250F" w:rsidP="00AF250F">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rsidR="00AF250F" w:rsidRPr="007D1A8D" w:rsidRDefault="00AF250F" w:rsidP="00AF250F">
      <w:pPr>
        <w:spacing w:after="0" w:line="360" w:lineRule="auto"/>
        <w:ind w:firstLine="720"/>
        <w:jc w:val="both"/>
        <w:rPr>
          <w:rFonts w:ascii="Times New Roman" w:eastAsia="Calibri" w:hAnsi="Times New Roman"/>
          <w:sz w:val="24"/>
          <w:szCs w:val="24"/>
        </w:rPr>
      </w:pPr>
      <w:r w:rsidRPr="00AF250F">
        <w:rPr>
          <w:rFonts w:ascii="Times New Roman" w:eastAsia="Calibri" w:hAnsi="Times New Roman"/>
          <w:sz w:val="24"/>
          <w:szCs w:val="24"/>
        </w:rPr>
        <w:t>This project is dedicated to your unwavering support and encouragement throughout my academic journey. Your love and belief in me have made al</w:t>
      </w:r>
      <w:r>
        <w:rPr>
          <w:rFonts w:ascii="Times New Roman" w:eastAsia="Calibri" w:hAnsi="Times New Roman"/>
          <w:sz w:val="24"/>
          <w:szCs w:val="24"/>
        </w:rPr>
        <w:t>l the no difference, w</w:t>
      </w:r>
      <w:r w:rsidRPr="00AF250F">
        <w:rPr>
          <w:rFonts w:ascii="Times New Roman" w:eastAsia="Calibri" w:hAnsi="Times New Roman"/>
          <w:sz w:val="24"/>
          <w:szCs w:val="24"/>
        </w:rPr>
        <w:t>ith love and appreciation,</w:t>
      </w:r>
    </w:p>
    <w:p w:rsidR="00AF250F" w:rsidRPr="007D1A8D" w:rsidRDefault="00AF250F" w:rsidP="00AF250F">
      <w:pPr>
        <w:spacing w:after="0" w:line="36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both"/>
        <w:rPr>
          <w:rFonts w:ascii="Times New Roman" w:eastAsia="Calibri" w:hAnsi="Times New Roman"/>
          <w:sz w:val="24"/>
          <w:szCs w:val="24"/>
        </w:rPr>
      </w:pPr>
    </w:p>
    <w:p w:rsidR="00AF250F" w:rsidRPr="007D1A8D" w:rsidRDefault="00AF250F" w:rsidP="00AF250F">
      <w:pPr>
        <w:spacing w:after="0" w:line="240" w:lineRule="auto"/>
        <w:jc w:val="center"/>
        <w:rPr>
          <w:rFonts w:ascii="Times New Roman" w:eastAsia="Calibri" w:hAnsi="Times New Roman"/>
          <w:b/>
          <w:sz w:val="24"/>
          <w:szCs w:val="24"/>
        </w:rPr>
      </w:pPr>
    </w:p>
    <w:p w:rsidR="00AF250F" w:rsidRPr="007D1A8D" w:rsidRDefault="00AF250F" w:rsidP="00AF250F">
      <w:pPr>
        <w:rPr>
          <w:rFonts w:ascii="Times New Roman" w:eastAsia="Calibri" w:hAnsi="Times New Roman"/>
          <w:b/>
          <w:sz w:val="24"/>
          <w:szCs w:val="24"/>
        </w:rPr>
      </w:pPr>
      <w:r w:rsidRPr="007D1A8D">
        <w:rPr>
          <w:rFonts w:ascii="Times New Roman" w:eastAsia="Calibri" w:hAnsi="Times New Roman"/>
          <w:b/>
          <w:sz w:val="24"/>
          <w:szCs w:val="24"/>
        </w:rPr>
        <w:br w:type="page"/>
      </w:r>
    </w:p>
    <w:p w:rsidR="00AF250F" w:rsidRPr="00FA7FBF" w:rsidRDefault="00AF250F" w:rsidP="00AF250F">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lastRenderedPageBreak/>
        <w:t>ACKNOWLEDGMENTS</w:t>
      </w:r>
    </w:p>
    <w:p w:rsidR="00AF250F" w:rsidRPr="00AF250F" w:rsidRDefault="00AF250F" w:rsidP="00AF250F">
      <w:pPr>
        <w:spacing w:after="0" w:line="360" w:lineRule="auto"/>
        <w:ind w:firstLine="720"/>
        <w:jc w:val="both"/>
        <w:rPr>
          <w:rFonts w:ascii="Times New Roman" w:eastAsia="Calibri" w:hAnsi="Times New Roman"/>
          <w:sz w:val="26"/>
          <w:szCs w:val="26"/>
        </w:rPr>
      </w:pPr>
      <w:r w:rsidRPr="00AF250F">
        <w:rPr>
          <w:rFonts w:ascii="Times New Roman" w:eastAsia="Calibri" w:hAnsi="Times New Roman"/>
          <w:sz w:val="26"/>
          <w:szCs w:val="26"/>
        </w:rPr>
        <w:t>I would like to express my heartfelt gratitude to my loved ones who supported me throughout this project.</w:t>
      </w:r>
    </w:p>
    <w:p w:rsidR="00AF250F" w:rsidRPr="00AF250F" w:rsidRDefault="00AF250F" w:rsidP="00AF250F">
      <w:pPr>
        <w:spacing w:after="0" w:line="360" w:lineRule="auto"/>
        <w:ind w:firstLine="720"/>
        <w:jc w:val="both"/>
        <w:rPr>
          <w:rFonts w:ascii="Times New Roman" w:eastAsia="Calibri" w:hAnsi="Times New Roman"/>
          <w:sz w:val="26"/>
          <w:szCs w:val="26"/>
        </w:rPr>
      </w:pPr>
      <w:r w:rsidRPr="00AF250F">
        <w:rPr>
          <w:rFonts w:ascii="Times New Roman" w:eastAsia="Calibri" w:hAnsi="Times New Roman"/>
          <w:sz w:val="26"/>
          <w:szCs w:val="26"/>
        </w:rPr>
        <w:t xml:space="preserve">My first </w:t>
      </w:r>
      <w:proofErr w:type="gramStart"/>
      <w:r w:rsidRPr="00AF250F">
        <w:rPr>
          <w:rFonts w:ascii="Times New Roman" w:eastAsia="Calibri" w:hAnsi="Times New Roman"/>
          <w:sz w:val="26"/>
          <w:szCs w:val="26"/>
        </w:rPr>
        <w:t>appreciation  goes</w:t>
      </w:r>
      <w:proofErr w:type="gramEnd"/>
      <w:r w:rsidRPr="00AF250F">
        <w:rPr>
          <w:rFonts w:ascii="Times New Roman" w:eastAsia="Calibri" w:hAnsi="Times New Roman"/>
          <w:sz w:val="26"/>
          <w:szCs w:val="26"/>
        </w:rPr>
        <w:t xml:space="preserve"> to God almighty for counting me among the living souls.</w:t>
      </w:r>
      <w:r>
        <w:rPr>
          <w:rFonts w:ascii="Times New Roman" w:eastAsia="Calibri" w:hAnsi="Times New Roman"/>
          <w:sz w:val="26"/>
          <w:szCs w:val="26"/>
        </w:rPr>
        <w:t xml:space="preserve"> </w:t>
      </w:r>
      <w:r w:rsidRPr="00AF250F">
        <w:rPr>
          <w:rFonts w:ascii="Times New Roman" w:eastAsia="Calibri" w:hAnsi="Times New Roman"/>
          <w:sz w:val="26"/>
          <w:szCs w:val="26"/>
        </w:rPr>
        <w:t>To my amiable supervisor I say a big thank you for your support and time u spent with me despite the disturbance giving to you by calling you every day and night I say a big thank you once again.</w:t>
      </w:r>
    </w:p>
    <w:p w:rsidR="00AF250F" w:rsidRPr="00AF250F" w:rsidRDefault="00AF250F" w:rsidP="00AF250F">
      <w:pPr>
        <w:spacing w:after="0" w:line="360" w:lineRule="auto"/>
        <w:jc w:val="both"/>
        <w:rPr>
          <w:rFonts w:ascii="Times New Roman" w:eastAsia="Calibri" w:hAnsi="Times New Roman"/>
          <w:sz w:val="26"/>
          <w:szCs w:val="26"/>
        </w:rPr>
      </w:pPr>
      <w:r w:rsidRPr="00AF250F">
        <w:rPr>
          <w:rFonts w:ascii="Times New Roman" w:eastAsia="Calibri" w:hAnsi="Times New Roman"/>
          <w:sz w:val="26"/>
          <w:szCs w:val="26"/>
        </w:rPr>
        <w:t xml:space="preserve">To my head of unit </w:t>
      </w:r>
      <w:proofErr w:type="gramStart"/>
      <w:r w:rsidRPr="00AF250F">
        <w:rPr>
          <w:rFonts w:ascii="Times New Roman" w:eastAsia="Calibri" w:hAnsi="Times New Roman"/>
          <w:sz w:val="26"/>
          <w:szCs w:val="26"/>
        </w:rPr>
        <w:t>( HOU</w:t>
      </w:r>
      <w:proofErr w:type="gramEnd"/>
      <w:r w:rsidRPr="00AF250F">
        <w:rPr>
          <w:rFonts w:ascii="Times New Roman" w:eastAsia="Calibri" w:hAnsi="Times New Roman"/>
          <w:sz w:val="26"/>
          <w:szCs w:val="26"/>
        </w:rPr>
        <w:t xml:space="preserve">) I say a big thank you for your time during my two years program. To my head of department (HOD) thank you sir for your support and time may Almighty God continue to protect and guide </w:t>
      </w:r>
      <w:proofErr w:type="gramStart"/>
      <w:r w:rsidRPr="00AF250F">
        <w:rPr>
          <w:rFonts w:ascii="Times New Roman" w:eastAsia="Calibri" w:hAnsi="Times New Roman"/>
          <w:sz w:val="26"/>
          <w:szCs w:val="26"/>
        </w:rPr>
        <w:t>you .</w:t>
      </w:r>
      <w:proofErr w:type="gramEnd"/>
    </w:p>
    <w:p w:rsidR="00AF250F" w:rsidRPr="00AF250F" w:rsidRDefault="00AF250F" w:rsidP="00AF250F">
      <w:pPr>
        <w:spacing w:after="0" w:line="360" w:lineRule="auto"/>
        <w:ind w:firstLine="720"/>
        <w:jc w:val="both"/>
        <w:rPr>
          <w:rFonts w:ascii="Times New Roman" w:eastAsia="Calibri" w:hAnsi="Times New Roman"/>
          <w:sz w:val="26"/>
          <w:szCs w:val="26"/>
        </w:rPr>
      </w:pPr>
      <w:r w:rsidRPr="00AF250F">
        <w:rPr>
          <w:rFonts w:ascii="Times New Roman" w:eastAsia="Calibri" w:hAnsi="Times New Roman"/>
          <w:sz w:val="26"/>
          <w:szCs w:val="26"/>
        </w:rPr>
        <w:t>To my mother, your unwavering encouragement and sacrifices have been my rock. Thank you for believing in me.</w:t>
      </w:r>
    </w:p>
    <w:p w:rsidR="00AF250F" w:rsidRPr="00AF250F" w:rsidRDefault="00AF250F" w:rsidP="00AF250F">
      <w:pPr>
        <w:spacing w:after="0" w:line="360" w:lineRule="auto"/>
        <w:ind w:firstLine="720"/>
        <w:jc w:val="both"/>
        <w:rPr>
          <w:rFonts w:ascii="Times New Roman" w:eastAsia="Calibri" w:hAnsi="Times New Roman"/>
          <w:sz w:val="26"/>
          <w:szCs w:val="26"/>
        </w:rPr>
      </w:pPr>
      <w:r w:rsidRPr="00AF250F">
        <w:rPr>
          <w:rFonts w:ascii="Times New Roman" w:eastAsia="Calibri" w:hAnsi="Times New Roman"/>
          <w:sz w:val="26"/>
          <w:szCs w:val="26"/>
        </w:rPr>
        <w:t>To my sister, your support and understanding mean the world to me. I'm grateful for your love and encouragement.</w:t>
      </w:r>
    </w:p>
    <w:p w:rsidR="00AF250F" w:rsidRPr="00AF250F" w:rsidRDefault="00AF250F" w:rsidP="00AF250F">
      <w:pPr>
        <w:spacing w:after="0" w:line="360" w:lineRule="auto"/>
        <w:ind w:firstLine="720"/>
        <w:jc w:val="both"/>
        <w:rPr>
          <w:rFonts w:ascii="Times New Roman" w:eastAsia="Calibri" w:hAnsi="Times New Roman"/>
          <w:sz w:val="26"/>
          <w:szCs w:val="26"/>
        </w:rPr>
      </w:pPr>
      <w:r w:rsidRPr="00AF250F">
        <w:rPr>
          <w:rFonts w:ascii="Times New Roman" w:eastAsia="Calibri" w:hAnsi="Times New Roman"/>
          <w:sz w:val="26"/>
          <w:szCs w:val="26"/>
        </w:rPr>
        <w:t>To my husband, your patience and support have been invaluable. Thank you for being my partner in every sense.</w:t>
      </w:r>
    </w:p>
    <w:p w:rsidR="00AF250F" w:rsidRPr="00FA7FBF" w:rsidRDefault="00AF250F" w:rsidP="00AF250F">
      <w:pPr>
        <w:spacing w:after="0" w:line="360" w:lineRule="auto"/>
        <w:ind w:firstLine="720"/>
        <w:jc w:val="both"/>
        <w:rPr>
          <w:rFonts w:ascii="Times New Roman" w:hAnsi="Times New Roman"/>
          <w:sz w:val="26"/>
          <w:szCs w:val="26"/>
        </w:rPr>
      </w:pPr>
      <w:r w:rsidRPr="00AF250F">
        <w:rPr>
          <w:rFonts w:ascii="Times New Roman" w:eastAsia="Calibri" w:hAnsi="Times New Roman"/>
          <w:sz w:val="26"/>
          <w:szCs w:val="26"/>
        </w:rPr>
        <w:t>And to my precious baby, born during this journey, you brought new meaning and motivation to my life. Your presence inspired</w:t>
      </w:r>
      <w:r>
        <w:rPr>
          <w:rFonts w:ascii="Times New Roman" w:eastAsia="Calibri" w:hAnsi="Times New Roman"/>
          <w:sz w:val="26"/>
          <w:szCs w:val="26"/>
        </w:rPr>
        <w:t xml:space="preserve"> me to push through challenges</w:t>
      </w:r>
      <w:r w:rsidRPr="00AF250F">
        <w:rPr>
          <w:rFonts w:ascii="Times New Roman" w:eastAsia="Calibri" w:hAnsi="Times New Roman"/>
          <w:sz w:val="26"/>
          <w:szCs w:val="26"/>
        </w:rPr>
        <w:t xml:space="preserve"> and inspiration.</w:t>
      </w:r>
    </w:p>
    <w:p w:rsidR="00AF250F" w:rsidRDefault="00AF250F" w:rsidP="00AF250F">
      <w:pPr>
        <w:spacing w:after="200" w:line="276" w:lineRule="auto"/>
        <w:rPr>
          <w:rFonts w:asciiTheme="majorBidi" w:hAnsiTheme="majorBidi" w:cstheme="majorBidi"/>
          <w:b/>
          <w:bCs/>
          <w:sz w:val="26"/>
          <w:szCs w:val="26"/>
        </w:rPr>
      </w:pPr>
      <w:r>
        <w:rPr>
          <w:rFonts w:asciiTheme="majorBidi" w:hAnsiTheme="majorBidi" w:cstheme="majorBidi"/>
          <w:b/>
          <w:bCs/>
          <w:sz w:val="26"/>
          <w:szCs w:val="26"/>
        </w:rPr>
        <w:br w:type="page"/>
      </w:r>
    </w:p>
    <w:p w:rsidR="00AF250F" w:rsidRPr="00A70B6E" w:rsidRDefault="00AF250F" w:rsidP="00AF250F">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AF250F" w:rsidRPr="00FA7FBF" w:rsidRDefault="00AF250F" w:rsidP="00AF250F">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collected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AF250F" w:rsidRPr="00FA7FBF" w:rsidRDefault="00AF250F" w:rsidP="00AF250F">
      <w:pPr>
        <w:rPr>
          <w:rFonts w:ascii="Times New Roman" w:hAnsi="Times New Roman"/>
          <w:b/>
          <w:sz w:val="24"/>
          <w:szCs w:val="24"/>
        </w:rPr>
      </w:pPr>
      <w:r w:rsidRPr="00FA7FBF">
        <w:rPr>
          <w:rFonts w:ascii="Times New Roman" w:hAnsi="Times New Roman"/>
          <w:b/>
          <w:sz w:val="24"/>
          <w:szCs w:val="24"/>
        </w:rPr>
        <w:br w:type="page"/>
      </w:r>
    </w:p>
    <w:p w:rsidR="00AF250F" w:rsidRPr="007D1A8D" w:rsidRDefault="00AF250F" w:rsidP="00AF250F">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AF250F" w:rsidRPr="007D1A8D"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AF250F" w:rsidRPr="007D1A8D"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F250F" w:rsidRPr="007D1A8D"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AF250F" w:rsidRPr="007D1A8D"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AF250F" w:rsidRDefault="00AF250F" w:rsidP="00AF250F">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AF250F" w:rsidRDefault="00AF250F" w:rsidP="00AF250F">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AF250F" w:rsidRPr="007D1A8D" w:rsidRDefault="00AF250F" w:rsidP="00AF250F">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AF250F" w:rsidRPr="007D1A8D" w:rsidRDefault="00AF250F" w:rsidP="00AF250F">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AF250F" w:rsidRDefault="00AF250F" w:rsidP="00AF250F">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AF250F" w:rsidRPr="00FA7FBF" w:rsidRDefault="00AF250F" w:rsidP="00AF250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AF250F" w:rsidRPr="00FA7FBF" w:rsidRDefault="00AF250F" w:rsidP="00AF250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AF250F" w:rsidRPr="00FA7FBF" w:rsidRDefault="00AF250F" w:rsidP="00AF250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AF250F" w:rsidRPr="00FA7FBF" w:rsidRDefault="00AF250F" w:rsidP="00AF250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AF250F" w:rsidRPr="00FA7FBF" w:rsidRDefault="00AF250F" w:rsidP="00AF250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AF250F" w:rsidRPr="007D1A8D" w:rsidRDefault="00AF250F" w:rsidP="00AF250F">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AF250F" w:rsidRPr="007D1A8D" w:rsidRDefault="00AF250F" w:rsidP="00AF250F">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AF250F"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AF250F" w:rsidRPr="007D1A8D" w:rsidRDefault="00AF250F" w:rsidP="00AF250F">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AF250F" w:rsidRPr="004035FF" w:rsidRDefault="00AF250F" w:rsidP="00AF250F">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AF250F" w:rsidRPr="007D1A8D" w:rsidRDefault="00AF250F" w:rsidP="00AF250F">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AF250F" w:rsidRPr="007D1A8D" w:rsidRDefault="00AF250F" w:rsidP="00AF250F">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AF250F" w:rsidRPr="007D1A8D" w:rsidRDefault="00AF250F" w:rsidP="00AF250F">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F250F" w:rsidRDefault="00AF250F" w:rsidP="00AF250F">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AF250F" w:rsidRDefault="00AF250F" w:rsidP="00AF250F">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AF250F" w:rsidRPr="007D1A8D" w:rsidRDefault="00AF250F" w:rsidP="00AF250F">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AF250F" w:rsidRPr="007D1A8D" w:rsidRDefault="00AF250F" w:rsidP="00AF250F">
      <w:pPr>
        <w:spacing w:after="0" w:line="360" w:lineRule="auto"/>
        <w:jc w:val="both"/>
        <w:rPr>
          <w:rFonts w:ascii="Times New Roman" w:hAnsi="Times New Roman"/>
          <w:sz w:val="24"/>
          <w:szCs w:val="24"/>
        </w:rPr>
      </w:pPr>
    </w:p>
    <w:p w:rsidR="00AF250F" w:rsidRDefault="00AF250F" w:rsidP="00AF250F">
      <w:pPr>
        <w:rPr>
          <w:rFonts w:ascii="Times New Roman" w:hAnsi="Times New Roman"/>
          <w:b/>
          <w:sz w:val="24"/>
          <w:szCs w:val="24"/>
        </w:rPr>
      </w:pPr>
      <w:r>
        <w:rPr>
          <w:rFonts w:ascii="Times New Roman" w:hAnsi="Times New Roman"/>
          <w:b/>
          <w:sz w:val="24"/>
          <w:szCs w:val="24"/>
        </w:rPr>
        <w:br w:type="page"/>
      </w:r>
    </w:p>
    <w:p w:rsidR="00AF250F" w:rsidRPr="007D1A8D" w:rsidRDefault="00AF250F" w:rsidP="00AF250F">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AF250F" w:rsidRPr="00FA7FBF" w:rsidRDefault="00AF250F" w:rsidP="00AF250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AF250F" w:rsidRPr="00FA7FBF" w:rsidRDefault="00AF250F" w:rsidP="00AF250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AF250F" w:rsidRPr="00FA7FBF" w:rsidRDefault="00AF250F" w:rsidP="00AF250F">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AF250F" w:rsidRPr="00FA7FBF" w:rsidRDefault="00AF250F" w:rsidP="00AF250F">
      <w:pPr>
        <w:spacing w:after="0" w:line="360" w:lineRule="auto"/>
        <w:rPr>
          <w:sz w:val="24"/>
          <w:szCs w:val="24"/>
        </w:rPr>
        <w:sectPr w:rsidR="00AF250F" w:rsidRPr="00FA7FBF" w:rsidSect="00D00EE5">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AF250F" w:rsidRPr="0043508D" w:rsidRDefault="00AF250F" w:rsidP="00AF250F">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AF250F" w:rsidRPr="0043508D" w:rsidRDefault="00AF250F" w:rsidP="00AF250F">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AF250F" w:rsidRPr="0043508D" w:rsidRDefault="00AF250F" w:rsidP="00AF250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AF250F" w:rsidRDefault="00AF250F" w:rsidP="00AF250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AF250F" w:rsidRPr="0043508D" w:rsidRDefault="00AF250F" w:rsidP="00AF250F">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AF250F" w:rsidRPr="0043508D" w:rsidRDefault="00AF250F" w:rsidP="00AF250F">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AF250F"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AF250F"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AF250F" w:rsidRPr="0043508D" w:rsidRDefault="00AF250F" w:rsidP="00AF250F">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AF250F" w:rsidRPr="0043508D" w:rsidRDefault="00AF250F" w:rsidP="00AF250F">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AF250F" w:rsidRPr="0043508D" w:rsidRDefault="00AF250F" w:rsidP="00AF250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AF250F" w:rsidRDefault="00AF250F" w:rsidP="00AF250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AF250F" w:rsidRPr="0043508D" w:rsidRDefault="00AF250F" w:rsidP="00AF250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AF250F" w:rsidRPr="0043508D" w:rsidRDefault="00AF250F" w:rsidP="00AF250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AF250F" w:rsidRPr="0043508D" w:rsidRDefault="00AF250F" w:rsidP="00AF250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AF250F" w:rsidRPr="0043508D" w:rsidRDefault="00AF250F" w:rsidP="00AF250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AF250F" w:rsidRPr="0043508D" w:rsidRDefault="00AF250F" w:rsidP="00AF250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AF250F" w:rsidRPr="0043508D" w:rsidRDefault="00AF250F" w:rsidP="00AF250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AF250F" w:rsidRPr="0043508D"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AF250F" w:rsidRDefault="00AF250F" w:rsidP="00AF250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AF250F" w:rsidRPr="0043508D" w:rsidRDefault="00AF250F" w:rsidP="00AF250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AF250F" w:rsidRPr="0043508D" w:rsidRDefault="00AF250F" w:rsidP="00AF250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AF250F" w:rsidRPr="0043508D" w:rsidRDefault="00AF250F" w:rsidP="00AF250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AF250F" w:rsidRPr="0043508D" w:rsidRDefault="00AF250F" w:rsidP="00AF250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AF250F" w:rsidRPr="0043508D" w:rsidRDefault="00AF250F" w:rsidP="00AF250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AF250F" w:rsidRDefault="00AF250F" w:rsidP="00AF250F">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AF250F" w:rsidRDefault="00AF250F" w:rsidP="00AF250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AF250F" w:rsidRPr="00F94BA1" w:rsidRDefault="00AF250F" w:rsidP="00AF250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AF250F" w:rsidRPr="00F94BA1" w:rsidRDefault="00AF250F" w:rsidP="00AF250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AF250F"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AF250F"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AF250F" w:rsidRDefault="00AF250F" w:rsidP="00AF250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AF250F" w:rsidRPr="00645A81" w:rsidRDefault="00AF250F" w:rsidP="00AF250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AF250F" w:rsidRDefault="00AF250F" w:rsidP="00AF250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AF250F" w:rsidRPr="00645A81" w:rsidRDefault="00AF250F" w:rsidP="00AF250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AF250F" w:rsidRPr="00645A81" w:rsidRDefault="00AF250F" w:rsidP="00AF250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AF250F"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AF250F"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AF250F" w:rsidRPr="00866680" w:rsidRDefault="00AF250F" w:rsidP="00AF250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AF250F" w:rsidRPr="00F94BA1"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AF250F" w:rsidRDefault="00AF250F" w:rsidP="00AF250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AF250F" w:rsidRDefault="00AF250F" w:rsidP="00AF250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AF250F" w:rsidRDefault="00AF250F" w:rsidP="00AF250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AF250F" w:rsidRPr="00866680" w:rsidRDefault="00AF250F" w:rsidP="00AF250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AF250F" w:rsidRPr="00645A81" w:rsidRDefault="00AF250F" w:rsidP="00AF250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AF250F" w:rsidRPr="00F94BA1" w:rsidRDefault="00AF250F" w:rsidP="00AF250F">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p>
    <w:p w:rsidR="00AF250F" w:rsidRPr="00F94BA1" w:rsidRDefault="00AF250F" w:rsidP="00AF250F">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AF250F" w:rsidRPr="00F94BA1" w:rsidRDefault="00AF250F" w:rsidP="00AF250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AF250F" w:rsidRPr="00015DC4" w:rsidRDefault="00AF250F" w:rsidP="00AF250F">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AF250F" w:rsidRPr="00015DC4" w:rsidRDefault="00AF250F" w:rsidP="00AF250F">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AF250F" w:rsidRDefault="00AF250F" w:rsidP="00AF250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AF250F" w:rsidRDefault="00AF250F" w:rsidP="00AF250F">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AF250F" w:rsidRPr="00015DC4" w:rsidRDefault="00AF250F" w:rsidP="00AF250F">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AF250F" w:rsidRPr="00015DC4" w:rsidRDefault="00AF250F" w:rsidP="00AF250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AF250F" w:rsidRPr="00015DC4" w:rsidRDefault="00AF250F" w:rsidP="00AF250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AF250F" w:rsidRPr="00015DC4" w:rsidRDefault="00AF250F" w:rsidP="00AF250F">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AF250F" w:rsidRPr="00015DC4" w:rsidRDefault="00AF250F" w:rsidP="00AF250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AF250F" w:rsidRPr="00015DC4" w:rsidRDefault="00AF250F" w:rsidP="00AF250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AF250F" w:rsidRPr="00015DC4" w:rsidRDefault="00AF250F" w:rsidP="00AF250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AF250F" w:rsidRPr="00015DC4" w:rsidRDefault="00AF250F" w:rsidP="00AF250F">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AF250F" w:rsidRPr="00015DC4" w:rsidRDefault="00AF250F" w:rsidP="00AF250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AF250F" w:rsidRPr="00015DC4" w:rsidRDefault="00AF250F" w:rsidP="00AF250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AF250F" w:rsidRPr="00015DC4" w:rsidRDefault="00AF250F" w:rsidP="00AF250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AF250F" w:rsidRPr="00015DC4" w:rsidRDefault="00AF250F" w:rsidP="00AF250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AF250F" w:rsidRPr="00015DC4" w:rsidRDefault="00AF250F" w:rsidP="00AF250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AF250F" w:rsidRPr="00015DC4" w:rsidRDefault="00AF250F" w:rsidP="00AF250F">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AF250F" w:rsidRPr="00015DC4" w:rsidRDefault="00AF250F" w:rsidP="00AF250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AF250F" w:rsidRPr="00015DC4" w:rsidRDefault="00AF250F" w:rsidP="00AF250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AF250F" w:rsidRPr="00015DC4"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AF250F" w:rsidRPr="00015DC4" w:rsidRDefault="00AF250F" w:rsidP="00AF250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AF250F" w:rsidRPr="00015DC4" w:rsidRDefault="00AF250F" w:rsidP="00AF250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AF250F" w:rsidRDefault="00AF250F" w:rsidP="00AF250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AF250F" w:rsidRDefault="00AF250F" w:rsidP="00AF250F"/>
    <w:p w:rsidR="00AF250F" w:rsidRDefault="00AF250F" w:rsidP="00AF250F">
      <w:r>
        <w:br w:type="page"/>
      </w:r>
    </w:p>
    <w:p w:rsidR="00AF250F" w:rsidRPr="00FA7FBF" w:rsidRDefault="00AF250F" w:rsidP="00AF250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AF250F" w:rsidRPr="00FA7FBF" w:rsidRDefault="00AF250F" w:rsidP="00AF250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AF250F" w:rsidRPr="00FA7FBF" w:rsidRDefault="00AF250F" w:rsidP="00AF250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AF250F" w:rsidRPr="00FA7FBF" w:rsidRDefault="00AF250F" w:rsidP="00AF250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AF250F" w:rsidRPr="00FA7FBF" w:rsidRDefault="00AF250F" w:rsidP="00AF250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AF250F" w:rsidRPr="00FA7FBF" w:rsidRDefault="00AF250F" w:rsidP="00AF250F">
      <w:pPr>
        <w:pStyle w:val="BodyText1"/>
        <w:shd w:val="clear" w:color="auto" w:fill="auto"/>
        <w:spacing w:line="360" w:lineRule="auto"/>
        <w:ind w:left="40" w:right="20" w:firstLine="760"/>
        <w:rPr>
          <w:rFonts w:asciiTheme="majorBidi" w:hAnsiTheme="majorBidi" w:cstheme="majorBidi"/>
          <w:sz w:val="26"/>
          <w:szCs w:val="26"/>
        </w:rPr>
        <w:sectPr w:rsidR="00AF250F"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AF250F" w:rsidRPr="00FA7FBF" w:rsidRDefault="00AF250F" w:rsidP="00AF250F">
      <w:pPr>
        <w:rPr>
          <w:rFonts w:asciiTheme="majorBidi" w:hAnsiTheme="majorBidi" w:cstheme="majorBidi"/>
          <w:sz w:val="26"/>
          <w:szCs w:val="26"/>
        </w:rPr>
      </w:pPr>
    </w:p>
    <w:p w:rsidR="00AF250F" w:rsidRPr="00FA7FBF" w:rsidRDefault="00AF250F" w:rsidP="00AF250F">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761"/>
        <w:gridCol w:w="781"/>
        <w:gridCol w:w="878"/>
        <w:gridCol w:w="1929"/>
      </w:tblGrid>
      <w:tr w:rsidR="00AF250F" w:rsidRPr="00FA7FBF" w:rsidTr="00083FB8">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AF250F" w:rsidRPr="00FA7FBF" w:rsidTr="00083FB8">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rPr>
                <w:rFonts w:asciiTheme="majorBidi" w:hAnsiTheme="majorBidi" w:cstheme="majorBidi"/>
                <w:sz w:val="26"/>
                <w:szCs w:val="26"/>
              </w:rPr>
            </w:pPr>
          </w:p>
        </w:tc>
      </w:tr>
      <w:tr w:rsidR="00AF250F" w:rsidRPr="00FA7FBF" w:rsidTr="00083FB8">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AF250F" w:rsidRPr="00FA7FBF" w:rsidTr="00083FB8">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AF250F" w:rsidRPr="00FA7FBF" w:rsidTr="00083FB8">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AF250F" w:rsidRPr="00FA7FBF" w:rsidTr="00083FB8">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AF250F" w:rsidRPr="00FA7FBF" w:rsidRDefault="00AF250F" w:rsidP="00AF250F">
      <w:pPr>
        <w:rPr>
          <w:rFonts w:asciiTheme="majorBidi" w:hAnsiTheme="majorBidi" w:cstheme="majorBidi"/>
          <w:sz w:val="26"/>
          <w:szCs w:val="26"/>
        </w:rPr>
        <w:sectPr w:rsidR="00AF250F" w:rsidRPr="00FA7FBF" w:rsidSect="00FA7FBF">
          <w:type w:val="nextColumn"/>
          <w:pgSz w:w="11520" w:h="14400" w:code="9"/>
          <w:pgMar w:top="1440" w:right="1440" w:bottom="1440" w:left="1872" w:header="720" w:footer="720" w:gutter="0"/>
          <w:cols w:space="720"/>
          <w:noEndnote/>
          <w:docGrid w:linePitch="360"/>
        </w:sectPr>
      </w:pPr>
    </w:p>
    <w:p w:rsidR="00AF250F" w:rsidRPr="00FA7FBF" w:rsidRDefault="00AF250F" w:rsidP="00AF250F">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AF250F" w:rsidRPr="00FA7FBF" w:rsidRDefault="00AF250F" w:rsidP="00AF250F">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AF250F" w:rsidRPr="00FA7FBF" w:rsidRDefault="00AF250F" w:rsidP="00AF250F">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AF250F" w:rsidRPr="00FA7FBF" w:rsidRDefault="00AF250F" w:rsidP="00AF250F">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AF250F" w:rsidRPr="00FA7FBF" w:rsidRDefault="00AF250F" w:rsidP="00AF250F">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AF250F" w:rsidRPr="00FA7FBF" w:rsidRDefault="00AF250F" w:rsidP="00AF250F">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AF250F" w:rsidRPr="00FA7FBF" w:rsidRDefault="00AF250F" w:rsidP="00AF250F">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AF250F" w:rsidRPr="00FA7FBF" w:rsidRDefault="00AF250F" w:rsidP="00AF250F">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AF250F" w:rsidRPr="00FA7FBF" w:rsidRDefault="00AF250F" w:rsidP="00AF250F">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AF250F" w:rsidRPr="00FA7FBF" w:rsidRDefault="00AF250F" w:rsidP="00AF250F">
      <w:pPr>
        <w:pStyle w:val="BodyText1"/>
        <w:shd w:val="clear" w:color="auto" w:fill="auto"/>
        <w:spacing w:line="652" w:lineRule="exact"/>
        <w:ind w:left="20" w:right="320" w:firstLine="740"/>
        <w:rPr>
          <w:rFonts w:asciiTheme="majorBidi" w:hAnsiTheme="majorBidi" w:cstheme="majorBidi"/>
          <w:sz w:val="26"/>
          <w:szCs w:val="26"/>
        </w:rPr>
        <w:sectPr w:rsidR="00AF250F"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AF250F" w:rsidRPr="00FA7FBF" w:rsidTr="00083FB8">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AF250F" w:rsidRPr="00FA7FBF" w:rsidRDefault="00AF250F"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AF250F" w:rsidRPr="00FA7FBF" w:rsidRDefault="00AF250F"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AF250F" w:rsidRPr="00FA7FBF" w:rsidTr="00083FB8">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AF250F" w:rsidRPr="00FA7FBF" w:rsidTr="00083FB8">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AF250F" w:rsidRPr="00FA7FBF" w:rsidTr="00083FB8">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AF250F" w:rsidRPr="00FA7FBF" w:rsidTr="00083FB8">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AF250F" w:rsidRPr="00FA7FBF" w:rsidRDefault="00AF250F" w:rsidP="00AF250F">
      <w:pPr>
        <w:rPr>
          <w:rFonts w:asciiTheme="majorBidi" w:hAnsiTheme="majorBidi" w:cstheme="majorBidi"/>
          <w:sz w:val="26"/>
          <w:szCs w:val="26"/>
        </w:rPr>
        <w:sectPr w:rsidR="00AF250F" w:rsidRPr="00FA7FBF" w:rsidSect="00FA7FBF">
          <w:type w:val="nextColumn"/>
          <w:pgSz w:w="11520" w:h="14400" w:code="9"/>
          <w:pgMar w:top="1440" w:right="1440" w:bottom="1440" w:left="1872" w:header="0" w:footer="0" w:gutter="0"/>
          <w:cols w:space="720"/>
          <w:noEndnote/>
          <w:docGrid w:linePitch="360"/>
        </w:sectPr>
      </w:pPr>
    </w:p>
    <w:p w:rsidR="00AF250F" w:rsidRPr="00FA7FBF" w:rsidRDefault="00AF250F" w:rsidP="00AF250F">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AF250F" w:rsidRPr="00FA7FBF" w:rsidRDefault="00AF250F" w:rsidP="00AF250F">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AF250F" w:rsidRPr="00FA7FBF" w:rsidRDefault="00AF250F" w:rsidP="00AF250F">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AF250F" w:rsidRPr="00FA7FBF" w:rsidRDefault="00AF250F" w:rsidP="00AF250F">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AF250F" w:rsidRPr="00FA7FBF" w:rsidRDefault="00AF250F" w:rsidP="00AF250F">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AF250F" w:rsidRPr="00FA7FBF" w:rsidRDefault="00AF250F" w:rsidP="00AF250F">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AF250F" w:rsidRPr="00FA7FBF" w:rsidRDefault="00AF250F" w:rsidP="00AF250F">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AF250F" w:rsidRDefault="00AF250F" w:rsidP="00AF250F">
      <w:pPr>
        <w:rPr>
          <w:rFonts w:asciiTheme="majorBidi" w:hAnsiTheme="majorBidi" w:cstheme="majorBidi"/>
          <w:sz w:val="26"/>
          <w:szCs w:val="26"/>
        </w:rPr>
      </w:pPr>
      <w:r>
        <w:rPr>
          <w:rFonts w:asciiTheme="majorBidi" w:hAnsiTheme="majorBidi" w:cstheme="majorBidi"/>
          <w:sz w:val="26"/>
          <w:szCs w:val="26"/>
        </w:rPr>
        <w:br w:type="page"/>
      </w:r>
    </w:p>
    <w:p w:rsidR="00AF250F" w:rsidRPr="00FA7FBF" w:rsidRDefault="00AF250F" w:rsidP="00AF250F">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AF250F" w:rsidRPr="00FA7FBF" w:rsidTr="00083FB8">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AF250F" w:rsidRPr="00FA7FBF" w:rsidTr="00083FB8">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AF250F" w:rsidRPr="00FA7FBF" w:rsidTr="00083FB8">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AF250F" w:rsidRPr="00FA7FBF" w:rsidRDefault="00AF250F"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AF250F" w:rsidRPr="00FA7FBF" w:rsidRDefault="00AF250F" w:rsidP="00083FB8">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AF250F" w:rsidRPr="00FA7FBF" w:rsidTr="00083FB8">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AF250F" w:rsidRPr="00FA7FBF" w:rsidRDefault="00AF250F" w:rsidP="00083FB8">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AF250F" w:rsidRPr="00FA7FBF" w:rsidTr="00083FB8">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AF250F" w:rsidRPr="00FA7FBF" w:rsidRDefault="00AF250F" w:rsidP="00083FB8">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AF250F" w:rsidRPr="00FA7FBF" w:rsidRDefault="00AF250F" w:rsidP="00083FB8">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AF250F" w:rsidRPr="00FA7FBF" w:rsidTr="00083FB8">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AF250F" w:rsidRPr="00FA7FBF" w:rsidRDefault="00AF250F" w:rsidP="00083FB8">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AF250F" w:rsidRPr="00FA7FBF" w:rsidRDefault="00AF250F" w:rsidP="00083FB8">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AF250F" w:rsidRPr="00FA7FBF" w:rsidRDefault="00AF250F" w:rsidP="00AF250F">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AF250F" w:rsidRPr="00FA7FBF" w:rsidTr="00083FB8">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AF250F" w:rsidRPr="00FA7FBF" w:rsidRDefault="00AF250F" w:rsidP="00083FB8">
            <w:pPr>
              <w:spacing w:before="60"/>
              <w:ind w:left="4800"/>
              <w:rPr>
                <w:sz w:val="26"/>
                <w:szCs w:val="26"/>
              </w:rPr>
            </w:pPr>
            <w:r w:rsidRPr="00FA7FBF">
              <w:rPr>
                <w:rFonts w:ascii="Bookman Old Style" w:hAnsi="Bookman Old Style" w:cs="Bookman Old Style"/>
                <w:sz w:val="26"/>
                <w:szCs w:val="26"/>
              </w:rPr>
              <w:t>SAMPLES</w:t>
            </w:r>
          </w:p>
        </w:tc>
      </w:tr>
      <w:tr w:rsidR="00AF250F" w:rsidRPr="00FA7FBF" w:rsidTr="00083FB8">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Bookman Old Style" w:hAnsi="Bookman Old Style" w:cs="Bookman Old Style"/>
                <w:b/>
                <w:bCs/>
                <w:sz w:val="26"/>
                <w:szCs w:val="26"/>
              </w:rPr>
              <w:t>PERCENTAGE (%) OCCURRENCE IN SAMPLES</w:t>
            </w:r>
          </w:p>
        </w:tc>
      </w:tr>
      <w:tr w:rsidR="00AF250F" w:rsidRPr="00FA7FBF" w:rsidTr="00083FB8">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4000"/>
              <w:rPr>
                <w:sz w:val="26"/>
                <w:szCs w:val="26"/>
              </w:rPr>
            </w:pPr>
            <w:r w:rsidRPr="00FA7FBF">
              <w:rPr>
                <w:rFonts w:ascii="Bookman Old Style" w:hAnsi="Bookman Old Style" w:cs="Bookman Old Style"/>
                <w:sz w:val="26"/>
                <w:szCs w:val="26"/>
              </w:rPr>
              <w:t>100%</w:t>
            </w:r>
          </w:p>
        </w:tc>
      </w:tr>
      <w:tr w:rsidR="00AF250F" w:rsidRPr="00FA7FBF" w:rsidTr="00083FB8">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4000"/>
              <w:rPr>
                <w:sz w:val="26"/>
                <w:szCs w:val="26"/>
              </w:rPr>
            </w:pPr>
            <w:r w:rsidRPr="00FA7FBF">
              <w:rPr>
                <w:rFonts w:ascii="Bookman Old Style" w:hAnsi="Bookman Old Style" w:cs="Bookman Old Style"/>
                <w:sz w:val="26"/>
                <w:szCs w:val="26"/>
              </w:rPr>
              <w:t>75%</w:t>
            </w:r>
          </w:p>
        </w:tc>
      </w:tr>
      <w:tr w:rsidR="00AF250F"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4000"/>
              <w:rPr>
                <w:sz w:val="26"/>
                <w:szCs w:val="26"/>
              </w:rPr>
            </w:pPr>
            <w:r w:rsidRPr="00FA7FBF">
              <w:rPr>
                <w:rFonts w:ascii="Bookman Old Style" w:hAnsi="Bookman Old Style" w:cs="Bookman Old Style"/>
                <w:sz w:val="26"/>
                <w:szCs w:val="26"/>
              </w:rPr>
              <w:t>50%</w:t>
            </w:r>
          </w:p>
        </w:tc>
      </w:tr>
      <w:tr w:rsidR="00AF250F" w:rsidRPr="00FA7FBF"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4000"/>
              <w:rPr>
                <w:sz w:val="26"/>
                <w:szCs w:val="26"/>
              </w:rPr>
            </w:pPr>
            <w:r w:rsidRPr="00FA7FBF">
              <w:rPr>
                <w:rFonts w:ascii="Bookman Old Style" w:hAnsi="Bookman Old Style" w:cs="Bookman Old Style"/>
                <w:sz w:val="26"/>
                <w:szCs w:val="26"/>
              </w:rPr>
              <w:t>.25%</w:t>
            </w:r>
          </w:p>
        </w:tc>
      </w:tr>
      <w:tr w:rsidR="00AF250F" w:rsidRPr="00FA7FBF" w:rsidTr="00083FB8">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AF250F" w:rsidRPr="00FA7FBF" w:rsidRDefault="00AF250F" w:rsidP="00083FB8">
            <w:pPr>
              <w:ind w:left="4000"/>
              <w:rPr>
                <w:sz w:val="26"/>
                <w:szCs w:val="26"/>
              </w:rPr>
            </w:pPr>
            <w:r w:rsidRPr="00FA7FBF">
              <w:rPr>
                <w:rFonts w:ascii="Bookman Old Style" w:hAnsi="Bookman Old Style" w:cs="Bookman Old Style"/>
                <w:sz w:val="26"/>
                <w:szCs w:val="26"/>
              </w:rPr>
              <w:t>25%</w:t>
            </w:r>
          </w:p>
        </w:tc>
      </w:tr>
    </w:tbl>
    <w:p w:rsidR="00AF250F" w:rsidRPr="00FA7FBF" w:rsidRDefault="00AF250F" w:rsidP="00AF250F">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AF250F" w:rsidRPr="00FA7FBF" w:rsidRDefault="00AF250F" w:rsidP="00AF250F">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AF250F" w:rsidRPr="00FA7FBF" w:rsidRDefault="00AF250F" w:rsidP="00AF250F">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AF250F" w:rsidRPr="00FA7FBF" w:rsidRDefault="00AF250F" w:rsidP="00AF250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AF250F" w:rsidRPr="00FA7FBF" w:rsidRDefault="00AF250F" w:rsidP="00AF250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AF250F" w:rsidRPr="00FA7FBF" w:rsidRDefault="00AF250F" w:rsidP="00AF250F">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AF250F" w:rsidRPr="00FA7FBF" w:rsidRDefault="00AF250F" w:rsidP="00AF250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AF250F" w:rsidRPr="00FA7FBF" w:rsidRDefault="00AF250F" w:rsidP="00AF250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w:t>
      </w:r>
      <w:r w:rsidRPr="00FA7FBF">
        <w:rPr>
          <w:rFonts w:asciiTheme="majorBidi" w:hAnsiTheme="majorBidi" w:cstheme="majorBidi"/>
          <w:sz w:val="26"/>
          <w:szCs w:val="26"/>
        </w:rPr>
        <w:lastRenderedPageBreak/>
        <w:t>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AF250F" w:rsidRPr="00FA7FBF" w:rsidRDefault="00AF250F" w:rsidP="00AF250F">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AF250F" w:rsidRPr="00FA7FBF" w:rsidRDefault="00AF250F" w:rsidP="00AF250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AF250F" w:rsidRDefault="00AF250F" w:rsidP="00AF250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AF250F" w:rsidRDefault="00AF250F" w:rsidP="00AF250F">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AF250F" w:rsidRPr="00FA7FBF" w:rsidRDefault="00AF250F" w:rsidP="00AF250F">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AF250F" w:rsidRPr="00FA7FBF" w:rsidRDefault="00AF250F" w:rsidP="00AF250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AF250F" w:rsidRPr="00FA7FBF" w:rsidRDefault="00AF250F" w:rsidP="00AF250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AF250F" w:rsidRPr="00FA7FBF" w:rsidRDefault="00AF250F" w:rsidP="00AF250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AF250F" w:rsidRPr="00FA7FBF" w:rsidRDefault="00AF250F" w:rsidP="00AF250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AF250F" w:rsidRPr="00FA7FBF" w:rsidRDefault="00AF250F" w:rsidP="00AF250F">
      <w:pPr>
        <w:spacing w:after="0" w:line="360" w:lineRule="auto"/>
        <w:rPr>
          <w:rFonts w:ascii="Times New Roman" w:eastAsia="Times New Roman" w:hAnsi="Times New Roman" w:cs="Times New Roman"/>
          <w:sz w:val="26"/>
          <w:szCs w:val="26"/>
          <w:lang w:eastAsia="en-GB"/>
        </w:rPr>
      </w:pPr>
    </w:p>
    <w:p w:rsidR="00AF250F" w:rsidRPr="00FA7FBF" w:rsidRDefault="00AF250F" w:rsidP="00AF250F">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AF250F" w:rsidRPr="00FA7FBF" w:rsidRDefault="00AF250F" w:rsidP="00AF250F">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AF250F" w:rsidRPr="00FA7FBF" w:rsidRDefault="00AF250F" w:rsidP="00AF250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AF250F" w:rsidRPr="00FA7FBF" w:rsidRDefault="00AF250F" w:rsidP="00AF250F">
      <w:pPr>
        <w:rPr>
          <w:rFonts w:ascii="Times New Roman" w:eastAsia="Times New Roman" w:hAnsi="Times New Roman" w:cs="Times New Roman"/>
          <w:b/>
          <w:bCs/>
          <w:sz w:val="26"/>
          <w:szCs w:val="26"/>
          <w:lang w:eastAsia="en-GB"/>
        </w:rPr>
      </w:pPr>
    </w:p>
    <w:p w:rsidR="00AF250F" w:rsidRPr="00FA7FBF" w:rsidRDefault="00AF250F" w:rsidP="00AF250F">
      <w:pPr>
        <w:rPr>
          <w:sz w:val="26"/>
          <w:szCs w:val="26"/>
        </w:rPr>
      </w:pPr>
    </w:p>
    <w:p w:rsidR="00D33153" w:rsidRPr="00AF250F" w:rsidRDefault="00AF250F" w:rsidP="00AF250F">
      <w:pPr>
        <w:rPr>
          <w:sz w:val="26"/>
          <w:szCs w:val="26"/>
        </w:rPr>
      </w:pPr>
      <w:r w:rsidRPr="00FA7FBF">
        <w:rPr>
          <w:sz w:val="26"/>
          <w:szCs w:val="26"/>
        </w:rPr>
        <w:tab/>
      </w:r>
    </w:p>
    <w:sectPr w:rsidR="00D33153" w:rsidRPr="00AF250F" w:rsidSect="00FA7FBF">
      <w:type w:val="nextColumn"/>
      <w:pgSz w:w="11520" w:h="14400"/>
      <w:pgMar w:top="1440" w:right="1440" w:bottom="1440" w:left="187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AF250F">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ii</w:t>
        </w:r>
        <w:r w:rsidRPr="00FA7FBF">
          <w:rPr>
            <w:rFonts w:asciiTheme="majorBidi" w:hAnsiTheme="majorBidi" w:cstheme="majorBidi"/>
          </w:rPr>
          <w:fldChar w:fldCharType="end"/>
        </w:r>
      </w:p>
    </w:sdtContent>
  </w:sdt>
  <w:p w:rsidR="00FA7FBF" w:rsidRDefault="00AF250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F250F"/>
    <w:rsid w:val="000507B9"/>
    <w:rsid w:val="000766F7"/>
    <w:rsid w:val="000B0834"/>
    <w:rsid w:val="0018461D"/>
    <w:rsid w:val="002B1AD3"/>
    <w:rsid w:val="00361448"/>
    <w:rsid w:val="003B3B2F"/>
    <w:rsid w:val="003D2B82"/>
    <w:rsid w:val="00434C2C"/>
    <w:rsid w:val="005C0A88"/>
    <w:rsid w:val="005D5A2B"/>
    <w:rsid w:val="005D5A51"/>
    <w:rsid w:val="00614928"/>
    <w:rsid w:val="006A496D"/>
    <w:rsid w:val="006C7D7A"/>
    <w:rsid w:val="006E543A"/>
    <w:rsid w:val="00777858"/>
    <w:rsid w:val="00842F25"/>
    <w:rsid w:val="009031B4"/>
    <w:rsid w:val="009B42A2"/>
    <w:rsid w:val="009D2A6B"/>
    <w:rsid w:val="00A003EC"/>
    <w:rsid w:val="00A1454C"/>
    <w:rsid w:val="00A526C8"/>
    <w:rsid w:val="00A57AA5"/>
    <w:rsid w:val="00AF250F"/>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0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250F"/>
    <w:rPr>
      <w:color w:val="0066CC"/>
      <w:u w:val="single"/>
    </w:rPr>
  </w:style>
  <w:style w:type="character" w:customStyle="1" w:styleId="Heading1">
    <w:name w:val="Heading #1_"/>
    <w:basedOn w:val="DefaultParagraphFont"/>
    <w:link w:val="Heading10"/>
    <w:uiPriority w:val="99"/>
    <w:rsid w:val="00AF250F"/>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AF250F"/>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AF250F"/>
    <w:rPr>
      <w:sz w:val="16"/>
      <w:szCs w:val="16"/>
    </w:rPr>
  </w:style>
  <w:style w:type="character" w:customStyle="1" w:styleId="BodytextGeorgia">
    <w:name w:val="Body text + Georgia"/>
    <w:aliases w:val="13 pt,Italic"/>
    <w:basedOn w:val="Bodytext"/>
    <w:uiPriority w:val="99"/>
    <w:rsid w:val="00AF250F"/>
    <w:rPr>
      <w:rFonts w:ascii="Georgia" w:hAnsi="Georgia" w:cs="Georgia"/>
      <w:i/>
      <w:iCs/>
      <w:sz w:val="26"/>
      <w:szCs w:val="26"/>
    </w:rPr>
  </w:style>
  <w:style w:type="character" w:customStyle="1" w:styleId="Bodytext6">
    <w:name w:val="Body text (6)_"/>
    <w:basedOn w:val="DefaultParagraphFont"/>
    <w:link w:val="Bodytext60"/>
    <w:uiPriority w:val="99"/>
    <w:rsid w:val="00AF250F"/>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AF250F"/>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AF250F"/>
    <w:rPr>
      <w:sz w:val="19"/>
      <w:szCs w:val="19"/>
    </w:rPr>
  </w:style>
  <w:style w:type="character" w:customStyle="1" w:styleId="Bodytext3">
    <w:name w:val="Body text (3)_"/>
    <w:basedOn w:val="DefaultParagraphFont"/>
    <w:link w:val="Bodytext30"/>
    <w:uiPriority w:val="99"/>
    <w:rsid w:val="00AF250F"/>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AF250F"/>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AF250F"/>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AF250F"/>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AF250F"/>
    <w:rPr>
      <w:rFonts w:ascii="Georgia" w:hAnsi="Georgia" w:cs="Georgia"/>
      <w:i/>
      <w:iCs/>
      <w:sz w:val="26"/>
      <w:szCs w:val="26"/>
    </w:rPr>
  </w:style>
  <w:style w:type="character" w:customStyle="1" w:styleId="BodytextGeorgia9">
    <w:name w:val="Body text + Georgia9"/>
    <w:aliases w:val="13 pt10,Italic10"/>
    <w:basedOn w:val="Bodytext"/>
    <w:uiPriority w:val="99"/>
    <w:rsid w:val="00AF250F"/>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AF250F"/>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AF250F"/>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AF250F"/>
    <w:rPr>
      <w:rFonts w:ascii="Georgia" w:hAnsi="Georgia" w:cs="Georgia"/>
      <w:i/>
      <w:iCs/>
      <w:sz w:val="26"/>
      <w:szCs w:val="26"/>
    </w:rPr>
  </w:style>
  <w:style w:type="paragraph" w:customStyle="1" w:styleId="Heading10">
    <w:name w:val="Heading #1"/>
    <w:basedOn w:val="Normal"/>
    <w:link w:val="Heading1"/>
    <w:uiPriority w:val="99"/>
    <w:rsid w:val="00AF250F"/>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AF250F"/>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AF250F"/>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AF250F"/>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AF250F"/>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AF250F"/>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AF250F"/>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AF250F"/>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AF250F"/>
    <w:pPr>
      <w:ind w:left="720"/>
      <w:contextualSpacing/>
    </w:pPr>
  </w:style>
  <w:style w:type="paragraph" w:styleId="Footer">
    <w:name w:val="footer"/>
    <w:basedOn w:val="Normal"/>
    <w:link w:val="FooterChar"/>
    <w:uiPriority w:val="99"/>
    <w:unhideWhenUsed/>
    <w:rsid w:val="00AF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0F"/>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8145</Words>
  <Characters>46432</Characters>
  <Application>Microsoft Office Word</Application>
  <DocSecurity>0</DocSecurity>
  <Lines>386</Lines>
  <Paragraphs>108</Paragraphs>
  <ScaleCrop>false</ScaleCrop>
  <Company/>
  <LinksUpToDate>false</LinksUpToDate>
  <CharactersWithSpaces>54469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2025-07-08T09:50:00Z</dcterms:created>
  <dcterms:modified xsi:type="dcterms:W3CDTF">2025-07-08T09:55:00Z</dcterms:modified>
</cp:coreProperties>
</file>