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rPr>
      </w:pPr>
      <w:r>
        <w:rPr>
          <w:rFonts w:ascii="Times New Roman" w:cs="Times New Roman" w:hAnsi="Times New Roman"/>
          <w:b/>
        </w:rPr>
        <w:t>EVALUATION OF IN-VIVO ANTIDIABETIC ACTIVITY OF ETHANOL LEAF EXTRACT OF</w:t>
      </w:r>
      <w:r>
        <w:rPr>
          <w:rFonts w:ascii="Times New Roman" w:cs="Times New Roman" w:hAnsi="Times New Roman"/>
          <w:b/>
        </w:rPr>
        <w:t xml:space="preserve"> </w:t>
      </w:r>
      <w:r>
        <w:rPr>
          <w:rFonts w:ascii="Times New Roman" w:cs="Times New Roman" w:hAnsi="Times New Roman"/>
          <w:b/>
        </w:rPr>
        <w:t>PHYLLANTHUS</w:t>
      </w:r>
      <w:r>
        <w:rPr>
          <w:rFonts w:ascii="Times New Roman" w:cs="Times New Roman" w:hAnsi="Times New Roman"/>
          <w:b/>
        </w:rPr>
        <w:t xml:space="preserve"> </w:t>
      </w:r>
      <w:r>
        <w:rPr>
          <w:rFonts w:ascii="Times New Roman" w:cs="Times New Roman" w:hAnsi="Times New Roman"/>
          <w:b/>
        </w:rPr>
        <w:t>AMARUS</w:t>
      </w:r>
      <w:r>
        <w:rPr>
          <w:rFonts w:ascii="Times New Roman" w:cs="Times New Roman" w:hAnsi="Times New Roman"/>
          <w:b/>
        </w:rPr>
        <w:t xml:space="preserve"> </w:t>
      </w:r>
      <w:r>
        <w:rPr>
          <w:rFonts w:ascii="Times New Roman" w:cs="Times New Roman" w:hAnsi="Times New Roman"/>
          <w:b/>
        </w:rPr>
        <w:t>IN</w:t>
      </w:r>
      <w:r>
        <w:rPr>
          <w:rFonts w:ascii="Times New Roman" w:cs="Times New Roman" w:hAnsi="Times New Roman"/>
          <w:b/>
        </w:rPr>
        <w:t xml:space="preserve"> </w:t>
      </w:r>
      <w:r>
        <w:rPr>
          <w:rFonts w:ascii="Times New Roman" w:cs="Times New Roman" w:hAnsi="Times New Roman"/>
          <w:b/>
        </w:rPr>
        <w:t>STREPTOZOTOCIN-INDUCED</w:t>
      </w:r>
      <w:r>
        <w:rPr>
          <w:rFonts w:ascii="Times New Roman" w:cs="Times New Roman" w:hAnsi="Times New Roman"/>
          <w:b/>
        </w:rPr>
        <w:t xml:space="preserve"> </w:t>
      </w:r>
      <w:r>
        <w:rPr>
          <w:rFonts w:ascii="Times New Roman" w:cs="Times New Roman" w:hAnsi="Times New Roman"/>
          <w:b/>
        </w:rPr>
        <w:t>DIABETES</w:t>
      </w:r>
      <w:r>
        <w:rPr>
          <w:rFonts w:ascii="Times New Roman" w:cs="Times New Roman" w:hAnsi="Times New Roman"/>
          <w:b/>
        </w:rPr>
        <w:t xml:space="preserve"> </w:t>
      </w:r>
      <w:r>
        <w:rPr>
          <w:rFonts w:ascii="Times New Roman" w:cs="Times New Roman" w:hAnsi="Times New Roman"/>
          <w:b/>
        </w:rPr>
        <w:t xml:space="preserve">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KOMOLAFE BLESSING OLUWAFUNMILOLA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HND/23/SLT/FT/0456</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rPr>
      </w:pPr>
      <w:r>
        <w:rPr>
          <w:rFonts w:ascii="Times New Roman" w:cs="Times New Roman" w:hAnsi="Times New Roman"/>
          <w:b/>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rPr>
      </w:pPr>
    </w:p>
    <w:p>
      <w:pPr>
        <w:pStyle w:val="style0"/>
        <w:spacing w:after="8" w:lineRule="auto" w:line="360"/>
        <w:ind w:left="2218" w:right="0" w:hanging="1556"/>
        <w:jc w:val="center"/>
        <w:rPr>
          <w:rFonts w:ascii="Times New Roman" w:cs="Times New Roman" w:hAnsi="Times New Roman"/>
        </w:rPr>
      </w:pPr>
      <w:r>
        <w:rPr>
          <w:rFonts w:ascii="Times New Roman" w:cs="Times New Roman" w:hAnsi="Times New Roman"/>
          <w:b/>
        </w:rPr>
        <w:t xml:space="preserve">IN PARTIAL FULFILMENT OF THE REQUIREMENT FOR THE AWARD OF HIGHER NATIONAL DIPLOMA (HND) IN SCIENCE LABORATORY TECHNOLOGY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 xml:space="preserve">This is to certify that this project was carried out by </w:t>
      </w:r>
      <w:r>
        <w:rPr>
          <w:rFonts w:ascii="Times New Roman" w:cs="Times New Roman" w:hAnsi="Times New Roman"/>
          <w:b/>
          <w:bCs/>
          <w:lang w:val="en-US"/>
        </w:rPr>
        <w:t>KOMOLAFE BLESSING OLUWAFUNMILOLA</w:t>
      </w:r>
      <w:r>
        <w:rPr>
          <w:rFonts w:ascii="Times New Roman" w:cs="Times New Roman" w:hAnsi="Times New Roman"/>
        </w:rPr>
        <w:t xml:space="preserve"> 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HND/23/SLT/FT/0456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link w:val="style12319"/>
    <w:uiPriority w:val="99"/>
    <w:pPr>
      <w:tabs>
        <w:tab w:val="center" w:leader="none" w:pos="4320"/>
        <w:tab w:val="right" w:leader="none" w:pos="8640"/>
      </w:tabs>
      <w:spacing w:after="0" w:lineRule="auto" w:line="240"/>
    </w:pPr>
    <w:rPr/>
  </w:style>
  <w:style w:type="character" w:customStyle="1" w:styleId="style12319">
    <w:name w:val="Header Char"/>
    <w:basedOn w:val="style65"/>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15658</Words>
  <Pages>77</Pages>
  <Characters>92361</Characters>
  <Application>WPS Office</Application>
  <DocSecurity>0</DocSecurity>
  <Paragraphs>2219</Paragraphs>
  <ScaleCrop>false</ScaleCrop>
  <LinksUpToDate>false</LinksUpToDate>
  <CharactersWithSpaces>108414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2025-07-09T06:36:29Z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