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JIMOH SHERIFAT OKIKIOLA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HND/23/SLT/FT/1146</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JIMOH SHERIFAT OKIKIOLA (HND/23/SLT/FT/1146)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This seminar is hereby dedicated to the Creator of the universe, the Almighty God.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ACKNOWLEDGEMENT</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All praises is due to the Almighty ALLAH the Creator of the universe. I praise Him and thank Him for giving me the strength and knowledge to complete this seminar programme and also for my continue existence on the earth.</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We appreciate the utmost effort of our supervisor, MR ADIO.O  whose patience, support and encouragement have been the driving force behind the success of this research work. He gave useful corrections, constructive criticisms, comments, recommendations, advice and always ensures that an excellent research is done. Our sincere gratitude goes to the Head of the Department and other members of staff of the Department of Science Laboratory Technology, Kwara State Polytechnic, Ilorin, for their constant cooperation, constructive criticisms and encouragements throughout the project. </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Special gratitude to my parents who exhibited immeasurable financial support, prayers and understanding during these periods in which I was busy tirelessly in my studies. Special thanks go to all my lovely siblings and course mates.</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6274</Words>
  <Pages>29</Pages>
  <Characters>35776</Characters>
  <Application>WPS Office</Application>
  <DocSecurity>0</DocSecurity>
  <Paragraphs>600</Paragraphs>
  <ScaleCrop>false</ScaleCrop>
  <LinksUpToDate>false</LinksUpToDate>
  <CharactersWithSpaces>43082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2025-07-06T20:02:03Z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d4efa63765bf4a59b64e90363f67eafd</vt:lpwstr>
  </property>
  <property fmtid="{D5CDD505-2E9C-101B-9397-08002B2CF9AE}" pid="3" name="KSOProductBuildVer">
    <vt:lpwstr>1033-11.34.10</vt:lpwstr>
  </property>
</Properties>
</file>