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AC5C66" w:rsidRPr="00AC5C66" w:rsidRDefault="00AC5C66" w:rsidP="00AC5C66">
      <w:pPr>
        <w:pStyle w:val="NormalWeb"/>
        <w:spacing w:after="150" w:line="18" w:lineRule="atLeast"/>
        <w:jc w:val="center"/>
        <w:rPr>
          <w:rFonts w:eastAsiaTheme="minorHAnsi"/>
          <w:b/>
          <w:bCs/>
          <w:color w:val="000000" w:themeColor="text1"/>
          <w:sz w:val="28"/>
          <w:szCs w:val="28"/>
        </w:rPr>
      </w:pPr>
      <w:r w:rsidRPr="00AC5C66">
        <w:rPr>
          <w:rFonts w:eastAsiaTheme="minorHAnsi"/>
          <w:b/>
          <w:bCs/>
          <w:color w:val="000000" w:themeColor="text1"/>
          <w:sz w:val="28"/>
          <w:szCs w:val="28"/>
        </w:rPr>
        <w:t xml:space="preserve">ABIONA BLESSING OLUWASEYIFUNMI </w:t>
      </w:r>
    </w:p>
    <w:p w:rsidR="00DD0288" w:rsidRDefault="00AC5C66" w:rsidP="00AC5C66">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AC5C66">
        <w:rPr>
          <w:rFonts w:eastAsiaTheme="minorHAnsi"/>
          <w:b/>
          <w:bCs/>
          <w:color w:val="000000" w:themeColor="text1"/>
          <w:sz w:val="28"/>
          <w:szCs w:val="28"/>
        </w:rPr>
        <w:t>HND/23/SLT/FT/0702</w:t>
      </w:r>
    </w:p>
    <w:bookmarkEnd w:id="0"/>
    <w:p w:rsidR="00AC5C66" w:rsidRPr="00F6151A" w:rsidRDefault="00AC5C66" w:rsidP="00AC5C66">
      <w:pPr>
        <w:pStyle w:val="NormalWeb"/>
        <w:spacing w:beforeAutospacing="0" w:after="150" w:afterAutospacing="0" w:line="18" w:lineRule="atLeast"/>
        <w:jc w:val="center"/>
        <w:rPr>
          <w:rFonts w:eastAsia="-webkit-standard"/>
          <w:b/>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AC5C66" w:rsidRPr="00AC5C66">
        <w:rPr>
          <w:rFonts w:ascii="Times New Roman" w:hAnsi="Times New Roman" w:cs="Times New Roman"/>
          <w:b/>
          <w:bCs/>
          <w:color w:val="000000" w:themeColor="text1"/>
          <w:sz w:val="28"/>
          <w:szCs w:val="28"/>
        </w:rPr>
        <w:t xml:space="preserve">ABIONA BLESSING OLUWASEYIFUNMI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HND/23/SLT/FT/0</w:t>
      </w:r>
      <w:r w:rsidR="00AC5C66">
        <w:rPr>
          <w:rFonts w:ascii="Times New Roman" w:hAnsi="Times New Roman" w:cs="Times New Roman"/>
          <w:b/>
          <w:bCs/>
          <w:color w:val="000000" w:themeColor="text1"/>
          <w:sz w:val="28"/>
          <w:szCs w:val="28"/>
        </w:rPr>
        <w:t>702</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F6151A" w:rsidRPr="00F6151A" w:rsidRDefault="00AC5C66" w:rsidP="00AC5C66">
      <w:pPr>
        <w:spacing w:after="0" w:line="480" w:lineRule="auto"/>
        <w:jc w:val="both"/>
        <w:rPr>
          <w:rFonts w:ascii="Times New Roman" w:hAnsi="Times New Roman" w:cs="Times New Roman"/>
          <w:b/>
          <w:color w:val="000000" w:themeColor="text1"/>
          <w:sz w:val="28"/>
          <w:szCs w:val="28"/>
        </w:rPr>
      </w:pPr>
      <w:r w:rsidRPr="00AC5C66">
        <w:rPr>
          <w:rFonts w:ascii="Times New Roman" w:hAnsi="Times New Roman" w:cs="Times New Roman"/>
          <w:color w:val="000000" w:themeColor="text1"/>
          <w:sz w:val="28"/>
          <w:szCs w:val="28"/>
        </w:rPr>
        <w:t>I dedicate this project to the Almighty God, whose grace, guidance, and strength have seen me through every step of this journey. Without His divine support, this work would not have been possible. To Him be all the glory.</w:t>
      </w: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Default="00AD7942" w:rsidP="00F6151A">
      <w:pPr>
        <w:spacing w:after="0" w:line="480" w:lineRule="auto"/>
        <w:rPr>
          <w:rFonts w:ascii="Times New Roman" w:hAnsi="Times New Roman" w:cs="Times New Roman"/>
          <w:b/>
          <w:bCs/>
          <w:color w:val="000000" w:themeColor="text1"/>
          <w:sz w:val="28"/>
          <w:szCs w:val="28"/>
        </w:rPr>
      </w:pPr>
    </w:p>
    <w:p w:rsidR="005C36A8" w:rsidRDefault="005C36A8" w:rsidP="00F6151A">
      <w:pPr>
        <w:spacing w:after="0" w:line="480" w:lineRule="auto"/>
        <w:rPr>
          <w:rFonts w:ascii="Times New Roman" w:hAnsi="Times New Roman" w:cs="Times New Roman"/>
          <w:b/>
          <w:bCs/>
          <w:color w:val="000000" w:themeColor="text1"/>
          <w:sz w:val="28"/>
          <w:szCs w:val="28"/>
        </w:rPr>
      </w:pPr>
    </w:p>
    <w:p w:rsidR="005C36A8" w:rsidRPr="00F6151A" w:rsidRDefault="005C36A8" w:rsidP="00F6151A">
      <w:pPr>
        <w:spacing w:after="0" w:line="480" w:lineRule="auto"/>
        <w:rPr>
          <w:rFonts w:ascii="Times New Roman" w:hAnsi="Times New Roman" w:cs="Times New Roman"/>
          <w:b/>
          <w:bCs/>
          <w:color w:val="000000" w:themeColor="text1"/>
          <w:sz w:val="28"/>
          <w:szCs w:val="28"/>
        </w:rPr>
      </w:pPr>
    </w:p>
    <w:p w:rsidR="00DD0288" w:rsidRDefault="00DD0288" w:rsidP="00F6151A">
      <w:pPr>
        <w:spacing w:after="0" w:line="480" w:lineRule="auto"/>
        <w:jc w:val="center"/>
        <w:rPr>
          <w:rFonts w:ascii="Times New Roman" w:hAnsi="Times New Roman" w:cs="Times New Roman"/>
          <w:b/>
          <w:bCs/>
          <w:color w:val="000000" w:themeColor="text1"/>
          <w:sz w:val="28"/>
          <w:szCs w:val="28"/>
        </w:rPr>
      </w:pPr>
    </w:p>
    <w:p w:rsidR="00DD0288" w:rsidRDefault="00DD0288"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AC5C66" w:rsidRPr="00AC5C66" w:rsidRDefault="00AC5C66" w:rsidP="00AC5C66">
      <w:pPr>
        <w:spacing w:before="100" w:beforeAutospacing="1" w:after="100" w:afterAutospacing="1" w:line="480" w:lineRule="auto"/>
        <w:jc w:val="both"/>
        <w:rPr>
          <w:rFonts w:ascii="Times New Roman" w:hAnsi="Times New Roman" w:cs="Times New Roman"/>
          <w:color w:val="000000" w:themeColor="text1"/>
          <w:sz w:val="28"/>
          <w:szCs w:val="28"/>
        </w:rPr>
      </w:pPr>
      <w:r w:rsidRPr="00AC5C66">
        <w:rPr>
          <w:rFonts w:ascii="Times New Roman" w:hAnsi="Times New Roman" w:cs="Times New Roman"/>
          <w:color w:val="000000" w:themeColor="text1"/>
          <w:sz w:val="28"/>
          <w:szCs w:val="28"/>
        </w:rPr>
        <w:t>First and foremost, I give all thanks to God for His unfailing love, mercy, and wisdom throughout the course of this p</w:t>
      </w:r>
      <w:r>
        <w:rPr>
          <w:rFonts w:ascii="Times New Roman" w:hAnsi="Times New Roman" w:cs="Times New Roman"/>
          <w:color w:val="000000" w:themeColor="text1"/>
          <w:sz w:val="28"/>
          <w:szCs w:val="28"/>
        </w:rPr>
        <w:t>roject and my academic journey.</w:t>
      </w:r>
    </w:p>
    <w:p w:rsidR="00AC5C66" w:rsidRPr="00AC5C66" w:rsidRDefault="00AC5C66" w:rsidP="00AC5C66">
      <w:pPr>
        <w:spacing w:before="100" w:beforeAutospacing="1" w:after="100" w:afterAutospacing="1" w:line="480" w:lineRule="auto"/>
        <w:jc w:val="both"/>
        <w:rPr>
          <w:rFonts w:ascii="Times New Roman" w:hAnsi="Times New Roman" w:cs="Times New Roman"/>
          <w:color w:val="000000" w:themeColor="text1"/>
          <w:sz w:val="28"/>
          <w:szCs w:val="28"/>
        </w:rPr>
      </w:pPr>
      <w:r w:rsidRPr="00AC5C66">
        <w:rPr>
          <w:rFonts w:ascii="Times New Roman" w:hAnsi="Times New Roman" w:cs="Times New Roman"/>
          <w:color w:val="000000" w:themeColor="text1"/>
          <w:sz w:val="28"/>
          <w:szCs w:val="28"/>
        </w:rPr>
        <w:t>I extend my heartfelt gratitude to my wonderful parents, Mr. and Mrs. Abiona, for their unwavering support, encouragement, and prayers. Your love h</w:t>
      </w:r>
      <w:r>
        <w:rPr>
          <w:rFonts w:ascii="Times New Roman" w:hAnsi="Times New Roman" w:cs="Times New Roman"/>
          <w:color w:val="000000" w:themeColor="text1"/>
          <w:sz w:val="28"/>
          <w:szCs w:val="28"/>
        </w:rPr>
        <w:t>as been my greatest motivation.</w:t>
      </w:r>
    </w:p>
    <w:p w:rsidR="00AC5C66" w:rsidRPr="00AC5C66" w:rsidRDefault="00AC5C66" w:rsidP="00AC5C66">
      <w:pPr>
        <w:spacing w:before="100" w:beforeAutospacing="1" w:after="100" w:afterAutospacing="1" w:line="480" w:lineRule="auto"/>
        <w:jc w:val="both"/>
        <w:rPr>
          <w:rFonts w:ascii="Times New Roman" w:hAnsi="Times New Roman" w:cs="Times New Roman"/>
          <w:color w:val="000000" w:themeColor="text1"/>
          <w:sz w:val="28"/>
          <w:szCs w:val="28"/>
        </w:rPr>
      </w:pPr>
      <w:r w:rsidRPr="00AC5C66">
        <w:rPr>
          <w:rFonts w:ascii="Times New Roman" w:hAnsi="Times New Roman" w:cs="Times New Roman"/>
          <w:color w:val="000000" w:themeColor="text1"/>
          <w:sz w:val="28"/>
          <w:szCs w:val="28"/>
        </w:rPr>
        <w:t>I would also like to express my sincere appreciation to my project supervisor, Mrs. Abdullahi H. J., for her valuable guidance, insightful suggestions, and constant support throughout the course of this research. Her mentorship made a significant differen</w:t>
      </w:r>
      <w:r>
        <w:rPr>
          <w:rFonts w:ascii="Times New Roman" w:hAnsi="Times New Roman" w:cs="Times New Roman"/>
          <w:color w:val="000000" w:themeColor="text1"/>
          <w:sz w:val="28"/>
          <w:szCs w:val="28"/>
        </w:rPr>
        <w:t>ce in the outcome of this work.</w:t>
      </w:r>
    </w:p>
    <w:p w:rsidR="00F6151A" w:rsidRPr="00AD7942" w:rsidRDefault="00AC5C66" w:rsidP="00AC5C66">
      <w:pPr>
        <w:spacing w:before="100" w:beforeAutospacing="1" w:after="100" w:afterAutospacing="1" w:line="480" w:lineRule="auto"/>
        <w:jc w:val="both"/>
        <w:rPr>
          <w:rFonts w:ascii="Times New Roman" w:hAnsi="Times New Roman" w:cs="Times New Roman"/>
          <w:color w:val="000000" w:themeColor="text1"/>
          <w:sz w:val="28"/>
          <w:szCs w:val="28"/>
        </w:rPr>
      </w:pPr>
      <w:r w:rsidRPr="00AC5C66">
        <w:rPr>
          <w:rFonts w:ascii="Times New Roman" w:hAnsi="Times New Roman" w:cs="Times New Roman"/>
          <w:color w:val="000000" w:themeColor="text1"/>
          <w:sz w:val="28"/>
          <w:szCs w:val="28"/>
        </w:rPr>
        <w:t>Thank you all.</w:t>
      </w:r>
      <w:r w:rsidR="00F6151A"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728529869"/>
        <w:docPartObj>
          <w:docPartGallery w:val="Table of Contents"/>
          <w:docPartUnique/>
        </w:docPartObj>
      </w:sdtPr>
      <w:sdtEndPr>
        <w:rPr>
          <w:b/>
          <w:bCs/>
          <w:noProof/>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TABLES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884" w:history="1">
            <w:r w:rsidR="00F6151A" w:rsidRPr="00F6151A">
              <w:rPr>
                <w:rStyle w:val="Hyperlink"/>
                <w:rFonts w:ascii="Times New Roman" w:eastAsia="Times New Roman" w:hAnsi="Times New Roman" w:cs="Times New Roman"/>
                <w:b/>
                <w:noProof/>
                <w:sz w:val="28"/>
                <w:szCs w:val="28"/>
              </w:rPr>
              <w:t>1.0 INTRODUCTION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w:t>
            </w:r>
            <w:r w:rsidR="00F6151A" w:rsidRPr="00F6151A">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885" w:history="1">
            <w:r w:rsidR="00F6151A" w:rsidRPr="00F6151A">
              <w:rPr>
                <w:rStyle w:val="Hyperlink"/>
                <w:rFonts w:ascii="Times New Roman" w:eastAsia="Times New Roman" w:hAnsi="Times New Roman" w:cs="Times New Roman"/>
                <w:b/>
                <w:noProof/>
                <w:sz w:val="28"/>
                <w:szCs w:val="28"/>
              </w:rPr>
              <w:t>1.1 LITERATURE REVIEW</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_Toc202808885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10</w:t>
            </w:r>
            <w:r w:rsidR="00F6151A" w:rsidRPr="00F6151A">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886" w:history="1">
            <w:r w:rsidR="00F6151A" w:rsidRPr="00F6151A">
              <w:rPr>
                <w:rStyle w:val="Hyperlink"/>
                <w:rFonts w:ascii="Times New Roman" w:eastAsia="Times New Roman" w:hAnsi="Times New Roman" w:cs="Times New Roman"/>
                <w:b/>
                <w:noProof/>
                <w:sz w:val="28"/>
                <w:szCs w:val="28"/>
              </w:rPr>
              <w:t>1.2 STATEMENT OF PROBLEM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_Toc202808886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13</w:t>
            </w:r>
            <w:r w:rsidR="00F6151A" w:rsidRPr="00F6151A">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887" w:history="1">
            <w:r w:rsidR="00F6151A" w:rsidRPr="00F6151A">
              <w:rPr>
                <w:rStyle w:val="Hyperlink"/>
                <w:rFonts w:ascii="Times New Roman" w:eastAsia="Times New Roman" w:hAnsi="Times New Roman" w:cs="Times New Roman"/>
                <w:b/>
                <w:noProof/>
                <w:sz w:val="28"/>
                <w:szCs w:val="28"/>
              </w:rPr>
              <w:t>1.3 AIM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_Toc202808887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888" w:history="1">
            <w:r w:rsidR="00F6151A" w:rsidRPr="00F6151A">
              <w:rPr>
                <w:rStyle w:val="Hyperlink"/>
                <w:rFonts w:ascii="Times New Roman" w:eastAsia="Times New Roman" w:hAnsi="Times New Roman" w:cs="Times New Roman"/>
                <w:b/>
                <w:noProof/>
                <w:sz w:val="28"/>
                <w:szCs w:val="28"/>
              </w:rPr>
              <w:t>1.4 OBJECTIVES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_Toc202808888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889" w:history="1">
            <w:r w:rsidR="00F6151A" w:rsidRPr="00F6151A">
              <w:rPr>
                <w:rStyle w:val="Hyperlink"/>
                <w:rFonts w:ascii="Times New Roman" w:eastAsia="Times New Roman" w:hAnsi="Times New Roman" w:cs="Times New Roman"/>
                <w:b/>
                <w:noProof/>
                <w:sz w:val="28"/>
                <w:szCs w:val="28"/>
              </w:rPr>
              <w:t>CHAPTER TWO</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890" w:history="1">
            <w:r w:rsidR="00F6151A" w:rsidRPr="00F6151A">
              <w:rPr>
                <w:rStyle w:val="Hyperlink"/>
                <w:rFonts w:ascii="Times New Roman" w:eastAsia="Times New Roman" w:hAnsi="Times New Roman" w:cs="Times New Roman"/>
                <w:b/>
                <w:noProof/>
                <w:sz w:val="28"/>
                <w:szCs w:val="28"/>
              </w:rPr>
              <w:t>2.0 MATERIALS AND METHODS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891" w:history="1">
            <w:r w:rsidR="00F6151A" w:rsidRPr="00F6151A">
              <w:rPr>
                <w:rStyle w:val="Hyperlink"/>
                <w:rFonts w:ascii="Times New Roman" w:eastAsia="Times New Roman" w:hAnsi="Times New Roman" w:cs="Times New Roman"/>
                <w:b/>
                <w:noProof/>
                <w:sz w:val="28"/>
                <w:szCs w:val="28"/>
              </w:rPr>
              <w:t>2.1 Materials Used</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0D6BEE">
          <w:pPr>
            <w:pStyle w:val="TOC2"/>
            <w:tabs>
              <w:tab w:val="right" w:leader="dot" w:pos="8630"/>
            </w:tabs>
            <w:rPr>
              <w:rFonts w:ascii="Times New Roman" w:hAnsi="Times New Roman" w:cs="Times New Roman"/>
              <w:noProof/>
              <w:sz w:val="28"/>
              <w:szCs w:val="28"/>
            </w:rPr>
          </w:pPr>
          <w:hyperlink w:anchor="_Toc202808892" w:history="1">
            <w:r w:rsidR="00F6151A" w:rsidRPr="00F6151A">
              <w:rPr>
                <w:rStyle w:val="Hyperlink"/>
                <w:rFonts w:ascii="Times New Roman" w:hAnsi="Times New Roman" w:cs="Times New Roman"/>
                <w:noProof/>
                <w:sz w:val="28"/>
                <w:szCs w:val="28"/>
              </w:rPr>
              <w:t>2.1.1 Chemicals and Reagents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_Toc202808892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893" w:history="1">
            <w:r w:rsidR="00F6151A" w:rsidRPr="00AD7942">
              <w:rPr>
                <w:rStyle w:val="Hyperlink"/>
                <w:rFonts w:ascii="Times New Roman" w:eastAsia="Times New Roman" w:hAnsi="Times New Roman" w:cs="Times New Roman"/>
                <w:noProof/>
                <w:sz w:val="28"/>
                <w:szCs w:val="28"/>
              </w:rPr>
              <w:t>2.2 Preparation of Media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16</w:t>
            </w:r>
            <w:r w:rsidR="00F6151A" w:rsidRPr="00AD7942">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894" w:history="1">
            <w:r w:rsidR="00F6151A" w:rsidRPr="00AD7942">
              <w:rPr>
                <w:rStyle w:val="Hyperlink"/>
                <w:rFonts w:ascii="Times New Roman" w:eastAsia="Times New Roman" w:hAnsi="Times New Roman" w:cs="Times New Roman"/>
                <w:noProof/>
                <w:sz w:val="28"/>
                <w:szCs w:val="28"/>
              </w:rPr>
              <w:t>2.3 Sterilization Procedures</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_Toc202808894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895" w:history="1">
            <w:r w:rsidR="00F6151A" w:rsidRPr="00AD7942">
              <w:rPr>
                <w:rStyle w:val="Hyperlink"/>
                <w:rFonts w:ascii="Times New Roman" w:eastAsia="Times New Roman" w:hAnsi="Times New Roman" w:cs="Times New Roman"/>
                <w:noProof/>
                <w:sz w:val="28"/>
                <w:szCs w:val="28"/>
              </w:rPr>
              <w:t>2.4 Sample Collection and Preparation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896" w:history="1">
            <w:r w:rsidR="00F6151A" w:rsidRPr="00AD7942">
              <w:rPr>
                <w:rStyle w:val="Hyperlink"/>
                <w:rFonts w:ascii="Times New Roman" w:eastAsia="Times New Roman" w:hAnsi="Times New Roman" w:cs="Times New Roman"/>
                <w:noProof/>
                <w:sz w:val="28"/>
                <w:szCs w:val="28"/>
              </w:rPr>
              <w:t>2.5 Inoculation and Incubation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_Toc202808896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897" w:history="1">
            <w:r w:rsidR="00F6151A" w:rsidRPr="00AD7942">
              <w:rPr>
                <w:rStyle w:val="Hyperlink"/>
                <w:rFonts w:ascii="Times New Roman" w:eastAsia="Times New Roman" w:hAnsi="Times New Roman" w:cs="Times New Roman"/>
                <w:noProof/>
                <w:sz w:val="28"/>
                <w:szCs w:val="28"/>
              </w:rPr>
              <w:t>2.6 Gram Staining Procedure</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_Toc202808897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898" w:history="1">
            <w:r w:rsidR="00F6151A" w:rsidRPr="00AD7942">
              <w:rPr>
                <w:rStyle w:val="Hyperlink"/>
                <w:rFonts w:ascii="Times New Roman" w:eastAsia="Times New Roman" w:hAnsi="Times New Roman" w:cs="Times New Roman"/>
                <w:noProof/>
                <w:sz w:val="28"/>
                <w:szCs w:val="28"/>
              </w:rPr>
              <w:t>2.7 Microscopic Observation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_Toc202808898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19</w:t>
            </w:r>
            <w:r w:rsidR="00F6151A" w:rsidRPr="00AD7942">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899" w:history="1">
            <w:r w:rsidR="00F6151A" w:rsidRPr="00F6151A">
              <w:rPr>
                <w:rStyle w:val="Hyperlink"/>
                <w:rFonts w:ascii="Times New Roman" w:eastAsia="Times New Roman" w:hAnsi="Times New Roman" w:cs="Times New Roman"/>
                <w:b/>
                <w:noProof/>
                <w:sz w:val="28"/>
                <w:szCs w:val="28"/>
              </w:rPr>
              <w:t>CHAPTER THREE</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20</w:t>
            </w:r>
            <w:r w:rsidR="00F6151A" w:rsidRPr="00F6151A">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900" w:history="1">
            <w:r w:rsidR="00F6151A" w:rsidRPr="00AD7942">
              <w:rPr>
                <w:rStyle w:val="Hyperlink"/>
                <w:rFonts w:ascii="Times New Roman" w:hAnsi="Times New Roman" w:cs="Times New Roman"/>
                <w:noProof/>
                <w:sz w:val="28"/>
                <w:szCs w:val="28"/>
              </w:rPr>
              <w:t>3.1 Organism isolated from indoor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_Toc202808900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00F6151A" w:rsidRPr="00AD7942">
              <w:rPr>
                <w:rStyle w:val="Hyperlink"/>
                <w:rFonts w:ascii="Times New Roman" w:hAnsi="Times New Roman" w:cs="Times New Roman"/>
                <w:bCs/>
                <w:noProof/>
                <w:sz w:val="28"/>
                <w:szCs w:val="28"/>
              </w:rPr>
              <w:t>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905" w:history="1">
            <w:r w:rsidR="00F6151A" w:rsidRPr="00AD7942">
              <w:rPr>
                <w:rStyle w:val="Hyperlink"/>
                <w:rFonts w:ascii="Times New Roman" w:hAnsi="Times New Roman" w:cs="Times New Roman"/>
                <w:bCs/>
                <w:noProof/>
                <w:sz w:val="28"/>
                <w:szCs w:val="28"/>
              </w:rPr>
              <w:t>3.3 Organism isolated with confirmatory test</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21</w:t>
            </w:r>
            <w:r w:rsidR="00F6151A" w:rsidRPr="00AD7942">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960" w:history="1">
            <w:r w:rsidR="00F6151A" w:rsidRPr="00F6151A">
              <w:rPr>
                <w:rStyle w:val="Hyperlink"/>
                <w:rFonts w:ascii="Times New Roman" w:eastAsia="Times New Roman" w:hAnsi="Times New Roman" w:cs="Times New Roman"/>
                <w:b/>
                <w:noProof/>
                <w:sz w:val="28"/>
                <w:szCs w:val="28"/>
              </w:rPr>
              <w:t>CHAPTER FOUR</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961" w:history="1">
            <w:r w:rsidR="00F6151A" w:rsidRPr="00F6151A">
              <w:rPr>
                <w:rStyle w:val="Hyperlink"/>
                <w:rFonts w:ascii="Times New Roman" w:eastAsia="Times New Roman" w:hAnsi="Times New Roman" w:cs="Times New Roman"/>
                <w:b/>
                <w:noProof/>
                <w:sz w:val="28"/>
                <w:szCs w:val="28"/>
              </w:rPr>
              <w:t>4.0 DISCUSSION AND CONCLUSION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962" w:history="1">
            <w:r w:rsidR="00F6151A" w:rsidRPr="00AD7942">
              <w:rPr>
                <w:rStyle w:val="Hyperlink"/>
                <w:rFonts w:ascii="Times New Roman" w:hAnsi="Times New Roman" w:cs="Times New Roman"/>
                <w:noProof/>
                <w:sz w:val="28"/>
                <w:szCs w:val="28"/>
              </w:rPr>
              <w:t>4.1</w:t>
            </w:r>
            <w:r w:rsidR="00F6151A" w:rsidRPr="00AD7942">
              <w:rPr>
                <w:rStyle w:val="Hyperlink"/>
                <w:rFonts w:ascii="Times New Roman" w:hAnsi="Times New Roman" w:cs="Times New Roman"/>
                <w:bCs/>
                <w:noProof/>
                <w:sz w:val="28"/>
                <w:szCs w:val="28"/>
              </w:rPr>
              <w:t xml:space="preserve"> Discussion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22</w:t>
            </w:r>
            <w:r w:rsidR="00F6151A" w:rsidRPr="00AD7942">
              <w:rPr>
                <w:rFonts w:ascii="Times New Roman" w:hAnsi="Times New Roman" w:cs="Times New Roman"/>
                <w:noProof/>
                <w:webHidden/>
                <w:sz w:val="28"/>
                <w:szCs w:val="28"/>
              </w:rPr>
              <w:fldChar w:fldCharType="end"/>
            </w:r>
          </w:hyperlink>
        </w:p>
        <w:p w:rsidR="00F6151A" w:rsidRPr="00AD7942" w:rsidRDefault="000D6BEE">
          <w:pPr>
            <w:pStyle w:val="TOC1"/>
            <w:tabs>
              <w:tab w:val="right" w:leader="dot" w:pos="8630"/>
            </w:tabs>
            <w:rPr>
              <w:rFonts w:ascii="Times New Roman" w:hAnsi="Times New Roman" w:cs="Times New Roman"/>
              <w:noProof/>
              <w:sz w:val="28"/>
              <w:szCs w:val="28"/>
            </w:rPr>
          </w:pPr>
          <w:hyperlink w:anchor="_Toc202808963" w:history="1">
            <w:r w:rsidR="00F6151A" w:rsidRPr="00AD7942">
              <w:rPr>
                <w:rStyle w:val="Hyperlink"/>
                <w:rFonts w:ascii="Times New Roman" w:hAnsi="Times New Roman" w:cs="Times New Roman"/>
                <w:noProof/>
                <w:sz w:val="28"/>
                <w:szCs w:val="28"/>
              </w:rPr>
              <w:t>4.2 Conclusion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24</w:t>
            </w:r>
            <w:r w:rsidR="00F6151A" w:rsidRPr="00AD7942">
              <w:rPr>
                <w:rFonts w:ascii="Times New Roman" w:hAnsi="Times New Roman" w:cs="Times New Roman"/>
                <w:noProof/>
                <w:webHidden/>
                <w:sz w:val="28"/>
                <w:szCs w:val="28"/>
              </w:rPr>
              <w:fldChar w:fldCharType="end"/>
            </w:r>
          </w:hyperlink>
        </w:p>
        <w:p w:rsidR="00F6151A" w:rsidRPr="00F6151A" w:rsidRDefault="000D6BEE">
          <w:pPr>
            <w:pStyle w:val="TOC1"/>
            <w:tabs>
              <w:tab w:val="right" w:leader="dot" w:pos="8630"/>
            </w:tabs>
            <w:rPr>
              <w:rFonts w:ascii="Times New Roman" w:hAnsi="Times New Roman" w:cs="Times New Roman"/>
              <w:noProof/>
              <w:sz w:val="28"/>
              <w:szCs w:val="28"/>
            </w:rPr>
          </w:pPr>
          <w:hyperlink w:anchor="_Toc202808964" w:history="1">
            <w:r w:rsidR="00F6151A" w:rsidRPr="00F6151A">
              <w:rPr>
                <w:rStyle w:val="Hyperlink"/>
                <w:rFonts w:ascii="Times New Roman" w:eastAsia="Times New Roman" w:hAnsi="Times New Roman" w:cs="Times New Roman"/>
                <w:b/>
                <w:noProof/>
                <w:sz w:val="28"/>
                <w:szCs w:val="28"/>
              </w:rPr>
              <w:t>REFERENCES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26</w:t>
            </w:r>
            <w:r w:rsidR="00F6151A"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BEE" w:rsidRDefault="000D6BEE" w:rsidP="00EF69B8">
      <w:pPr>
        <w:spacing w:after="0" w:line="240" w:lineRule="auto"/>
      </w:pPr>
      <w:r>
        <w:separator/>
      </w:r>
    </w:p>
  </w:endnote>
  <w:endnote w:type="continuationSeparator" w:id="0">
    <w:p w:rsidR="000D6BEE" w:rsidRDefault="000D6BEE"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AC5C66">
          <w:rPr>
            <w:noProof/>
          </w:rPr>
          <w:t>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BEE" w:rsidRDefault="000D6BEE" w:rsidP="00EF69B8">
      <w:pPr>
        <w:spacing w:after="0" w:line="240" w:lineRule="auto"/>
      </w:pPr>
      <w:r>
        <w:separator/>
      </w:r>
    </w:p>
  </w:footnote>
  <w:footnote w:type="continuationSeparator" w:id="0">
    <w:p w:rsidR="000D6BEE" w:rsidRDefault="000D6BEE"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0D6BEE"/>
    <w:rsid w:val="00107089"/>
    <w:rsid w:val="00191234"/>
    <w:rsid w:val="00280381"/>
    <w:rsid w:val="002B0BB5"/>
    <w:rsid w:val="003907CD"/>
    <w:rsid w:val="003A4D2C"/>
    <w:rsid w:val="003E7CBD"/>
    <w:rsid w:val="00494FA6"/>
    <w:rsid w:val="004C7742"/>
    <w:rsid w:val="005462F5"/>
    <w:rsid w:val="005C36A8"/>
    <w:rsid w:val="00645FF4"/>
    <w:rsid w:val="00673BA4"/>
    <w:rsid w:val="006A1498"/>
    <w:rsid w:val="0078606D"/>
    <w:rsid w:val="007929E8"/>
    <w:rsid w:val="007A5C16"/>
    <w:rsid w:val="00814FAB"/>
    <w:rsid w:val="00873014"/>
    <w:rsid w:val="00874876"/>
    <w:rsid w:val="008A62EF"/>
    <w:rsid w:val="008E05E5"/>
    <w:rsid w:val="0098466D"/>
    <w:rsid w:val="009C69DE"/>
    <w:rsid w:val="00AB24A5"/>
    <w:rsid w:val="00AC5C66"/>
    <w:rsid w:val="00AD7942"/>
    <w:rsid w:val="00B43961"/>
    <w:rsid w:val="00B52347"/>
    <w:rsid w:val="00B810F0"/>
    <w:rsid w:val="00C77AD7"/>
    <w:rsid w:val="00CF59DF"/>
    <w:rsid w:val="00D14229"/>
    <w:rsid w:val="00D415F8"/>
    <w:rsid w:val="00DA0F41"/>
    <w:rsid w:val="00DD0288"/>
    <w:rsid w:val="00E71726"/>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06D62-5A81-4318-B687-45B90E31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5595</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2025-07-07T19:37:00Z</dcterms:created>
  <dcterms:modified xsi:type="dcterms:W3CDTF">2025-07-07T19:37:00Z</dcterms:modified>
</cp:coreProperties>
</file>