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A1650" w:rsidRPr="003B5BA6" w:rsidRDefault="00332112" w:rsidP="00EA1650">
      <w:pPr>
        <w:pStyle w:val="NormalWeb"/>
        <w:spacing w:line="18" w:lineRule="atLeast"/>
        <w:jc w:val="center"/>
        <w:rPr>
          <w:rFonts w:eastAsiaTheme="minorHAnsi" w:cstheme="minorBidi"/>
          <w:b/>
          <w:bCs/>
          <w:color w:val="000000"/>
          <w:sz w:val="32"/>
          <w:szCs w:val="32"/>
        </w:rPr>
      </w:pPr>
      <w:r w:rsidRPr="00332112">
        <w:rPr>
          <w:rFonts w:eastAsiaTheme="minorHAnsi" w:cstheme="minorBidi"/>
          <w:b/>
          <w:bCs/>
          <w:color w:val="000000"/>
          <w:sz w:val="32"/>
          <w:szCs w:val="32"/>
        </w:rPr>
        <w:t>FAMUYIDE TOMIWA ABEL</w:t>
      </w:r>
    </w:p>
    <w:p w:rsidR="00EA1650" w:rsidRDefault="00332112" w:rsidP="00EA165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332112">
        <w:rPr>
          <w:rFonts w:eastAsiaTheme="minorHAnsi" w:cstheme="minorBidi"/>
          <w:b/>
          <w:bCs/>
          <w:color w:val="000000"/>
          <w:sz w:val="32"/>
          <w:szCs w:val="32"/>
        </w:rPr>
        <w:t>HND/23/SLT/FT/1038</w:t>
      </w:r>
      <w:bookmarkEnd w:id="0"/>
    </w:p>
    <w:p w:rsidR="00EA1650" w:rsidRDefault="00EA1650" w:rsidP="00EA1650">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05100" w:rsidRPr="00705100">
        <w:rPr>
          <w:rFonts w:ascii="Times New Roman" w:hAnsi="Times New Roman"/>
          <w:b/>
          <w:bCs/>
          <w:color w:val="000000"/>
          <w:sz w:val="28"/>
          <w:szCs w:val="28"/>
        </w:rPr>
        <w:t>MICHEAL ELIZABETH OLUWABANKE</w:t>
      </w:r>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705100">
        <w:rPr>
          <w:rFonts w:ascii="Times New Roman" w:hAnsi="Times New Roman"/>
          <w:b/>
          <w:bCs/>
          <w:color w:val="000000"/>
          <w:sz w:val="28"/>
          <w:szCs w:val="32"/>
        </w:rPr>
        <w:t>HND/23/SLT/FT/</w:t>
      </w:r>
      <w:r w:rsidR="00332112">
        <w:rPr>
          <w:rFonts w:ascii="Times New Roman" w:hAnsi="Times New Roman"/>
          <w:b/>
          <w:bCs/>
          <w:color w:val="000000"/>
          <w:sz w:val="28"/>
          <w:szCs w:val="32"/>
        </w:rPr>
        <w:t>1038</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332112" w:rsidRPr="00332112" w:rsidRDefault="00332112" w:rsidP="00332112">
      <w:pPr>
        <w:spacing w:line="480" w:lineRule="auto"/>
        <w:jc w:val="both"/>
        <w:rPr>
          <w:rFonts w:ascii="Times New Roman" w:hAnsi="Times New Roman"/>
          <w:color w:val="000000"/>
          <w:sz w:val="28"/>
          <w:szCs w:val="28"/>
        </w:rPr>
      </w:pPr>
      <w:r w:rsidRPr="00332112">
        <w:rPr>
          <w:rFonts w:ascii="Times New Roman" w:hAnsi="Times New Roman"/>
          <w:color w:val="000000"/>
          <w:sz w:val="28"/>
          <w:szCs w:val="28"/>
        </w:rPr>
        <w:t>I dedicate this research work to almighty God for his love, mercy and protection upon my life to complete and make it successful work. And I also dedicate it to my lovely parent for their full support to make this dream come true.</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332112" w:rsidRDefault="00332112" w:rsidP="00EA1650">
      <w:pPr>
        <w:spacing w:after="0" w:line="480" w:lineRule="auto"/>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All praise and adoration belong to God Almighty for His mercy and grace upon my life and the opportunity to partake in this program, without Him I am nothing and with His assistance and guideness I can't fail. May His blessing continue to be with me (amen).</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Special appreciation t</w:t>
      </w:r>
      <w:r>
        <w:rPr>
          <w:rFonts w:ascii="Times New Roman" w:hAnsi="Times New Roman"/>
          <w:sz w:val="28"/>
          <w:szCs w:val="28"/>
        </w:rPr>
        <w:t xml:space="preserve">o my dear parent Mr. &amp; Mrs. </w:t>
      </w:r>
      <w:r w:rsidRPr="00332112">
        <w:rPr>
          <w:rFonts w:ascii="Times New Roman" w:hAnsi="Times New Roman"/>
          <w:sz w:val="28"/>
          <w:szCs w:val="28"/>
        </w:rPr>
        <w:t>Famuyide for their full support to make this dream comes true. I pray they live long to reap the fruit of their labor (amen).</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My appreciation also goes to my able supervisor Mrs. Abdullahi H.J for her full support and guideness to make this research work a successful one. May God Almighty bless you in all your endeavors (amen).</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My appreciation also goes to the HOU (Ms Ahmed T) and also the HOD (Dr Usman A) of my department for their support to make this project a successful work done.</w:t>
      </w:r>
    </w:p>
    <w:p w:rsidR="00332112" w:rsidRPr="00332112" w:rsidRDefault="00332112" w:rsidP="00332112">
      <w:pPr>
        <w:spacing w:line="276" w:lineRule="auto"/>
        <w:jc w:val="both"/>
        <w:rPr>
          <w:rFonts w:ascii="Times New Roman" w:hAnsi="Times New Roman"/>
          <w:sz w:val="28"/>
          <w:szCs w:val="28"/>
        </w:rPr>
      </w:pPr>
      <w:r w:rsidRPr="00332112">
        <w:rPr>
          <w:rFonts w:ascii="Times New Roman" w:hAnsi="Times New Roman"/>
          <w:sz w:val="28"/>
          <w:szCs w:val="28"/>
        </w:rPr>
        <w:t>My gratitude also goes to my friends who has never get tired of me for their full support and great assistance to see this work and program a successful one, may God Almighty continue to bless them abundantly. And to all my projects mates who have contributed to this research work as a team, i say a very big thank you to you all.</w:t>
      </w:r>
    </w:p>
    <w:p w:rsidR="00EA1650" w:rsidRDefault="00332112" w:rsidP="00332112">
      <w:pPr>
        <w:spacing w:line="276" w:lineRule="auto"/>
        <w:jc w:val="both"/>
        <w:rPr>
          <w:rFonts w:ascii="Times New Roman" w:hAnsi="Times New Roman"/>
          <w:b/>
          <w:sz w:val="28"/>
          <w:szCs w:val="28"/>
        </w:rPr>
      </w:pPr>
      <w:r w:rsidRPr="00332112">
        <w:rPr>
          <w:rFonts w:ascii="Times New Roman" w:hAnsi="Times New Roman"/>
          <w:sz w:val="28"/>
          <w:szCs w:val="28"/>
        </w:rPr>
        <w:t>May we all have many reasons to smile.</w:t>
      </w:r>
      <w:r w:rsidR="00705100">
        <w:rPr>
          <w:rFonts w:ascii="Times New Roman" w:hAnsi="Times New Roman"/>
          <w:b/>
          <w:sz w:val="28"/>
          <w:szCs w:val="28"/>
        </w:rPr>
        <w:t xml:space="preserve">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B15D53"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B15D53">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w:t>
      </w:r>
      <w:r w:rsidRPr="00EA1650">
        <w:rPr>
          <w:color w:val="000000" w:themeColor="text1"/>
          <w:sz w:val="28"/>
          <w:szCs w:val="28"/>
        </w:rPr>
        <w:lastRenderedPageBreak/>
        <w:t xml:space="preserve">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xml:space="preserve">. Gram-negative bacteria are generally more resistant to natural antimicrobials due to the presence of an outer membrane that acts as a permeability barrier (Fadare et al., 2021). However, certain </w:t>
      </w:r>
      <w:r w:rsidRPr="00EA1650">
        <w:rPr>
          <w:color w:val="000000" w:themeColor="text1"/>
          <w:sz w:val="28"/>
          <w:szCs w:val="28"/>
        </w:rPr>
        <w:lastRenderedPageBreak/>
        <w:t>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lastRenderedPageBreak/>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w:t>
      </w:r>
      <w:r w:rsidRPr="00EA1650">
        <w:rPr>
          <w:color w:val="000000" w:themeColor="text1"/>
          <w:sz w:val="28"/>
          <w:szCs w:val="28"/>
        </w:rPr>
        <w:lastRenderedPageBreak/>
        <w:t>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lastRenderedPageBreak/>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53" w:rsidRDefault="00B15D53" w:rsidP="008E0316">
      <w:pPr>
        <w:spacing w:after="0" w:line="240" w:lineRule="auto"/>
      </w:pPr>
      <w:r>
        <w:separator/>
      </w:r>
    </w:p>
  </w:endnote>
  <w:endnote w:type="continuationSeparator" w:id="0">
    <w:p w:rsidR="00B15D53" w:rsidRDefault="00B15D53"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332112">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332112">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53" w:rsidRDefault="00B15D53" w:rsidP="008E0316">
      <w:pPr>
        <w:spacing w:after="0" w:line="240" w:lineRule="auto"/>
      </w:pPr>
      <w:r>
        <w:separator/>
      </w:r>
    </w:p>
  </w:footnote>
  <w:footnote w:type="continuationSeparator" w:id="0">
    <w:p w:rsidR="00B15D53" w:rsidRDefault="00B15D53"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91234"/>
    <w:rsid w:val="001E3FEC"/>
    <w:rsid w:val="00280381"/>
    <w:rsid w:val="00295FA2"/>
    <w:rsid w:val="002B0BB5"/>
    <w:rsid w:val="002C38D9"/>
    <w:rsid w:val="00332112"/>
    <w:rsid w:val="0036406A"/>
    <w:rsid w:val="003F1C49"/>
    <w:rsid w:val="0048379F"/>
    <w:rsid w:val="005329B6"/>
    <w:rsid w:val="00566F04"/>
    <w:rsid w:val="005B2535"/>
    <w:rsid w:val="00645FF4"/>
    <w:rsid w:val="006768A7"/>
    <w:rsid w:val="00705100"/>
    <w:rsid w:val="00780C06"/>
    <w:rsid w:val="0078606D"/>
    <w:rsid w:val="007A5C16"/>
    <w:rsid w:val="00872AF5"/>
    <w:rsid w:val="008E0316"/>
    <w:rsid w:val="008E05E5"/>
    <w:rsid w:val="008F2DAB"/>
    <w:rsid w:val="00981DC3"/>
    <w:rsid w:val="0098466D"/>
    <w:rsid w:val="00A54A28"/>
    <w:rsid w:val="00AD6371"/>
    <w:rsid w:val="00B15D53"/>
    <w:rsid w:val="00B52347"/>
    <w:rsid w:val="00BA46D5"/>
    <w:rsid w:val="00C5538D"/>
    <w:rsid w:val="00C57A11"/>
    <w:rsid w:val="00C77AD7"/>
    <w:rsid w:val="00D415F8"/>
    <w:rsid w:val="00D86603"/>
    <w:rsid w:val="00DA0F41"/>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A3B0-4266-4EA5-9527-DEE21AC5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2025-06-29T16:36:00Z</cp:lastPrinted>
  <dcterms:created xsi:type="dcterms:W3CDTF">2025-07-07T18:56:00Z</dcterms:created>
  <dcterms:modified xsi:type="dcterms:W3CDTF">2025-07-07T18:56:00Z</dcterms:modified>
</cp:coreProperties>
</file>