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BY</w:t>
      </w:r>
    </w:p>
    <w:p>
      <w:pPr>
        <w:pStyle w:val="style0"/>
        <w:spacing w:before="240"/>
        <w:jc w:val="left"/>
        <w:rPr>
          <w:rFonts w:ascii="Times New Roman" w:hAnsi="Times New Roman"/>
          <w:b/>
          <w:bCs/>
          <w:sz w:val="30"/>
          <w:szCs w:val="30"/>
        </w:rPr>
      </w:pPr>
      <w:r>
        <w:rPr>
          <w:rFonts w:ascii="Times New Roman" w:hAnsi="Times New Roman"/>
          <w:b/>
          <w:bCs/>
          <w:sz w:val="30"/>
          <w:szCs w:val="30"/>
          <w:lang w:val="en-US"/>
        </w:rPr>
        <w:t xml:space="preserve">                                    ABDULKADIR SHARAFDEEN</w:t>
      </w:r>
    </w:p>
    <w:p>
      <w:pPr>
        <w:pStyle w:val="style0"/>
        <w:spacing w:before="240"/>
        <w:jc w:val="center"/>
        <w:rPr>
          <w:rFonts w:ascii="Times New Roman" w:hAnsi="Times New Roman"/>
          <w:b/>
          <w:bCs/>
          <w:sz w:val="24"/>
          <w:szCs w:val="24"/>
        </w:rPr>
      </w:pPr>
      <w:r>
        <w:rPr>
          <w:rFonts w:ascii="Times New Roman" w:hAnsi="Times New Roman"/>
          <w:b/>
          <w:bCs/>
          <w:sz w:val="30"/>
          <w:szCs w:val="30"/>
        </w:rPr>
        <w:t>HND/23/CEC/FT/0</w:t>
      </w:r>
      <w:r>
        <w:rPr>
          <w:rFonts w:ascii="Times New Roman" w:hAnsi="Times New Roman"/>
          <w:b/>
          <w:bCs/>
          <w:sz w:val="30"/>
          <w:szCs w:val="30"/>
          <w:lang w:val="en-US"/>
        </w:rPr>
        <w:t>204</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SUBMITTED TO</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DEPARTMENT OF CIVIL ENGINEERING,</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INSTITUTE OF TECHNOLOGY,</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SUPERVISED BY:</w:t>
      </w:r>
    </w:p>
    <w:p>
      <w:pPr>
        <w:pStyle w:val="style0"/>
        <w:spacing w:before="240"/>
        <w:jc w:val="center"/>
        <w:rPr>
          <w:rFonts w:ascii="Times New Roman" w:hAnsi="Times New Roman"/>
          <w:b/>
          <w:sz w:val="24"/>
          <w:szCs w:val="24"/>
        </w:rPr>
      </w:pPr>
      <w:r>
        <w:rPr>
          <w:rFonts w:ascii="Times New Roman" w:hAnsi="Times New Roman"/>
          <w:b/>
          <w:bCs/>
          <w:sz w:val="24"/>
          <w:szCs w:val="24"/>
        </w:rPr>
        <w:t>ENGR. DR. E.O IBIWOYE</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before="78" w:lineRule="auto" w:line="480"/>
        <w:ind w:left="16" w:right="19"/>
        <w:jc w:val="center"/>
        <w:rPr>
          <w:rFonts w:ascii="Times New Roman" w:hAnsi="Times New Roman"/>
          <w:b/>
          <w:bCs/>
          <w:sz w:val="24"/>
          <w:szCs w:val="24"/>
        </w:rPr>
      </w:pPr>
      <w:r>
        <w:rPr>
          <w:rFonts w:ascii="Times New Roman" w:hAnsi="Times New Roman"/>
          <w:b/>
          <w:bCs/>
          <w:sz w:val="24"/>
          <w:szCs w:val="24"/>
        </w:rPr>
        <w:t>CERTIFICATION</w:t>
      </w:r>
    </w:p>
    <w:p>
      <w:pPr>
        <w:pStyle w:val="style66"/>
        <w:spacing w:before="253" w:after="0" w:lineRule="auto" w:line="480"/>
        <w:ind w:left="18" w:right="39" w:firstLine="702"/>
        <w:rPr>
          <w:rFonts w:ascii="Times New Roman" w:hAnsi="Times New Roman"/>
          <w:i w:val="false"/>
          <w:spacing w:val="-5"/>
          <w:w w:val="104"/>
          <w:sz w:val="24"/>
          <w:szCs w:val="24"/>
        </w:rPr>
      </w:pPr>
      <w:r>
        <w:rPr>
          <w:rFonts w:ascii="Times New Roman" w:hAnsi="Times New Roman"/>
          <w:i w:val="false"/>
          <w:spacing w:val="-5"/>
          <w:w w:val="104"/>
          <w:sz w:val="24"/>
          <w:szCs w:val="24"/>
        </w:rPr>
        <w:t xml:space="preserve">This is to certify that this </w:t>
      </w:r>
      <w:r>
        <w:rPr>
          <w:rFonts w:ascii="Times New Roman" w:hAnsi="Times New Roman"/>
          <w:i w:val="false"/>
          <w:spacing w:val="-5"/>
          <w:w w:val="104"/>
          <w:sz w:val="24"/>
          <w:szCs w:val="24"/>
          <w:lang w:val="en-US"/>
        </w:rPr>
        <w:t xml:space="preserve">research study was conducted by  ABDULKADIR SHARAFDEEN (HND/23/CEC/FT/0204) and </w:t>
      </w:r>
      <w:r>
        <w:rPr>
          <w:rFonts w:ascii="Times New Roman" w:hAnsi="Times New Roman"/>
          <w:i w:val="false"/>
          <w:spacing w:val="-5"/>
          <w:w w:val="104"/>
          <w:sz w:val="24"/>
          <w:szCs w:val="24"/>
        </w:rPr>
        <w:t>ha</w:t>
      </w:r>
      <w:r>
        <w:rPr>
          <w:rFonts w:ascii="Times New Roman" w:hAnsi="Times New Roman"/>
          <w:i w:val="false"/>
          <w:spacing w:val="-5"/>
          <w:w w:val="104"/>
          <w:sz w:val="24"/>
          <w:szCs w:val="24"/>
          <w:lang w:val="en-US"/>
        </w:rPr>
        <w:t>d</w:t>
      </w:r>
      <w:r>
        <w:rPr>
          <w:rFonts w:ascii="Times New Roman" w:hAnsi="Times New Roman"/>
          <w:i w:val="false"/>
          <w:spacing w:val="-5"/>
          <w:w w:val="104"/>
          <w:sz w:val="24"/>
          <w:szCs w:val="24"/>
        </w:rPr>
        <w:t xml:space="preserve"> been read and Approved as meeting the Requirement for the award of Higher National Diploma (</w:t>
      </w:r>
      <w:r>
        <w:rPr>
          <w:rFonts w:ascii="Times New Roman" w:hAnsi="Times New Roman"/>
          <w:b/>
          <w:bCs/>
          <w:i w:val="false"/>
          <w:spacing w:val="-5"/>
          <w:w w:val="104"/>
          <w:sz w:val="24"/>
          <w:szCs w:val="24"/>
        </w:rPr>
        <w:t>HND</w:t>
      </w:r>
      <w:r>
        <w:rPr>
          <w:rFonts w:ascii="Times New Roman" w:hAnsi="Times New Roman"/>
          <w:b/>
          <w:bCs/>
          <w:i w:val="false"/>
          <w:spacing w:val="-5"/>
          <w:w w:val="104"/>
          <w:sz w:val="24"/>
          <w:szCs w:val="24"/>
        </w:rPr>
        <w:t xml:space="preserve">) </w:t>
      </w:r>
      <w:r>
        <w:rPr>
          <w:rFonts w:ascii="Times New Roman" w:hAnsi="Times New Roman"/>
          <w:i w:val="false"/>
          <w:spacing w:val="-5"/>
          <w:w w:val="104"/>
          <w:sz w:val="24"/>
          <w:szCs w:val="24"/>
        </w:rPr>
        <w:t>in Civil Engi</w:t>
      </w:r>
      <w:r>
        <w:rPr>
          <w:rFonts w:ascii="Times New Roman" w:hAnsi="Times New Roman"/>
          <w:i w:val="false"/>
          <w:spacing w:val="-5"/>
          <w:w w:val="104"/>
          <w:sz w:val="24"/>
          <w:szCs w:val="24"/>
          <w:lang w:val="en-US"/>
        </w:rPr>
        <w:t xml:space="preserve">neering, Institute of Technology, </w:t>
      </w:r>
      <w:r>
        <w:rPr>
          <w:rFonts w:ascii="Times New Roman" w:hAnsi="Times New Roman"/>
          <w:i w:val="false"/>
          <w:spacing w:val="-5"/>
          <w:w w:val="104"/>
          <w:sz w:val="24"/>
          <w:szCs w:val="24"/>
        </w:rPr>
        <w:t>Kwara State Polytechnic, Ilorin.</w:t>
      </w:r>
    </w:p>
    <w:p>
      <w:pPr>
        <w:pStyle w:val="style66"/>
        <w:spacing w:before="97"/>
        <w:rPr>
          <w:rFonts w:ascii="Times New Roman" w:hAnsi="Times New Roman"/>
          <w:i w:val="false"/>
          <w:w w:val="90"/>
          <w:szCs w:val="24"/>
        </w:rPr>
      </w:pPr>
    </w:p>
    <w:p>
      <w:pPr>
        <w:pStyle w:val="style66"/>
        <w:spacing w:before="97"/>
        <w:rPr>
          <w:rFonts w:ascii="Times New Roman" w:hAnsi="Times New Roman"/>
          <w:b/>
          <w:bCs/>
          <w:i w:val="false"/>
          <w:w w:val="90"/>
          <w:szCs w:val="24"/>
        </w:rPr>
      </w:pPr>
      <w:r>
        <w:rPr>
          <w:rFonts w:ascii="Times New Roman" w:hAnsi="Times New Roman"/>
          <w:b/>
          <w:bCs/>
          <w:i w:val="false"/>
          <w:w w:val="90"/>
          <w:szCs w:val="24"/>
        </w:rPr>
        <w:t>______________________</w:t>
      </w:r>
      <w:r>
        <w:rPr>
          <w:rFonts w:ascii="Times New Roman" w:hAnsi="Times New Roman"/>
          <w:b/>
          <w:bCs/>
          <w:i w:val="false"/>
          <w:w w:val="90"/>
          <w:szCs w:val="24"/>
          <w:lang w:val="en-US"/>
        </w:rPr>
        <w:t>__</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lang w:val="en-US"/>
        </w:rPr>
        <w:t xml:space="preserve">               </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____________________</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w w:val="90"/>
          <w:sz w:val="28"/>
          <w:szCs w:val="24"/>
        </w:rPr>
        <w:t>ENGR.</w:t>
      </w:r>
      <w:r>
        <w:rPr>
          <w:rFonts w:ascii="Times New Roman" w:hAnsi="Times New Roman"/>
          <w:b/>
          <w:bCs/>
          <w:i w:val="false"/>
          <w:w w:val="90"/>
          <w:sz w:val="28"/>
          <w:szCs w:val="24"/>
          <w:lang w:val="en-US"/>
        </w:rPr>
        <w:t xml:space="preserve"> DR. E.O. IBIWOYE</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5"/>
          <w:sz w:val="28"/>
          <w:szCs w:val="24"/>
        </w:rPr>
        <w:t>DATE</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sz w:val="28"/>
          <w:szCs w:val="24"/>
        </w:rPr>
        <w:t xml:space="preserve">  (</w:t>
      </w:r>
      <w:r>
        <w:rPr>
          <w:rFonts w:ascii="Times New Roman" w:hAnsi="Times New Roman"/>
          <w:b/>
          <w:bCs/>
          <w:iCs/>
          <w:sz w:val="28"/>
          <w:szCs w:val="24"/>
        </w:rPr>
        <w:t>PROJECT SUPERVISOR)</w:t>
      </w:r>
    </w:p>
    <w:p>
      <w:pPr>
        <w:pStyle w:val="style66"/>
        <w:spacing w:after="0"/>
        <w:rPr>
          <w:rFonts w:ascii="Times New Roman" w:hAnsi="Times New Roman"/>
          <w:b/>
          <w:bCs/>
          <w:i w:val="false"/>
          <w:w w:val="90"/>
          <w:sz w:val="28"/>
          <w:szCs w:val="24"/>
        </w:rPr>
      </w:pPr>
    </w:p>
    <w:p>
      <w:pPr>
        <w:pStyle w:val="style66"/>
        <w:spacing w:after="0"/>
        <w:rPr>
          <w:rFonts w:ascii="Times New Roman" w:hAnsi="Times New Roman"/>
          <w:b/>
          <w:bCs/>
          <w:i w:val="false"/>
          <w:w w:val="90"/>
          <w:sz w:val="28"/>
          <w:szCs w:val="24"/>
        </w:rPr>
      </w:pP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______________________</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____________________</w:t>
      </w: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 xml:space="preserve">A. </w:t>
      </w:r>
      <w:r>
        <w:rPr>
          <w:rFonts w:ascii="Times New Roman" w:hAnsi="Times New Roman"/>
          <w:b/>
          <w:bCs/>
          <w:i w:val="false"/>
          <w:w w:val="90"/>
          <w:sz w:val="28"/>
          <w:szCs w:val="24"/>
        </w:rPr>
        <w:t>NA</w:t>
      </w:r>
      <w:r>
        <w:rPr>
          <w:rFonts w:ascii="Times New Roman" w:hAnsi="Times New Roman"/>
          <w:b/>
          <w:bCs/>
          <w:i w:val="false"/>
          <w:w w:val="90"/>
          <w:sz w:val="28"/>
          <w:szCs w:val="24"/>
          <w:lang w:val="en-US"/>
        </w:rPr>
        <w:t>A</w:t>
      </w:r>
      <w:r>
        <w:rPr>
          <w:rFonts w:ascii="Times New Roman" w:hAnsi="Times New Roman"/>
          <w:b/>
          <w:bCs/>
          <w:i w:val="false"/>
          <w:w w:val="90"/>
          <w:sz w:val="28"/>
          <w:szCs w:val="24"/>
        </w:rPr>
        <w:t xml:space="preserve">LLAH </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0"/>
          <w:sz w:val="28"/>
          <w:szCs w:val="24"/>
        </w:rPr>
        <w:t>DATE</w:t>
      </w:r>
    </w:p>
    <w:p>
      <w:pPr>
        <w:pStyle w:val="style0"/>
        <w:rPr>
          <w:rFonts w:ascii="Times New Roman" w:hAnsi="Times New Roman"/>
          <w:b/>
          <w:bCs/>
          <w:w w:val="90"/>
          <w:sz w:val="28"/>
          <w:szCs w:val="24"/>
        </w:rPr>
      </w:pPr>
      <w:r>
        <w:rPr>
          <w:rFonts w:ascii="Times New Roman" w:hAnsi="Times New Roman"/>
          <w:b/>
          <w:bCs/>
          <w:w w:val="90"/>
          <w:sz w:val="28"/>
          <w:szCs w:val="24"/>
        </w:rPr>
        <w:t>(HEAD OF DEPARTMENT)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w w:val="90"/>
          <w:sz w:val="28"/>
          <w:szCs w:val="24"/>
        </w:rPr>
      </w:pPr>
    </w:p>
    <w:p>
      <w:pPr>
        <w:pStyle w:val="style0"/>
        <w:rPr>
          <w:rFonts w:ascii="Times New Roman" w:hAnsi="Times New Roman"/>
          <w:b/>
          <w:bCs/>
          <w:w w:val="90"/>
          <w:sz w:val="28"/>
          <w:szCs w:val="24"/>
        </w:rPr>
      </w:pPr>
      <w:r>
        <w:rPr>
          <w:rFonts w:ascii="Times New Roman" w:hAnsi="Times New Roman"/>
          <w:b/>
          <w:bCs/>
          <w:w w:val="90"/>
          <w:sz w:val="28"/>
          <w:szCs w:val="24"/>
        </w:rPr>
        <w:t>_______________________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____________________</w:t>
      </w:r>
    </w:p>
    <w:p>
      <w:pPr>
        <w:pStyle w:val="style0"/>
        <w:rPr>
          <w:rFonts w:ascii="Times New Roman" w:hAnsi="Times New Roman"/>
          <w:b/>
          <w:bCs/>
          <w:w w:val="90"/>
          <w:sz w:val="28"/>
          <w:szCs w:val="24"/>
        </w:rPr>
      </w:pPr>
      <w:r>
        <w:rPr>
          <w:rFonts w:ascii="Times New Roman" w:hAnsi="Times New Roman"/>
          <w:b/>
          <w:bCs/>
          <w:w w:val="90"/>
          <w:sz w:val="28"/>
          <w:szCs w:val="24"/>
        </w:rPr>
        <w:t>ENGR. DR, M</w:t>
      </w:r>
      <w:r>
        <w:rPr>
          <w:rFonts w:ascii="Times New Roman" w:hAnsi="Times New Roman"/>
          <w:b/>
          <w:bCs/>
          <w:w w:val="90"/>
          <w:sz w:val="28"/>
          <w:szCs w:val="24"/>
          <w:lang w:val="en-US"/>
        </w:rPr>
        <w:t xml:space="preserve">UJEDU KASALI </w:t>
      </w:r>
      <w:r>
        <w:rPr>
          <w:rFonts w:ascii="Times New Roman" w:hAnsi="Times New Roman"/>
          <w:b/>
          <w:bCs/>
          <w:w w:val="90"/>
          <w:sz w:val="28"/>
          <w:szCs w:val="24"/>
        </w:rPr>
        <w:t>ADEBAYO</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DATE</w:t>
      </w:r>
    </w:p>
    <w:p>
      <w:pPr>
        <w:pStyle w:val="style0"/>
        <w:rPr>
          <w:rFonts w:ascii="Times New Roman" w:hAnsi="Times New Roman"/>
          <w:b/>
          <w:bCs/>
          <w:sz w:val="28"/>
          <w:szCs w:val="28"/>
        </w:rPr>
      </w:pPr>
      <w:r>
        <w:rPr>
          <w:rFonts w:ascii="Times New Roman" w:hAnsi="Times New Roman"/>
          <w:b/>
          <w:bCs/>
          <w:w w:val="90"/>
          <w:sz w:val="28"/>
          <w:szCs w:val="24"/>
        </w:rPr>
        <w:t xml:space="preserve"> (EXTERNAL </w:t>
      </w:r>
      <w:r>
        <w:rPr>
          <w:rFonts w:ascii="Times New Roman" w:hAnsi="Times New Roman"/>
          <w:b/>
          <w:bCs/>
          <w:w w:val="90"/>
          <w:sz w:val="28"/>
          <w:szCs w:val="24"/>
          <w:lang w:val="en-US"/>
        </w:rPr>
        <w:t>EXAMINAL</w:t>
      </w:r>
      <w:r>
        <w:rPr>
          <w:rFonts w:ascii="Times New Roman" w:hAnsi="Times New Roman"/>
          <w:b/>
          <w:bCs/>
          <w:w w:val="90"/>
          <w:sz w:val="28"/>
          <w:szCs w:val="24"/>
        </w:rPr>
        <w: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w:t>
      </w:r>
      <w:r>
        <w:rPr>
          <w:rFonts w:ascii="Times New Roman" w:hAnsi="Times New Roman"/>
          <w:b/>
          <w:sz w:val="24"/>
          <w:szCs w:val="24"/>
          <w:lang w:val="en-US"/>
        </w:rPr>
        <w:t xml:space="preserve">N </w:t>
      </w:r>
    </w:p>
    <w:p>
      <w:pPr>
        <w:pStyle w:val="style0"/>
        <w:jc w:val="both"/>
        <w:rPr>
          <w:rFonts w:ascii="Times New Roman" w:hAnsi="Times New Roman"/>
          <w:b/>
          <w:sz w:val="24"/>
          <w:szCs w:val="24"/>
        </w:rPr>
      </w:pPr>
      <w:r>
        <w:rPr>
          <w:rFonts w:ascii="Times New Roman" w:hAnsi="Times New Roman"/>
          <w:b/>
          <w:sz w:val="24"/>
          <w:szCs w:val="24"/>
          <w:lang w:val="en-US"/>
        </w:rPr>
        <w:t>To Almighty ALLAH the greatest of all, the alpha and omega (the beginning and the end of all) for the success of this work. I also dedicate this work to my FATHER AND MOTHER… thank you for your endless support, prayers and sacrifices. More also to My Brothers And Sisters, I deeply appreciate your love, support, encouragement and constant motivation and all those who have supported me make this project a successful one for their gracious support in my life.  I really appreciate all and sundry. GOD BLESS YOU ALL.</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sz w:val="28"/>
          <w:szCs w:val="28"/>
        </w:rPr>
      </w:pPr>
      <w:r>
        <w:rPr>
          <w:rFonts w:ascii="Times New Roman" w:cs="Times New Roman" w:hAnsi="Times New Roman"/>
          <w:b/>
          <w:bCs/>
          <w:sz w:val="28"/>
          <w:szCs w:val="28"/>
        </w:rPr>
        <w:t>ACKNOWLEDGEMENT</w:t>
      </w:r>
    </w:p>
    <w:p>
      <w:pPr>
        <w:pStyle w:val="style0"/>
        <w:spacing w:lineRule="auto" w:line="480"/>
        <w:jc w:val="both"/>
        <w:rPr>
          <w:rFonts w:ascii="Times New Roman" w:hAnsi="Times New Roman"/>
          <w:b/>
          <w:sz w:val="28"/>
          <w:szCs w:val="28"/>
        </w:rPr>
      </w:pPr>
      <w:r>
        <w:rPr>
          <w:rFonts w:ascii="Times New Roman" w:cs="Times New Roman" w:hAnsi="Times New Roman"/>
          <w:sz w:val="28"/>
          <w:szCs w:val="28"/>
          <w:lang w:val="en-US"/>
        </w:rPr>
        <w:t>Alhamdulillah, all praise is due to Almighty Allah for granting me the strength, wisdom and patience to complete this project successful. I sincerely appreciate my supervisor (ENGR. DR. E.O. IBIWOYE) for the valuable guidance, support, and constructive feedback throughout the course of this project. My heartfelt thanks goes to my beloved parent whose prayers and love carried me through every challenges.Special appreciation to My Brothers and My Sisters and my siblings, relative and friends for their constant encouragement, moral support and understanding during this journey. Lastly My gratitude goes to my amiable lecturers  Engr. A. Emirate, Engr. A.w. Mansur, Engr. A.O. Saadu, Engr. A. Sanni, Engr. Garba and everyone who contributed in one way or another May Almighty Allah reward you all abundance</w:t>
      </w:r>
      <w:r>
        <w:rPr>
          <w:rFonts w:ascii="Times New Roman" w:cs="Times New Roman" w:hAnsi="Times New Roman"/>
          <w:sz w:val="28"/>
          <w:szCs w:val="28"/>
        </w:rPr>
        <w:t xml:space="preserve"> all abundance          </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eastAsia="Calibri" w:hAnsi="Times New Roman"/>
          <w:b/>
          <w:sz w:val="24"/>
          <w:szCs w:val="24"/>
          <w:lang w:eastAsia="en-US"/>
        </w:rPr>
      </w:pPr>
      <w:r>
        <w:rPr>
          <w:rFonts w:ascii="Times New Roman" w:eastAsia="Calibri" w:hAnsi="Times New Roman"/>
          <w:b/>
          <w:sz w:val="24"/>
          <w:szCs w:val="24"/>
          <w:lang w:eastAsia="en-US"/>
        </w:rPr>
        <w:t>TABLE OF CONTENT</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ONE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1.0 Introduction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1.1 Background</w:t>
      </w:r>
      <w:r>
        <w:rPr>
          <w:rFonts w:ascii="Times New Roman" w:eastAsia="Calibri" w:hAnsi="Times New Roman"/>
          <w:sz w:val="24"/>
          <w:szCs w:val="24"/>
          <w:lang w:eastAsia="en-US"/>
        </w:rPr>
        <w:t xml:space="preserve"> of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1.2 Statement</w:t>
      </w:r>
      <w:r>
        <w:rPr>
          <w:rFonts w:ascii="Times New Roman" w:eastAsia="Calibri" w:hAnsi="Times New Roman"/>
          <w:sz w:val="24"/>
          <w:szCs w:val="24"/>
          <w:lang w:eastAsia="en-US"/>
        </w:rPr>
        <w:t xml:space="preserve"> of the Problem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1.3 Aims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1.4 Objectives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1.5 Justification</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1.6 Scope</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TWO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2.0   Literature Review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 Preamble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2.1.1.0 Importance</w:t>
      </w:r>
      <w:r>
        <w:rPr>
          <w:rFonts w:ascii="Times New Roman" w:eastAsia="Calibri" w:hAnsi="Times New Roman"/>
          <w:sz w:val="24"/>
          <w:szCs w:val="24"/>
          <w:lang w:eastAsia="en-US"/>
        </w:rPr>
        <w:t xml:space="preserve"> of Geotechnical Studies on Borrow Pits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2.1.1.1 Ensuring</w:t>
      </w:r>
      <w:r>
        <w:rPr>
          <w:rFonts w:ascii="Times New Roman" w:eastAsia="Calibri" w:hAnsi="Times New Roman"/>
          <w:sz w:val="24"/>
          <w:szCs w:val="24"/>
          <w:lang w:eastAsia="en-US"/>
        </w:rPr>
        <w:t xml:space="preserve"> Structural Stability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2.1.1.2 Enhanching</w:t>
      </w:r>
      <w:r>
        <w:rPr>
          <w:rFonts w:ascii="Times New Roman" w:eastAsia="Calibri" w:hAnsi="Times New Roman"/>
          <w:sz w:val="24"/>
          <w:szCs w:val="24"/>
          <w:lang w:eastAsia="en-US"/>
        </w:rPr>
        <w:t xml:space="preserve"> Cost-Effectiveness in Construction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2.1.1.3 Minimizing</w:t>
      </w:r>
      <w:r>
        <w:rPr>
          <w:rFonts w:ascii="Times New Roman" w:eastAsia="Calibri" w:hAnsi="Times New Roman"/>
          <w:sz w:val="24"/>
          <w:szCs w:val="24"/>
          <w:lang w:eastAsia="en-US"/>
        </w:rPr>
        <w:t xml:space="preserve"> Environmental Impact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2.1.1.4 Improving</w:t>
      </w:r>
      <w:r>
        <w:rPr>
          <w:rFonts w:ascii="Times New Roman" w:eastAsia="Calibri" w:hAnsi="Times New Roman"/>
          <w:sz w:val="24"/>
          <w:szCs w:val="24"/>
          <w:lang w:eastAsia="en-US"/>
        </w:rPr>
        <w:t xml:space="preserve"> pavement and Foundation Performance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2.1.2 Overview</w:t>
      </w:r>
      <w:r>
        <w:rPr>
          <w:rFonts w:ascii="Times New Roman" w:eastAsia="Calibri" w:hAnsi="Times New Roman"/>
          <w:sz w:val="24"/>
          <w:szCs w:val="24"/>
          <w:lang w:eastAsia="en-US"/>
        </w:rPr>
        <w:t xml:space="preserve"> of Borrow Pits Utilization in Nigeria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2.2.0 Geological</w:t>
      </w:r>
      <w:r>
        <w:rPr>
          <w:rFonts w:ascii="Times New Roman" w:eastAsia="Calibri" w:hAnsi="Times New Roman"/>
          <w:sz w:val="24"/>
          <w:szCs w:val="24"/>
          <w:lang w:eastAsia="en-US"/>
        </w:rPr>
        <w:t xml:space="preserve"> setting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2.2.1 Overview</w:t>
      </w:r>
      <w:r>
        <w:rPr>
          <w:rFonts w:ascii="Times New Roman" w:eastAsia="Calibri" w:hAnsi="Times New Roman"/>
          <w:sz w:val="24"/>
          <w:szCs w:val="24"/>
          <w:lang w:eastAsia="en-US"/>
        </w:rPr>
        <w:t xml:space="preserve"> of </w:t>
      </w:r>
      <w:r>
        <w:rPr>
          <w:rFonts w:ascii="Times New Roman" w:eastAsia="Calibri" w:hAnsi="Times New Roman"/>
          <w:sz w:val="24"/>
          <w:szCs w:val="24"/>
          <w:lang w:eastAsia="en-US"/>
        </w:rPr>
        <w:t>Kwara  State</w:t>
      </w:r>
      <w:r>
        <w:rPr>
          <w:rFonts w:ascii="Times New Roman" w:eastAsia="Calibri" w:hAnsi="Times New Roman"/>
          <w:sz w:val="24"/>
          <w:szCs w:val="24"/>
          <w:lang w:eastAsia="en-US"/>
        </w:rPr>
        <w:t xml:space="preserve"> Geology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 Geological</w:t>
      </w:r>
      <w:r>
        <w:rPr>
          <w:rFonts w:ascii="Times New Roman" w:eastAsia="Calibri" w:hAnsi="Times New Roman"/>
          <w:sz w:val="24"/>
          <w:szCs w:val="24"/>
          <w:lang w:eastAsia="en-US"/>
        </w:rPr>
        <w:t xml:space="preserve"> Composition of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2.2.2.1 </w:t>
      </w:r>
      <w:r>
        <w:rPr>
          <w:rFonts w:ascii="Times New Roman" w:eastAsia="Calibri" w:hAnsi="Times New Roman"/>
          <w:sz w:val="24"/>
          <w:szCs w:val="24"/>
          <w:lang w:eastAsia="en-US"/>
        </w:rPr>
        <w:t>Biotite</w:t>
      </w:r>
      <w:r>
        <w:rPr>
          <w:rFonts w:ascii="Times New Roman" w:eastAsia="Calibri" w:hAnsi="Times New Roman"/>
          <w:sz w:val="24"/>
          <w:szCs w:val="24"/>
          <w:lang w:eastAsia="en-US"/>
        </w:rPr>
        <w:t xml:space="preserve"> Gneiss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2.2.2.2 Granite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2.2.2.3 Migmatite</w:t>
      </w:r>
      <w:r>
        <w:rPr>
          <w:rFonts w:ascii="Times New Roman" w:eastAsia="Calibri" w:hAnsi="Times New Roman"/>
          <w:sz w:val="24"/>
          <w:szCs w:val="24"/>
          <w:lang w:eastAsia="en-US"/>
        </w:rPr>
        <w:t xml:space="preserve"> and Schist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2.2.3 Influence</w:t>
      </w:r>
      <w:r>
        <w:rPr>
          <w:rFonts w:ascii="Times New Roman" w:eastAsia="Calibri" w:hAnsi="Times New Roman"/>
          <w:sz w:val="24"/>
          <w:szCs w:val="24"/>
          <w:lang w:eastAsia="en-US"/>
        </w:rPr>
        <w:t xml:space="preserve"> of Parent Rock on Soil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2.2.4 Lateritic</w:t>
      </w:r>
      <w:r>
        <w:rPr>
          <w:rFonts w:ascii="Times New Roman" w:eastAsia="Calibri" w:hAnsi="Times New Roman"/>
          <w:sz w:val="24"/>
          <w:szCs w:val="24"/>
          <w:lang w:eastAsia="en-US"/>
        </w:rPr>
        <w:t xml:space="preserve"> Soil Formation and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2.2.5 Implication</w:t>
      </w:r>
      <w:r>
        <w:rPr>
          <w:rFonts w:ascii="Times New Roman" w:eastAsia="Calibri" w:hAnsi="Times New Roman"/>
          <w:sz w:val="24"/>
          <w:szCs w:val="24"/>
          <w:lang w:eastAsia="en-US"/>
        </w:rPr>
        <w:t xml:space="preserve">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2.3.0 Geotechnical</w:t>
      </w:r>
      <w:r>
        <w:rPr>
          <w:rFonts w:ascii="Times New Roman" w:eastAsia="Calibri" w:hAnsi="Times New Roman"/>
          <w:sz w:val="24"/>
          <w:szCs w:val="24"/>
          <w:lang w:eastAsia="en-US"/>
        </w:rPr>
        <w:t xml:space="preserve"> Properties of Borrow Pits Soil in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 Particle</w:t>
      </w:r>
      <w:r>
        <w:rPr>
          <w:rFonts w:ascii="Times New Roman" w:eastAsia="Calibri" w:hAnsi="Times New Roman"/>
          <w:sz w:val="24"/>
          <w:szCs w:val="24"/>
          <w:lang w:eastAsia="en-US"/>
        </w:rPr>
        <w:t xml:space="preserve"> Size Distribution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2.3.1.1 Grain</w:t>
      </w:r>
      <w:r>
        <w:rPr>
          <w:rFonts w:ascii="Times New Roman" w:eastAsia="Calibri" w:hAnsi="Times New Roman"/>
          <w:sz w:val="24"/>
          <w:szCs w:val="24"/>
          <w:lang w:eastAsia="en-US"/>
        </w:rPr>
        <w:t xml:space="preserve"> Size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 Atterberg</w:t>
      </w:r>
      <w:r>
        <w:rPr>
          <w:rFonts w:ascii="Times New Roman" w:eastAsia="Calibri" w:hAnsi="Times New Roman"/>
          <w:sz w:val="24"/>
          <w:szCs w:val="24"/>
          <w:lang w:eastAsia="en-US"/>
        </w:rPr>
        <w:t xml:space="preserve"> Limit (Plasticity and Consistency Limits)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2.3.2.1 Observed</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Values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 Compaction</w:t>
      </w:r>
      <w:r>
        <w:rPr>
          <w:rFonts w:ascii="Times New Roman" w:eastAsia="Calibri" w:hAnsi="Times New Roman"/>
          <w:sz w:val="24"/>
          <w:szCs w:val="24"/>
          <w:lang w:eastAsia="en-US"/>
        </w:rPr>
        <w:t xml:space="preserve">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2.3.3.1 Maximum Dry Density (MDD) and Optimum Moisture Content (OMC)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 Shear</w:t>
      </w:r>
      <w:r>
        <w:rPr>
          <w:rFonts w:ascii="Times New Roman" w:eastAsia="Calibri" w:hAnsi="Times New Roman"/>
          <w:sz w:val="24"/>
          <w:szCs w:val="24"/>
          <w:lang w:eastAsia="en-US"/>
        </w:rPr>
        <w:t xml:space="preserve"> Strength and Bearing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2.3.4.1 Observed</w:t>
      </w:r>
      <w:r>
        <w:rPr>
          <w:rFonts w:ascii="Times New Roman" w:eastAsia="Calibri" w:hAnsi="Times New Roman"/>
          <w:sz w:val="24"/>
          <w:szCs w:val="24"/>
          <w:lang w:eastAsia="en-US"/>
        </w:rPr>
        <w:t xml:space="preserve"> Shear Strength Parameters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2.3.4.2 Bearinig</w:t>
      </w:r>
      <w:r>
        <w:rPr>
          <w:rFonts w:ascii="Times New Roman" w:eastAsia="Calibri" w:hAnsi="Times New Roman"/>
          <w:sz w:val="24"/>
          <w:szCs w:val="24"/>
          <w:lang w:eastAsia="en-US"/>
        </w:rPr>
        <w:t xml:space="preserve">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2.3.4.3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2.3.5 Permeability</w:t>
      </w:r>
      <w:r>
        <w:rPr>
          <w:rFonts w:ascii="Times New Roman" w:eastAsia="Calibri" w:hAnsi="Times New Roman"/>
          <w:sz w:val="24"/>
          <w:szCs w:val="24"/>
          <w:lang w:eastAsia="en-US"/>
        </w:rPr>
        <w:t xml:space="preserve"> and Drainage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2.4.0 Suitability</w:t>
      </w:r>
      <w:r>
        <w:rPr>
          <w:rFonts w:ascii="Times New Roman" w:eastAsia="Calibri" w:hAnsi="Times New Roman"/>
          <w:sz w:val="24"/>
          <w:szCs w:val="24"/>
          <w:lang w:eastAsia="en-US"/>
        </w:rPr>
        <w:t xml:space="preserve"> of Borrow Pit Soils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2.4.1</w:t>
      </w:r>
      <w:r>
        <w:rPr>
          <w:rFonts w:ascii="Times New Roman" w:eastAsia="Calibri" w:hAnsi="Times New Roman"/>
          <w:sz w:val="24"/>
          <w:szCs w:val="24"/>
          <w:lang w:eastAsia="en-US"/>
        </w:rPr>
        <w:t>. Criteria</w:t>
      </w:r>
      <w:r>
        <w:rPr>
          <w:rFonts w:ascii="Times New Roman" w:eastAsia="Calibri" w:hAnsi="Times New Roman"/>
          <w:sz w:val="24"/>
          <w:szCs w:val="24"/>
          <w:lang w:eastAsia="en-US"/>
        </w:rPr>
        <w:t xml:space="preserve"> for Engineering Suitability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 Suitability</w:t>
      </w:r>
      <w:r>
        <w:rPr>
          <w:rFonts w:ascii="Times New Roman" w:eastAsia="Calibri" w:hAnsi="Times New Roman"/>
          <w:sz w:val="24"/>
          <w:szCs w:val="24"/>
          <w:lang w:eastAsia="en-US"/>
        </w:rPr>
        <w:t xml:space="preserve"> for Road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2.4.2.1 Sub grade</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Sub base</w:t>
      </w:r>
      <w:r>
        <w:rPr>
          <w:rFonts w:ascii="Times New Roman" w:eastAsia="Calibri" w:hAnsi="Times New Roman"/>
          <w:sz w:val="24"/>
          <w:szCs w:val="24"/>
          <w:lang w:eastAsia="en-US"/>
        </w:rPr>
        <w:t xml:space="preserve"> Materials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2.4.2.2 Wearing</w:t>
      </w:r>
      <w:r>
        <w:rPr>
          <w:rFonts w:ascii="Times New Roman" w:eastAsia="Calibri" w:hAnsi="Times New Roman"/>
          <w:sz w:val="24"/>
          <w:szCs w:val="24"/>
          <w:lang w:eastAsia="en-US"/>
        </w:rPr>
        <w:t xml:space="preserve"> Course and Pavement Layers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2.4.3   Suitability for Foundation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2.4.4   </w:t>
      </w:r>
      <w:r>
        <w:rPr>
          <w:rFonts w:ascii="Times New Roman" w:eastAsia="Calibri" w:hAnsi="Times New Roman"/>
          <w:sz w:val="24"/>
          <w:szCs w:val="24"/>
          <w:lang w:eastAsia="en-US"/>
        </w:rPr>
        <w:t>Suitability</w:t>
      </w:r>
      <w:r>
        <w:rPr>
          <w:rFonts w:ascii="Times New Roman" w:eastAsia="Calibri" w:hAnsi="Times New Roman"/>
          <w:sz w:val="24"/>
          <w:szCs w:val="24"/>
          <w:lang w:eastAsia="en-US"/>
        </w:rPr>
        <w:t xml:space="preserve"> for Embankments and Earthworks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2.4.5   Suitability for Drainage and Erosion Control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2.4.6   Suitability for Stabilization and Improvement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THREE</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3.0   Methodology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3.1 Site</w:t>
      </w:r>
      <w:r>
        <w:rPr>
          <w:rFonts w:ascii="Times New Roman" w:eastAsia="Calibri" w:hAnsi="Times New Roman"/>
          <w:sz w:val="24"/>
          <w:szCs w:val="24"/>
          <w:lang w:eastAsia="en-US"/>
        </w:rPr>
        <w:t xml:space="preserve"> Selection and Reconnaissance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3.2 Field</w:t>
      </w:r>
      <w:r>
        <w:rPr>
          <w:rFonts w:ascii="Times New Roman" w:eastAsia="Calibri" w:hAnsi="Times New Roman"/>
          <w:sz w:val="24"/>
          <w:szCs w:val="24"/>
          <w:lang w:eastAsia="en-US"/>
        </w:rPr>
        <w:t xml:space="preserve"> Sampling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 Laboratory</w:t>
      </w:r>
      <w:r>
        <w:rPr>
          <w:rFonts w:ascii="Times New Roman" w:eastAsia="Calibri" w:hAnsi="Times New Roman"/>
          <w:sz w:val="24"/>
          <w:szCs w:val="24"/>
          <w:lang w:eastAsia="en-US"/>
        </w:rPr>
        <w:t xml:space="preserve"> Testing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3.3.1 Particle</w:t>
      </w:r>
      <w:r>
        <w:rPr>
          <w:rFonts w:ascii="Times New Roman" w:eastAsia="Calibri" w:hAnsi="Times New Roman"/>
          <w:sz w:val="24"/>
          <w:szCs w:val="24"/>
          <w:lang w:eastAsia="en-US"/>
        </w:rPr>
        <w:t xml:space="preserve"> Size Distribution Test (ASTM D6913-17)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3.3.2 Atterberg</w:t>
      </w:r>
      <w:r>
        <w:rPr>
          <w:rFonts w:ascii="Times New Roman" w:eastAsia="Calibri" w:hAnsi="Times New Roman"/>
          <w:sz w:val="24"/>
          <w:szCs w:val="24"/>
          <w:lang w:eastAsia="en-US"/>
        </w:rPr>
        <w:t xml:space="preserve"> Limits Test (ASTM D4318-17)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3.3.3 Compaction</w:t>
      </w:r>
      <w:r>
        <w:rPr>
          <w:rFonts w:ascii="Times New Roman" w:eastAsia="Calibri" w:hAnsi="Times New Roman"/>
          <w:sz w:val="24"/>
          <w:szCs w:val="24"/>
          <w:lang w:eastAsia="en-US"/>
        </w:rPr>
        <w:t xml:space="preserve"> Test (Proctor test) (ASTM D698-12 &amp; ASTM D1557-12)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3.3.4 California</w:t>
      </w:r>
      <w:r>
        <w:rPr>
          <w:rFonts w:ascii="Times New Roman" w:eastAsia="Calibri" w:hAnsi="Times New Roman"/>
          <w:sz w:val="24"/>
          <w:szCs w:val="24"/>
          <w:lang w:eastAsia="en-US"/>
        </w:rPr>
        <w:t xml:space="preserve"> Bearing Ratio (CBR) Test (ASTM D1883-16)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3.4     Data Analysis and Interpretation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FOUR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4.0   Result and Discussion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 Nature</w:t>
      </w:r>
      <w:r>
        <w:rPr>
          <w:rFonts w:ascii="Times New Roman" w:eastAsia="Calibri" w:hAnsi="Times New Roman"/>
          <w:sz w:val="24"/>
          <w:szCs w:val="24"/>
          <w:lang w:eastAsia="en-US"/>
        </w:rPr>
        <w:t xml:space="preserve"> Moisture Content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 Sieve</w:t>
      </w:r>
      <w:r>
        <w:rPr>
          <w:rFonts w:ascii="Times New Roman" w:eastAsia="Calibri" w:hAnsi="Times New Roman"/>
          <w:sz w:val="24"/>
          <w:szCs w:val="24"/>
          <w:lang w:eastAsia="en-US"/>
        </w:rPr>
        <w:t xml:space="preserv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 Atterberg</w:t>
      </w:r>
      <w:r>
        <w:rPr>
          <w:rFonts w:ascii="Times New Roman" w:eastAsia="Calibri" w:hAnsi="Times New Roman"/>
          <w:sz w:val="24"/>
          <w:szCs w:val="24"/>
          <w:lang w:eastAsia="en-US"/>
        </w:rPr>
        <w:t xml:space="preserve"> limit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 Compaction</w:t>
      </w:r>
      <w:r>
        <w:rPr>
          <w:rFonts w:ascii="Times New Roman" w:eastAsia="Calibri" w:hAnsi="Times New Roman"/>
          <w:sz w:val="24"/>
          <w:szCs w:val="24"/>
          <w:lang w:eastAsia="en-US"/>
        </w:rPr>
        <w:t xml:space="preserve">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 California</w:t>
      </w:r>
      <w:r>
        <w:rPr>
          <w:rFonts w:ascii="Times New Roman" w:eastAsia="Calibri" w:hAnsi="Times New Roman"/>
          <w:sz w:val="24"/>
          <w:szCs w:val="24"/>
          <w:lang w:eastAsia="en-US"/>
        </w:rPr>
        <w:t xml:space="preserve"> Bearing Ratio (CBR)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FIVE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5.1 Conclusion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5.2 Recommendations</w:t>
      </w:r>
      <w:r>
        <w:rPr>
          <w:rFonts w:ascii="Times New Roman" w:eastAsia="Calibri" w:hAnsi="Times New Roman"/>
          <w:sz w:val="24"/>
          <w:szCs w:val="24"/>
          <w:lang w:eastAsia="en-US"/>
        </w:rPr>
        <w:t xml:space="preserve"> </w:t>
      </w:r>
    </w:p>
    <w:p>
      <w:pPr>
        <w:pStyle w:val="style0"/>
        <w:rPr/>
      </w:pPr>
    </w:p>
    <w:p>
      <w:pPr>
        <w:pStyle w:val="style0"/>
        <w:rPr/>
      </w:pPr>
    </w:p>
    <w:p>
      <w:pPr>
        <w:pStyle w:val="style0"/>
        <w:rPr/>
      </w:pPr>
    </w:p>
    <w:p>
      <w:pPr>
        <w:pStyle w:val="style0"/>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Nature Moisture C</w:t>
      </w:r>
      <w:r>
        <w:rPr>
          <w:rFonts w:ascii="Times New Roman" w:eastAsia="Calibri" w:hAnsi="Times New Roman"/>
          <w:sz w:val="24"/>
          <w:szCs w:val="24"/>
          <w:lang w:eastAsia="en-US"/>
        </w:rPr>
        <w:t xml:space="preserve">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4.12 </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4.25</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 (CBR</w:t>
      </w:r>
      <w:r>
        <w:rPr>
          <w:rFonts w:ascii="Times New Roman" w:eastAsia="Calibri" w:hAnsi="Times New Roman"/>
          <w:sz w:val="24"/>
          <w:szCs w:val="24"/>
          <w:lang w:eastAsia="en-US"/>
        </w:rPr>
        <w:t>)  Test</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4. 29</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w:t>
      </w:r>
      <w:r>
        <w:rPr>
          <w:rFonts w:ascii="Times New Roman" w:eastAsia="Calibri" w:hAnsi="Times New Roman"/>
          <w:sz w:val="24"/>
          <w:szCs w:val="24"/>
          <w:lang w:eastAsia="en-US"/>
        </w:rPr>
        <w:t xml:space="preserve">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 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APPENDIX</w:t>
      </w:r>
    </w:p>
    <w:p>
      <w:pPr>
        <w:pStyle w:val="style0"/>
        <w:spacing w:after="160" w:lineRule="auto" w:line="259"/>
        <w:rPr>
          <w:rFonts w:ascii="Times New Roman" w:eastAsia="Calibri" w:hAnsi="Times New Roman"/>
          <w:sz w:val="24"/>
          <w:szCs w:val="24"/>
          <w:lang w:eastAsia="en-US"/>
        </w:rPr>
      </w:pPr>
      <w:r>
        <w:rPr>
          <w:rFonts w:ascii="Times New Roman" w:eastAsia="Calibri" w:hAnsi="Times New Roman"/>
          <w:sz w:val="24"/>
          <w:szCs w:val="24"/>
          <w:lang w:eastAsia="en-US"/>
        </w:rPr>
        <w:br w:type="page"/>
      </w:r>
    </w:p>
    <w:p>
      <w:pPr>
        <w:pStyle w:val="style0"/>
        <w:jc w:val="center"/>
        <w:rPr>
          <w:rFonts w:ascii="Times New Roman" w:hAnsi="Times New Roman"/>
          <w:b/>
          <w:sz w:val="28"/>
          <w:szCs w:val="28"/>
        </w:rPr>
      </w:pPr>
      <w:r>
        <w:rPr>
          <w:rFonts w:ascii="Times New Roman" w:hAnsi="Times New Roman"/>
          <w:b/>
          <w:sz w:val="28"/>
          <w:szCs w:val="28"/>
        </w:rPr>
        <w:t>ABSTRACTS</w:t>
      </w:r>
    </w:p>
    <w:p>
      <w:pPr>
        <w:pStyle w:val="style0"/>
        <w:rPr>
          <w:rFonts w:ascii="Times New Roman" w:eastAsia="Calibri" w:hAnsi="Times New Roman"/>
          <w:sz w:val="24"/>
          <w:szCs w:val="24"/>
          <w:lang w:eastAsia="en-US"/>
        </w:rPr>
      </w:pPr>
      <w:r>
        <w:rPr>
          <w:rFonts w:ascii="Times New Roman" w:hAnsi="Times New Roman"/>
          <w:bCs/>
          <w:i/>
          <w:iCs/>
          <w:sz w:val="28"/>
          <w:szCs w:val="28"/>
        </w:rPr>
        <w:t xml:space="preserve">This research focuses on the geotechnical profiling of selected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r>
        <w:rPr>
          <w:rFonts w:ascii="Times New Roman" w:hAnsi="Times New Roman"/>
          <w:bCs/>
          <w:i/>
          <w:iCs/>
          <w:sz w:val="28"/>
          <w:szCs w:val="28"/>
        </w:rPr>
        <w:t>Atterberg</w:t>
      </w:r>
      <w:r>
        <w:rPr>
          <w:rFonts w:ascii="Times New Roman" w:hAnsi="Times New Roman"/>
          <w:bCs/>
          <w:i/>
          <w:iCs/>
          <w:sz w:val="28"/>
          <w:szCs w:val="28"/>
        </w:rPr>
        <w:t xml:space="preserve"> limits, compaction tests, and </w:t>
      </w:r>
      <w:r>
        <w:rPr>
          <w:rFonts w:ascii="Times New Roman" w:hAnsi="Times New Roman"/>
          <w:bCs/>
          <w:i/>
          <w:iCs/>
          <w:sz w:val="28"/>
          <w:szCs w:val="28"/>
        </w:rPr>
        <w:t>california</w:t>
      </w:r>
      <w:r>
        <w:rPr>
          <w:rFonts w:ascii="Times New Roman" w:hAnsi="Times New Roman"/>
          <w:bCs/>
          <w:i/>
          <w:iCs/>
          <w:sz w:val="28"/>
          <w:szCs w:val="28"/>
        </w:rPr>
        <w:t xml:space="preserve"> Bearing Ratio (CBR) tests. The grain size analysis revealed that the soils are predominantly lateritic with varying percentage of send, silt, and clay. The </w:t>
      </w:r>
      <w:r>
        <w:rPr>
          <w:rFonts w:ascii="Times New Roman" w:hAnsi="Times New Roman"/>
          <w:bCs/>
          <w:i/>
          <w:iCs/>
          <w:sz w:val="28"/>
          <w:szCs w:val="28"/>
        </w:rPr>
        <w:t>Atterberg</w:t>
      </w:r>
      <w:r>
        <w:rPr>
          <w:rFonts w:ascii="Times New Roman" w:hAnsi="Times New Roman"/>
          <w:bCs/>
          <w:i/>
          <w:iCs/>
          <w:sz w:val="28"/>
          <w:szCs w:val="28"/>
        </w:rPr>
        <w:t xml:space="preserve"> limits indicated that the soils possess moderate plasticity, which is acceptable for use in </w:t>
      </w:r>
      <w:r>
        <w:rPr>
          <w:rFonts w:ascii="Times New Roman" w:hAnsi="Times New Roman"/>
          <w:bCs/>
          <w:i/>
          <w:iCs/>
          <w:sz w:val="28"/>
          <w:szCs w:val="28"/>
        </w:rPr>
        <w:t>subgrade</w:t>
      </w:r>
      <w:r>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r>
        <w:rPr>
          <w:rFonts w:ascii="Times New Roman" w:hAnsi="Times New Roman"/>
          <w:bCs/>
          <w:i/>
          <w:iCs/>
          <w:sz w:val="28"/>
          <w:szCs w:val="28"/>
        </w:rPr>
        <w:t>futher</w:t>
      </w:r>
      <w:r>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Pr>
          <w:rFonts w:ascii="Times New Roman" w:hAnsi="Times New Roman"/>
          <w:bCs/>
          <w:i/>
          <w:iCs/>
          <w:sz w:val="28"/>
          <w:szCs w:val="28"/>
        </w:rPr>
        <w:t xml:space="preserve"> site selection, material quality control, and responsible excavation practices, the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p>
    <w:p>
      <w:pPr>
        <w:pStyle w:val="style0"/>
        <w:spacing w:after="160" w:lineRule="auto" w:line="259"/>
        <w:rPr>
          <w:rFonts w:ascii="Times New Roman" w:eastAsia="Calibri" w:hAnsi="Times New Roman"/>
          <w:b/>
          <w:sz w:val="24"/>
          <w:szCs w:val="24"/>
          <w:lang w:eastAsia="en-US"/>
        </w:rPr>
      </w:pPr>
      <w:r>
        <w:rPr>
          <w:rFonts w:ascii="Times New Roman" w:hAnsi="Times New Roman"/>
          <w:b/>
          <w:sz w:val="24"/>
          <w:szCs w:val="24"/>
        </w:rPr>
        <w:br w:type="page"/>
      </w:r>
    </w:p>
    <w:p>
      <w:pPr>
        <w:pStyle w:val="style157"/>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157"/>
        <w:spacing w:lineRule="auto" w:line="480"/>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style4101"/>
          <w:rFonts w:ascii="Times New Roman" w:hAnsi="Times New Roman"/>
          <w:sz w:val="24"/>
          <w:szCs w:val="24"/>
        </w:rPr>
        <w:t>(Aka et al.2022)</w:t>
      </w:r>
    </w:p>
    <w:p>
      <w:pPr>
        <w:pStyle w:val="style4099"/>
        <w:spacing w:lineRule="auto" w:line="480"/>
        <w:ind w:firstLine="540"/>
        <w:jc w:val="both"/>
        <w:rPr>
          <w:rStyle w:val="style4101"/>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style4101"/>
        </w:rPr>
        <w:t>(Lasisi &amp;Ozurumba, 2021).</w:t>
      </w:r>
    </w:p>
    <w:p>
      <w:pPr>
        <w:pStyle w:val="style94"/>
        <w:spacing w:lineRule="auto" w:line="480"/>
        <w:ind w:firstLine="540"/>
        <w:jc w:val="both"/>
        <w:rPr/>
      </w:pPr>
      <w:r>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pPr>
        <w:pStyle w:val="style94"/>
        <w:spacing w:lineRule="auto" w:line="480"/>
        <w:ind w:firstLine="540"/>
        <w:jc w:val="both"/>
        <w:rPr/>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pPr>
        <w:pStyle w:val="style157"/>
        <w:spacing w:lineRule="auto" w:line="480"/>
        <w:jc w:val="both"/>
        <w:rPr>
          <w:rFonts w:ascii="Times New Roman" w:hAnsi="Times New Roman"/>
          <w:b/>
          <w:sz w:val="24"/>
          <w:szCs w:val="24"/>
        </w:rPr>
      </w:pPr>
      <w:r>
        <w:rPr>
          <w:rFonts w:ascii="Times New Roman" w:hAnsi="Times New Roman"/>
          <w:b/>
          <w:sz w:val="24"/>
          <w:szCs w:val="24"/>
        </w:rPr>
        <w:t>1.1 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pPr>
        <w:pStyle w:val="style157"/>
        <w:spacing w:lineRule="auto" w:line="480"/>
        <w:jc w:val="both"/>
        <w:rPr>
          <w:rFonts w:ascii="Times New Roman" w:hAnsi="Times New Roman"/>
          <w:sz w:val="24"/>
          <w:szCs w:val="24"/>
        </w:rPr>
      </w:pP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 xml:space="preserve"> Statement of the problem</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pPr>
        <w:pStyle w:val="style157"/>
        <w:spacing w:lineRule="auto" w:line="480"/>
        <w:jc w:val="both"/>
        <w:rPr>
          <w:rFonts w:ascii="Times New Roman" w:hAnsi="Times New Roman"/>
          <w:b/>
          <w:sz w:val="24"/>
          <w:szCs w:val="24"/>
        </w:rPr>
      </w:pPr>
      <w:r>
        <w:rPr>
          <w:rFonts w:ascii="Times New Roman" w:hAnsi="Times New Roman"/>
          <w:b/>
          <w:sz w:val="24"/>
          <w:szCs w:val="24"/>
        </w:rPr>
        <w:t>1.3. Aim and Objective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 xml:space="preserve">1.4. Objectives of the study </w:t>
      </w:r>
    </w:p>
    <w:p>
      <w:pPr>
        <w:pStyle w:val="style157"/>
        <w:spacing w:lineRule="auto" w:line="480"/>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pPr>
        <w:pStyle w:val="style157"/>
        <w:spacing w:lineRule="auto" w:line="480"/>
        <w:jc w:val="both"/>
        <w:rPr>
          <w:rFonts w:ascii="Times New Roman" w:hAnsi="Times New Roman"/>
          <w:sz w:val="24"/>
          <w:szCs w:val="24"/>
        </w:rPr>
      </w:pPr>
      <w:r>
        <w:rPr>
          <w:rFonts w:ascii="Times New Roman" w:hAnsi="Times New Roman"/>
          <w:sz w:val="24"/>
          <w:szCs w:val="24"/>
        </w:rPr>
        <w:t>ii. To evaluate the suitability of the materials for construction use.</w:t>
      </w:r>
    </w:p>
    <w:p>
      <w:pPr>
        <w:pStyle w:val="style157"/>
        <w:spacing w:lineRule="auto" w:line="480"/>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pPr>
        <w:pStyle w:val="style157"/>
        <w:spacing w:lineRule="auto" w:line="480"/>
        <w:jc w:val="both"/>
        <w:rPr>
          <w:rFonts w:ascii="Times New Roman" w:hAnsi="Times New Roman"/>
          <w:b/>
          <w:sz w:val="24"/>
          <w:szCs w:val="24"/>
        </w:rPr>
      </w:pPr>
      <w:r>
        <w:rPr>
          <w:rFonts w:ascii="Times New Roman" w:hAnsi="Times New Roman"/>
          <w:b/>
          <w:sz w:val="24"/>
          <w:szCs w:val="24"/>
        </w:rPr>
        <w:t>1.5. Justification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pPr>
        <w:pStyle w:val="style157"/>
        <w:spacing w:lineRule="auto" w:line="480"/>
        <w:jc w:val="both"/>
        <w:rPr>
          <w:rFonts w:ascii="Times New Roman" w:hAnsi="Times New Roman"/>
          <w:sz w:val="24"/>
          <w:szCs w:val="24"/>
        </w:rPr>
      </w:pPr>
      <w:r>
        <w:rPr>
          <w:rFonts w:ascii="Times New Roman" w:hAnsi="Times New Roman"/>
          <w:sz w:val="24"/>
          <w:szCs w:val="24"/>
        </w:rPr>
        <w:t>- Soil sampling from selected borrow pits.</w:t>
      </w:r>
    </w:p>
    <w:p>
      <w:pPr>
        <w:pStyle w:val="style157"/>
        <w:spacing w:lineRule="auto" w:line="480"/>
        <w:jc w:val="both"/>
        <w:rPr>
          <w:rFonts w:ascii="Times New Roman" w:hAnsi="Times New Roman"/>
          <w:sz w:val="24"/>
          <w:szCs w:val="24"/>
        </w:rPr>
      </w:pPr>
      <w:r>
        <w:rPr>
          <w:rFonts w:ascii="Times New Roman" w:hAnsi="Times New Roman"/>
          <w:sz w:val="24"/>
          <w:szCs w:val="24"/>
        </w:rPr>
        <w:t>- In-situ testing to assess compaction, density, and strength.</w:t>
      </w:r>
    </w:p>
    <w:p>
      <w:pPr>
        <w:pStyle w:val="style157"/>
        <w:spacing w:lineRule="auto" w:line="480"/>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pPr>
        <w:pStyle w:val="style157"/>
        <w:spacing w:lineRule="auto" w:line="480"/>
        <w:jc w:val="both"/>
        <w:rPr>
          <w:rFonts w:ascii="Times New Roman" w:hAnsi="Times New Roman"/>
          <w:b/>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1.7. DESCRIPTION OF THE STUDY AREA (CASE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pPr>
        <w:pStyle w:val="style157"/>
        <w:spacing w:lineRule="auto" w:line="480"/>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pPr>
        <w:pStyle w:val="style157"/>
        <w:spacing w:lineRule="auto" w:line="480"/>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pPr>
        <w:pStyle w:val="style157"/>
        <w:spacing w:lineRule="auto" w:line="480"/>
        <w:jc w:val="center"/>
        <w:rPr>
          <w:rFonts w:ascii="Times New Roman" w:hAnsi="Times New Roman"/>
          <w:sz w:val="24"/>
          <w:szCs w:val="24"/>
        </w:rPr>
      </w:pPr>
      <w:r>
        <w:rPr>
          <w:rFonts w:ascii="Times New Roman" w:hAnsi="Times New Roman"/>
          <w:sz w:val="24"/>
          <w:szCs w:val="24"/>
        </w:rPr>
        <w:t>The map of Nigeria showing the location of Kwara State in Nigeria</w:t>
      </w:r>
    </w:p>
    <w:p>
      <w:pPr>
        <w:pStyle w:val="style157"/>
        <w:spacing w:lineRule="auto" w:line="480"/>
        <w:jc w:val="center"/>
        <w:rPr>
          <w:rFonts w:ascii="Times New Roman" w:hAnsi="Times New Roman"/>
          <w:sz w:val="24"/>
          <w:szCs w:val="24"/>
        </w:rPr>
      </w:pPr>
      <w:r>
        <w:rPr>
          <w:noProof/>
        </w:rPr>
        <w:drawing>
          <wp:inline distL="0" distT="0" distB="0" distR="0">
            <wp:extent cx="4596765" cy="2915920"/>
            <wp:effectExtent l="19050" t="0" r="0" b="0"/>
            <wp:docPr id="1026" name="Picture 2" descr="C:\Users\USER\AppData\Local\Microsoft\Windows\INetCache\Content.Word\IMG-20250618-WA0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96765" cy="2915920"/>
                    </a:xfrm>
                    <a:prstGeom prst="rect"/>
                    <a:ln>
                      <a:noFill/>
                    </a:ln>
                  </pic:spPr>
                </pic:pic>
              </a:graphicData>
            </a:graphic>
          </wp:inline>
        </w:drawing>
      </w:r>
    </w:p>
    <w:p>
      <w:pPr>
        <w:pStyle w:val="style157"/>
        <w:spacing w:lineRule="auto" w:line="480"/>
        <w:jc w:val="center"/>
        <w:rPr>
          <w:rFonts w:ascii="Times New Roman" w:hAnsi="Times New Roman"/>
          <w:sz w:val="24"/>
          <w:szCs w:val="24"/>
        </w:rPr>
      </w:pPr>
      <w:r>
        <w:rPr>
          <w:rFonts w:ascii="Times New Roman" w:hAnsi="Times New Roman"/>
          <w:sz w:val="24"/>
          <w:szCs w:val="24"/>
        </w:rPr>
        <w:t xml:space="preserve">Map showing the location of Amoyo and Ganmo in Kwara </w:t>
      </w:r>
      <w:r>
        <w:rPr>
          <w:rFonts w:ascii="Times New Roman" w:hAnsi="Times New Roman"/>
          <w:sz w:val="24"/>
          <w:szCs w:val="24"/>
        </w:rPr>
        <w:t>State(</w:t>
      </w:r>
      <w:r>
        <w:rPr>
          <w:rFonts w:ascii="Times New Roman" w:hAnsi="Times New Roman"/>
          <w:sz w:val="24"/>
          <w:szCs w:val="24"/>
        </w:rPr>
        <w:t>Google maps)</w:t>
      </w:r>
    </w:p>
    <w:p>
      <w:pPr>
        <w:pStyle w:val="style157"/>
        <w:spacing w:lineRule="auto" w:line="480"/>
        <w:jc w:val="both"/>
        <w:rPr>
          <w:rFonts w:ascii="Times New Roman" w:hAnsi="Times New Roman"/>
          <w:sz w:val="24"/>
          <w:szCs w:val="24"/>
        </w:rPr>
      </w:pPr>
      <w:r>
        <w:rPr>
          <w:rFonts w:ascii="Times New Roman" w:hAnsi="Times New Roman"/>
          <w:sz w:val="24"/>
          <w:szCs w:val="24"/>
        </w:rPr>
        <w:t>The towns are surrounded by agricultural land, with a mix of hilly and flat terrain. The borrow pits under investigation are located in open areas, typically near major roads or construction zones.</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center"/>
        <w:rPr>
          <w:rFonts w:ascii="Times New Roman" w:hAnsi="Times New Roman"/>
          <w:b/>
          <w:sz w:val="24"/>
          <w:szCs w:val="24"/>
        </w:rPr>
      </w:pPr>
      <w:r>
        <w:rPr>
          <w:rFonts w:ascii="Times New Roman" w:hAnsi="Times New Roman"/>
          <w:b/>
          <w:sz w:val="24"/>
          <w:szCs w:val="24"/>
        </w:rPr>
        <w:t>LITERATURE REVIEW</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2.1. Preamble </w:t>
      </w:r>
    </w:p>
    <w:p>
      <w:pPr>
        <w:pStyle w:val="style0"/>
        <w:spacing w:lineRule="auto" w:line="360"/>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pPr>
        <w:pStyle w:val="style0"/>
        <w:spacing w:lineRule="auto" w:line="360"/>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pPr>
        <w:pStyle w:val="style0"/>
        <w:spacing w:lineRule="auto" w:line="360"/>
        <w:jc w:val="both"/>
        <w:rPr>
          <w:rFonts w:ascii="Times New Roman" w:hAnsi="Times New Roman"/>
          <w:b/>
          <w:sz w:val="24"/>
          <w:szCs w:val="24"/>
        </w:rPr>
      </w:pPr>
      <w:r>
        <w:rPr>
          <w:rFonts w:ascii="Times New Roman" w:hAnsi="Times New Roman"/>
          <w:b/>
          <w:sz w:val="24"/>
          <w:szCs w:val="24"/>
        </w:rPr>
        <w:t>2.1.1 Importance of Geotechnical Studies on Borrow Pits</w:t>
      </w:r>
    </w:p>
    <w:p>
      <w:pPr>
        <w:pStyle w:val="style0"/>
        <w:spacing w:lineRule="auto" w:line="360"/>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pPr>
        <w:pStyle w:val="style0"/>
        <w:spacing w:lineRule="auto" w:line="360"/>
        <w:jc w:val="both"/>
        <w:rPr>
          <w:rFonts w:ascii="Times New Roman" w:hAnsi="Times New Roman"/>
          <w:sz w:val="24"/>
          <w:szCs w:val="24"/>
        </w:rPr>
      </w:pPr>
      <w:r>
        <w:rPr>
          <w:rFonts w:ascii="Times New Roman" w:hAnsi="Times New Roman"/>
          <w:sz w:val="24"/>
          <w:szCs w:val="24"/>
        </w:rPr>
        <w:t>2.1.1.1 Ensuring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2.1.1.2 Enhancing Cost-Effectiveness in Construction</w:t>
      </w:r>
    </w:p>
    <w:p>
      <w:pPr>
        <w:pStyle w:val="style0"/>
        <w:spacing w:lineRule="auto" w:line="360"/>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pPr>
        <w:pStyle w:val="style0"/>
        <w:spacing w:lineRule="auto" w:line="360"/>
        <w:jc w:val="both"/>
        <w:rPr>
          <w:rFonts w:ascii="Times New Roman" w:hAnsi="Times New Roman"/>
          <w:sz w:val="24"/>
          <w:szCs w:val="24"/>
        </w:rPr>
      </w:pPr>
      <w:r>
        <w:rPr>
          <w:rFonts w:ascii="Times New Roman" w:hAnsi="Times New Roman"/>
          <w:sz w:val="24"/>
          <w:szCs w:val="24"/>
        </w:rPr>
        <w:t>2.1.1.3 Minimizing Environmental Impact</w:t>
      </w:r>
    </w:p>
    <w:p>
      <w:pPr>
        <w:pStyle w:val="style0"/>
        <w:spacing w:lineRule="auto" w:line="360"/>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pPr>
        <w:pStyle w:val="style0"/>
        <w:spacing w:lineRule="auto" w:line="360"/>
        <w:jc w:val="both"/>
        <w:rPr>
          <w:rFonts w:ascii="Times New Roman" w:hAnsi="Times New Roman"/>
          <w:sz w:val="24"/>
          <w:szCs w:val="24"/>
        </w:rPr>
      </w:pPr>
      <w:r>
        <w:rPr>
          <w:rFonts w:ascii="Times New Roman" w:hAnsi="Times New Roman"/>
          <w:sz w:val="24"/>
          <w:szCs w:val="24"/>
        </w:rPr>
        <w:t>2.1.1.4 Improving Pavement and Foundation Performance</w:t>
      </w:r>
    </w:p>
    <w:p>
      <w:pPr>
        <w:pStyle w:val="style0"/>
        <w:spacing w:lineRule="auto" w:line="360"/>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pPr>
        <w:pStyle w:val="style0"/>
        <w:spacing w:lineRule="auto" w:line="360"/>
        <w:jc w:val="both"/>
        <w:rPr>
          <w:rFonts w:ascii="Times New Roman" w:hAnsi="Times New Roman"/>
          <w:b/>
          <w:sz w:val="24"/>
          <w:szCs w:val="24"/>
        </w:rPr>
      </w:pPr>
      <w:r>
        <w:rPr>
          <w:rFonts w:ascii="Times New Roman" w:hAnsi="Times New Roman"/>
          <w:b/>
          <w:sz w:val="24"/>
          <w:szCs w:val="24"/>
        </w:rPr>
        <w:t>2.1.2 Overview of Borrow Pit Utilization in Nigeria</w:t>
      </w:r>
    </w:p>
    <w:p>
      <w:pPr>
        <w:pStyle w:val="style0"/>
        <w:spacing w:lineRule="auto" w:line="360"/>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pPr>
        <w:pStyle w:val="style0"/>
        <w:spacing w:lineRule="auto" w:line="360"/>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pPr>
        <w:pStyle w:val="style0"/>
        <w:spacing w:lineRule="auto" w:line="360"/>
        <w:jc w:val="both"/>
        <w:rPr>
          <w:rFonts w:ascii="Times New Roman" w:hAnsi="Times New Roman"/>
          <w:b/>
          <w:sz w:val="24"/>
          <w:szCs w:val="24"/>
        </w:rPr>
      </w:pPr>
      <w:r>
        <w:rPr>
          <w:rFonts w:ascii="Times New Roman" w:hAnsi="Times New Roman"/>
          <w:b/>
          <w:sz w:val="24"/>
          <w:szCs w:val="24"/>
        </w:rPr>
        <w:t>2.2. Geological Setting</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pPr>
        <w:pStyle w:val="style0"/>
        <w:spacing w:lineRule="auto" w:line="360"/>
        <w:jc w:val="both"/>
        <w:rPr>
          <w:rFonts w:ascii="Times New Roman" w:hAnsi="Times New Roman"/>
          <w:sz w:val="24"/>
          <w:szCs w:val="24"/>
        </w:rPr>
      </w:pPr>
      <w:r>
        <w:rPr>
          <w:rFonts w:ascii="Times New Roman" w:hAnsi="Times New Roman"/>
          <w:sz w:val="24"/>
          <w:szCs w:val="24"/>
        </w:rPr>
        <w:t>2.2.1 Overview of Kwara State Geology</w:t>
      </w:r>
    </w:p>
    <w:p>
      <w:pPr>
        <w:pStyle w:val="style0"/>
        <w:spacing w:lineRule="auto" w:line="360"/>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pPr>
        <w:pStyle w:val="style0"/>
        <w:spacing w:lineRule="auto" w:line="360"/>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pPr>
        <w:pStyle w:val="style0"/>
        <w:spacing w:lineRule="auto" w:line="360"/>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t>aluminum oxides. The composition of these soils varies significantly depending on the degree of weathering and the parent rock material (Adeyemi, 1995).</w:t>
      </w:r>
    </w:p>
    <w:p>
      <w:pPr>
        <w:pStyle w:val="style0"/>
        <w:spacing w:lineRule="auto" w:line="360"/>
        <w:jc w:val="both"/>
        <w:rPr>
          <w:rFonts w:ascii="Times New Roman" w:hAnsi="Times New Roman"/>
          <w:sz w:val="24"/>
          <w:szCs w:val="24"/>
        </w:rPr>
      </w:pPr>
      <w:r>
        <w:rPr>
          <w:rFonts w:ascii="Times New Roman" w:hAnsi="Times New Roman"/>
          <w:sz w:val="24"/>
          <w:szCs w:val="24"/>
        </w:rPr>
        <w:t>2.2.2 Geological Composition of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pPr>
        <w:pStyle w:val="style0"/>
        <w:spacing w:lineRule="auto" w:line="360"/>
        <w:jc w:val="both"/>
        <w:rPr>
          <w:rFonts w:ascii="Times New Roman" w:hAnsi="Times New Roman"/>
          <w:sz w:val="24"/>
          <w:szCs w:val="24"/>
        </w:rPr>
      </w:pPr>
      <w:r>
        <w:rPr>
          <w:rFonts w:ascii="Times New Roman" w:hAnsi="Times New Roman"/>
          <w:sz w:val="24"/>
          <w:szCs w:val="24"/>
        </w:rPr>
        <w:t>2.2.2.1 Biotite Gneiss</w:t>
      </w:r>
    </w:p>
    <w:p>
      <w:pPr>
        <w:pStyle w:val="style0"/>
        <w:spacing w:lineRule="auto" w:line="360"/>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2.2.2.2 Granite</w:t>
      </w:r>
    </w:p>
    <w:p>
      <w:pPr>
        <w:pStyle w:val="style0"/>
        <w:spacing w:lineRule="auto" w:line="360"/>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2.2.2.3 Migmatite and Schist</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pPr>
        <w:pStyle w:val="style0"/>
        <w:spacing w:lineRule="auto" w:line="360"/>
        <w:jc w:val="both"/>
        <w:rPr>
          <w:rFonts w:ascii="Times New Roman" w:hAnsi="Times New Roman"/>
          <w:sz w:val="24"/>
          <w:szCs w:val="24"/>
        </w:rPr>
      </w:pPr>
      <w:r>
        <w:rPr>
          <w:rFonts w:ascii="Times New Roman" w:hAnsi="Times New Roman"/>
          <w:sz w:val="24"/>
          <w:szCs w:val="24"/>
        </w:rPr>
        <w:t>2.2.3 Influence of Parent Rock on Soil Properties</w:t>
      </w:r>
    </w:p>
    <w:p>
      <w:pPr>
        <w:pStyle w:val="style0"/>
        <w:spacing w:lineRule="auto" w:line="360"/>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2.1: Influence of Parent Rock on Soil Properties</w:t>
      </w:r>
    </w:p>
    <w:tbl>
      <w:tblPr>
        <w:tblpPr w:leftFromText="180" w:rightFromText="180" w:topFromText="0" w:bottomFromText="0" w:vertAnchor="text" w:tblpXSpec="lef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Parent Rock</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Soil Type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Texture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Plasticity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Compaction &amp; strength </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Biotite Gneiss</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Clayey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Fine-grained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High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High cohesion but may shrink/swell</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Granite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Sandy laterite </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Coarse-grained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Low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Good drain age, low cohesion</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Migmatite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Mixed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Medium to coarse</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Intermediate properties</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Schist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Flaky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Fine-grained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 to high</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Low strength and poor compaction</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pPr>
        <w:pStyle w:val="style0"/>
        <w:spacing w:lineRule="auto" w:line="360"/>
        <w:jc w:val="both"/>
        <w:rPr>
          <w:rFonts w:ascii="Times New Roman" w:hAnsi="Times New Roman"/>
          <w:sz w:val="24"/>
          <w:szCs w:val="24"/>
        </w:rPr>
      </w:pPr>
      <w:r>
        <w:rPr>
          <w:rFonts w:ascii="Times New Roman" w:hAnsi="Times New Roman"/>
          <w:sz w:val="24"/>
          <w:szCs w:val="24"/>
        </w:rPr>
        <w:t>2.2.4 Lateritic Soil Formation and Characteristics</w:t>
      </w:r>
    </w:p>
    <w:p>
      <w:pPr>
        <w:pStyle w:val="style0"/>
        <w:spacing w:lineRule="auto" w:line="360"/>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pPr>
        <w:pStyle w:val="style0"/>
        <w:spacing w:lineRule="auto" w:line="360"/>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pPr>
        <w:pStyle w:val="style0"/>
        <w:spacing w:lineRule="auto" w:line="360"/>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Due to these processes, lateritic soils exhibit high variability in their physical and mechanical properties, requiring proper geotechnical classification before use in construction.</w:t>
      </w:r>
    </w:p>
    <w:p>
      <w:pPr>
        <w:pStyle w:val="style0"/>
        <w:spacing w:lineRule="auto" w:line="360"/>
        <w:jc w:val="both"/>
        <w:rPr>
          <w:rFonts w:ascii="Times New Roman" w:hAnsi="Times New Roman"/>
          <w:sz w:val="24"/>
          <w:szCs w:val="24"/>
        </w:rPr>
      </w:pPr>
      <w:r>
        <w:rPr>
          <w:rFonts w:ascii="Times New Roman" w:hAnsi="Times New Roman"/>
          <w:sz w:val="24"/>
          <w:szCs w:val="24"/>
        </w:rPr>
        <w:t>2.2.5 Implications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pPr>
        <w:pStyle w:val="style0"/>
        <w:spacing w:lineRule="auto" w:line="360"/>
        <w:jc w:val="both"/>
        <w:rPr>
          <w:rFonts w:ascii="Times New Roman" w:hAnsi="Times New Roman"/>
          <w:sz w:val="24"/>
          <w:szCs w:val="24"/>
        </w:rPr>
      </w:pPr>
      <w:r>
        <w:rPr>
          <w:rFonts w:ascii="Times New Roman" w:hAnsi="Times New Roman"/>
          <w:sz w:val="24"/>
          <w:szCs w:val="24"/>
        </w:rPr>
        <w:t>1. Soil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pPr>
        <w:pStyle w:val="style0"/>
        <w:spacing w:lineRule="auto" w:line="360"/>
        <w:jc w:val="both"/>
        <w:rPr>
          <w:rFonts w:ascii="Times New Roman" w:hAnsi="Times New Roman"/>
          <w:sz w:val="24"/>
          <w:szCs w:val="24"/>
        </w:rPr>
      </w:pPr>
      <w:r>
        <w:rPr>
          <w:rFonts w:ascii="Times New Roman" w:hAnsi="Times New Roman"/>
          <w:sz w:val="24"/>
          <w:szCs w:val="24"/>
        </w:rPr>
        <w:t>2. Suitability for Foundations and Embankments:</w:t>
      </w:r>
    </w:p>
    <w:p>
      <w:pPr>
        <w:pStyle w:val="style0"/>
        <w:spacing w:lineRule="auto" w:line="360"/>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2.3.0 Geotechnical Properties of Borrow Pit Soils in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2.3.1 Particle Size Distribution</w:t>
      </w:r>
    </w:p>
    <w:p>
      <w:pPr>
        <w:pStyle w:val="style0"/>
        <w:spacing w:lineRule="auto" w:line="360"/>
        <w:jc w:val="both"/>
        <w:rPr>
          <w:rFonts w:ascii="Times New Roman" w:hAnsi="Times New Roman"/>
          <w:sz w:val="24"/>
          <w:szCs w:val="24"/>
        </w:rPr>
      </w:pPr>
      <w:r>
        <w:rPr>
          <w:rFonts w:ascii="Times New Roman" w:hAnsi="Times New Roman"/>
          <w:sz w:val="24"/>
          <w:szCs w:val="24"/>
        </w:rPr>
        <w:t>Particle size distribution is a fundamental geotechnical property that influences soil behavior in construction. It determines whether a soil is predominantly sandy, silty, or clayey, which affects drainage, compaction, and stability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2.3.1.1 Grain Size Analysis</w:t>
      </w:r>
    </w:p>
    <w:p>
      <w:pPr>
        <w:pStyle w:val="style0"/>
        <w:spacing w:lineRule="auto" w:line="360"/>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pPr>
        <w:pStyle w:val="style0"/>
        <w:spacing w:lineRule="auto" w:line="360"/>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2.3.1.2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pPr>
        <w:pStyle w:val="style0"/>
        <w:spacing w:lineRule="auto" w:line="360"/>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pPr>
        <w:pStyle w:val="style0"/>
        <w:spacing w:lineRule="auto" w:line="360"/>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2.3.2 Atterberg Limits (Plasticity and Consistency Limits)</w:t>
      </w:r>
    </w:p>
    <w:p>
      <w:pPr>
        <w:pStyle w:val="style0"/>
        <w:spacing w:lineRule="auto" w:line="360"/>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pPr>
        <w:pStyle w:val="style0"/>
        <w:spacing w:lineRule="auto" w:line="360"/>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pPr>
        <w:pStyle w:val="style0"/>
        <w:spacing w:lineRule="auto" w:line="360"/>
        <w:jc w:val="both"/>
        <w:rPr>
          <w:rFonts w:ascii="Times New Roman" w:hAnsi="Times New Roman"/>
          <w:sz w:val="24"/>
          <w:szCs w:val="24"/>
        </w:rPr>
      </w:pPr>
      <w:r>
        <w:rPr>
          <w:rFonts w:ascii="Times New Roman" w:hAnsi="Times New Roman"/>
          <w:sz w:val="24"/>
          <w:szCs w:val="24"/>
        </w:rPr>
        <w:t>2. Plastic Limit (PL): The moisture content at which soil begins to exhibit plastic behavior.</w:t>
      </w:r>
    </w:p>
    <w:p>
      <w:pPr>
        <w:pStyle w:val="style0"/>
        <w:spacing w:lineRule="auto" w:line="360"/>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pPr>
        <w:pStyle w:val="style0"/>
        <w:spacing w:lineRule="auto" w:line="360"/>
        <w:jc w:val="both"/>
        <w:rPr>
          <w:rFonts w:ascii="Times New Roman" w:hAnsi="Times New Roman"/>
          <w:sz w:val="24"/>
          <w:szCs w:val="24"/>
        </w:rPr>
      </w:pPr>
      <w:r>
        <w:rPr>
          <w:rFonts w:ascii="Times New Roman" w:hAnsi="Times New Roman"/>
          <w:sz w:val="24"/>
          <w:szCs w:val="24"/>
        </w:rPr>
        <w:t>2.3.2.1 Observed Atterberg Limit Values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2.3.2.2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pPr>
        <w:pStyle w:val="style0"/>
        <w:spacing w:lineRule="auto" w:line="360"/>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2.3.3 Compaction Characteristics</w:t>
      </w:r>
    </w:p>
    <w:p>
      <w:pPr>
        <w:pStyle w:val="style0"/>
        <w:spacing w:lineRule="auto" w:line="360"/>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pPr>
        <w:pStyle w:val="style0"/>
        <w:spacing w:lineRule="auto" w:line="360"/>
        <w:jc w:val="both"/>
        <w:rPr>
          <w:rFonts w:ascii="Times New Roman" w:hAnsi="Times New Roman"/>
          <w:sz w:val="24"/>
          <w:szCs w:val="24"/>
        </w:rPr>
      </w:pPr>
      <w:r>
        <w:rPr>
          <w:rFonts w:ascii="Times New Roman" w:hAnsi="Times New Roman"/>
          <w:sz w:val="24"/>
          <w:szCs w:val="24"/>
        </w:rPr>
        <w:t>2.3.3.1 Maximum Dry Density (MDD) and Optimum Moisture Content (OMC)</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MDD (1.70-1.95 g/cm³), OMC (10-15%) → Intermediate compaction properties, suitable for various applications.</w:t>
      </w:r>
    </w:p>
    <w:p>
      <w:pPr>
        <w:pStyle w:val="style0"/>
        <w:spacing w:lineRule="auto" w:line="360"/>
        <w:jc w:val="both"/>
        <w:rPr>
          <w:rFonts w:ascii="Times New Roman" w:hAnsi="Times New Roman"/>
          <w:sz w:val="24"/>
          <w:szCs w:val="24"/>
        </w:rPr>
      </w:pPr>
      <w:r>
        <w:rPr>
          <w:rFonts w:ascii="Times New Roman" w:hAnsi="Times New Roman"/>
          <w:sz w:val="24"/>
          <w:szCs w:val="24"/>
        </w:rPr>
        <w:t>2.3.3.2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pPr>
        <w:pStyle w:val="style0"/>
        <w:spacing w:lineRule="auto" w:line="360"/>
        <w:jc w:val="both"/>
        <w:rPr>
          <w:rFonts w:ascii="Times New Roman" w:hAnsi="Times New Roman"/>
          <w:sz w:val="24"/>
          <w:szCs w:val="24"/>
        </w:rPr>
      </w:pPr>
      <w:r>
        <w:rPr>
          <w:rFonts w:ascii="Times New Roman" w:hAnsi="Times New Roman"/>
          <w:sz w:val="24"/>
          <w:szCs w:val="24"/>
        </w:rPr>
        <w:t>2.3.4 Shear Strength and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pPr>
        <w:pStyle w:val="style0"/>
        <w:spacing w:lineRule="auto" w:line="360"/>
        <w:jc w:val="both"/>
        <w:rPr>
          <w:rFonts w:ascii="Times New Roman" w:hAnsi="Times New Roman"/>
          <w:sz w:val="24"/>
          <w:szCs w:val="24"/>
        </w:rPr>
      </w:pPr>
      <w:r>
        <w:rPr>
          <w:rFonts w:ascii="Times New Roman" w:hAnsi="Times New Roman"/>
          <w:sz w:val="24"/>
          <w:szCs w:val="24"/>
        </w:rPr>
        <w:t>2.3.4.1 Observed Shear Strength Parameters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2.3.4.2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120-200 kN/m² → Suitable for light foundations.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80-150 kN/m² → May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100-180 kN/m² → Moderate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2.3.4.3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High-cohesion soils (gneiss-derived) may suffer from shrinkage and swelling, requiring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2.3.5 Permeability and Drainage Properties</w:t>
      </w:r>
    </w:p>
    <w:p>
      <w:pPr>
        <w:pStyle w:val="style0"/>
        <w:spacing w:lineRule="auto" w:line="360"/>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(1x10⁻³ cm/s), good drainage.</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pPr>
        <w:pStyle w:val="style0"/>
        <w:spacing w:lineRule="auto" w:line="360"/>
        <w:jc w:val="both"/>
        <w:rPr>
          <w:rFonts w:ascii="Times New Roman" w:hAnsi="Times New Roman"/>
          <w:b/>
          <w:sz w:val="24"/>
          <w:szCs w:val="24"/>
        </w:rPr>
      </w:pPr>
      <w:r>
        <w:rPr>
          <w:rFonts w:ascii="Times New Roman" w:hAnsi="Times New Roman"/>
          <w:b/>
          <w:sz w:val="24"/>
          <w:szCs w:val="24"/>
        </w:rPr>
        <w:t>Engineering Considerations</w:t>
      </w:r>
    </w:p>
    <w:p>
      <w:pPr>
        <w:pStyle w:val="style0"/>
        <w:spacing w:lineRule="auto" w:line="360"/>
        <w:jc w:val="both"/>
        <w:rPr>
          <w:rFonts w:ascii="Times New Roman" w:hAnsi="Times New Roman"/>
          <w:sz w:val="24"/>
          <w:szCs w:val="24"/>
        </w:rPr>
      </w:pPr>
      <w:r>
        <w:rPr>
          <w:rFonts w:ascii="Times New Roman" w:hAnsi="Times New Roman"/>
          <w:sz w:val="24"/>
          <w:szCs w:val="24"/>
        </w:rPr>
        <w:t>High permeability soils require erosion control.</w:t>
      </w:r>
    </w:p>
    <w:p>
      <w:pPr>
        <w:pStyle w:val="style0"/>
        <w:spacing w:lineRule="auto" w:line="360"/>
        <w:jc w:val="both"/>
        <w:rPr>
          <w:rFonts w:ascii="Times New Roman" w:hAnsi="Times New Roman"/>
          <w:sz w:val="24"/>
          <w:szCs w:val="24"/>
        </w:rPr>
      </w:pPr>
      <w:r>
        <w:rPr>
          <w:rFonts w:ascii="Times New Roman" w:hAnsi="Times New Roman"/>
          <w:sz w:val="24"/>
          <w:szCs w:val="24"/>
        </w:rPr>
        <w:t>Low permeability soils are at risk of waterlogging.</w:t>
      </w:r>
    </w:p>
    <w:p>
      <w:pPr>
        <w:pStyle w:val="style0"/>
        <w:spacing w:lineRule="auto" w:line="360"/>
        <w:jc w:val="both"/>
        <w:rPr>
          <w:rFonts w:ascii="Times New Roman" w:hAnsi="Times New Roman"/>
          <w:sz w:val="24"/>
          <w:szCs w:val="24"/>
        </w:rPr>
      </w:pPr>
      <w:r>
        <w:rPr>
          <w:rFonts w:ascii="Times New Roman" w:hAnsi="Times New Roman"/>
          <w:sz w:val="24"/>
          <w:szCs w:val="24"/>
        </w:rPr>
        <w:t>Moderate permeability soils provide a balance for construction.</w:t>
      </w:r>
    </w:p>
    <w:p>
      <w:pPr>
        <w:pStyle w:val="style0"/>
        <w:spacing w:lineRule="auto" w:line="360"/>
        <w:jc w:val="both"/>
        <w:rPr>
          <w:rFonts w:ascii="Times New Roman" w:hAnsi="Times New Roman"/>
          <w:sz w:val="24"/>
          <w:szCs w:val="24"/>
        </w:rPr>
      </w:pPr>
      <w:r>
        <w:rPr>
          <w:rFonts w:ascii="Times New Roman" w:hAnsi="Times New Roman"/>
          <w:sz w:val="24"/>
          <w:szCs w:val="24"/>
        </w:rPr>
        <w:t>2.4.0 Suitability of Borrow Pit Soils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pPr>
        <w:pStyle w:val="style0"/>
        <w:spacing w:lineRule="auto" w:line="360"/>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2.4.1 Criteria for Engineering Suitability</w:t>
      </w:r>
    </w:p>
    <w:p>
      <w:pPr>
        <w:pStyle w:val="style0"/>
        <w:spacing w:lineRule="auto" w:line="360"/>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pPr>
        <w:pStyle w:val="style0"/>
        <w:spacing w:lineRule="auto" w:line="360"/>
        <w:jc w:val="both"/>
        <w:rPr>
          <w:rFonts w:ascii="Times New Roman" w:hAnsi="Times New Roman"/>
          <w:sz w:val="24"/>
          <w:szCs w:val="24"/>
        </w:rPr>
      </w:pPr>
      <w:r>
        <w:rPr>
          <w:rFonts w:ascii="Times New Roman" w:hAnsi="Times New Roman"/>
          <w:sz w:val="24"/>
          <w:szCs w:val="24"/>
        </w:rPr>
        <w:t>1. Strength and Stability: Soils used in foundation construction, embankments, and road bases must have adequate bearing capacity, shear strength, and stability under loading conditions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pPr>
        <w:pStyle w:val="style0"/>
        <w:spacing w:lineRule="auto" w:line="360"/>
        <w:jc w:val="both"/>
        <w:rPr>
          <w:rFonts w:ascii="Times New Roman" w:hAnsi="Times New Roman"/>
          <w:sz w:val="24"/>
          <w:szCs w:val="24"/>
        </w:rPr>
      </w:pPr>
      <w:r>
        <w:rPr>
          <w:rFonts w:ascii="Times New Roman" w:hAnsi="Times New Roman"/>
          <w:sz w:val="24"/>
          <w:szCs w:val="24"/>
        </w:rPr>
        <w:t>2.4.2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2.4.2.1 Subgrade and Subbase Materials</w:t>
      </w:r>
    </w:p>
    <w:p>
      <w:pPr>
        <w:pStyle w:val="style0"/>
        <w:spacing w:lineRule="auto" w:line="360"/>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2.4.2.2 Wearing Course and Pavement Layers</w:t>
      </w:r>
    </w:p>
    <w:p>
      <w:pPr>
        <w:pStyle w:val="style0"/>
        <w:spacing w:lineRule="auto" w:line="360"/>
        <w:jc w:val="both"/>
        <w:rPr>
          <w:rFonts w:ascii="Times New Roman" w:hAnsi="Times New Roman"/>
          <w:sz w:val="24"/>
          <w:szCs w:val="24"/>
        </w:rPr>
      </w:pPr>
      <w:r>
        <w:rPr>
          <w:rFonts w:ascii="Times New Roman" w:hAnsi="Times New Roman"/>
          <w:sz w:val="24"/>
          <w:szCs w:val="24"/>
        </w:rPr>
        <w:t>For pavement layers, soil must have high strength, low plasticity, and good drainage to prevent deformation under traffic loads.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2.4.3 Suitability for Foundation Construction</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2.4.4 Suitability for Embankments and Earthworks</w:t>
      </w:r>
    </w:p>
    <w:p>
      <w:pPr>
        <w:pStyle w:val="style0"/>
        <w:spacing w:lineRule="auto" w:line="360"/>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pPr>
        <w:pStyle w:val="style0"/>
        <w:spacing w:after="160" w:lineRule="auto" w:line="259"/>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2.4.5 Suitability for Drainage and Erosion Control</w:t>
      </w:r>
    </w:p>
    <w:p>
      <w:pPr>
        <w:pStyle w:val="style0"/>
        <w:spacing w:lineRule="auto" w:line="360"/>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2.4.6 Suitability for Stabilization and Improvement</w:t>
      </w:r>
    </w:p>
    <w:p>
      <w:pPr>
        <w:pStyle w:val="style0"/>
        <w:spacing w:lineRule="auto" w:line="360"/>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3.1 Site Selection and Reconnaissance</w:t>
      </w:r>
    </w:p>
    <w:p>
      <w:pPr>
        <w:pStyle w:val="style0"/>
        <w:spacing w:lineRule="auto" w:line="360"/>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pPr>
        <w:pStyle w:val="style0"/>
        <w:spacing w:lineRule="auto" w:line="360"/>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3.2 Field Sampling </w:t>
      </w:r>
    </w:p>
    <w:p>
      <w:pPr>
        <w:pStyle w:val="style0"/>
        <w:spacing w:lineRule="auto" w:line="360"/>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pPr>
        <w:pStyle w:val="style0"/>
        <w:spacing w:lineRule="auto" w:line="360"/>
        <w:jc w:val="both"/>
        <w:rPr>
          <w:rFonts w:ascii="Times New Roman" w:hAnsi="Times New Roman"/>
          <w:sz w:val="24"/>
          <w:szCs w:val="24"/>
        </w:rPr>
      </w:pPr>
      <w:r>
        <w:rPr>
          <w:rFonts w:ascii="Times New Roman" w:hAnsi="Times New Roman"/>
          <w:sz w:val="24"/>
          <w:szCs w:val="24"/>
        </w:rPr>
        <w:t>3.3 Laboratory Testing</w:t>
      </w:r>
    </w:p>
    <w:p>
      <w:pPr>
        <w:pStyle w:val="style0"/>
        <w:spacing w:lineRule="auto" w:line="360"/>
        <w:jc w:val="both"/>
        <w:rPr>
          <w:rFonts w:ascii="Times New Roman" w:hAnsi="Times New Roman"/>
          <w:sz w:val="24"/>
          <w:szCs w:val="24"/>
        </w:rPr>
      </w:pPr>
      <w:r>
        <w:rPr>
          <w:rFonts w:ascii="Times New Roman" w:hAnsi="Times New Roman"/>
          <w:sz w:val="24"/>
          <w:szCs w:val="24"/>
        </w:rPr>
        <w:t>After sample collection, laboratory analyses will be conducted using ASTM standard methods to determine the physical, mechanical, and engineering properties of the soil samples. Laboratory tests will include:</w:t>
      </w:r>
    </w:p>
    <w:p>
      <w:pPr>
        <w:pStyle w:val="style0"/>
        <w:spacing w:lineRule="auto" w:line="360"/>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r>
      <w:r>
        <w:rPr>
          <w:rFonts w:ascii="Times New Roman" w:hAnsi="Times New Roman"/>
          <w:b/>
          <w:sz w:val="24"/>
          <w:szCs w:val="24"/>
        </w:rPr>
        <w:t xml:space="preserve"> Particle Size Distribution Test (ASTM D6913-17</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pPr>
        <w:pStyle w:val="style0"/>
        <w:spacing w:lineRule="auto" w:line="360"/>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500g of the lateritic soil sample were weighed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pPr>
        <w:pStyle w:val="style0"/>
        <w:spacing w:lineRule="auto" w:line="360"/>
        <w:jc w:val="both"/>
        <w:rPr>
          <w:rFonts w:ascii="Times New Roman" w:hAnsi="Times New Roman"/>
          <w:b/>
          <w:sz w:val="24"/>
          <w:szCs w:val="24"/>
        </w:rPr>
      </w:pPr>
      <w:r>
        <w:rPr>
          <w:rFonts w:ascii="Times New Roman" w:hAnsi="Times New Roman"/>
          <w:b/>
          <w:sz w:val="24"/>
          <w:szCs w:val="24"/>
        </w:rPr>
        <w:t>3.3.2. Atterberg Limits Test (ASTM D4318-17)</w:t>
      </w:r>
    </w:p>
    <w:p>
      <w:pPr>
        <w:pStyle w:val="style0"/>
        <w:spacing w:lineRule="auto" w:line="360"/>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pPr>
        <w:pStyle w:val="style0"/>
        <w:spacing w:lineRule="auto" w:line="360"/>
        <w:jc w:val="both"/>
        <w:rPr>
          <w:rFonts w:ascii="Times New Roman" w:hAnsi="Times New Roman"/>
          <w:sz w:val="24"/>
          <w:szCs w:val="24"/>
        </w:rPr>
      </w:pPr>
      <w:r>
        <w:rPr>
          <w:rFonts w:ascii="Times New Roman" w:hAnsi="Times New Roman"/>
          <w:sz w:val="24"/>
          <w:szCs w:val="24"/>
        </w:rPr>
        <w:t>The atterberg limit test includes the following: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Liquid limit test (LL)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 limit test (PL)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Plasticity index (PI)</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Apparatus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Electric oven.</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Casangrande machine.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B.S sieve no 36.</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Grove.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Glass sheet.</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Distilled water. </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 xml:space="preserve">Procedure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The soil was dried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cup was jacked continually by rotating the handle (in an anticlockwise movement) of the apparatus until the groove in the cup was closed.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Five trials were made.</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Electric oven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Balance sensitive to 0.01g</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Glass plate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Moisture container </w:t>
      </w:r>
    </w:p>
    <w:p>
      <w:pPr>
        <w:pStyle w:val="style0"/>
        <w:numPr>
          <w:ilvl w:val="0"/>
          <w:numId w:val="6"/>
        </w:numPr>
        <w:spacing w:lineRule="auto" w:line="360"/>
        <w:jc w:val="both"/>
        <w:rPr>
          <w:rFonts w:ascii="Times New Roman" w:hAnsi="Times New Roman"/>
          <w:b/>
          <w:sz w:val="24"/>
          <w:szCs w:val="24"/>
        </w:rPr>
      </w:pPr>
      <w:r>
        <w:rPr>
          <w:rFonts w:ascii="Times New Roman" w:hAnsi="Times New Roman"/>
          <w:sz w:val="24"/>
          <w:szCs w:val="24"/>
        </w:rPr>
        <w:t xml:space="preserve">Distilled water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Procedure </w:t>
      </w:r>
    </w:p>
    <w:p>
      <w:pPr>
        <w:pStyle w:val="style0"/>
        <w:numPr>
          <w:ilvl w:val="0"/>
          <w:numId w:val="7"/>
        </w:numPr>
        <w:tabs>
          <w:tab w:val="left" w:leader="none" w:pos="720"/>
        </w:tabs>
        <w:spacing w:lineRule="auto" w:line="360"/>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pPr>
        <w:pStyle w:val="style0"/>
        <w:spacing w:lineRule="auto" w:line="360"/>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Apparatus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Drying oven (electric oven).</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Proctor mould.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Moisture content container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Mixing tray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Trowel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4.5kg B.S rammer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 xml:space="preserve">Sample preparation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 xml:space="preserve">Preparation of mould.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Compaction and moisture determination stages.</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SAMPLE PREPARATION </w:t>
      </w:r>
    </w:p>
    <w:p>
      <w:pPr>
        <w:pStyle w:val="style0"/>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Some quantity of the sample was obtained and pulverized and then the soil was sieved through 4.75mm sieve (ASTM). 3kg of the soil passing the sieve 4.75mm was obtained and spread on a large tray for the soil to dry properly. </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PREPARATION OF MOULD </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The base plate was fixed to the mould and weighed, the weight was recorded as M, then the extension was attached and lightly oiled and the between 4% to  6% of water was then added to the sample. </w:t>
      </w:r>
    </w:p>
    <w:p>
      <w:pPr>
        <w:pStyle w:val="style0"/>
        <w:spacing w:lineRule="auto" w:line="360"/>
        <w:jc w:val="both"/>
        <w:rPr>
          <w:rFonts w:ascii="Times New Roman" w:hAnsi="Times New Roman"/>
          <w:b/>
          <w:sz w:val="24"/>
          <w:szCs w:val="24"/>
        </w:rPr>
      </w:pPr>
      <w:r>
        <w:rPr>
          <w:rFonts w:ascii="Times New Roman" w:hAnsi="Times New Roman"/>
          <w:b/>
          <w:sz w:val="24"/>
          <w:szCs w:val="24"/>
        </w:rPr>
        <w:t>3.3.4. California Bearing Ratio (CBR) Test (ASTM D1883-16)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surcharge weight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CBR equipment with all accessories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CBR mould 150mm diameter by 125mmhigh</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Compaction rammer of 4.5kg</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Filter paper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4.75mm standard sieve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Straight edge (spatula) </w:t>
      </w:r>
    </w:p>
    <w:p>
      <w:pPr>
        <w:pStyle w:val="style0"/>
        <w:spacing w:lineRule="auto" w:line="360"/>
        <w:ind w:left="360"/>
        <w:jc w:val="both"/>
        <w:rPr>
          <w:rFonts w:ascii="Times New Roman" w:hAnsi="Times New Roman"/>
          <w:sz w:val="24"/>
          <w:szCs w:val="24"/>
        </w:rPr>
      </w:pPr>
      <w:r>
        <w:rPr>
          <w:rFonts w:ascii="Times New Roman" w:hAnsi="Times New Roman"/>
          <w:b/>
          <w:sz w:val="24"/>
          <w:szCs w:val="24"/>
        </w:rPr>
        <w:t>Procedure</w:t>
      </w:r>
    </w:p>
    <w:p>
      <w:pPr>
        <w:pStyle w:val="style0"/>
        <w:numPr>
          <w:ilvl w:val="0"/>
          <w:numId w:val="11"/>
        </w:numPr>
        <w:spacing w:before="240" w:lineRule="auto" w:line="360"/>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penetration stage   </w:t>
      </w:r>
    </w:p>
    <w:p>
      <w:pPr>
        <w:pStyle w:val="style0"/>
        <w:spacing w:lineRule="auto" w:line="360"/>
        <w:jc w:val="both"/>
        <w:rPr>
          <w:rFonts w:ascii="Times New Roman" w:hAnsi="Times New Roman"/>
          <w:b/>
          <w:sz w:val="24"/>
          <w:szCs w:val="24"/>
        </w:rPr>
      </w:pPr>
      <w:r>
        <w:rPr>
          <w:rFonts w:ascii="Times New Roman" w:hAnsi="Times New Roman"/>
          <w:b/>
          <w:sz w:val="24"/>
          <w:szCs w:val="24"/>
        </w:rPr>
        <w:t>3.4 Data Analysis and Interpretation</w:t>
      </w:r>
    </w:p>
    <w:p>
      <w:pPr>
        <w:pStyle w:val="style0"/>
        <w:spacing w:lineRule="auto" w:line="360"/>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pPr>
        <w:pStyle w:val="style0"/>
        <w:spacing w:lineRule="auto" w:line="360"/>
        <w:jc w:val="both"/>
        <w:rPr>
          <w:rFonts w:ascii="Times New Roman" w:hAnsi="Times New Roman"/>
          <w:sz w:val="24"/>
          <w:szCs w:val="24"/>
        </w:rPr>
      </w:pPr>
      <w:r>
        <w:rPr>
          <w:rFonts w:ascii="Times New Roman" w:hAnsi="Times New Roman"/>
          <w:sz w:val="24"/>
          <w:szCs w:val="24"/>
        </w:rPr>
        <w:t>Unified Soil Classification System (USCS) (ASTM D2487-17)</w:t>
      </w:r>
    </w:p>
    <w:p>
      <w:pPr>
        <w:pStyle w:val="style0"/>
        <w:spacing w:lineRule="auto" w:line="360"/>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pPr>
        <w:pStyle w:val="style0"/>
        <w:spacing w:lineRule="auto" w:line="360"/>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74"/>
        <w:jc w:val="center"/>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CHAPTER FOUR</w:t>
      </w:r>
    </w:p>
    <w:p>
      <w:pPr>
        <w:pStyle w:val="style74"/>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4.0</w:t>
      </w:r>
      <w:r>
        <w:rPr>
          <w:rFonts w:ascii="Times New Roman" w:cs="Times New Roman" w:hAnsi="Times New Roman"/>
          <w:b/>
          <w:color w:val="000000"/>
          <w:spacing w:val="0"/>
          <w:sz w:val="24"/>
          <w:szCs w:val="24"/>
        </w:rPr>
        <w:tab/>
      </w:r>
      <w:r>
        <w:rPr>
          <w:rFonts w:ascii="Times New Roman" w:cs="Times New Roman" w:hAnsi="Times New Roman"/>
          <w:b/>
          <w:color w:val="000000"/>
          <w:spacing w:val="0"/>
          <w:sz w:val="24"/>
          <w:szCs w:val="24"/>
        </w:rPr>
        <w:t>RESULT AND DISCUSSION</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 xml:space="preserve">Nature moisture content </w:t>
      </w:r>
    </w:p>
    <w:p>
      <w:pPr>
        <w:pStyle w:val="style0"/>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pPr>
        <w:pStyle w:val="style0"/>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style154"/>
        <w:tblW w:w="9445" w:type="dxa"/>
        <w:tblLook w:val="04A0" w:firstRow="1" w:lastRow="0" w:firstColumn="1" w:lastColumn="0" w:noHBand="0" w:noVBand="1"/>
      </w:tblPr>
      <w:tblGrid>
        <w:gridCol w:w="3505"/>
        <w:gridCol w:w="5940"/>
      </w:tblGrid>
      <w:tr>
        <w:trPr/>
        <w:tc>
          <w:tcPr>
            <w:tcW w:w="3505" w:type="dxa"/>
            <w:tcBorders/>
          </w:tcPr>
          <w:p>
            <w:pPr>
              <w:pStyle w:val="style0"/>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Borders/>
          </w:tcPr>
          <w:p>
            <w:pPr>
              <w:pStyle w:val="style0"/>
              <w:jc w:val="both"/>
              <w:rPr>
                <w:rFonts w:ascii="Times New Roman" w:hAnsi="Times New Roman"/>
                <w:b/>
                <w:sz w:val="24"/>
                <w:szCs w:val="24"/>
              </w:rPr>
            </w:pPr>
            <w:r>
              <w:rPr>
                <w:rFonts w:ascii="Times New Roman" w:hAnsi="Times New Roman"/>
                <w:b/>
                <w:sz w:val="24"/>
                <w:szCs w:val="24"/>
              </w:rPr>
              <w:t xml:space="preserve"> AVERAGE OF MOISTURE CONTENT</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11.68 %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12.42 %</w:t>
            </w:r>
          </w:p>
        </w:tc>
      </w:tr>
    </w:tbl>
    <w:p>
      <w:pPr>
        <w:pStyle w:val="style0"/>
        <w:spacing w:before="240" w:after="0" w:lineRule="auto" w:line="240"/>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style154"/>
        <w:tblW w:w="9805" w:type="dxa"/>
        <w:tblLook w:val="04A0" w:firstRow="1" w:lastRow="0" w:firstColumn="1" w:lastColumn="0" w:noHBand="0" w:noVBand="1"/>
      </w:tblPr>
      <w:tblGrid>
        <w:gridCol w:w="3325"/>
        <w:gridCol w:w="1080"/>
        <w:gridCol w:w="1080"/>
        <w:gridCol w:w="1080"/>
        <w:gridCol w:w="1080"/>
        <w:gridCol w:w="1080"/>
        <w:gridCol w:w="1080"/>
      </w:tblGrid>
      <w:tr>
        <w:trPr>
          <w:trHeight w:val="422" w:hRule="atLeast"/>
        </w:trPr>
        <w:tc>
          <w:tcPr>
            <w:tcW w:w="332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86"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empty tin  a</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33.00</w:t>
            </w:r>
          </w:p>
        </w:tc>
      </w:tr>
      <w:tr>
        <w:tblPrEx/>
        <w:trPr>
          <w:trHeight w:val="341"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r>
      <w:tr>
        <w:tblPrEx/>
        <w:trPr>
          <w:trHeight w:val="413"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r>
      <w:tr>
        <w:tblPrEx/>
        <w:trPr>
          <w:trHeight w:val="440"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18.18</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11.11</w:t>
            </w:r>
          </w:p>
        </w:tc>
      </w:tr>
    </w:tbl>
    <w:p>
      <w:pPr>
        <w:pStyle w:val="style0"/>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=11.68 %</w:t>
      </w:r>
    </w:p>
    <w:p>
      <w:pPr>
        <w:pStyle w:val="style0"/>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style154"/>
        <w:tblW w:w="9715" w:type="dxa"/>
        <w:tblLook w:val="04A0" w:firstRow="1" w:lastRow="0" w:firstColumn="1" w:lastColumn="0" w:noHBand="0" w:noVBand="1"/>
      </w:tblPr>
      <w:tblGrid>
        <w:gridCol w:w="3235"/>
        <w:gridCol w:w="990"/>
        <w:gridCol w:w="1080"/>
        <w:gridCol w:w="1080"/>
        <w:gridCol w:w="1080"/>
        <w:gridCol w:w="1170"/>
        <w:gridCol w:w="1080"/>
      </w:tblGrid>
      <w:tr>
        <w:trPr>
          <w:trHeight w:val="332" w:hRule="atLeast"/>
        </w:trPr>
        <w:tc>
          <w:tcPr>
            <w:tcW w:w="323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17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431"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359"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style154"/>
        <w:tblW w:w="9535" w:type="dxa"/>
        <w:tblLook w:val="04A0" w:firstRow="1" w:lastRow="0" w:firstColumn="1" w:lastColumn="0" w:noHBand="0" w:noVBand="1"/>
      </w:tblPr>
      <w:tblGrid>
        <w:gridCol w:w="3415"/>
        <w:gridCol w:w="990"/>
        <w:gridCol w:w="990"/>
        <w:gridCol w:w="990"/>
        <w:gridCol w:w="990"/>
        <w:gridCol w:w="1080"/>
        <w:gridCol w:w="1080"/>
      </w:tblGrid>
      <w:tr>
        <w:trPr>
          <w:trHeight w:val="288" w:hRule="atLeast"/>
        </w:trPr>
        <w:tc>
          <w:tcPr>
            <w:tcW w:w="341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style154"/>
        <w:tblW w:w="0" w:type="auto"/>
        <w:tblLook w:val="04A0" w:firstRow="1" w:lastRow="0" w:firstColumn="1" w:lastColumn="0" w:noHBand="0" w:noVBand="1"/>
      </w:tblPr>
      <w:tblGrid>
        <w:gridCol w:w="3145"/>
        <w:gridCol w:w="990"/>
        <w:gridCol w:w="1080"/>
        <w:gridCol w:w="990"/>
        <w:gridCol w:w="990"/>
        <w:gridCol w:w="1080"/>
        <w:gridCol w:w="1075"/>
      </w:tblGrid>
      <w:tr>
        <w:trPr/>
        <w:tc>
          <w:tcPr>
            <w:tcW w:w="314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75"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47.00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49.00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20.00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12.50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17.65</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09.53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14.29+12.50+17.65+09.53+10.53+10.00</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12.42 %</w:t>
      </w:r>
    </w:p>
    <w:p>
      <w:pPr>
        <w:pStyle w:val="style0"/>
        <w:spacing w:lineRule="auto" w:line="36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Sieve Analysis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value obtained from sieve analysis were used to plot the grading curves respectively, so as to determine the coefficient of uniformity and the coefficient of curvature which reveals the grading of the sample.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sieve analysis showed that, the laterite material were classified based on AASHTO soil classification for Ganmo and Amoyo towns. </w:t>
      </w:r>
    </w:p>
    <w:p>
      <w:pPr>
        <w:pStyle w:val="style0"/>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style154"/>
        <w:tblpPr w:leftFromText="180" w:rightFromText="180" w:topFromText="0" w:bottomFromText="0" w:vertAnchor="text" w:horzAnchor="margin" w:tblpXSpec="center" w:tblpY="388"/>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jc w:val="both"/>
              <w:rPr>
                <w:rFonts w:ascii="Times New Roman" w:hAnsi="Times New Roman"/>
                <w:b/>
                <w:sz w:val="24"/>
                <w:szCs w:val="24"/>
              </w:rPr>
            </w:pPr>
            <w:r>
              <w:rPr>
                <w:rFonts w:ascii="Times New Roman" w:hAnsi="Times New Roman"/>
                <w:b/>
                <w:sz w:val="24"/>
                <w:szCs w:val="24"/>
              </w:rPr>
              <w:t xml:space="preserve">% passing </w:t>
            </w:r>
          </w:p>
          <w:p>
            <w:pPr>
              <w:pStyle w:val="style0"/>
              <w:jc w:val="both"/>
              <w:rPr>
                <w:rFonts w:ascii="Times New Roman" w:hAnsi="Times New Roman"/>
                <w:b/>
                <w:sz w:val="24"/>
                <w:szCs w:val="24"/>
              </w:rPr>
            </w:pP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18.3</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81.7</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62</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69.2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613</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297</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575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445</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89.5</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10.5</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364</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91.1</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435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468</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94.2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482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r>
    </w:tbl>
    <w:p>
      <w:pPr>
        <w:pStyle w:val="style0"/>
        <w:jc w:val="both"/>
        <w:rPr>
          <w:rFonts w:ascii="Times New Roman" w:hAnsi="Times New Roman"/>
          <w:b/>
          <w:sz w:val="24"/>
          <w:szCs w:val="24"/>
        </w:rPr>
      </w:pPr>
      <w:r>
        <w:rPr>
          <w:rFonts w:ascii="Times New Roman" w:hAnsi="Times New Roman"/>
          <w:b/>
          <w:sz w:val="24"/>
          <w:szCs w:val="24"/>
        </w:rPr>
        <w:t>Sample A1</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jc w:val="both"/>
        <w:rPr>
          <w:rFonts w:ascii="Times New Roman" w:hAnsi="Times New Roman"/>
          <w:sz w:val="24"/>
          <w:szCs w:val="24"/>
        </w:rPr>
      </w:pPr>
      <w:r>
        <w:rPr>
          <w:rFonts w:ascii="Times New Roman" w:hAnsi="Times New Roman"/>
          <w:sz w:val="24"/>
          <w:szCs w:val="24"/>
        </w:rPr>
        <w:t>D10 = 0.565, D30 = 2.542, D60 = 3.35, Cu = 5.00 and Cc = 1.43</w:t>
      </w:r>
    </w:p>
    <w:p>
      <w:pPr>
        <w:pStyle w:val="style0"/>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before="240" w:lineRule="auto" w:line="360"/>
        <w:jc w:val="both"/>
        <w:rPr>
          <w:rFonts w:ascii="Times New Roman" w:hAnsi="Times New Roman"/>
          <w:b/>
          <w:sz w:val="24"/>
          <w:szCs w:val="24"/>
        </w:rPr>
      </w:pPr>
      <w:r>
        <w:rPr>
          <w:rFonts w:ascii="Times New Roman" w:hAnsi="Times New Roman"/>
          <w:b/>
          <w:sz w:val="24"/>
          <w:szCs w:val="24"/>
        </w:rPr>
        <w:t>Table 4.7: sieve analysis result for Ganmo at depth of 0.20m</w:t>
      </w:r>
    </w:p>
    <w:p>
      <w:pPr>
        <w:pStyle w:val="style0"/>
        <w:jc w:val="both"/>
        <w:rPr>
          <w:rFonts w:ascii="Times New Roman" w:hAnsi="Times New Roman"/>
          <w:b/>
          <w:sz w:val="24"/>
          <w:szCs w:val="24"/>
        </w:rPr>
      </w:pPr>
      <w:r>
        <w:rPr>
          <w:rFonts w:ascii="Times New Roman" w:hAnsi="Times New Roman"/>
          <w:b/>
          <w:sz w:val="24"/>
          <w:szCs w:val="24"/>
        </w:rPr>
        <w:t>Sample A2</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96.6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91.3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653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77.9</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22.1</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78.3</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21.7</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438</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88.1</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11.9</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p>
            <w:pPr>
              <w:pStyle w:val="style0"/>
              <w:spacing w:after="0" w:lineRule="auto" w:line="240"/>
              <w:jc w:val="both"/>
              <w:rPr>
                <w:rFonts w:ascii="Times New Roman" w:hAnsi="Times New Roman"/>
                <w:sz w:val="24"/>
                <w:szCs w:val="24"/>
              </w:rPr>
            </w:pP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D10 = 0.40, D30 = 2.00, D60 = 4.25, Cu = 6.07 and Cc = 1.34</w:t>
      </w:r>
    </w:p>
    <w:p>
      <w:pPr>
        <w:pStyle w:val="style0"/>
        <w:spacing w:before="240" w:lineRule="auto" w:line="360"/>
        <w:jc w:val="both"/>
        <w:rPr>
          <w:rFonts w:ascii="Times New Roman" w:hAnsi="Times New Roman"/>
          <w:sz w:val="24"/>
          <w:szCs w:val="24"/>
        </w:rPr>
      </w:pPr>
      <w:r>
        <w:rPr>
          <w:rFonts w:ascii="Times New Roman" w:hAnsi="Times New Roman"/>
          <w:sz w:val="24"/>
          <w:szCs w:val="24"/>
        </w:rPr>
        <w:t>Since the coefficient of uniformity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4.8: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B1</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jc w:val="both"/>
              <w:rPr>
                <w:rFonts w:ascii="Times New Roman" w:hAnsi="Times New Roman"/>
                <w:b/>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411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94.6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594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96</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19.2</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80.8</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454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162</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627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157</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319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559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135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451</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90.4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09.6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432</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94.0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06.0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407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484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03.0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98.6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w:t>
            </w:r>
          </w:p>
          <w:p>
            <w:pPr>
              <w:pStyle w:val="style0"/>
              <w:spacing w:after="0"/>
              <w:jc w:val="both"/>
              <w:rPr>
                <w:rFonts w:ascii="Times New Roman" w:hAnsi="Times New Roman"/>
                <w:sz w:val="24"/>
                <w:szCs w:val="24"/>
              </w:rPr>
            </w:pPr>
          </w:p>
        </w:tc>
      </w:tr>
    </w:tbl>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D30 = 0.800, Cu = 6.38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4.9: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B2</w:t>
      </w:r>
    </w:p>
    <w:p>
      <w:pPr>
        <w:pStyle w:val="style0"/>
        <w:jc w:val="both"/>
        <w:rPr>
          <w:rFonts w:ascii="Times New Roman" w:hAnsi="Times New Roman"/>
          <w:b/>
          <w:sz w:val="24"/>
          <w:szCs w:val="24"/>
        </w:rPr>
      </w:pP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94.6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90.2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164</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662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79.6</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20.4</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80.2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19.8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442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07.2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501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jc w:val="both"/>
              <w:rPr>
                <w:rFonts w:ascii="Times New Roman" w:hAnsi="Times New Roman"/>
                <w:sz w:val="24"/>
                <w:szCs w:val="24"/>
              </w:rPr>
            </w:pPr>
            <w:r>
              <w:rPr>
                <w:rFonts w:ascii="Times New Roman" w:hAnsi="Times New Roman"/>
                <w:sz w:val="24"/>
                <w:szCs w:val="24"/>
              </w:rPr>
              <w:t>-</w:t>
            </w:r>
          </w:p>
          <w:p>
            <w:pPr>
              <w:pStyle w:val="style0"/>
              <w:jc w:val="both"/>
              <w:rPr>
                <w:rFonts w:ascii="Times New Roman" w:hAnsi="Times New Roman"/>
                <w:sz w:val="24"/>
                <w:szCs w:val="24"/>
              </w:rPr>
            </w:pP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0.60, D30 = 1.00, D60 = 3.55, Cu = 5.92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4.10: Sieve analysis result </w:t>
      </w:r>
    </w:p>
    <w:p>
      <w:pPr>
        <w:pStyle w:val="style0"/>
        <w:rPr/>
      </w:pPr>
    </w:p>
    <w:tbl>
      <w:tblPr>
        <w:tblStyle w:val="style154"/>
        <w:tblW w:w="10075" w:type="dxa"/>
        <w:tblLook w:val="04A0" w:firstRow="1" w:lastRow="0" w:firstColumn="1" w:lastColumn="0" w:noHBand="0" w:noVBand="1"/>
      </w:tblPr>
      <w:tblGrid>
        <w:gridCol w:w="1344"/>
        <w:gridCol w:w="1529"/>
        <w:gridCol w:w="1619"/>
        <w:gridCol w:w="1121"/>
        <w:gridCol w:w="1482"/>
        <w:gridCol w:w="1238"/>
        <w:gridCol w:w="1745"/>
      </w:tblGrid>
      <w:tr>
        <w:trPr/>
        <w:tc>
          <w:tcPr>
            <w:tcW w:w="1345"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Samples</w:t>
            </w:r>
          </w:p>
        </w:tc>
        <w:tc>
          <w:tcPr>
            <w:tcW w:w="153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Remarks</w:t>
            </w:r>
          </w:p>
        </w:tc>
      </w:tr>
      <w:tr>
        <w:tblPrEx/>
        <w:trPr>
          <w:trHeight w:val="494" w:hRule="atLeast"/>
        </w:trPr>
        <w:tc>
          <w:tcPr>
            <w:tcW w:w="1345" w:type="dxa"/>
            <w:vMerge w:val="continue"/>
            <w:tcBorders/>
          </w:tcPr>
          <w:p>
            <w:pPr>
              <w:pStyle w:val="style0"/>
              <w:jc w:val="both"/>
              <w:rPr>
                <w:rFonts w:ascii="Times New Roman" w:hAnsi="Times New Roman"/>
                <w:b/>
                <w:sz w:val="24"/>
                <w:szCs w:val="24"/>
              </w:rPr>
            </w:pPr>
          </w:p>
        </w:tc>
        <w:tc>
          <w:tcPr>
            <w:tcW w:w="1530" w:type="dxa"/>
            <w:vMerge w:val="continue"/>
            <w:tcBorders/>
          </w:tcPr>
          <w:p>
            <w:pPr>
              <w:pStyle w:val="style0"/>
              <w:jc w:val="both"/>
              <w:rPr>
                <w:rFonts w:ascii="Times New Roman" w:hAnsi="Times New Roman"/>
                <w:b/>
                <w:sz w:val="24"/>
                <w:szCs w:val="24"/>
              </w:rPr>
            </w:pPr>
          </w:p>
        </w:tc>
        <w:tc>
          <w:tcPr>
            <w:tcW w:w="1620" w:type="dxa"/>
            <w:vMerge w:val="continue"/>
            <w:tcBorders/>
          </w:tcPr>
          <w:p>
            <w:pPr>
              <w:pStyle w:val="style0"/>
              <w:jc w:val="both"/>
              <w:rPr>
                <w:rFonts w:ascii="Times New Roman" w:hAnsi="Times New Roman"/>
                <w:b/>
                <w:sz w:val="24"/>
                <w:szCs w:val="24"/>
              </w:rPr>
            </w:pPr>
          </w:p>
        </w:tc>
        <w:tc>
          <w:tcPr>
            <w:tcW w:w="11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488" w:type="dxa"/>
            <w:tcBorders/>
          </w:tcPr>
          <w:p>
            <w:pPr>
              <w:pStyle w:val="style0"/>
              <w:jc w:val="both"/>
              <w:rPr>
                <w:rFonts w:ascii="Times New Roman" w:hAnsi="Times New Roman"/>
                <w:b/>
                <w:sz w:val="24"/>
                <w:szCs w:val="24"/>
              </w:rPr>
            </w:pPr>
            <w:r>
              <w:rPr>
                <w:rFonts w:ascii="Times New Roman" w:hAnsi="Times New Roman"/>
                <w:b/>
                <w:sz w:val="24"/>
                <w:szCs w:val="24"/>
              </w:rPr>
              <w:t>Cc</w:t>
            </w:r>
          </w:p>
        </w:tc>
        <w:tc>
          <w:tcPr>
            <w:tcW w:w="12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748" w:type="dxa"/>
            <w:tcBorders/>
          </w:tcPr>
          <w:p>
            <w:pPr>
              <w:pStyle w:val="style0"/>
              <w:ind w:left="344"/>
              <w:jc w:val="both"/>
              <w:rPr>
                <w:rFonts w:ascii="Times New Roman" w:hAnsi="Times New Roman"/>
                <w:b/>
                <w:sz w:val="24"/>
                <w:szCs w:val="24"/>
              </w:rPr>
            </w:pPr>
            <w:r>
              <w:rPr>
                <w:rFonts w:ascii="Times New Roman" w:hAnsi="Times New Roman"/>
                <w:b/>
                <w:sz w:val="24"/>
                <w:szCs w:val="24"/>
              </w:rPr>
              <w:t>Cc</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1.43</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0.5 – 3</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tc>
        <w:tc>
          <w:tcPr>
            <w:tcW w:w="1748" w:type="dxa"/>
            <w:tcBorders/>
          </w:tcPr>
          <w:p>
            <w:pPr>
              <w:pStyle w:val="style0"/>
              <w:ind w:left="110"/>
              <w:jc w:val="both"/>
              <w:rPr>
                <w:rFonts w:ascii="Times New Roman" w:hAnsi="Times New Roman"/>
                <w:b/>
                <w:sz w:val="24"/>
                <w:szCs w:val="24"/>
              </w:rPr>
            </w:pPr>
            <w:r>
              <w:rPr>
                <w:rFonts w:ascii="Times New Roman" w:hAnsi="Times New Roman"/>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6.07</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noProof/>
                <w:sz w:val="24"/>
                <w:szCs w:val="24"/>
              </w:rPr>
            </w:pPr>
            <w:r>
              <w:rPr>
                <w:rFonts w:ascii="Times New Roman" w:hAnsi="Times New Roman"/>
                <w:noProof/>
                <w:sz w:val="24"/>
                <w:szCs w:val="24"/>
              </w:rPr>
              <w:t>Adequate</w:t>
            </w:r>
          </w:p>
        </w:tc>
        <w:tc>
          <w:tcPr>
            <w:tcW w:w="1748" w:type="dxa"/>
            <w:tcBorders/>
          </w:tcPr>
          <w:p>
            <w:pPr>
              <w:pStyle w:val="style0"/>
              <w:ind w:left="110"/>
              <w:jc w:val="both"/>
              <w:rPr>
                <w:rFonts w:ascii="Times New Roman" w:hAnsi="Times New Roman"/>
                <w:sz w:val="24"/>
                <w:szCs w:val="24"/>
              </w:rPr>
            </w:pPr>
            <w:r>
              <w:rPr>
                <w:rFonts w:ascii="Times New Roman" w:hAnsi="Times New Roman"/>
                <w:noProof/>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6.38</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r>
      <w:tr>
        <w:tblPrEx/>
        <w:trPr>
          <w:trHeight w:val="449"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1530" w:type="dxa"/>
            <w:tcBorders/>
          </w:tcPr>
          <w:p>
            <w:pPr>
              <w:pStyle w:val="style0"/>
              <w:jc w:val="both"/>
              <w:rPr>
                <w:rFonts w:ascii="Times New Roman" w:hAnsi="Times New Roman"/>
                <w:b/>
                <w:sz w:val="24"/>
                <w:szCs w:val="24"/>
              </w:rPr>
            </w:pPr>
            <w:r>
              <w:rPr>
                <w:rFonts w:ascii="Times New Roman" w:hAnsi="Times New Roman"/>
                <w:sz w:val="24"/>
                <w:szCs w:val="24"/>
              </w:rPr>
              <w:t>5.92</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0.50</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b/>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 xml:space="preserve">Adequate </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sectPr>
          <w:pgSz w:w="12240" w:h="15840" w:orient="portrait"/>
          <w:pgMar w:top="1260" w:right="1440" w:bottom="810"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423998" cy="406750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eastAsia="en-US"/>
        </w:rPr>
      </w:r>
    </w:p>
    <w:p>
      <w:pPr>
        <w:pStyle w:val="style0"/>
        <w:rPr/>
      </w:pPr>
    </w:p>
    <w:p>
      <w:pPr>
        <w:pStyle w:val="style0"/>
        <w:rPr>
          <w:rFonts w:ascii="Times New Roman" w:hAnsi="Times New Roman"/>
          <w:b/>
          <w:sz w:val="24"/>
          <w:szCs w:val="24"/>
        </w:rPr>
      </w:pPr>
      <w:r>
        <w:rPr>
          <w:rFonts w:ascii="Times New Roman" w:hAnsi="Times New Roman"/>
          <w:b/>
          <w:sz w:val="24"/>
          <w:szCs w:val="24"/>
        </w:rPr>
        <w:t>Figure 4.1: Sample A1 - Sieve Analysis Result for Ganmo at depth 0.15m</w:t>
      </w:r>
    </w:p>
    <w:p>
      <w:pPr>
        <w:pStyle w:val="style0"/>
        <w:rPr>
          <w:b/>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pPr>
    </w:p>
    <w:p>
      <w:pPr>
        <w:pStyle w:val="style0"/>
        <w:rPr/>
      </w:pPr>
    </w:p>
    <w:p>
      <w:pPr>
        <w:pStyle w:val="style0"/>
        <w:rPr/>
        <w:sectPr>
          <w:pgSz w:w="12240" w:h="15840" w:orient="portrait" w:code="1"/>
          <w:pgMar w:top="806" w:right="1440" w:bottom="1354"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933935" cy="463378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eastAsia="en-US"/>
        </w:rPr>
      </w:r>
    </w:p>
    <w:p>
      <w:pPr>
        <w:pStyle w:val="style0"/>
        <w:rPr/>
      </w:pPr>
    </w:p>
    <w:p>
      <w:pPr>
        <w:pStyle w:val="style0"/>
        <w:rPr/>
      </w:pPr>
    </w:p>
    <w:p>
      <w:pPr>
        <w:pStyle w:val="style0"/>
        <w:rPr>
          <w:rFonts w:ascii="Times New Roman" w:hAnsi="Times New Roman"/>
          <w:b/>
          <w:sz w:val="24"/>
          <w:szCs w:val="24"/>
        </w:rPr>
      </w:pPr>
      <w:r>
        <w:rPr>
          <w:rFonts w:ascii="Times New Roman" w:hAnsi="Times New Roman"/>
          <w:b/>
          <w:sz w:val="24"/>
          <w:szCs w:val="24"/>
        </w:rPr>
        <w:t>Figure 4.2: Sample A2 - Sieve Analysis Result for Ganmo at depth 0.20m</w:t>
      </w:r>
    </w:p>
    <w:p>
      <w:pPr>
        <w:pStyle w:val="style0"/>
        <w:rPr>
          <w:rFonts w:ascii="Times New Roman" w:hAnsi="Times New Roman"/>
          <w:b/>
          <w:sz w:val="24"/>
          <w:szCs w:val="24"/>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698865" cy="434957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Figure 4.3: Sample B1 - Sieve Analysis Result for Amoyo at depth 0.15m</w:t>
      </w:r>
    </w:p>
    <w:p>
      <w:pPr>
        <w:pStyle w:val="style0"/>
        <w:rPr>
          <w:rFonts w:ascii="Times New Roman" w:hAnsi="Times New Roman"/>
          <w:b/>
          <w:sz w:val="24"/>
          <w:szCs w:val="24"/>
        </w:rPr>
      </w:pPr>
    </w:p>
    <w:p>
      <w:pPr>
        <w:pStyle w:val="style0"/>
        <w:rPr>
          <w:rFonts w:ascii="Times New Roman" w:hAnsi="Times New Roman"/>
          <w:b/>
          <w:sz w:val="24"/>
          <w:szCs w:val="24"/>
        </w:rPr>
        <w:sectPr>
          <w:pgSz w:w="15840" w:h="12240" w:orient="landscape" w:code="1"/>
          <w:pgMar w:top="1440" w:right="1354" w:bottom="1440" w:left="806" w:header="720" w:footer="720" w:gutter="0"/>
          <w:cols w:space="720"/>
          <w:docGrid w:linePitch="360"/>
        </w:sect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262620" cy="4769708"/>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jc w:val="both"/>
        <w:rPr>
          <w:rFonts w:ascii="Times New Roman" w:hAnsi="Times New Roman"/>
          <w:b/>
          <w:sz w:val="24"/>
          <w:szCs w:val="24"/>
        </w:rPr>
        <w:sectPr>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pPr>
        <w:pStyle w:val="style0"/>
        <w:tabs>
          <w:tab w:val="left" w:leader="none" w:pos="5644"/>
        </w:tabs>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Atterberg limit </w:t>
      </w:r>
    </w:p>
    <w:p>
      <w:pPr>
        <w:pStyle w:val="style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pPr>
        <w:pStyle w:val="style0"/>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Sample of soil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Plastic limit (PL)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Liquid limit (LL)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Plastic index (PI)</w:t>
            </w:r>
          </w:p>
          <w:p>
            <w:pPr>
              <w:pStyle w:val="style0"/>
              <w:jc w:val="both"/>
              <w:rPr>
                <w:rFonts w:ascii="Times New Roman" w:hAnsi="Times New Roman"/>
                <w:sz w:val="24"/>
                <w:szCs w:val="24"/>
              </w:rPr>
            </w:pPr>
            <w:r>
              <w:rPr>
                <w:rFonts w:ascii="Times New Roman" w:hAnsi="Times New Roman"/>
                <w:sz w:val="24"/>
                <w:szCs w:val="24"/>
              </w:rPr>
              <w:t xml:space="preserve">PI = LL – PL </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21.20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25.06</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3.86%</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24.53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49.92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25.39%</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18.02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24.67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6.65%</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17.71</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19.07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1.36%</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4.12: Sample A1 (case study Ganmo 150mm)</w:t>
      </w:r>
    </w:p>
    <w:tbl>
      <w:tblPr>
        <w:tblStyle w:val="style4103"/>
        <w:tblW w:w="0" w:type="auto"/>
        <w:tblLook w:val="04A0" w:firstRow="1" w:lastRow="0" w:firstColumn="1" w:lastColumn="0" w:noHBand="0" w:noVBand="1"/>
      </w:tblPr>
      <w:tblGrid>
        <w:gridCol w:w="5068"/>
        <w:gridCol w:w="717"/>
        <w:gridCol w:w="628"/>
        <w:gridCol w:w="717"/>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40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43</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17.86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26.60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Table 4.13: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35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14.30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21.25%</w:t>
      </w:r>
    </w:p>
    <w:p>
      <w:pPr>
        <w:pStyle w:val="style0"/>
        <w:jc w:val="both"/>
        <w:rPr>
          <w:rFonts w:ascii="Times New Roman" w:hAnsi="Times New Roman"/>
          <w:b/>
          <w:sz w:val="24"/>
          <w:szCs w:val="24"/>
        </w:rPr>
      </w:pPr>
      <w:r>
        <w:rPr>
          <w:rFonts w:ascii="Times New Roman" w:hAnsi="Times New Roman"/>
          <w:b/>
          <w:sz w:val="24"/>
          <w:szCs w:val="24"/>
        </w:rPr>
        <w:t>Table 4.14: Sample A2 (case study Ganmo 0.20m)</w:t>
      </w:r>
    </w:p>
    <w:tbl>
      <w:tblPr>
        <w:tblStyle w:val="style4103"/>
        <w:tblW w:w="0" w:type="auto"/>
        <w:tblLook w:val="04A0" w:firstRow="1" w:lastRow="0" w:firstColumn="1" w:lastColumn="0" w:noHBand="0" w:noVBand="1"/>
      </w:tblPr>
      <w:tblGrid>
        <w:gridCol w:w="4680"/>
        <w:gridCol w:w="816"/>
        <w:gridCol w:w="816"/>
        <w:gridCol w:w="816"/>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55.80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50.20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19.80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04.00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06.55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08.25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05.40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30.84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45.45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83.30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4.15: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24.53%</w:t>
      </w:r>
    </w:p>
    <w:p>
      <w:pPr>
        <w:pStyle w:val="style0"/>
        <w:jc w:val="both"/>
        <w:rPr>
          <w:rFonts w:ascii="Times New Roman" w:hAnsi="Times New Roman"/>
          <w:b/>
          <w:sz w:val="24"/>
          <w:szCs w:val="24"/>
        </w:rPr>
      </w:pPr>
      <w:r>
        <w:rPr>
          <w:rFonts w:ascii="Times New Roman" w:hAnsi="Times New Roman"/>
          <w:b/>
          <w:sz w:val="24"/>
          <w:szCs w:val="24"/>
        </w:rPr>
        <w:t>Table 4.16: Sample B1 (case study Amoyo 150mm)</w:t>
      </w:r>
    </w:p>
    <w:tbl>
      <w:tblPr>
        <w:tblStyle w:val="style4103"/>
        <w:tblW w:w="0" w:type="auto"/>
        <w:tblLook w:val="04A0" w:firstRow="1" w:lastRow="0" w:firstColumn="1" w:lastColumn="0" w:noHBand="0" w:noVBand="1"/>
      </w:tblPr>
      <w:tblGrid>
        <w:gridCol w:w="4780"/>
        <w:gridCol w:w="816"/>
        <w:gridCol w:w="816"/>
        <w:gridCol w:w="816"/>
        <w:gridCol w:w="717"/>
        <w:gridCol w:w="816"/>
        <w:gridCol w:w="816"/>
      </w:tblGrid>
      <w:tr>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47</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20.00</w:t>
            </w:r>
          </w:p>
        </w:tc>
        <w:tc>
          <w:tcPr>
            <w:tcW w:w="636" w:type="dxa"/>
            <w:tcBorders/>
            <w:shd w:val="clear" w:color="auto" w:fill="auto"/>
          </w:tcPr>
          <w:p>
            <w:pPr>
              <w:pStyle w:val="style0"/>
              <w:rPr>
                <w:rFonts w:ascii="Times New Roman" w:hAnsi="Times New Roman"/>
                <w:sz w:val="24"/>
                <w:szCs w:val="24"/>
              </w:rPr>
            </w:pPr>
            <w:r>
              <w:rPr>
                <w:rFonts w:ascii="Times New Roman" w:hAnsi="Times New Roman"/>
                <w:sz w:val="24"/>
                <w:szCs w:val="24"/>
              </w:rPr>
              <w:t>28.57</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50.00</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3.45</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21.74</w:t>
            </w:r>
          </w:p>
        </w:tc>
        <w:tc>
          <w:tcPr>
            <w:tcW w:w="715" w:type="dxa"/>
            <w:tcBorders/>
            <w:shd w:val="clear" w:color="auto" w:fill="auto"/>
          </w:tcPr>
          <w:p>
            <w:pPr>
              <w:pStyle w:val="style0"/>
              <w:rPr>
                <w:rFonts w:ascii="Times New Roman" w:hAnsi="Times New Roman"/>
                <w:sz w:val="24"/>
                <w:szCs w:val="24"/>
              </w:rPr>
            </w:pPr>
            <w:r>
              <w:rPr>
                <w:rFonts w:ascii="Times New Roman" w:hAnsi="Times New Roman"/>
                <w:sz w:val="24"/>
                <w:szCs w:val="24"/>
              </w:rPr>
              <w:t>23.08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4.17: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18.02%</w:t>
      </w:r>
    </w:p>
    <w:p>
      <w:pPr>
        <w:pStyle w:val="style0"/>
        <w:jc w:val="both"/>
        <w:rPr>
          <w:rFonts w:ascii="Times New Roman" w:hAnsi="Times New Roman"/>
          <w:b/>
          <w:sz w:val="24"/>
          <w:szCs w:val="24"/>
        </w:rPr>
      </w:pPr>
      <w:r>
        <w:rPr>
          <w:rFonts w:ascii="Times New Roman" w:hAnsi="Times New Roman"/>
          <w:b/>
          <w:sz w:val="24"/>
          <w:szCs w:val="24"/>
        </w:rPr>
        <w:t>Table 4.18: Sample B2 (case study Ganmo 0.20m)</w:t>
      </w:r>
    </w:p>
    <w:tbl>
      <w:tblPr>
        <w:tblStyle w:val="style4103"/>
        <w:tblW w:w="0" w:type="auto"/>
        <w:tblLook w:val="04A0" w:firstRow="1" w:lastRow="0" w:firstColumn="1" w:lastColumn="0" w:noHBand="0" w:noVBand="1"/>
      </w:tblPr>
      <w:tblGrid>
        <w:gridCol w:w="4742"/>
        <w:gridCol w:w="755"/>
        <w:gridCol w:w="816"/>
        <w:gridCol w:w="816"/>
        <w:gridCol w:w="816"/>
        <w:gridCol w:w="816"/>
        <w:gridCol w:w="816"/>
      </w:tblGrid>
      <w:tr>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6.90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18.18</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33.33</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4.19: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17.71%</w:t>
      </w: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Fig 4.5 Atterberg limit for Ganmo at depth 0.15m (A1)</w:t>
      </w:r>
    </w:p>
    <w:p>
      <w:pPr>
        <w:pStyle w:val="style0"/>
        <w:spacing w:before="240"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686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US"/>
        </w:rPr>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sz w:val="24"/>
          <w:szCs w:val="24"/>
        </w:rPr>
      </w:pPr>
      <w:r>
        <w:rPr>
          <w:rFonts w:ascii="Times New Roman" w:hAnsi="Times New Roman"/>
          <w:b/>
          <w:sz w:val="24"/>
          <w:szCs w:val="24"/>
        </w:rPr>
        <w:t>Fig 4.6 Atterberg limit for Ganmo at depth 0.20m (A2)</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4.7 Atterberg limit for Amoyo at depth 0.15m (B1)</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4.8 Atterberg limit for Amoyo at depth 0.20m (B2)</w:t>
      </w:r>
    </w:p>
    <w:p>
      <w:pPr>
        <w:pStyle w:val="style0"/>
        <w:spacing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US"/>
        </w:rPr>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Compaction Test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obtained, shows that the samples are suitable for base and sub-base course based on the Federal Ministry of works code of practice according to chapter two of this report.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OMC</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DD</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19%</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20%</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10.2%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2.9</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4.153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2.83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04.7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08.3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2.48</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6.983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4.353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3.096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95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70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9.09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13.33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57.14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1.57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2.81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2.55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1.90</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5.882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6.339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7.602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7.001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6.544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3.252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4.972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4.371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4.214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4.092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 xml:space="preserve"> 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7.70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16.7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1.21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1.27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2.53</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4719"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06"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1"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23</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131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163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148</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150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118</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127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2.349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2.819</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2.561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4.9 Compaction test for Gonmo at depth 0.15m (A1)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object>
          <v:shape id="1043" type="#_x0000_t75" filled="f" stroked="f" alt="C:\Users\dell\AppData\Local\Microsoft\Windows\Temporary Internet Files\Content.Word\IMG-20250618-WA0082.jpg" style="margin-left:0.0pt;margin-top:0.0pt;width:438.87pt;height:203.36pt;mso-wrap-distance-left:0.0pt;mso-wrap-distance-right:0.0pt;visibility:visible;">
            <w10:anchorlock/>
            <v:imagedata r:id="rId11" embosscolor="white" o:title=""/>
            <v:stroke on="f" joinstyle="miter"/>
            <v:fill/>
          </v:shape>
          <o:OLEObject Type="EMBED" ProgID="Excel.Chart.8" ShapeID="1043" DrawAspect="Content" ObjectID="0" r:id="rId12"/>
        </w:object>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Fig 4.10 Compaction test for </w:t>
      </w:r>
      <w:r>
        <w:rPr>
          <w:rFonts w:ascii="Times New Roman" w:hAnsi="Times New Roman"/>
          <w:b/>
          <w:sz w:val="24"/>
          <w:szCs w:val="24"/>
        </w:rPr>
        <w:t>Gonmo</w:t>
      </w:r>
      <w:r>
        <w:rPr>
          <w:rFonts w:ascii="Times New Roman" w:hAnsi="Times New Roman"/>
          <w:b/>
          <w:sz w:val="24"/>
          <w:szCs w:val="24"/>
        </w:rPr>
        <w:t xml:space="preserve">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6578107" cy="2528898"/>
            <wp:effectExtent l="19050" t="0" r="0" b="0"/>
            <wp:docPr id="1045" name="Picture 22" descr="C:\Users\dell\AppData\Local\Microsoft\Windows\Temporary Internet Files\Content.Word\IMG-20250619-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3" cstate="print"/>
                    <a:srcRect l="0" t="0" r="0" b="0"/>
                    <a:stretch/>
                  </pic:blipFill>
                  <pic:spPr>
                    <a:xfrm rot="0">
                      <a:off x="0" y="0"/>
                      <a:ext cx="6578107" cy="252889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4.11 Compaction test for Amoyo at depth 0.15m (B1)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775694" cy="2979071"/>
            <wp:effectExtent l="19050" t="0" r="0" b="0"/>
            <wp:docPr id="1046" name="Picture 34" descr="C:\Users\dell\AppData\Local\Microsoft\Windows\Temporary Internet Files\Content.Word\IMG-20250618-WA008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4"/>
                    <pic:cNvPicPr/>
                  </pic:nvPicPr>
                  <pic:blipFill>
                    <a:blip r:embed="rId14" cstate="print"/>
                    <a:srcRect l="0" t="0" r="0" b="0"/>
                    <a:stretch/>
                  </pic:blipFill>
                  <pic:spPr>
                    <a:xfrm rot="0">
                      <a:off x="0" y="0"/>
                      <a:ext cx="5775694" cy="2979071"/>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4.12 Compaction test for Amoyo at depth 0.20m (B2)</w:t>
      </w:r>
    </w:p>
    <w:p>
      <w:pPr>
        <w:pStyle w:val="style0"/>
        <w:spacing w:after="160" w:lineRule="auto" w:line="259"/>
        <w:rPr>
          <w:rFonts w:ascii="Times New Roman" w:hAnsi="Times New Roman"/>
          <w:b/>
          <w:sz w:val="24"/>
          <w:szCs w:val="24"/>
        </w:rPr>
      </w:pPr>
      <w:r>
        <w:rPr>
          <w:noProof/>
          <w:lang w:eastAsia="en-US"/>
        </w:rPr>
        <w:drawing>
          <wp:inline distL="0" distT="0" distB="0" distR="0">
            <wp:extent cx="5544733" cy="2732568"/>
            <wp:effectExtent l="19050" t="0" r="0" b="0"/>
            <wp:docPr id="1047" name="Picture 37" descr="C:\Users\dell\AppData\Local\Microsoft\Windows\Temporary Internet Files\Content.Word\IMG-20250618-WA008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15" cstate="print"/>
                    <a:srcRect l="0" t="0" r="0" b="0"/>
                    <a:stretch/>
                  </pic:blipFill>
                  <pic:spPr>
                    <a:xfrm rot="0">
                      <a:off x="0" y="0"/>
                      <a:ext cx="5544733" cy="273256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 xml:space="preserve">California Bearing Ratio (CBR) Test </w:t>
      </w:r>
    </w:p>
    <w:p>
      <w:pPr>
        <w:pStyle w:val="style0"/>
        <w:jc w:val="both"/>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average CBR result obtained show that all the sample obtained from the laterite (borrow pits) are suitable as base and sub-base materials based on Federal Ministry of Works and Transport Highway Code of Practice. </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Borders/>
          </w:tcPr>
          <w:p>
            <w:pPr>
              <w:pStyle w:val="style0"/>
              <w:jc w:val="both"/>
              <w:rPr>
                <w:rFonts w:ascii="Times New Roman" w:hAnsi="Times New Roman"/>
                <w:b/>
                <w:sz w:val="24"/>
                <w:szCs w:val="24"/>
              </w:rPr>
            </w:pPr>
            <w:r>
              <w:rPr>
                <w:rFonts w:ascii="Times New Roman" w:hAnsi="Times New Roman"/>
                <w:b/>
                <w:sz w:val="24"/>
                <w:szCs w:val="24"/>
              </w:rPr>
              <w:t>Average CBR%</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Standard </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Remark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1094.4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1066.4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992.3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 – 100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1010.5</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A1 Ganmo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16 = 42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 = 29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24 = 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20 = 53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28 = 74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41 = 108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37 = 97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44 = 116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58 = 153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53 = 139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72 = 190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65 = 171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112 = 296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111 = 291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14 = 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 = 24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31 = 82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34 = 89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45 = 118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66 = 174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75 = 197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96 = 252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108 = 284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114 = 300</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15 = 39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 = 26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23 = 60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32 = 84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42 = 110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50 = 132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59 = 155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90 = 237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82 = 216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103 = 271</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109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 xml:space="preserve">Sample B2 </w:t>
      </w:r>
      <w:r>
        <w:rPr>
          <w:rFonts w:ascii="Times New Roman" w:hAnsi="Times New Roman"/>
          <w:b/>
          <w:sz w:val="24"/>
          <w:szCs w:val="24"/>
        </w:rPr>
        <w:t>Amoyo</w:t>
      </w:r>
      <w:r>
        <w:rPr>
          <w:rFonts w:ascii="Times New Roman" w:hAnsi="Times New Roman"/>
          <w:b/>
          <w:sz w:val="24"/>
          <w:szCs w:val="24"/>
        </w:rPr>
        <w:t xml:space="preserve"> </w:t>
      </w:r>
      <w:r>
        <w:rPr>
          <w:rFonts w:ascii="Times New Roman" w:hAnsi="Times New Roman"/>
          <w:b/>
          <w:sz w:val="24"/>
          <w:szCs w:val="24"/>
        </w:rPr>
        <w:t>laterite</w:t>
      </w:r>
      <w:r>
        <w:rPr>
          <w:rFonts w:ascii="Times New Roman" w:hAnsi="Times New Roman"/>
          <w:b/>
          <w:sz w:val="24"/>
          <w:szCs w:val="24"/>
        </w:rPr>
        <w:t xml:space="preserve"> (borrow pits) depth 0.20mm UNSOAKED</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13 = 34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 = 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30 = 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26 = 68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38 =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35 = 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47 = 124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43 = 113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55 = 145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51 = 134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61 = 160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80  = 210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73 = 192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94 = 247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100 = 279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97 = 225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107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219700" cy="2724150"/>
            <wp:effectExtent l="19050" t="0" r="0" b="0"/>
            <wp:docPr id="1048" name="Picture 13" descr="C:\Users\dell\AppData\Local\Microsoft\Windows\Temporary Internet Files\Content.Word\IMG-20250619-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6" cstate="print"/>
                    <a:srcRect l="0" t="0" r="0" b="0"/>
                    <a:stretch/>
                  </pic:blipFill>
                  <pic:spPr>
                    <a:xfrm rot="0">
                      <a:off x="0" y="0"/>
                      <a:ext cx="5219700" cy="2724150"/>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2.13 CBR Test for Gonmo borrow pits at depth 0.15m (A1)</w:t>
      </w:r>
    </w:p>
    <w:p>
      <w:pPr>
        <w:pStyle w:val="style0"/>
        <w:jc w:val="both"/>
        <w:rPr>
          <w:rFonts w:ascii="Times New Roman" w:hAnsi="Times New Roman"/>
          <w:b/>
          <w:sz w:val="24"/>
          <w:szCs w:val="24"/>
        </w:rPr>
      </w:pPr>
      <w:r>
        <w:rPr>
          <w:noProof/>
          <w:lang w:eastAsia="en-US"/>
        </w:rPr>
        <w:drawing>
          <wp:inline distL="0" distT="0" distB="0" distR="0">
            <wp:extent cx="4857750" cy="2981325"/>
            <wp:effectExtent l="19050" t="0" r="0" b="0"/>
            <wp:docPr id="1049" name="Picture 16" descr="C:\Users\dell\AppData\Local\Microsoft\Windows\Temporary Internet Files\Content.Word\IMG-20250619-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
                    <pic:cNvPicPr/>
                  </pic:nvPicPr>
                  <pic:blipFill>
                    <a:blip r:embed="rId17" cstate="print"/>
                    <a:srcRect l="0" t="0" r="0" b="0"/>
                    <a:stretch/>
                  </pic:blipFill>
                  <pic:spPr>
                    <a:xfrm rot="0">
                      <a:off x="0" y="0"/>
                      <a:ext cx="4857750" cy="2981325"/>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2.14 CBR Test for Gonmo borrow pits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521640" cy="2817628"/>
            <wp:effectExtent l="19050" t="0" r="2860" b="0"/>
            <wp:docPr id="1050" name="Picture 19" descr="C:\Users\dell\AppData\Local\Microsoft\Windows\Temporary Internet Files\Content.Word\IMG-20250619-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18" cstate="print"/>
                    <a:srcRect l="0" t="0" r="0" b="0"/>
                    <a:stretch/>
                  </pic:blipFill>
                  <pic:spPr>
                    <a:xfrm rot="0">
                      <a:off x="0" y="0"/>
                      <a:ext cx="5521640" cy="2817628"/>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2.15 CBR Test for Amoyo borrow pits at depth 0.15m (B1)</w:t>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rFonts w:ascii="Times New Roman" w:hAnsi="Times New Roman"/>
          <w:b/>
          <w:sz w:val="24"/>
          <w:szCs w:val="24"/>
        </w:rPr>
      </w:pPr>
      <w:r>
        <w:rPr>
          <w:rFonts w:ascii="Times New Roman" w:hAnsi="Times New Roman"/>
          <w:b/>
          <w:sz w:val="24"/>
          <w:szCs w:val="24"/>
        </w:rPr>
        <w:t xml:space="preserve">Figure 2.16 CBR Test for </w:t>
      </w:r>
      <w:r>
        <w:rPr>
          <w:rFonts w:ascii="Times New Roman" w:hAnsi="Times New Roman"/>
          <w:b/>
          <w:sz w:val="24"/>
          <w:szCs w:val="24"/>
        </w:rPr>
        <w:t>Amoyo</w:t>
      </w:r>
      <w:r>
        <w:rPr>
          <w:rFonts w:ascii="Times New Roman" w:hAnsi="Times New Roman"/>
          <w:b/>
          <w:sz w:val="24"/>
          <w:szCs w:val="24"/>
        </w:rPr>
        <w:t xml:space="preserve"> borrow pits at depth 0.20m (B)</w:t>
      </w:r>
    </w:p>
    <w:p>
      <w:pPr>
        <w:pStyle w:val="style0"/>
        <w:jc w:val="center"/>
        <w:rPr>
          <w:rFonts w:ascii="Times New Roman" w:hAnsi="Times New Roman"/>
          <w:b/>
          <w:sz w:val="24"/>
          <w:szCs w:val="24"/>
        </w:rPr>
      </w:pPr>
    </w:p>
    <w:p>
      <w:pPr>
        <w:pStyle w:val="style0"/>
        <w:jc w:val="both"/>
        <w:rPr>
          <w:noProof/>
        </w:rPr>
      </w:pPr>
      <w:r>
        <w:rPr>
          <w:noProof/>
          <w:lang w:eastAsia="en-US"/>
        </w:rPr>
        <w:drawing>
          <wp:inline distL="0" distT="0" distB="0" distR="0">
            <wp:extent cx="5967080" cy="3550861"/>
            <wp:effectExtent l="19050" t="0" r="0" b="0"/>
            <wp:docPr id="1051" name="Picture 40" descr="C:\Users\dell\AppData\Local\Microsoft\Windows\Temporary Internet Files\Content.Word\IMG-20250618-WA008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0"/>
                    <pic:cNvPicPr/>
                  </pic:nvPicPr>
                  <pic:blipFill>
                    <a:blip r:embed="rId19" cstate="print"/>
                    <a:srcRect l="0" t="0" r="0" b="0"/>
                    <a:stretch/>
                  </pic:blipFill>
                  <pic:spPr>
                    <a:xfrm rot="0">
                      <a:off x="0" y="0"/>
                      <a:ext cx="5967080" cy="3550861"/>
                    </a:xfrm>
                    <a:prstGeom prst="rect"/>
                    <a:ln>
                      <a:noFill/>
                    </a:ln>
                  </pic:spPr>
                </pic:pic>
              </a:graphicData>
            </a:graphic>
          </wp:inline>
        </w:drawing>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CHAPTER FIVE</w:t>
      </w:r>
    </w:p>
    <w:p>
      <w:pPr>
        <w:pStyle w:val="style0"/>
        <w:jc w:val="center"/>
        <w:rPr>
          <w:rFonts w:ascii="Times New Roman" w:hAnsi="Times New Roman"/>
          <w:b/>
          <w:sz w:val="24"/>
          <w:szCs w:val="24"/>
        </w:rPr>
      </w:pPr>
      <w:r>
        <w:rPr>
          <w:rFonts w:ascii="Times New Roman" w:hAnsi="Times New Roman"/>
          <w:b/>
          <w:sz w:val="24"/>
          <w:szCs w:val="24"/>
        </w:rPr>
        <w:t>CONCLUTION AND RECOMMENDATION</w:t>
      </w:r>
    </w:p>
    <w:p>
      <w:pPr>
        <w:pStyle w:val="style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Conclusion </w:t>
      </w:r>
    </w:p>
    <w:p>
      <w:pPr>
        <w:pStyle w:val="style0"/>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pPr>
        <w:pStyle w:val="style0"/>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pPr>
        <w:pStyle w:val="style0"/>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pPr>
        <w:pStyle w:val="style0"/>
        <w:jc w:val="both"/>
        <w:rPr>
          <w:rFonts w:ascii="Times New Roman" w:hAnsi="Times New Roman"/>
          <w:sz w:val="24"/>
          <w:szCs w:val="24"/>
        </w:rPr>
      </w:pPr>
    </w:p>
    <w:p>
      <w:pPr>
        <w:pStyle w:val="style0"/>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 xml:space="preserve">Recommendations </w:t>
      </w:r>
    </w:p>
    <w:p>
      <w:pPr>
        <w:pStyle w:val="style0"/>
        <w:jc w:val="both"/>
        <w:rPr>
          <w:rFonts w:ascii="Times New Roman" w:hAnsi="Times New Roman"/>
          <w:bCs/>
          <w:sz w:val="24"/>
          <w:szCs w:val="24"/>
        </w:rPr>
      </w:pPr>
      <w:r>
        <w:rPr>
          <w:rFonts w:ascii="Times New Roman" w:hAnsi="Times New Roman"/>
          <w:bCs/>
          <w:sz w:val="24"/>
          <w:szCs w:val="24"/>
        </w:rPr>
        <w:t xml:space="preserve">Based on the geotechnical </w:t>
      </w:r>
      <w:r>
        <w:rPr>
          <w:rFonts w:ascii="Times New Roman" w:hAnsi="Times New Roman"/>
          <w:bCs/>
          <w:sz w:val="24"/>
          <w:szCs w:val="24"/>
        </w:rPr>
        <w:t>investigation of the selected borrow</w:t>
      </w:r>
      <w:r>
        <w:rPr>
          <w:rFonts w:ascii="Times New Roman" w:hAnsi="Times New Roman"/>
          <w:bCs/>
          <w:sz w:val="24"/>
          <w:szCs w:val="24"/>
        </w:rPr>
        <w:t xml:space="preserve"> pits in Ganmo and Amoyo, the following recommendations are made:</w:t>
      </w:r>
    </w:p>
    <w:p>
      <w:pPr>
        <w:pStyle w:val="style0"/>
        <w:tabs>
          <w:tab w:val="left" w:leader="none" w:pos="904"/>
        </w:tabs>
        <w:jc w:val="both"/>
        <w:rPr>
          <w:rFonts w:ascii="Times New Roman" w:hAnsi="Times New Roman"/>
          <w:bCs/>
          <w:sz w:val="24"/>
          <w:szCs w:val="24"/>
        </w:rPr>
      </w:pPr>
      <w:r>
        <w:rPr>
          <w:rFonts w:ascii="Times New Roman" w:hAnsi="Times New Roman"/>
          <w:bCs/>
          <w:sz w:val="24"/>
          <w:szCs w:val="24"/>
        </w:rPr>
        <w:tab/>
      </w:r>
    </w:p>
    <w:p>
      <w:pPr>
        <w:pStyle w:val="style0"/>
        <w:jc w:val="both"/>
        <w:rPr>
          <w:rFonts w:ascii="Times New Roman" w:hAnsi="Times New Roman"/>
          <w:bCs/>
          <w:sz w:val="24"/>
          <w:szCs w:val="24"/>
        </w:rPr>
      </w:pPr>
      <w:r>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ii</w:t>
      </w:r>
      <w:r>
        <w:rPr>
          <w:rFonts w:ascii="Times New Roman" w:hAnsi="Times New Roman"/>
          <w:bCs/>
          <w:sz w:val="24"/>
          <w:szCs w:val="24"/>
        </w:rPr>
        <w:t>.  Quality</w:t>
      </w:r>
      <w:r>
        <w:rPr>
          <w:rFonts w:ascii="Times New Roman" w:hAnsi="Times New Roman"/>
          <w:bCs/>
          <w:sz w:val="24"/>
          <w:szCs w:val="24"/>
        </w:rPr>
        <w:t xml:space="preserve"> Control: It is expedient to conduct routine testing during material excavation and construction to ensure consistency in soil properties.</w:t>
      </w:r>
    </w:p>
    <w:p>
      <w:pPr>
        <w:pStyle w:val="style0"/>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  Moisture</w:t>
      </w:r>
      <w:r>
        <w:rPr>
          <w:rFonts w:ascii="Times New Roman" w:hAnsi="Times New Roman"/>
          <w:bCs/>
          <w:sz w:val="24"/>
          <w:szCs w:val="24"/>
        </w:rPr>
        <w:t xml:space="preserve"> Management: Optimal moisture content should be maintained during compaction to achieve maximum dry density and ensure structural stability.</w:t>
      </w:r>
    </w:p>
    <w:p>
      <w:pPr>
        <w:pStyle w:val="style0"/>
        <w:jc w:val="both"/>
        <w:rPr>
          <w:rFonts w:ascii="Times New Roman" w:hAnsi="Times New Roman"/>
          <w:bCs/>
          <w:sz w:val="24"/>
          <w:szCs w:val="24"/>
        </w:rPr>
      </w:pPr>
      <w:r>
        <w:rPr>
          <w:rFonts w:ascii="Times New Roman" w:hAnsi="Times New Roman"/>
          <w:bCs/>
          <w:sz w:val="24"/>
          <w:szCs w:val="24"/>
        </w:rPr>
        <w:t>iv</w:t>
      </w:r>
      <w:r>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pPr>
        <w:pStyle w:val="style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pPr>
        <w:pStyle w:val="style0"/>
        <w:spacing w:before="100" w:beforeAutospacing="true" w:after="100" w:afterAutospacing="true" w:lineRule="auto" w:line="360"/>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style88"/>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pPr>
        <w:pStyle w:val="style0"/>
        <w:spacing w:lineRule="auto" w:line="360"/>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pPr>
        <w:pStyle w:val="style0"/>
        <w:spacing w:lineRule="auto" w:line="360"/>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pPr>
        <w:pStyle w:val="style0"/>
        <w:spacing w:lineRule="auto" w:line="360"/>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pPr>
        <w:pStyle w:val="style0"/>
        <w:spacing w:lineRule="auto" w:line="360"/>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pPr>
        <w:pStyle w:val="style0"/>
        <w:spacing w:lineRule="auto" w:line="360"/>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pPr>
        <w:pStyle w:val="style0"/>
        <w:spacing w:lineRule="auto" w:line="360"/>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pPr>
        <w:pStyle w:val="style0"/>
        <w:spacing w:lineRule="auto" w:line="360"/>
        <w:ind w:left="720"/>
        <w:jc w:val="both"/>
        <w:rPr>
          <w:rFonts w:ascii="Times New Roman" w:hAnsi="Times New Roman"/>
          <w:sz w:val="24"/>
          <w:szCs w:val="24"/>
        </w:rPr>
      </w:pPr>
      <w:r>
        <w:rPr>
          <w:rFonts w:ascii="Times New Roman" w:hAnsi="Times New Roman"/>
          <w:sz w:val="24"/>
          <w:szCs w:val="24"/>
        </w:rPr>
        <w:t>Lyon Association, INC. (1971): Laterite and lateritic soil and other problem of soil of Zainerwski,</w:t>
      </w:r>
    </w:p>
    <w:p>
      <w:pPr>
        <w:pStyle w:val="style0"/>
        <w:spacing w:lineRule="auto" w:line="360"/>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pPr>
        <w:pStyle w:val="style157"/>
        <w:spacing w:lineRule="auto" w:line="360"/>
        <w:ind w:left="720"/>
        <w:jc w:val="both"/>
        <w:rPr>
          <w:rFonts w:ascii="Times New Roman" w:hAnsi="Times New Roman"/>
          <w:sz w:val="24"/>
          <w:szCs w:val="24"/>
        </w:rPr>
      </w:pPr>
    </w:p>
    <w:p>
      <w:pPr>
        <w:pStyle w:val="style0"/>
        <w:spacing w:lineRule="auto" w:line="360"/>
        <w:ind w:left="720"/>
        <w:jc w:val="both"/>
        <w:rPr>
          <w:rFonts w:ascii="Times New Roman" w:hAnsi="Times New Roman"/>
          <w:b/>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t>Appendix 1</w:t>
      </w: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drawing>
          <wp:inline distL="0" distT="0" distB="0" distR="0">
            <wp:extent cx="6412939" cy="4912242"/>
            <wp:effectExtent l="19050" t="0" r="6911" b="0"/>
            <wp:docPr id="1052" name="Picture 7" descr="C:\Users\USER\AppData\Local\Microsoft\Windows\INetCache\Content.Word\IMG-20250618-WA007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20" cstate="print"/>
                    <a:srcRect l="0" t="0" r="0" b="0"/>
                    <a:stretch/>
                  </pic:blipFill>
                  <pic:spPr>
                    <a:xfrm rot="0">
                      <a:off x="0" y="0"/>
                      <a:ext cx="6412939" cy="4912242"/>
                    </a:xfrm>
                    <a:prstGeom prst="rect"/>
                    <a:ln>
                      <a:noFill/>
                    </a:ln>
                  </pic:spPr>
                </pic:pic>
              </a:graphicData>
            </a:graphic>
          </wp:inline>
        </w:drawing>
      </w:r>
    </w:p>
    <w:p>
      <w:pPr>
        <w:pStyle w:val="style0"/>
        <w:spacing w:lineRule="auto" w:line="360"/>
        <w:jc w:val="both"/>
        <w:rPr>
          <w:rFonts w:ascii="Times New Roman" w:hAnsi="Times New Roman"/>
          <w:b/>
          <w:bCs/>
          <w:noProof/>
          <w:sz w:val="24"/>
          <w:szCs w:val="24"/>
          <w:lang w:eastAsia="en-US"/>
        </w:rPr>
      </w:pPr>
      <w:r>
        <w:rPr>
          <w:rFonts w:ascii="Times New Roman" w:hAnsi="Times New Roman"/>
          <w:b/>
          <w:bCs/>
          <w:noProof/>
          <w:sz w:val="24"/>
          <w:szCs w:val="24"/>
          <w:lang w:eastAsia="en-US"/>
        </w:rPr>
        <w:t>Mixing of laterite soil</w:t>
      </w:r>
    </w:p>
    <w:p>
      <w:pPr>
        <w:pStyle w:val="style0"/>
        <w:spacing w:lineRule="auto" w:line="360"/>
        <w:jc w:val="both"/>
        <w:rPr>
          <w:rFonts w:ascii="Times New Roman" w:hAnsi="Times New Roman"/>
          <w:noProof/>
          <w:sz w:val="24"/>
          <w:szCs w:val="24"/>
          <w:lang w:eastAsia="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2</w:t>
      </w:r>
    </w:p>
    <w:p>
      <w:pPr>
        <w:pStyle w:val="style0"/>
        <w:rPr/>
      </w:pPr>
    </w:p>
    <w:p>
      <w:pPr>
        <w:pStyle w:val="style0"/>
        <w:rPr/>
      </w:pPr>
      <w:r>
        <w:rPr>
          <w:noProof/>
          <w:lang w:eastAsia="en-US"/>
        </w:rPr>
        <w:drawing>
          <wp:inline distL="0" distT="0" distB="0" distR="0">
            <wp:extent cx="5882020" cy="5625534"/>
            <wp:effectExtent l="19050" t="0" r="4430" b="0"/>
            <wp:docPr id="1053" name="Picture 4" descr="C:\Users\dell\AppData\Local\Microsoft\Windows\Temporary Internet Files\Content.Word\IMG-20250618-WA007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1" cstate="print"/>
                    <a:srcRect l="0" t="0" r="0" b="0"/>
                    <a:stretch/>
                  </pic:blipFill>
                  <pic:spPr>
                    <a:xfrm rot="0">
                      <a:off x="0" y="0"/>
                      <a:ext cx="5882020" cy="5625534"/>
                    </a:xfrm>
                    <a:prstGeom prst="rect"/>
                    <a:ln>
                      <a:noFill/>
                    </a:ln>
                  </pic:spPr>
                </pic:pic>
              </a:graphicData>
            </a:graphic>
          </wp:inline>
        </w:drawing>
      </w:r>
    </w:p>
    <w:p>
      <w:pPr>
        <w:pStyle w:val="style0"/>
        <w:rPr>
          <w:b/>
          <w:bCs/>
        </w:rPr>
      </w:pPr>
      <w:r>
        <w:rPr>
          <w:b/>
          <w:bCs/>
        </w:rPr>
        <w:t xml:space="preserve">Sieve Analysis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3</w:t>
      </w:r>
    </w:p>
    <w:p>
      <w:pPr>
        <w:pStyle w:val="style0"/>
        <w:rPr/>
      </w:pPr>
      <w:r>
        <w:rPr>
          <w:noProof/>
          <w:lang w:eastAsia="en-US"/>
        </w:rPr>
        <w:drawing>
          <wp:inline distL="0" distT="0" distB="0" distR="0">
            <wp:extent cx="5882020" cy="5497033"/>
            <wp:effectExtent l="19050" t="0" r="4430" b="0"/>
            <wp:docPr id="1054" name="Picture 7" descr="C:\Users\dell\AppData\Local\Microsoft\Windows\Temporary Internet Files\Content.Word\IMG-20250618-WA007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22" cstate="print"/>
                    <a:srcRect l="0" t="0" r="0" b="0"/>
                    <a:stretch/>
                  </pic:blipFill>
                  <pic:spPr>
                    <a:xfrm rot="0">
                      <a:off x="0" y="0"/>
                      <a:ext cx="5882020" cy="5497033"/>
                    </a:xfrm>
                    <a:prstGeom prst="rect"/>
                    <a:ln>
                      <a:noFill/>
                    </a:ln>
                  </pic:spPr>
                </pic:pic>
              </a:graphicData>
            </a:graphic>
          </wp:inline>
        </w:drawing>
      </w:r>
    </w:p>
    <w:p>
      <w:pPr>
        <w:pStyle w:val="style0"/>
        <w:rPr>
          <w:b/>
          <w:bCs/>
        </w:rPr>
      </w:pPr>
      <w:r>
        <w:rPr>
          <w:b/>
          <w:bCs/>
        </w:rPr>
        <w:t xml:space="preserve">California bearing Ratio (CBR)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4</w:t>
      </w:r>
    </w:p>
    <w:p>
      <w:pPr>
        <w:pStyle w:val="style0"/>
        <w:rPr/>
      </w:pPr>
      <w:r>
        <w:rPr>
          <w:noProof/>
          <w:lang w:eastAsia="en-US"/>
        </w:rPr>
        <w:drawing>
          <wp:inline distL="0" distT="0" distB="0" distR="0">
            <wp:extent cx="6430138" cy="6018028"/>
            <wp:effectExtent l="19050" t="0" r="8762" b="0"/>
            <wp:docPr id="1055" name="Picture 10" descr="C:\Users\dell\AppData\Local\Microsoft\Windows\Temporary Internet Files\Content.Word\IMG-20250618-WA007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3" cstate="print"/>
                    <a:srcRect l="0" t="0" r="0" b="0"/>
                    <a:stretch/>
                  </pic:blipFill>
                  <pic:spPr>
                    <a:xfrm rot="0">
                      <a:off x="0" y="0"/>
                      <a:ext cx="6430138" cy="6018028"/>
                    </a:xfrm>
                    <a:prstGeom prst="rect"/>
                    <a:ln>
                      <a:noFill/>
                    </a:ln>
                  </pic:spPr>
                </pic:pic>
              </a:graphicData>
            </a:graphic>
          </wp:inline>
        </w:drawing>
      </w:r>
    </w:p>
    <w:p>
      <w:pPr>
        <w:pStyle w:val="style0"/>
        <w:rPr/>
      </w:pPr>
      <w:r>
        <w:t>Oven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w:t>
      </w:r>
      <w:r>
        <w:t xml:space="preserve"> </w:t>
      </w:r>
      <w:r>
        <w:t xml:space="preserve"> 5</w:t>
      </w:r>
    </w:p>
    <w:p>
      <w:pPr>
        <w:pStyle w:val="style0"/>
        <w:rPr/>
      </w:pPr>
      <w:r>
        <w:rPr>
          <w:noProof/>
          <w:lang w:eastAsia="en-US"/>
        </w:rPr>
        <w:drawing>
          <wp:anchor distT="0" distB="0" distL="114300" distR="114300" simplePos="false" relativeHeight="2" behindDoc="true" locked="false" layoutInCell="true" allowOverlap="true">
            <wp:simplePos x="0" y="0"/>
            <wp:positionH relativeFrom="column">
              <wp:posOffset>-2540</wp:posOffset>
            </wp:positionH>
            <wp:positionV relativeFrom="paragraph">
              <wp:posOffset>63500</wp:posOffset>
            </wp:positionV>
            <wp:extent cx="4892675" cy="5780405"/>
            <wp:effectExtent l="19050" t="0" r="3175" b="0"/>
            <wp:wrapTight wrapText="bothSides">
              <wp:wrapPolygon edited="false">
                <wp:start x="-84" y="0"/>
                <wp:lineTo x="-84" y="21498"/>
                <wp:lineTo x="21614" y="21498"/>
                <wp:lineTo x="21614" y="0"/>
                <wp:lineTo x="-84" y="0"/>
              </wp:wrapPolygon>
            </wp:wrapTight>
            <wp:docPr id="1056" name="Picture 1" descr="C:\Users\dell\AppData\Local\Microsoft\Windows\Temporary Internet Files\Content.Word\IMG-20250618-WA007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4" cstate="print"/>
                    <a:srcRect l="0" t="0" r="0" b="0"/>
                    <a:stretch/>
                  </pic:blipFill>
                  <pic:spPr>
                    <a:xfrm rot="0">
                      <a:off x="0" y="0"/>
                      <a:ext cx="4892675" cy="578040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rPr>
        <w:t>Atterberg</w:t>
      </w:r>
      <w:r>
        <w:rPr>
          <w:b/>
          <w:bCs/>
        </w:rPr>
        <w:t xml:space="preserve"> limit process</w:t>
      </w:r>
    </w:p>
    <w:p>
      <w:pPr>
        <w:pStyle w:val="style0"/>
        <w:rPr/>
      </w:pPr>
    </w:p>
    <w:p>
      <w:pPr>
        <w:pStyle w:val="style0"/>
        <w:rPr/>
      </w:pPr>
    </w:p>
    <w:p>
      <w:pPr>
        <w:pStyle w:val="style0"/>
        <w:rPr/>
      </w:pPr>
    </w:p>
    <w:p>
      <w:pPr>
        <w:pStyle w:val="style0"/>
        <w:rPr/>
      </w:pPr>
    </w:p>
    <w:p>
      <w:pPr>
        <w:pStyle w:val="style0"/>
        <w:rPr/>
      </w:pPr>
    </w:p>
    <w:sectPr>
      <w:pgSz w:w="12240" w:h="15840" w:orient="portrait"/>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8"/>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544697f7-ff90-4760-a4b9-f5eed1a687b1"/>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611aac9-6cb6-4604-b5ea-82c4dee93704"/>
    <w:basedOn w:val="style65"/>
    <w:next w:val="style4098"/>
    <w:link w:val="style32"/>
    <w:uiPriority w:val="99"/>
    <w:rPr>
      <w:rFonts w:ascii="Calibri" w:cs="Times New Roman" w:eastAsia="SimSun" w:hAnsi="Calibri"/>
      <w:lang w:eastAsia="zh-CN"/>
    </w:rPr>
  </w:style>
  <w:style w:type="paragraph" w:styleId="style157">
    <w:name w:val="No Spacing"/>
    <w:next w:val="style157"/>
    <w:qFormat/>
    <w:uiPriority w:val="1"/>
    <w:pPr>
      <w:spacing w:after="0" w:lineRule="auto" w:line="240"/>
    </w:pPr>
    <w:rPr>
      <w:rFonts w:cs="Times New Roman"/>
    </w:rPr>
  </w:style>
  <w:style w:type="paragraph" w:customStyle="1" w:styleId="style4099">
    <w:name w:val="paragraph"/>
    <w:basedOn w:val="style0"/>
    <w:next w:val="style40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100">
    <w:name w:val="citation"/>
    <w:next w:val="style4100"/>
  </w:style>
  <w:style w:type="character" w:customStyle="1" w:styleId="style4101">
    <w:name w:val="citation-link"/>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39"/>
    <w:pPr>
      <w:spacing w:after="0" w:lineRule="auto" w:line="240"/>
    </w:pPr>
    <w:rPr>
      <w:rFonts w:cs="Times New Roman"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link w:val="style4102"/>
    <w:qFormat/>
    <w:uiPriority w:val="11"/>
    <w:pPr>
      <w:numPr>
        <w:ilvl w:val="1"/>
        <w:numId w:val="0"/>
      </w:numPr>
      <w:spacing w:after="160" w:lineRule="auto" w:line="259"/>
    </w:pPr>
    <w:rPr>
      <w:rFonts w:cs="SimSun"/>
      <w:color w:val="5a5a5a"/>
      <w:spacing w:val="15"/>
      <w:lang w:eastAsia="en-US"/>
    </w:rPr>
  </w:style>
  <w:style w:type="character" w:customStyle="1" w:styleId="style4102">
    <w:name w:val="Subtitle Char"/>
    <w:basedOn w:val="style65"/>
    <w:next w:val="style4102"/>
    <w:link w:val="style74"/>
    <w:uiPriority w:val="11"/>
    <w:rPr>
      <w:rFonts w:eastAsia="SimSun"/>
      <w:color w:val="5a5a5a"/>
      <w:spacing w:val="15"/>
    </w:rPr>
  </w:style>
  <w:style w:type="paragraph" w:styleId="style179">
    <w:name w:val="List Paragraph"/>
    <w:basedOn w:val="style0"/>
    <w:next w:val="style179"/>
    <w:qFormat/>
    <w:uiPriority w:val="34"/>
    <w:pPr>
      <w:spacing w:after="160" w:lineRule="auto" w:line="259"/>
      <w:ind w:left="720"/>
      <w:contextualSpacing/>
    </w:pPr>
    <w:rPr>
      <w:rFonts w:cs="SimSun" w:eastAsia="Calibri"/>
      <w:lang w:eastAsia="en-US"/>
    </w:rPr>
  </w:style>
  <w:style w:type="character" w:styleId="style88">
    <w:name w:val="Emphasis"/>
    <w:basedOn w:val="style65"/>
    <w:next w:val="style88"/>
    <w:qFormat/>
    <w:uiPriority w:val="20"/>
    <w:rPr>
      <w:i/>
      <w:iCs/>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4">
    <w:name w:val="List Table 2"/>
    <w:basedOn w:val="style105"/>
    <w:next w:val="style4104"/>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SimSun" w:hAnsi="Tahoma"/>
      <w:sz w:val="16"/>
      <w:szCs w:val="16"/>
      <w:lang w:eastAsia="zh-CN"/>
    </w:rPr>
  </w:style>
  <w:style w:type="paragraph" w:styleId="style66">
    <w:name w:val="Body Text"/>
    <w:basedOn w:val="style0"/>
    <w:next w:val="style66"/>
    <w:link w:val="style4106"/>
    <w:qFormat/>
    <w:uiPriority w:val="1"/>
    <w:pPr/>
    <w:rPr>
      <w:i/>
      <w:sz w:val="26"/>
      <w:szCs w:val="26"/>
    </w:rPr>
  </w:style>
  <w:style w:type="character" w:customStyle="1" w:styleId="style4106">
    <w:name w:val="Body Text Char"/>
    <w:basedOn w:val="style65"/>
    <w:next w:val="style4106"/>
    <w:link w:val="style66"/>
    <w:uiPriority w:val="1"/>
    <w:rPr>
      <w:rFonts w:cs="Times New Roman" w:eastAsia="SimSun"/>
      <w:i/>
      <w:sz w:val="26"/>
      <w:szCs w:val="26"/>
      <w:lang w:eastAsia="zh-CN"/>
    </w:rPr>
  </w:style>
</w:styles>
</file>

<file path=word/_rels/document.xml.rels><?xml version="1.0" encoding="UTF-8"?>
<Relationships xmlns="http://schemas.openxmlformats.org/package/2006/relationships"><Relationship Id="rId20" Type="http://schemas.openxmlformats.org/officeDocument/2006/relationships/image" Target="media/image10.jpeg"/><Relationship Id="rId22" Type="http://schemas.openxmlformats.org/officeDocument/2006/relationships/image" Target="media/image12.jpeg"/><Relationship Id="rId21" Type="http://schemas.openxmlformats.org/officeDocument/2006/relationships/image" Target="media/image11.jpeg"/><Relationship Id="rId24" Type="http://schemas.openxmlformats.org/officeDocument/2006/relationships/image" Target="media/image14.jpeg"/><Relationship Id="rId23"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chart" Target="charts/chart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chart" Target="charts/chart3.xml"/><Relationship Id="rId6" Type="http://schemas.openxmlformats.org/officeDocument/2006/relationships/chart" Target="charts/chart4.xml"/><Relationship Id="rId29" Type="http://schemas.openxmlformats.org/officeDocument/2006/relationships/customXml" Target="../customXml/item1.xml"/><Relationship Id="rId7" Type="http://schemas.openxmlformats.org/officeDocument/2006/relationships/chart" Target="charts/chart5.xml"/><Relationship Id="rId8"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8.xml"/><Relationship Id="rId13" Type="http://schemas.openxmlformats.org/officeDocument/2006/relationships/image" Target="media/image3.jpeg"/><Relationship Id="rId12"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7" Type="http://schemas.openxmlformats.org/officeDocument/2006/relationships/image" Target="media/image7.jpeg"/><Relationship Id="rId16" Type="http://schemas.openxmlformats.org/officeDocument/2006/relationships/image" Target="media/image6.jpeg"/><Relationship Id="rId19" Type="http://schemas.openxmlformats.org/officeDocument/2006/relationships/image" Target="media/image9.jpeg"/><Relationship Id="rId18" Type="http://schemas.openxmlformats.org/officeDocument/2006/relationships/image" Target="media/image8.jpeg"/></Relationships>
</file>

<file path=word/charts/_rels/chart1.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2.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3.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4.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855849599532756"/>
          <c:h val="0.7548790007806405"/>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97.4</c:v>
                </c:pt>
                <c:pt idx="1">
                  <c:v>97.4</c:v>
                </c:pt>
                <c:pt idx="2">
                  <c:v>81.7</c:v>
                </c:pt>
                <c:pt idx="3">
                  <c:v>69.2</c:v>
                </c:pt>
                <c:pt idx="4">
                  <c:v>40.2</c:v>
                </c:pt>
                <c:pt idx="5">
                  <c:v>10.5</c:v>
                </c:pt>
                <c:pt idx="6">
                  <c:v>8.9</c:v>
                </c:pt>
                <c:pt idx="7">
                  <c:v>8.8</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1266371554301995"/>
                  <c:y val="-0.07479712576911496"/>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7070659586818953"/>
                  <c:y val="0.02411010099147431"/>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00732201554861"/>
                  <c:y val="0.02606182423918322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684568092489121"/>
                  <c:y val="-0.025928808079317956"/>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12280401856148"/>
                  <c:y val="0.02411010099147431"/>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854228024753353"/>
                  <c:y val="0.027232661491084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971918028563948"/>
                  <c:y val="0.0272326614910841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703241131493577"/>
                  <c:y val="0.02918438473879288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58318999134606"/>
                  <c:y val="0.02293926373957356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7047048223449692"/>
                  <c:y val="0.026061824239183226"/>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705116745074438"/>
                  <c:y val="0.022939263739573564"/>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9145216"/>
        <c:axId val="139147904"/>
      </c:scatterChart>
      <c:valAx>
        <c:axId val="1391452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9147904"/>
        <c:crossesAt val="-40.0"/>
        <c:crossBetween val="midCat"/>
      </c:valAx>
      <c:valAx>
        <c:axId val="13914790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2745376963"/>
              <c:y val="0.41569086651053866"/>
            </c:manualLayout>
          </c:layout>
          <c:overlay val="0"/>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775229843017793"/>
          <c:h val="0.7467253827751459"/>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370407267220111"/>
                  <c:y val="-0.0802788115922950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424590166686917"/>
                  <c:y val="0.024110005298261933"/>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0732391481130962"/>
                  <c:y val="0.02293920810947001"/>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464964855439698"/>
                  <c:y val="-0.02318804297742899"/>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597872801261305"/>
                  <c:y val="0.026850857703359845"/>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0487932646915134"/>
                  <c:y val="0.024110005298261933"/>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1750791794994665"/>
                  <c:y val="0.024110005298261933"/>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048569396165023"/>
                  <c:y val="0.0229392081094700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079284157999693"/>
                  <c:y val="0.02293920810947001"/>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2416112265588804"/>
                  <c:y val="0.02568006051456809"/>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343359471849387"/>
                  <c:y val="0.02568006051456809"/>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28664704"/>
        <c:axId val="128667008"/>
      </c:scatterChart>
      <c:valAx>
        <c:axId val="128664704"/>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28667008"/>
        <c:crossesAt val="-40.0"/>
        <c:crossBetween val="midCat"/>
      </c:valAx>
      <c:valAx>
        <c:axId val="128667008"/>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3126526238"/>
              <c:y val="0.31647278326865413"/>
            </c:manualLayout>
          </c:layout>
          <c:overlay val="0"/>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417344101788002"/>
          <c:h val="0.793300341740277"/>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6.0</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50555043675252"/>
                  <c:y val="-0.0747970564126265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881782853280283"/>
                  <c:y val="0.02411019253342348"/>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1639087398183565"/>
                  <c:y val="0.02001901536289558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0.06933663184794811"/>
                  <c:y val="-0.02884908768795494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5913863475292479"/>
                  <c:y val="0.02995046118578146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0982628193449"/>
                  <c:y val="0.027030326859602487"/>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486267461329734"/>
                  <c:y val="0.0241101925334234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947573045449039"/>
                  <c:y val="0.0229391496890746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978289696414433"/>
                  <c:y val="0.02293914968907461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848640598514871"/>
                  <c:y val="0.02293914968907461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662236969995515"/>
                  <c:y val="0.02293914968907461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1072768"/>
        <c:axId val="131075072"/>
      </c:scatterChart>
      <c:valAx>
        <c:axId val="131072768"/>
        <c:scaling>
          <c:logBase val="10.0"/>
          <c:orientation val="minMax"/>
          <c:max val="1000.0"/>
          <c:min val="1.0000000000000025E-4"/>
        </c:scaling>
        <c:delete val="0"/>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1075072"/>
        <c:crossesAt val="-40.0"/>
        <c:crossBetween val="midCat"/>
      </c:valAx>
      <c:valAx>
        <c:axId val="131075072"/>
        <c:scaling>
          <c:orientation val="minMax"/>
          <c:max val="110.0"/>
          <c:min val="-40.0"/>
        </c:scaling>
        <c:delete val="0"/>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0.02964298395445199"/>
              <c:y val="0.263320281906359"/>
            </c:manualLayout>
          </c:layout>
          <c:overlay val="0"/>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8270887442481929"/>
          <c:y val="0.16510545687846817"/>
          <c:w val="0.8606552159000419"/>
          <c:h val="0.7684570612231236"/>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7367420987533"/>
                  <c:y val="-0.0774597257355879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636042804824627"/>
                  <c:y val="0.02411015025731279"/>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361817438052346"/>
                  <c:y val="0.025601925574773754"/>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7018463877075312"/>
                  <c:y val="-0.0312543178141876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44649033841577"/>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79196429219793"/>
                  <c:y val="0.02144738897386198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6001340979011503"/>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578966477945253"/>
                  <c:y val="0.022939164291322776"/>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455978854164915"/>
                  <c:y val="0.025601925574773754"/>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464608078309314"/>
                  <c:y val="0.022939164291322776"/>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577901440463199"/>
                  <c:y val="0.022939164291322776"/>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34268416"/>
        <c:axId val="138993664"/>
      </c:scatterChart>
      <c:valAx>
        <c:axId val="1342684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8993664"/>
        <c:crossesAt val="-40.0"/>
        <c:crossBetween val="midCat"/>
      </c:valAx>
      <c:valAx>
        <c:axId val="13899366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1179937026070907"/>
              <c:y val="0.26332048745154935"/>
            </c:manualLayout>
          </c:layout>
          <c:overlay val="0"/>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0.05045871559633029"/>
        </c:manualLayout>
      </c:layout>
      <c:overlay val="0"/>
      <c:spPr>
        <a:noFill/>
        <a:ln>
          <a:noFill/>
        </a:ln>
        <a:effectLst/>
      </c:spPr>
    </c:title>
    <c:autoTitleDeleted val="0"/>
    <c:view3D>
      <c:rotX val="15"/>
      <c:rotY val="20"/>
      <c:rAngAx val="0"/>
    </c:view3D>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37.0</c:v>
                </c:pt>
                <c:pt idx="1">
                  <c:v>24.0</c:v>
                </c:pt>
                <c:pt idx="2">
                  <c:v>30.0</c:v>
                </c:pt>
                <c:pt idx="3">
                  <c:v>28.0</c:v>
                </c:pt>
                <c:pt idx="4">
                  <c:v>24.0</c:v>
                </c:pt>
                <c:pt idx="5">
                  <c:v>20.0</c:v>
                </c:pt>
              </c:numCache>
            </c:numRef>
          </c:xVal>
          <c:yVal>
            <c:numRef>
              <c:f>Sheet1!$C$21:$C$26</c:f>
              <c:numCache>
                <c:formatCode>General</c:formatCode>
                <c:ptCount val="6"/>
                <c:pt idx="0">
                  <c:v>25.0</c:v>
                </c:pt>
                <c:pt idx="1">
                  <c:v>27.27</c:v>
                </c:pt>
                <c:pt idx="2">
                  <c:v>30.0</c:v>
                </c:pt>
                <c:pt idx="3">
                  <c:v>17.86</c:v>
                </c:pt>
                <c:pt idx="4">
                  <c:v>24.0</c:v>
                </c:pt>
                <c:pt idx="5">
                  <c:v>26.0</c:v>
                </c:pt>
              </c:numCache>
            </c:numRef>
          </c:yVal>
          <c:smooth val="1"/>
        </c:ser>
        <c:dLbls>
          <c:showLegendKey val="0"/>
          <c:showVal val="0"/>
          <c:showCatName val="0"/>
          <c:showSerName val="0"/>
          <c:showPercent val="0"/>
          <c:showBubbleSize val="0"/>
        </c:dLbls>
        <c:axId val="139855360"/>
        <c:axId val="139857280"/>
      </c:scatterChart>
      <c:scatterChart>
        <c:scatterStyle val="smoothMarker"/>
        <c:varyColors val="0"/>
        <c:ser>
          <c:idx val="1"/>
          <c:order val="1"/>
          <c:spPr>
            <a:ln w="19050" cap="rnd">
              <a:solidFill>
                <a:schemeClr val="tx1"/>
              </a:solidFill>
              <a:round/>
              <a:headEnd type="stealth"/>
            </a:ln>
            <a:effectLst/>
          </c:spPr>
          <c:marker>
            <c:symbol val="none"/>
          </c:marker>
          <c:xVal>
            <c:numRef>
              <c:f>Sheet1!$G$35:$G$36</c:f>
              <c:numCache>
                <c:formatCode>General</c:formatCode>
                <c:ptCount val="2"/>
                <c:pt idx="0">
                  <c:v>1.0</c:v>
                </c:pt>
                <c:pt idx="1">
                  <c:v>25.0</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25.0</c:v>
                </c:pt>
                <c:pt idx="1">
                  <c:v>25.0</c:v>
                </c:pt>
              </c:numCache>
            </c:numRef>
          </c:xVal>
          <c:yVal>
            <c:numRef>
              <c:f>Sheet1!$K$35:$K$36</c:f>
              <c:numCache>
                <c:formatCode>General</c:formatCode>
                <c:ptCount val="2"/>
                <c:pt idx="0">
                  <c:v>15.0</c:v>
                </c:pt>
                <c:pt idx="1">
                  <c:v>25.058</c:v>
                </c:pt>
              </c:numCache>
            </c:numRef>
          </c:yVal>
          <c:smooth val="1"/>
        </c:ser>
        <c:dLbls>
          <c:showLegendKey val="0"/>
          <c:showVal val="0"/>
          <c:showCatName val="0"/>
          <c:showSerName val="0"/>
          <c:showPercent val="0"/>
          <c:showBubbleSize val="0"/>
        </c:dLbls>
        <c:axId val="139855360"/>
        <c:axId val="139857280"/>
      </c:scatterChart>
      <c:valAx>
        <c:axId val="139855360"/>
        <c:scaling>
          <c:logBase val="10.0"/>
          <c:orientation val="minMax"/>
          <c:min val="1.0"/>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0"/>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40.0</c:v>
                </c:pt>
                <c:pt idx="1">
                  <c:v>36.0</c:v>
                </c:pt>
                <c:pt idx="2">
                  <c:v>30.0</c:v>
                </c:pt>
                <c:pt idx="3">
                  <c:v>25.0</c:v>
                </c:pt>
                <c:pt idx="4">
                  <c:v>20.0</c:v>
                </c:pt>
                <c:pt idx="5">
                  <c:v>18.0</c:v>
                </c:pt>
              </c:numCache>
            </c:numRef>
          </c:xVal>
          <c:yVal>
            <c:numRef>
              <c:f>Sheet2!$B$15:$B$20</c:f>
              <c:numCache>
                <c:formatCode>General</c:formatCode>
                <c:ptCount val="6"/>
                <c:pt idx="0">
                  <c:v>27.01</c:v>
                </c:pt>
                <c:pt idx="1">
                  <c:v>30.84</c:v>
                </c:pt>
                <c:pt idx="2">
                  <c:v>27.27</c:v>
                </c:pt>
                <c:pt idx="3">
                  <c:v>45.45</c:v>
                </c:pt>
                <c:pt idx="4">
                  <c:v>83.33</c:v>
                </c:pt>
                <c:pt idx="5">
                  <c:v>50.0</c:v>
                </c:pt>
              </c:numCache>
            </c:numRef>
          </c:yVal>
          <c:smooth val="0"/>
        </c:ser>
        <c:ser>
          <c:idx val="1"/>
          <c:order val="1"/>
          <c:spPr>
            <a:ln w="19050" cap="rnd">
              <a:solidFill>
                <a:schemeClr val="tx1"/>
              </a:solidFill>
              <a:round/>
              <a:headEnd type="stealth"/>
            </a:ln>
            <a:effectLst/>
          </c:spPr>
          <c:marker>
            <c:symbol val="none"/>
          </c:marker>
          <c:xVal>
            <c:numRef>
              <c:f>Sheet2!$H$20:$H$21</c:f>
              <c:numCache>
                <c:formatCode>General</c:formatCode>
                <c:ptCount val="2"/>
                <c:pt idx="0">
                  <c:v>1.0</c:v>
                </c:pt>
                <c:pt idx="1">
                  <c:v>25.0</c:v>
                </c:pt>
              </c:numCache>
            </c:numRef>
          </c:xVal>
          <c:yVal>
            <c:numRef>
              <c:f>Sheet2!$I$20:$I$21</c:f>
              <c:numCache>
                <c:formatCode>General</c:formatCode>
                <c:ptCount val="2"/>
                <c:pt idx="0">
                  <c:v>49.9205</c:v>
                </c:pt>
                <c:pt idx="1">
                  <c:v>49.9205</c:v>
                </c:pt>
              </c:numCache>
            </c:numRef>
          </c:yVal>
          <c:smooth val="0"/>
        </c:ser>
        <c:ser>
          <c:idx val="2"/>
          <c:order val="2"/>
          <c:spPr>
            <a:ln w="19050" cap="rnd">
              <a:solidFill>
                <a:schemeClr val="tx1"/>
              </a:solidFill>
              <a:round/>
              <a:headEnd type="stealth"/>
            </a:ln>
            <a:effectLst/>
          </c:spPr>
          <c:marker>
            <c:symbol val="none"/>
          </c:marker>
          <c:xVal>
            <c:numRef>
              <c:f>Sheet2!$L$20:$L$21</c:f>
              <c:numCache>
                <c:formatCode>General</c:formatCode>
                <c:ptCount val="2"/>
                <c:pt idx="0">
                  <c:v>25.0</c:v>
                </c:pt>
                <c:pt idx="1">
                  <c:v>25.0</c:v>
                </c:pt>
              </c:numCache>
            </c:numRef>
          </c:xVal>
          <c:yVal>
            <c:numRef>
              <c:f>Sheet2!$M$20:$M$21</c:f>
              <c:numCache>
                <c:formatCode>General</c:formatCode>
                <c:ptCount val="2"/>
                <c:pt idx="0">
                  <c:v>10.0</c:v>
                </c:pt>
                <c:pt idx="1">
                  <c:v>49.9205</c:v>
                </c:pt>
              </c:numCache>
            </c:numRef>
          </c:yVal>
          <c:smooth val="0"/>
        </c:ser>
        <c:dLbls>
          <c:showLegendKey val="0"/>
          <c:showVal val="0"/>
          <c:showCatName val="0"/>
          <c:showSerName val="0"/>
          <c:showPercent val="0"/>
          <c:showBubbleSize val="0"/>
        </c:dLbls>
        <c:axId val="139978240"/>
        <c:axId val="139980160"/>
      </c:scatterChart>
      <c:valAx>
        <c:axId val="139978240"/>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
                  <c:y val="-0.46863334791484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30.0</c:v>
                </c:pt>
                <c:pt idx="1">
                  <c:v>28.0</c:v>
                </c:pt>
                <c:pt idx="2">
                  <c:v>26.0</c:v>
                </c:pt>
                <c:pt idx="3">
                  <c:v>24.0</c:v>
                </c:pt>
                <c:pt idx="4">
                  <c:v>22.0</c:v>
                </c:pt>
                <c:pt idx="5">
                  <c:v>18.0</c:v>
                </c:pt>
              </c:numCache>
            </c:numRef>
          </c:xVal>
          <c:yVal>
            <c:numRef>
              <c:f>Sheet3!$B$16:$B$21</c:f>
              <c:numCache>
                <c:formatCode>General</c:formatCode>
                <c:ptCount val="6"/>
                <c:pt idx="0">
                  <c:v>20.0</c:v>
                </c:pt>
                <c:pt idx="1">
                  <c:v>28.57</c:v>
                </c:pt>
                <c:pt idx="2">
                  <c:v>50.0</c:v>
                </c:pt>
                <c:pt idx="3">
                  <c:v>3.45</c:v>
                </c:pt>
                <c:pt idx="4">
                  <c:v>21.74</c:v>
                </c:pt>
                <c:pt idx="5">
                  <c:v>23.08</c:v>
                </c:pt>
              </c:numCache>
            </c:numRef>
          </c:yVal>
          <c:smooth val="0"/>
        </c:ser>
        <c:dLbls>
          <c:showLegendKey val="0"/>
          <c:showVal val="0"/>
          <c:showCatName val="0"/>
          <c:showSerName val="0"/>
          <c:showPercent val="0"/>
          <c:showBubbleSize val="0"/>
        </c:dLbls>
        <c:axId val="140031872"/>
        <c:axId val="140087296"/>
      </c:scatterChart>
      <c:scatterChart>
        <c:scatterStyle val="smoothMarker"/>
        <c:varyColors val="0"/>
        <c:ser>
          <c:idx val="1"/>
          <c:order val="1"/>
          <c:spPr>
            <a:ln w="19050" cap="rnd">
              <a:solidFill>
                <a:schemeClr val="tx1"/>
              </a:solidFill>
              <a:round/>
              <a:headEnd type="stealth"/>
            </a:ln>
            <a:effectLst/>
          </c:spPr>
          <c:marker>
            <c:symbol val="none"/>
          </c:marker>
          <c:xVal>
            <c:numRef>
              <c:f>Sheet3!$E$29:$E$30</c:f>
              <c:numCache>
                <c:formatCode>General</c:formatCode>
                <c:ptCount val="2"/>
                <c:pt idx="0">
                  <c:v>1.0</c:v>
                </c:pt>
                <c:pt idx="1">
                  <c:v>25.0</c:v>
                </c:pt>
              </c:numCache>
            </c:numRef>
          </c:xVal>
          <c:yVal>
            <c:numRef>
              <c:f>Sheet3!$F$29:$F$30</c:f>
              <c:numCache>
                <c:formatCode>General</c:formatCode>
                <c:ptCount val="2"/>
                <c:pt idx="0">
                  <c:v>24.6665</c:v>
                </c:pt>
                <c:pt idx="1">
                  <c:v>24.6665</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25.0</c:v>
                </c:pt>
                <c:pt idx="1">
                  <c:v>25.0</c:v>
                </c:pt>
              </c:numCache>
            </c:numRef>
          </c:xVal>
          <c:yVal>
            <c:numRef>
              <c:f>Sheet3!$I$29:$I$30</c:f>
              <c:numCache>
                <c:formatCode>General</c:formatCode>
                <c:ptCount val="2"/>
                <c:pt idx="0">
                  <c:v>0.0</c:v>
                </c:pt>
                <c:pt idx="1">
                  <c:v>24.6665</c:v>
                </c:pt>
              </c:numCache>
            </c:numRef>
          </c:yVal>
          <c:smooth val="1"/>
        </c:ser>
        <c:dLbls>
          <c:showLegendKey val="0"/>
          <c:showVal val="0"/>
          <c:showCatName val="0"/>
          <c:showSerName val="0"/>
          <c:showPercent val="0"/>
          <c:showBubbleSize val="0"/>
        </c:dLbls>
        <c:axId val="140031872"/>
        <c:axId val="140087296"/>
      </c:scatterChart>
      <c:valAx>
        <c:axId val="140031872"/>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30.0</c:v>
                </c:pt>
                <c:pt idx="1">
                  <c:v>35.0</c:v>
                </c:pt>
                <c:pt idx="2">
                  <c:v>20.0</c:v>
                </c:pt>
                <c:pt idx="3">
                  <c:v>15.0</c:v>
                </c:pt>
                <c:pt idx="4">
                  <c:v>14.0</c:v>
                </c:pt>
                <c:pt idx="5">
                  <c:v>10.0</c:v>
                </c:pt>
              </c:numCache>
            </c:numRef>
          </c:xVal>
          <c:yVal>
            <c:numRef>
              <c:f>Sheet4!$B$15:$B$20</c:f>
              <c:numCache>
                <c:formatCode>General</c:formatCode>
                <c:ptCount val="6"/>
                <c:pt idx="0">
                  <c:v>6.9</c:v>
                </c:pt>
                <c:pt idx="1">
                  <c:v>18.18</c:v>
                </c:pt>
                <c:pt idx="2">
                  <c:v>25.0</c:v>
                </c:pt>
                <c:pt idx="3">
                  <c:v>33.33</c:v>
                </c:pt>
                <c:pt idx="4">
                  <c:v>25.0</c:v>
                </c:pt>
                <c:pt idx="5">
                  <c:v>20.0</c:v>
                </c:pt>
              </c:numCache>
            </c:numRef>
          </c:yVal>
          <c:smooth val="0"/>
        </c:ser>
        <c:dLbls>
          <c:showLegendKey val="0"/>
          <c:showVal val="0"/>
          <c:showCatName val="0"/>
          <c:showSerName val="0"/>
          <c:showPercent val="0"/>
          <c:showBubbleSize val="0"/>
        </c:dLbls>
        <c:axId val="141302016"/>
        <c:axId val="141324672"/>
      </c:scatterChart>
      <c:scatterChart>
        <c:scatterStyle val="smoothMarker"/>
        <c:varyColors val="0"/>
        <c:ser>
          <c:idx val="1"/>
          <c:order val="1"/>
          <c:spPr>
            <a:ln w="19050" cap="rnd">
              <a:solidFill>
                <a:schemeClr val="tx1"/>
              </a:solidFill>
              <a:round/>
              <a:headEnd type="stealth"/>
            </a:ln>
            <a:effectLst/>
          </c:spPr>
          <c:marker>
            <c:symbol val="none"/>
          </c:marker>
          <c:xVal>
            <c:numRef>
              <c:f>Sheet4!$F$28:$F$29</c:f>
              <c:numCache>
                <c:formatCode>General</c:formatCode>
                <c:ptCount val="2"/>
                <c:pt idx="0">
                  <c:v>1.0</c:v>
                </c:pt>
                <c:pt idx="1">
                  <c:v>25.0</c:v>
                </c:pt>
              </c:numCache>
            </c:numRef>
          </c:xVal>
          <c:yVal>
            <c:numRef>
              <c:f>Sheet4!$G$28:$G$29</c:f>
              <c:numCache>
                <c:formatCode>0.00</c:formatCode>
                <c:ptCount val="2"/>
                <c:pt idx="0">
                  <c:v>19.0655</c:v>
                </c:pt>
                <c:pt idx="1">
                  <c:v>19.0655</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25.0</c:v>
                </c:pt>
                <c:pt idx="1">
                  <c:v>25.0</c:v>
                </c:pt>
              </c:numCache>
            </c:numRef>
          </c:xVal>
          <c:yVal>
            <c:numRef>
              <c:f>Sheet4!$J$28:$J$29</c:f>
              <c:numCache>
                <c:formatCode>0.00</c:formatCode>
                <c:ptCount val="2"/>
                <c:pt idx="0" formatCode="General">
                  <c:v>5.0</c:v>
                </c:pt>
                <c:pt idx="1">
                  <c:v>19.0655</c:v>
                </c:pt>
              </c:numCache>
            </c:numRef>
          </c:yVal>
          <c:smooth val="1"/>
        </c:ser>
        <c:dLbls>
          <c:showLegendKey val="0"/>
          <c:showVal val="0"/>
          <c:showCatName val="0"/>
          <c:showSerName val="0"/>
          <c:showPercent val="0"/>
          <c:showBubbleSize val="0"/>
        </c:dLbls>
        <c:axId val="141302016"/>
        <c:axId val="141324672"/>
      </c:scatterChart>
      <c:valAx>
        <c:axId val="141302016"/>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11216</Words>
  <Pages>75</Pages>
  <Characters>58812</Characters>
  <Application>WPS Office</Application>
  <DocSecurity>0</DocSecurity>
  <Paragraphs>2911</Paragraphs>
  <ScaleCrop>false</ScaleCrop>
  <Company>Grizli777</Company>
  <LinksUpToDate>false</LinksUpToDate>
  <CharactersWithSpaces>70225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2008-11-28T11:00:00Z</dcterms:created>
  <dc:creator>user</dc:creator>
  <lastModifiedBy>Infinix X6517</lastModifiedBy>
  <dcterms:modified xsi:type="dcterms:W3CDTF">2025-07-04T09:57:36Z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