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11" w:rsidRPr="00A009E3" w:rsidRDefault="00A009E3" w:rsidP="00171711">
      <w:pPr>
        <w:spacing w:after="0" w:line="360" w:lineRule="auto"/>
        <w:jc w:val="center"/>
        <w:rPr>
          <w:rFonts w:ascii="Britannic Bold" w:hAnsi="Britannic Bold"/>
          <w:b/>
          <w:sz w:val="36"/>
          <w:szCs w:val="24"/>
        </w:rPr>
      </w:pPr>
      <w:r w:rsidRPr="00A009E3">
        <w:rPr>
          <w:rFonts w:ascii="Britannic Bold" w:hAnsi="Britannic Bold"/>
          <w:sz w:val="36"/>
          <w:szCs w:val="24"/>
        </w:rPr>
        <w:t>IMPACT OF SUSTAINABILITY REPORTING ON CORPORATE PERFORMANCE OF SELECTED QUOTED COMPANIES IN NIGERIA</w:t>
      </w:r>
    </w:p>
    <w:p w:rsidR="00171711" w:rsidRPr="000B7CAA" w:rsidRDefault="00171711" w:rsidP="00171711">
      <w:pPr>
        <w:pStyle w:val="BodyTextIndent3"/>
        <w:spacing w:after="0" w:line="240" w:lineRule="auto"/>
        <w:ind w:left="0"/>
        <w:contextualSpacing/>
        <w:jc w:val="center"/>
        <w:rPr>
          <w:rFonts w:ascii="Britannic Bold" w:hAnsi="Britannic Bold" w:cs="Times New Roman"/>
          <w:b/>
          <w:bCs/>
          <w:sz w:val="48"/>
          <w:szCs w:val="26"/>
        </w:rPr>
      </w:pPr>
      <w:r w:rsidRPr="000B7CAA">
        <w:rPr>
          <w:rFonts w:ascii="Times New Roman" w:hAnsi="Times New Roman" w:cs="Times New Roman"/>
          <w:b/>
          <w:sz w:val="36"/>
          <w:szCs w:val="24"/>
        </w:rPr>
        <w:t xml:space="preserve">(CASE STUDY OF </w:t>
      </w:r>
      <w:r w:rsidR="00092146">
        <w:rPr>
          <w:rFonts w:ascii="Times New Roman" w:hAnsi="Times New Roman" w:cs="Times New Roman"/>
          <w:b/>
          <w:sz w:val="36"/>
          <w:szCs w:val="24"/>
        </w:rPr>
        <w:t>TUYIL PHARMACEUTICAL COMPANY LTD</w:t>
      </w:r>
      <w:r w:rsidRPr="000B7CAA">
        <w:rPr>
          <w:rFonts w:ascii="Times New Roman" w:hAnsi="Times New Roman" w:cs="Times New Roman"/>
          <w:b/>
          <w:sz w:val="36"/>
          <w:szCs w:val="24"/>
        </w:rPr>
        <w:t>)</w:t>
      </w:r>
    </w:p>
    <w:p w:rsidR="00171711" w:rsidRDefault="00171711" w:rsidP="00171711">
      <w:pPr>
        <w:spacing w:line="360" w:lineRule="auto"/>
        <w:jc w:val="center"/>
        <w:rPr>
          <w:b/>
          <w:sz w:val="46"/>
          <w:szCs w:val="26"/>
        </w:rPr>
      </w:pPr>
    </w:p>
    <w:p w:rsidR="00171711" w:rsidRDefault="00171711" w:rsidP="00171711">
      <w:pPr>
        <w:spacing w:line="360" w:lineRule="auto"/>
        <w:jc w:val="center"/>
        <w:rPr>
          <w:b/>
          <w:sz w:val="46"/>
          <w:szCs w:val="26"/>
        </w:rPr>
      </w:pPr>
      <w:r>
        <w:rPr>
          <w:b/>
          <w:sz w:val="46"/>
          <w:szCs w:val="26"/>
        </w:rPr>
        <w:t>BY</w:t>
      </w:r>
    </w:p>
    <w:p w:rsidR="00171711" w:rsidRDefault="00171711" w:rsidP="00171711">
      <w:pPr>
        <w:spacing w:line="360" w:lineRule="auto"/>
        <w:jc w:val="center"/>
        <w:rPr>
          <w:sz w:val="26"/>
          <w:szCs w:val="26"/>
        </w:rPr>
      </w:pPr>
    </w:p>
    <w:p w:rsidR="00171711" w:rsidRDefault="006E4BC4" w:rsidP="00171711">
      <w:pPr>
        <w:jc w:val="center"/>
        <w:rPr>
          <w:rFonts w:ascii="Arial Black" w:hAnsi="Arial Black"/>
          <w:b/>
          <w:sz w:val="38"/>
          <w:szCs w:val="26"/>
        </w:rPr>
      </w:pPr>
      <w:r w:rsidRPr="006E4BC4">
        <w:rPr>
          <w:rFonts w:ascii="Arial Black" w:hAnsi="Arial Black"/>
          <w:b/>
          <w:sz w:val="38"/>
          <w:szCs w:val="26"/>
        </w:rPr>
        <w:t>AJIBOYE SAMAD</w:t>
      </w:r>
    </w:p>
    <w:p w:rsidR="00171711" w:rsidRDefault="00171711" w:rsidP="00171711">
      <w:pPr>
        <w:jc w:val="center"/>
        <w:rPr>
          <w:rFonts w:ascii="Arial Black" w:hAnsi="Arial Black"/>
          <w:b/>
          <w:sz w:val="48"/>
          <w:szCs w:val="26"/>
        </w:rPr>
      </w:pPr>
      <w:r>
        <w:rPr>
          <w:rFonts w:ascii="Arial Black" w:hAnsi="Arial Black"/>
          <w:b/>
          <w:sz w:val="48"/>
          <w:szCs w:val="26"/>
        </w:rPr>
        <w:t>HND/23/ACC/FT/0</w:t>
      </w:r>
      <w:r w:rsidR="00217F90">
        <w:rPr>
          <w:rFonts w:ascii="Arial Black" w:hAnsi="Arial Black"/>
          <w:b/>
          <w:sz w:val="48"/>
          <w:szCs w:val="26"/>
        </w:rPr>
        <w:t>61</w:t>
      </w:r>
      <w:r w:rsidR="006E4BC4">
        <w:rPr>
          <w:rFonts w:ascii="Arial Black" w:hAnsi="Arial Black"/>
          <w:b/>
          <w:sz w:val="48"/>
          <w:szCs w:val="26"/>
        </w:rPr>
        <w:t>9</w:t>
      </w:r>
    </w:p>
    <w:p w:rsidR="00171711" w:rsidRDefault="00171711" w:rsidP="00171711">
      <w:pPr>
        <w:spacing w:line="360" w:lineRule="auto"/>
        <w:jc w:val="center"/>
        <w:rPr>
          <w:b/>
          <w:sz w:val="28"/>
          <w:szCs w:val="28"/>
        </w:rPr>
      </w:pPr>
      <w:r>
        <w:rPr>
          <w:b/>
          <w:sz w:val="28"/>
          <w:szCs w:val="28"/>
        </w:rPr>
        <w:t>A RESEARCH WORK PRESENTED TO THE DEPARTMENT OF ACCOUNTANCY, INSTITUTE OF FINANCE AND MANAGEMENT STUDIES, KWARA STATE POLYTECHNIC, ILORIN</w:t>
      </w:r>
    </w:p>
    <w:p w:rsidR="00171711" w:rsidRDefault="00171711" w:rsidP="00171711">
      <w:pPr>
        <w:spacing w:line="360" w:lineRule="auto"/>
        <w:jc w:val="center"/>
        <w:rPr>
          <w:b/>
          <w:sz w:val="28"/>
          <w:szCs w:val="28"/>
        </w:rPr>
      </w:pPr>
      <w:r>
        <w:rPr>
          <w:b/>
          <w:sz w:val="28"/>
          <w:szCs w:val="28"/>
        </w:rPr>
        <w:t>IN PARTIAL FULFILLMENT OF THE AWARD OF HIGHER NATIONAL DIPLOMA (HND) IN ACCOUNTANCY</w:t>
      </w:r>
    </w:p>
    <w:p w:rsidR="00171711" w:rsidRDefault="00171711" w:rsidP="00171711">
      <w:pPr>
        <w:spacing w:line="360" w:lineRule="auto"/>
        <w:jc w:val="right"/>
        <w:rPr>
          <w:b/>
          <w:sz w:val="28"/>
          <w:szCs w:val="28"/>
        </w:rPr>
      </w:pPr>
    </w:p>
    <w:p w:rsidR="00171711" w:rsidRDefault="00171711" w:rsidP="00171711">
      <w:pPr>
        <w:spacing w:line="360" w:lineRule="auto"/>
        <w:jc w:val="right"/>
        <w:rPr>
          <w:b/>
          <w:sz w:val="26"/>
          <w:szCs w:val="26"/>
        </w:rPr>
      </w:pPr>
      <w:r>
        <w:rPr>
          <w:b/>
          <w:sz w:val="28"/>
          <w:szCs w:val="28"/>
        </w:rPr>
        <w:t>MAY, 2025</w:t>
      </w:r>
    </w:p>
    <w:p w:rsidR="00171711" w:rsidRDefault="00171711" w:rsidP="00171711">
      <w:pPr>
        <w:spacing w:line="360" w:lineRule="auto"/>
        <w:jc w:val="center"/>
        <w:rPr>
          <w:rFonts w:ascii="Times New Roman" w:hAnsi="Times New Roman"/>
          <w:b/>
          <w:sz w:val="28"/>
          <w:szCs w:val="28"/>
        </w:rPr>
      </w:pPr>
      <w:r>
        <w:rPr>
          <w:sz w:val="26"/>
          <w:szCs w:val="26"/>
        </w:rPr>
        <w:br w:type="page"/>
      </w:r>
      <w:r>
        <w:rPr>
          <w:rFonts w:ascii="Times New Roman" w:hAnsi="Times New Roman"/>
          <w:b/>
          <w:sz w:val="28"/>
          <w:szCs w:val="28"/>
        </w:rPr>
        <w:lastRenderedPageBreak/>
        <w:t>CERTIFICATION</w:t>
      </w:r>
    </w:p>
    <w:p w:rsidR="00171711" w:rsidRDefault="00171711" w:rsidP="00171711">
      <w:pPr>
        <w:spacing w:line="360" w:lineRule="auto"/>
        <w:jc w:val="both"/>
        <w:rPr>
          <w:rFonts w:ascii="Times New Roman" w:hAnsi="Times New Roman"/>
          <w:sz w:val="28"/>
          <w:szCs w:val="24"/>
        </w:rPr>
      </w:pPr>
      <w:r>
        <w:rPr>
          <w:rFonts w:ascii="Times New Roman" w:hAnsi="Times New Roman"/>
          <w:sz w:val="28"/>
          <w:szCs w:val="24"/>
        </w:rPr>
        <w:t xml:space="preserve">This is to certify that this project work has been written by </w:t>
      </w:r>
      <w:r w:rsidR="0021202E">
        <w:rPr>
          <w:rFonts w:ascii="Times New Roman" w:hAnsi="Times New Roman"/>
          <w:sz w:val="28"/>
          <w:szCs w:val="24"/>
        </w:rPr>
        <w:t>AJIBOYE SAMAD</w:t>
      </w:r>
      <w:r>
        <w:rPr>
          <w:rFonts w:ascii="Times New Roman" w:hAnsi="Times New Roman"/>
          <w:sz w:val="28"/>
          <w:szCs w:val="24"/>
        </w:rPr>
        <w:t>, HND/23/ACC/FT/0</w:t>
      </w:r>
      <w:r w:rsidR="00217F90">
        <w:rPr>
          <w:rFonts w:ascii="Times New Roman" w:hAnsi="Times New Roman"/>
          <w:sz w:val="28"/>
          <w:szCs w:val="24"/>
        </w:rPr>
        <w:t>61</w:t>
      </w:r>
      <w:r w:rsidR="0021202E">
        <w:rPr>
          <w:rFonts w:ascii="Times New Roman" w:hAnsi="Times New Roman"/>
          <w:sz w:val="28"/>
          <w:szCs w:val="24"/>
        </w:rPr>
        <w:t>9</w:t>
      </w:r>
      <w:r>
        <w:rPr>
          <w:rFonts w:ascii="Times New Roman" w:hAnsi="Times New Roman"/>
          <w:sz w:val="28"/>
          <w:szCs w:val="24"/>
        </w:rPr>
        <w:t xml:space="preserve"> and has been read and approved as meeting parts of the requirements for the award of Higher </w:t>
      </w:r>
      <w:r>
        <w:rPr>
          <w:rFonts w:ascii="Times New Roman" w:hAnsi="Times New Roman"/>
          <w:vanish/>
          <w:sz w:val="28"/>
          <w:szCs w:val="24"/>
        </w:rPr>
        <w:t>ghHhhhhhhghhhbbjssjhhhhhhhhhhxbbn</w:t>
      </w:r>
      <w:r>
        <w:rPr>
          <w:rFonts w:ascii="Times New Roman" w:hAnsi="Times New Roman"/>
          <w:sz w:val="28"/>
          <w:szCs w:val="24"/>
        </w:rPr>
        <w:t>National Diploma (HND) in the Department of Accountancy, Institute of Finance and management Studies, Kwara State Polytechnic, Ilorin, Kwara State</w:t>
      </w:r>
    </w:p>
    <w:p w:rsidR="00171711" w:rsidRDefault="00171711" w:rsidP="00171711">
      <w:pPr>
        <w:spacing w:line="360" w:lineRule="auto"/>
        <w:jc w:val="both"/>
        <w:rPr>
          <w:rFonts w:ascii="Times New Roman" w:hAnsi="Times New Roman"/>
          <w:sz w:val="28"/>
          <w:szCs w:val="24"/>
        </w:rPr>
      </w:pPr>
    </w:p>
    <w:p w:rsidR="00171711" w:rsidRDefault="00171711" w:rsidP="00171711">
      <w:pPr>
        <w:spacing w:after="0" w:line="240" w:lineRule="auto"/>
        <w:jc w:val="both"/>
        <w:rPr>
          <w:rFonts w:ascii="Times New Roman" w:hAnsi="Times New Roman"/>
          <w:sz w:val="28"/>
          <w:szCs w:val="24"/>
        </w:rPr>
      </w:pPr>
      <w:r>
        <w:rPr>
          <w:rFonts w:ascii="Times New Roman" w:hAnsi="Times New Roman"/>
          <w:sz w:val="28"/>
          <w:szCs w:val="24"/>
        </w:rPr>
        <w: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w:t>
      </w:r>
    </w:p>
    <w:p w:rsidR="00171711" w:rsidRDefault="00171711" w:rsidP="00171711">
      <w:pPr>
        <w:spacing w:after="0" w:line="240" w:lineRule="auto"/>
        <w:jc w:val="both"/>
        <w:rPr>
          <w:rFonts w:ascii="Times New Roman" w:hAnsi="Times New Roman"/>
          <w:b/>
          <w:sz w:val="28"/>
          <w:szCs w:val="24"/>
        </w:rPr>
      </w:pPr>
      <w:r>
        <w:rPr>
          <w:rFonts w:ascii="Times New Roman" w:hAnsi="Times New Roman"/>
          <w:b/>
          <w:sz w:val="28"/>
          <w:szCs w:val="24"/>
        </w:rPr>
        <w:t>MRS. ADEGBOYE, B.B.</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DATE</w:t>
      </w:r>
    </w:p>
    <w:p w:rsidR="00171711" w:rsidRDefault="00171711" w:rsidP="00171711">
      <w:pPr>
        <w:spacing w:after="0" w:line="240" w:lineRule="auto"/>
        <w:jc w:val="both"/>
        <w:rPr>
          <w:rFonts w:ascii="Times New Roman" w:hAnsi="Times New Roman"/>
          <w:sz w:val="28"/>
          <w:szCs w:val="24"/>
        </w:rPr>
      </w:pPr>
      <w:r>
        <w:rPr>
          <w:rFonts w:ascii="Times New Roman" w:hAnsi="Times New Roman"/>
          <w:sz w:val="28"/>
          <w:szCs w:val="24"/>
        </w:rPr>
        <w:t>Project Supervisor</w:t>
      </w:r>
    </w:p>
    <w:p w:rsidR="00171711" w:rsidRDefault="00171711" w:rsidP="00171711">
      <w:pPr>
        <w:spacing w:after="0" w:line="240" w:lineRule="auto"/>
        <w:jc w:val="both"/>
        <w:rPr>
          <w:rFonts w:ascii="Times New Roman" w:hAnsi="Times New Roman"/>
          <w:sz w:val="28"/>
          <w:szCs w:val="24"/>
        </w:rPr>
      </w:pPr>
    </w:p>
    <w:p w:rsidR="00171711" w:rsidRDefault="00171711" w:rsidP="00171711">
      <w:pPr>
        <w:spacing w:after="0" w:line="240" w:lineRule="auto"/>
        <w:jc w:val="both"/>
        <w:rPr>
          <w:rFonts w:ascii="Times New Roman" w:hAnsi="Times New Roman"/>
          <w:sz w:val="28"/>
          <w:szCs w:val="24"/>
        </w:rPr>
      </w:pPr>
    </w:p>
    <w:p w:rsidR="00171711" w:rsidRDefault="00171711" w:rsidP="00171711">
      <w:pPr>
        <w:spacing w:after="0" w:line="240" w:lineRule="auto"/>
        <w:jc w:val="both"/>
        <w:rPr>
          <w:rFonts w:ascii="Times New Roman" w:hAnsi="Times New Roman"/>
          <w:sz w:val="28"/>
          <w:szCs w:val="24"/>
        </w:rPr>
      </w:pPr>
      <w:r>
        <w:rPr>
          <w:rFonts w:ascii="Times New Roman" w:hAnsi="Times New Roman"/>
          <w:sz w:val="28"/>
          <w:szCs w:val="24"/>
        </w:rPr>
        <w: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w:t>
      </w:r>
    </w:p>
    <w:p w:rsidR="00171711" w:rsidRDefault="00171711" w:rsidP="00171711">
      <w:pPr>
        <w:spacing w:after="0" w:line="240" w:lineRule="auto"/>
        <w:jc w:val="both"/>
        <w:rPr>
          <w:rFonts w:ascii="Times New Roman" w:hAnsi="Times New Roman"/>
          <w:b/>
          <w:sz w:val="28"/>
          <w:szCs w:val="24"/>
        </w:rPr>
      </w:pPr>
      <w:r>
        <w:rPr>
          <w:rFonts w:ascii="Times New Roman" w:hAnsi="Times New Roman"/>
          <w:b/>
          <w:sz w:val="28"/>
          <w:szCs w:val="24"/>
        </w:rPr>
        <w:t>MRS. ADEGBOYE, B.B.</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DATE</w:t>
      </w:r>
    </w:p>
    <w:p w:rsidR="00171711" w:rsidRDefault="00171711" w:rsidP="00171711">
      <w:pPr>
        <w:spacing w:after="0" w:line="240" w:lineRule="auto"/>
        <w:jc w:val="both"/>
        <w:rPr>
          <w:rFonts w:ascii="Times New Roman" w:hAnsi="Times New Roman"/>
          <w:sz w:val="28"/>
          <w:szCs w:val="24"/>
        </w:rPr>
      </w:pPr>
      <w:r>
        <w:rPr>
          <w:rFonts w:ascii="Times New Roman" w:hAnsi="Times New Roman"/>
          <w:sz w:val="28"/>
          <w:szCs w:val="24"/>
        </w:rPr>
        <w:t>Project Coordinator</w:t>
      </w:r>
    </w:p>
    <w:p w:rsidR="00171711" w:rsidRDefault="00171711" w:rsidP="00171711">
      <w:pPr>
        <w:spacing w:after="0" w:line="240" w:lineRule="auto"/>
        <w:jc w:val="both"/>
        <w:rPr>
          <w:rFonts w:ascii="Times New Roman" w:hAnsi="Times New Roman"/>
          <w:sz w:val="28"/>
          <w:szCs w:val="24"/>
        </w:rPr>
      </w:pPr>
    </w:p>
    <w:p w:rsidR="00171711" w:rsidRDefault="00171711" w:rsidP="00171711">
      <w:pPr>
        <w:spacing w:after="0" w:line="240" w:lineRule="auto"/>
        <w:jc w:val="both"/>
        <w:rPr>
          <w:rFonts w:ascii="Times New Roman" w:hAnsi="Times New Roman"/>
          <w:sz w:val="28"/>
          <w:szCs w:val="24"/>
        </w:rPr>
      </w:pPr>
    </w:p>
    <w:p w:rsidR="00171711" w:rsidRDefault="00171711" w:rsidP="00171711">
      <w:pPr>
        <w:spacing w:after="0" w:line="240" w:lineRule="auto"/>
        <w:jc w:val="both"/>
        <w:rPr>
          <w:rFonts w:ascii="Times New Roman" w:hAnsi="Times New Roman"/>
          <w:sz w:val="28"/>
          <w:szCs w:val="24"/>
        </w:rPr>
      </w:pPr>
      <w:r>
        <w:rPr>
          <w:rFonts w:ascii="Times New Roman" w:hAnsi="Times New Roman"/>
          <w:sz w:val="28"/>
          <w:szCs w:val="24"/>
        </w:rPr>
        <w: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w:t>
      </w:r>
    </w:p>
    <w:p w:rsidR="00171711" w:rsidRDefault="00171711" w:rsidP="00171711">
      <w:pPr>
        <w:spacing w:after="0" w:line="240" w:lineRule="auto"/>
        <w:jc w:val="both"/>
        <w:rPr>
          <w:rFonts w:ascii="Times New Roman" w:hAnsi="Times New Roman"/>
          <w:b/>
          <w:sz w:val="28"/>
          <w:szCs w:val="24"/>
        </w:rPr>
      </w:pPr>
      <w:r>
        <w:rPr>
          <w:rFonts w:ascii="Times New Roman" w:hAnsi="Times New Roman"/>
          <w:b/>
          <w:sz w:val="28"/>
          <w:szCs w:val="24"/>
        </w:rPr>
        <w:t>MR. ELELU, M.O.</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DATE</w:t>
      </w:r>
    </w:p>
    <w:p w:rsidR="00171711" w:rsidRDefault="00171711" w:rsidP="00171711">
      <w:pPr>
        <w:spacing w:after="0" w:line="240" w:lineRule="auto"/>
        <w:jc w:val="both"/>
        <w:rPr>
          <w:rFonts w:ascii="Times New Roman" w:hAnsi="Times New Roman"/>
          <w:sz w:val="28"/>
          <w:szCs w:val="24"/>
        </w:rPr>
      </w:pPr>
      <w:r>
        <w:rPr>
          <w:rFonts w:ascii="Times New Roman" w:hAnsi="Times New Roman"/>
          <w:sz w:val="28"/>
          <w:szCs w:val="24"/>
        </w:rPr>
        <w:t>Head of Department</w:t>
      </w:r>
      <w:r>
        <w:rPr>
          <w:rFonts w:ascii="Times New Roman" w:hAnsi="Times New Roman"/>
          <w:sz w:val="28"/>
          <w:szCs w:val="24"/>
        </w:rPr>
        <w:tab/>
      </w:r>
    </w:p>
    <w:p w:rsidR="00171711" w:rsidRDefault="00171711" w:rsidP="00171711">
      <w:pPr>
        <w:spacing w:after="0" w:line="240" w:lineRule="auto"/>
        <w:jc w:val="both"/>
        <w:rPr>
          <w:rFonts w:ascii="Times New Roman" w:hAnsi="Times New Roman"/>
          <w:sz w:val="28"/>
          <w:szCs w:val="24"/>
        </w:rPr>
      </w:pPr>
    </w:p>
    <w:p w:rsidR="00171711" w:rsidRDefault="00171711" w:rsidP="00171711">
      <w:pPr>
        <w:spacing w:after="0" w:line="240" w:lineRule="auto"/>
        <w:jc w:val="both"/>
        <w:rPr>
          <w:rFonts w:ascii="Times New Roman" w:hAnsi="Times New Roman"/>
          <w:sz w:val="28"/>
          <w:szCs w:val="24"/>
        </w:rPr>
      </w:pPr>
    </w:p>
    <w:p w:rsidR="00171711" w:rsidRDefault="00171711" w:rsidP="00171711">
      <w:pPr>
        <w:spacing w:after="0" w:line="240" w:lineRule="auto"/>
        <w:jc w:val="both"/>
        <w:rPr>
          <w:rFonts w:ascii="Times New Roman" w:hAnsi="Times New Roman"/>
          <w:sz w:val="28"/>
          <w:szCs w:val="24"/>
        </w:rPr>
      </w:pPr>
      <w:r>
        <w:rPr>
          <w:rFonts w:ascii="Times New Roman" w:hAnsi="Times New Roman"/>
          <w:sz w:val="28"/>
          <w:szCs w:val="24"/>
        </w:rPr>
        <w: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w:t>
      </w:r>
    </w:p>
    <w:p w:rsidR="00171711" w:rsidRDefault="00171711" w:rsidP="00171711">
      <w:pPr>
        <w:spacing w:after="0" w:line="240" w:lineRule="auto"/>
        <w:jc w:val="both"/>
        <w:rPr>
          <w:rFonts w:ascii="Times New Roman" w:hAnsi="Times New Roman"/>
          <w:b/>
          <w:sz w:val="28"/>
          <w:szCs w:val="24"/>
        </w:rPr>
      </w:pPr>
      <w:r>
        <w:rPr>
          <w:rFonts w:ascii="Times New Roman" w:hAnsi="Times New Roman"/>
          <w:b/>
          <w:sz w:val="28"/>
          <w:szCs w:val="24"/>
        </w:rPr>
        <w:t>IKHU OMOREGBE SUNDAY (FCA)</w: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DATE</w:t>
      </w:r>
    </w:p>
    <w:p w:rsidR="00171711" w:rsidRDefault="00171711" w:rsidP="00171711">
      <w:pPr>
        <w:spacing w:after="0" w:line="360" w:lineRule="auto"/>
        <w:rPr>
          <w:rFonts w:ascii="Times New Roman" w:hAnsi="Times New Roman"/>
          <w:b/>
          <w:sz w:val="24"/>
          <w:szCs w:val="24"/>
        </w:rPr>
      </w:pPr>
      <w:r>
        <w:rPr>
          <w:rFonts w:ascii="Times New Roman" w:hAnsi="Times New Roman"/>
          <w:sz w:val="28"/>
          <w:szCs w:val="24"/>
        </w:rPr>
        <w:t>External Examiner</w:t>
      </w:r>
    </w:p>
    <w:p w:rsidR="00171711" w:rsidRPr="00197D6D" w:rsidRDefault="00171711" w:rsidP="00171711">
      <w:pPr>
        <w:spacing w:after="0" w:line="360" w:lineRule="auto"/>
        <w:jc w:val="center"/>
        <w:rPr>
          <w:rFonts w:ascii="Times New Roman" w:hAnsi="Times New Roman"/>
          <w:b/>
          <w:sz w:val="24"/>
          <w:szCs w:val="24"/>
        </w:rPr>
      </w:pPr>
    </w:p>
    <w:p w:rsidR="005618C9" w:rsidRDefault="00171711" w:rsidP="005618C9">
      <w:pPr>
        <w:spacing w:after="0" w:line="480" w:lineRule="auto"/>
        <w:jc w:val="center"/>
        <w:rPr>
          <w:rFonts w:ascii="Times New Roman" w:hAnsi="Times New Roman"/>
          <w:b/>
          <w:sz w:val="24"/>
          <w:szCs w:val="24"/>
        </w:rPr>
      </w:pPr>
      <w:r>
        <w:rPr>
          <w:rFonts w:ascii="Times New Roman" w:hAnsi="Times New Roman"/>
          <w:b/>
          <w:sz w:val="24"/>
          <w:szCs w:val="24"/>
        </w:rPr>
        <w:br w:type="page"/>
      </w:r>
      <w:r w:rsidR="005618C9" w:rsidRPr="002328AA">
        <w:rPr>
          <w:rFonts w:ascii="Times New Roman" w:hAnsi="Times New Roman"/>
          <w:b/>
          <w:sz w:val="24"/>
          <w:szCs w:val="24"/>
        </w:rPr>
        <w:lastRenderedPageBreak/>
        <w:t>DEDICATION</w:t>
      </w:r>
    </w:p>
    <w:p w:rsidR="005618C9" w:rsidRDefault="005618C9" w:rsidP="005618C9">
      <w:pPr>
        <w:spacing w:after="0" w:line="480" w:lineRule="auto"/>
        <w:jc w:val="both"/>
        <w:rPr>
          <w:rFonts w:ascii="Times New Roman" w:hAnsi="Times New Roman"/>
          <w:sz w:val="24"/>
          <w:szCs w:val="24"/>
        </w:rPr>
      </w:pPr>
      <w:r w:rsidRPr="002328AA">
        <w:rPr>
          <w:rFonts w:ascii="Times New Roman" w:hAnsi="Times New Roman"/>
          <w:sz w:val="24"/>
          <w:szCs w:val="24"/>
        </w:rPr>
        <w:t>This research work is dedicated to Almighty God the Author and the Finisher of my faith, for the completion of my programme at the successful point in my academic race.</w:t>
      </w:r>
    </w:p>
    <w:p w:rsidR="005618C9" w:rsidRDefault="005618C9" w:rsidP="005618C9">
      <w:pPr>
        <w:spacing w:after="0" w:line="480" w:lineRule="auto"/>
        <w:jc w:val="both"/>
        <w:rPr>
          <w:rFonts w:ascii="Times New Roman" w:hAnsi="Times New Roman"/>
          <w:sz w:val="24"/>
          <w:szCs w:val="24"/>
        </w:rPr>
      </w:pPr>
      <w:r w:rsidRPr="002328AA">
        <w:rPr>
          <w:rFonts w:ascii="Times New Roman" w:hAnsi="Times New Roman"/>
          <w:sz w:val="24"/>
          <w:szCs w:val="24"/>
        </w:rPr>
        <w:t>Also to my incomparable Parents, you are the best in the world.</w:t>
      </w:r>
    </w:p>
    <w:p w:rsidR="005618C9" w:rsidRDefault="005618C9" w:rsidP="005618C9">
      <w:pPr>
        <w:rPr>
          <w:rFonts w:ascii="Times New Roman" w:hAnsi="Times New Roman"/>
          <w:sz w:val="24"/>
          <w:szCs w:val="24"/>
        </w:rPr>
      </w:pPr>
      <w:r>
        <w:rPr>
          <w:rFonts w:ascii="Times New Roman" w:hAnsi="Times New Roman"/>
          <w:sz w:val="24"/>
          <w:szCs w:val="24"/>
        </w:rPr>
        <w:br w:type="page"/>
      </w:r>
    </w:p>
    <w:p w:rsidR="005618C9" w:rsidRDefault="005618C9" w:rsidP="005618C9">
      <w:pPr>
        <w:spacing w:after="0" w:line="480" w:lineRule="auto"/>
        <w:jc w:val="center"/>
        <w:rPr>
          <w:rFonts w:ascii="Times New Roman" w:hAnsi="Times New Roman"/>
          <w:sz w:val="24"/>
          <w:szCs w:val="24"/>
        </w:rPr>
      </w:pPr>
      <w:r w:rsidRPr="006D0708">
        <w:rPr>
          <w:rFonts w:ascii="Times New Roman" w:hAnsi="Times New Roman"/>
          <w:b/>
          <w:sz w:val="24"/>
          <w:szCs w:val="24"/>
        </w:rPr>
        <w:t>ACKNOWLEDGEMENT</w:t>
      </w:r>
      <w:r>
        <w:rPr>
          <w:rFonts w:ascii="Times New Roman" w:hAnsi="Times New Roman"/>
          <w:b/>
          <w:sz w:val="24"/>
          <w:szCs w:val="24"/>
        </w:rPr>
        <w:t>S</w:t>
      </w:r>
    </w:p>
    <w:p w:rsidR="005618C9" w:rsidRDefault="005618C9" w:rsidP="005618C9">
      <w:pPr>
        <w:spacing w:after="0" w:line="480" w:lineRule="auto"/>
        <w:jc w:val="both"/>
        <w:rPr>
          <w:rFonts w:ascii="Times New Roman" w:hAnsi="Times New Roman"/>
          <w:sz w:val="24"/>
          <w:szCs w:val="24"/>
        </w:rPr>
      </w:pPr>
      <w:r w:rsidRPr="006D0708">
        <w:rPr>
          <w:rFonts w:ascii="Times New Roman" w:hAnsi="Times New Roman"/>
          <w:sz w:val="24"/>
          <w:szCs w:val="24"/>
        </w:rPr>
        <w:t>My profound gratitude goes to Almighty God, the creator of all things. I thank the Almighty God who spared my life and His protection over me from the beginning to the end for giving me the grace and opportunity to complete this project research peacefully and successfully.</w:t>
      </w:r>
      <w:r>
        <w:rPr>
          <w:rFonts w:ascii="Times New Roman" w:hAnsi="Times New Roman"/>
          <w:sz w:val="24"/>
          <w:szCs w:val="24"/>
        </w:rPr>
        <w:t xml:space="preserve"> </w:t>
      </w:r>
      <w:r w:rsidRPr="006D0708">
        <w:rPr>
          <w:rFonts w:ascii="Times New Roman" w:hAnsi="Times New Roman"/>
          <w:sz w:val="24"/>
          <w:szCs w:val="24"/>
        </w:rPr>
        <w:t>I also appreci</w:t>
      </w:r>
      <w:r w:rsidR="00964803">
        <w:rPr>
          <w:rFonts w:ascii="Times New Roman" w:hAnsi="Times New Roman"/>
          <w:sz w:val="24"/>
          <w:szCs w:val="24"/>
        </w:rPr>
        <w:t xml:space="preserve">ate the effort of my parent Mr. and Mrs. Ajiboye </w:t>
      </w:r>
      <w:r w:rsidRPr="006D0708">
        <w:rPr>
          <w:rFonts w:ascii="Times New Roman" w:hAnsi="Times New Roman"/>
          <w:sz w:val="24"/>
          <w:szCs w:val="24"/>
        </w:rPr>
        <w:t>for their parental advice, parental care, prayers, moral support and financial support they accorded from the beginning till the end of this program.</w:t>
      </w:r>
    </w:p>
    <w:p w:rsidR="005618C9" w:rsidRDefault="005618C9" w:rsidP="005618C9">
      <w:pPr>
        <w:spacing w:after="0" w:line="480" w:lineRule="auto"/>
        <w:jc w:val="both"/>
        <w:rPr>
          <w:rFonts w:ascii="Times New Roman" w:hAnsi="Times New Roman"/>
          <w:sz w:val="24"/>
          <w:szCs w:val="24"/>
        </w:rPr>
      </w:pPr>
      <w:r w:rsidRPr="006D0708">
        <w:rPr>
          <w:rFonts w:ascii="Times New Roman" w:hAnsi="Times New Roman"/>
          <w:sz w:val="24"/>
          <w:szCs w:val="24"/>
        </w:rPr>
        <w:t>I am mostly indebted to my project supervisor Mrs. Adegboye, B.B., Department of Accountancy, Kwara State Polytechnic for her support, correction, direction and supervision in going through my project. May God continue to bless you and all other lecturers in department of Accountancy.</w:t>
      </w:r>
    </w:p>
    <w:p w:rsidR="005618C9" w:rsidRPr="002328AA" w:rsidRDefault="005618C9" w:rsidP="005618C9">
      <w:pPr>
        <w:spacing w:after="0" w:line="480" w:lineRule="auto"/>
        <w:jc w:val="both"/>
        <w:rPr>
          <w:rFonts w:ascii="Times New Roman" w:hAnsi="Times New Roman"/>
          <w:sz w:val="24"/>
          <w:szCs w:val="24"/>
        </w:rPr>
      </w:pPr>
      <w:r w:rsidRPr="006D0708">
        <w:rPr>
          <w:rFonts w:ascii="Times New Roman" w:hAnsi="Times New Roman"/>
          <w:sz w:val="24"/>
          <w:szCs w:val="24"/>
        </w:rPr>
        <w:t>Finally, I also appreciate all the good people that have taken part in one way or the other in the completion of the journey. May Allah bless you abundantly, Amin.</w:t>
      </w:r>
    </w:p>
    <w:p w:rsidR="005618C9" w:rsidRDefault="005618C9" w:rsidP="00900B20">
      <w:pPr>
        <w:jc w:val="center"/>
        <w:rPr>
          <w:rFonts w:ascii="Times New Roman" w:hAnsi="Times New Roman"/>
          <w:b/>
          <w:sz w:val="24"/>
          <w:szCs w:val="24"/>
        </w:rPr>
      </w:pPr>
    </w:p>
    <w:p w:rsidR="00171711" w:rsidRPr="00481388" w:rsidRDefault="005618C9" w:rsidP="00900B20">
      <w:pPr>
        <w:jc w:val="center"/>
        <w:rPr>
          <w:rFonts w:ascii="Times New Roman" w:hAnsi="Times New Roman"/>
          <w:b/>
          <w:sz w:val="24"/>
          <w:szCs w:val="24"/>
        </w:rPr>
      </w:pPr>
      <w:r>
        <w:rPr>
          <w:rFonts w:ascii="Times New Roman" w:hAnsi="Times New Roman"/>
          <w:b/>
          <w:sz w:val="24"/>
          <w:szCs w:val="24"/>
        </w:rPr>
        <w:br w:type="page"/>
      </w:r>
      <w:r w:rsidR="00171711" w:rsidRPr="00481388">
        <w:rPr>
          <w:rFonts w:ascii="Times New Roman" w:hAnsi="Times New Roman"/>
          <w:b/>
          <w:sz w:val="24"/>
          <w:szCs w:val="24"/>
        </w:rPr>
        <w:lastRenderedPageBreak/>
        <w:t>TABLE OF CONTENTS</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Title page</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i</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Certification</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ii</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Dedication</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iii</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Acknowledgement</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iv</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Table of contents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v</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b/>
          <w:bCs/>
          <w:sz w:val="24"/>
          <w:szCs w:val="24"/>
        </w:rPr>
        <w:t xml:space="preserve">CHAPTER ONE: </w:t>
      </w:r>
      <w:r w:rsidRPr="00481388">
        <w:rPr>
          <w:rFonts w:ascii="Times New Roman" w:hAnsi="Times New Roman"/>
          <w:b/>
          <w:sz w:val="24"/>
          <w:szCs w:val="24"/>
        </w:rPr>
        <w:t>INTRODUCTION</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1.1</w:t>
      </w:r>
      <w:r w:rsidRPr="00481388">
        <w:rPr>
          <w:rFonts w:ascii="Times New Roman" w:hAnsi="Times New Roman"/>
          <w:sz w:val="24"/>
          <w:szCs w:val="24"/>
        </w:rPr>
        <w:tab/>
        <w:t>Background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1</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1.2</w:t>
      </w:r>
      <w:r w:rsidRPr="00481388">
        <w:rPr>
          <w:rFonts w:ascii="Times New Roman" w:hAnsi="Times New Roman"/>
          <w:sz w:val="24"/>
          <w:szCs w:val="24"/>
        </w:rPr>
        <w:tab/>
        <w:t>Statement of the problem</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1.3</w:t>
      </w:r>
      <w:r w:rsidRPr="00481388">
        <w:rPr>
          <w:rFonts w:ascii="Times New Roman" w:hAnsi="Times New Roman"/>
          <w:sz w:val="24"/>
          <w:szCs w:val="24"/>
        </w:rPr>
        <w:tab/>
        <w:t>Research questions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5</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1.4</w:t>
      </w:r>
      <w:r w:rsidRPr="00481388">
        <w:rPr>
          <w:rFonts w:ascii="Times New Roman" w:hAnsi="Times New Roman"/>
          <w:sz w:val="24"/>
          <w:szCs w:val="24"/>
        </w:rPr>
        <w:tab/>
        <w:t>Objectives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6</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1.5</w:t>
      </w:r>
      <w:r w:rsidRPr="00481388">
        <w:rPr>
          <w:rFonts w:ascii="Times New Roman" w:hAnsi="Times New Roman"/>
          <w:sz w:val="24"/>
          <w:szCs w:val="24"/>
        </w:rPr>
        <w:tab/>
        <w:t>Research hypothesis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6</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1.6</w:t>
      </w:r>
      <w:r w:rsidRPr="00481388">
        <w:rPr>
          <w:rFonts w:ascii="Times New Roman" w:hAnsi="Times New Roman"/>
          <w:sz w:val="24"/>
          <w:szCs w:val="24"/>
        </w:rPr>
        <w:tab/>
        <w:t>Significance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7</w:t>
      </w:r>
      <w:r w:rsidRPr="00481388">
        <w:rPr>
          <w:rFonts w:ascii="Times New Roman" w:hAnsi="Times New Roman"/>
          <w:sz w:val="24"/>
          <w:szCs w:val="24"/>
        </w:rPr>
        <w:tab/>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1.7</w:t>
      </w:r>
      <w:r w:rsidRPr="00481388">
        <w:rPr>
          <w:rFonts w:ascii="Times New Roman" w:hAnsi="Times New Roman"/>
          <w:sz w:val="24"/>
          <w:szCs w:val="24"/>
        </w:rPr>
        <w:tab/>
        <w:t>Scope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8</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1.8</w:t>
      </w:r>
      <w:r w:rsidRPr="00481388">
        <w:rPr>
          <w:rFonts w:ascii="Times New Roman" w:hAnsi="Times New Roman"/>
          <w:sz w:val="24"/>
          <w:szCs w:val="24"/>
        </w:rPr>
        <w:tab/>
        <w:t>Limitation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8</w:t>
      </w:r>
      <w:r w:rsidRPr="00481388">
        <w:rPr>
          <w:rFonts w:ascii="Times New Roman" w:hAnsi="Times New Roman"/>
          <w:sz w:val="24"/>
          <w:szCs w:val="24"/>
        </w:rPr>
        <w:tab/>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1.9</w:t>
      </w:r>
      <w:r w:rsidRPr="00481388">
        <w:rPr>
          <w:rFonts w:ascii="Times New Roman" w:hAnsi="Times New Roman"/>
          <w:sz w:val="24"/>
          <w:szCs w:val="24"/>
        </w:rPr>
        <w:tab/>
        <w:t>Definition of terms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9</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b/>
          <w:bCs/>
          <w:sz w:val="24"/>
          <w:szCs w:val="24"/>
        </w:rPr>
        <w:t>CHAPTER TWO:</w:t>
      </w:r>
      <w:r w:rsidRPr="00481388">
        <w:rPr>
          <w:rFonts w:ascii="Times New Roman" w:hAnsi="Times New Roman"/>
          <w:sz w:val="24"/>
          <w:szCs w:val="24"/>
        </w:rPr>
        <w:tab/>
      </w:r>
      <w:r w:rsidRPr="00481388">
        <w:rPr>
          <w:rFonts w:ascii="Times New Roman" w:hAnsi="Times New Roman"/>
          <w:b/>
          <w:sz w:val="24"/>
          <w:szCs w:val="24"/>
        </w:rPr>
        <w:t>LITERATURE REVIEW</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2.1</w:t>
      </w:r>
      <w:r w:rsidRPr="00481388">
        <w:rPr>
          <w:rFonts w:ascii="Times New Roman" w:hAnsi="Times New Roman"/>
          <w:sz w:val="24"/>
          <w:szCs w:val="24"/>
        </w:rPr>
        <w:tab/>
        <w:t>Conceptual framework</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11</w:t>
      </w:r>
    </w:p>
    <w:p w:rsidR="00171711" w:rsidRPr="00481388" w:rsidRDefault="00171711" w:rsidP="00171711">
      <w:pPr>
        <w:widowControl w:val="0"/>
        <w:tabs>
          <w:tab w:val="left" w:pos="680"/>
          <w:tab w:val="left" w:pos="681"/>
        </w:tabs>
        <w:autoSpaceDE w:val="0"/>
        <w:autoSpaceDN w:val="0"/>
        <w:spacing w:before="120" w:after="120" w:line="360" w:lineRule="auto"/>
        <w:jc w:val="both"/>
        <w:rPr>
          <w:rFonts w:ascii="Times New Roman" w:hAnsi="Times New Roman"/>
          <w:sz w:val="24"/>
          <w:szCs w:val="24"/>
        </w:rPr>
      </w:pPr>
      <w:r w:rsidRPr="00481388">
        <w:rPr>
          <w:rFonts w:ascii="Times New Roman" w:hAnsi="Times New Roman"/>
          <w:sz w:val="24"/>
          <w:szCs w:val="24"/>
        </w:rPr>
        <w:t>2.2</w:t>
      </w:r>
      <w:r w:rsidRPr="00481388">
        <w:rPr>
          <w:rFonts w:ascii="Times New Roman" w:hAnsi="Times New Roman"/>
          <w:sz w:val="24"/>
          <w:szCs w:val="24"/>
        </w:rPr>
        <w:tab/>
        <w:t>Theoretical Framework</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23</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bCs/>
          <w:sz w:val="24"/>
          <w:szCs w:val="24"/>
        </w:rPr>
        <w:t>2.3</w:t>
      </w:r>
      <w:r w:rsidRPr="00481388">
        <w:rPr>
          <w:rFonts w:ascii="Times New Roman" w:hAnsi="Times New Roman"/>
          <w:bCs/>
          <w:sz w:val="24"/>
          <w:szCs w:val="24"/>
        </w:rPr>
        <w:tab/>
        <w:t>Empirical Review</w:t>
      </w:r>
      <w:r w:rsidRPr="00481388">
        <w:rPr>
          <w:rFonts w:ascii="Times New Roman" w:hAnsi="Times New Roman"/>
          <w:bCs/>
          <w:sz w:val="24"/>
          <w:szCs w:val="24"/>
        </w:rPr>
        <w:tab/>
      </w:r>
      <w:r w:rsidRPr="00481388">
        <w:rPr>
          <w:rFonts w:ascii="Times New Roman" w:hAnsi="Times New Roman"/>
          <w:bCs/>
          <w:sz w:val="24"/>
          <w:szCs w:val="24"/>
        </w:rPr>
        <w:tab/>
      </w:r>
      <w:r w:rsidRPr="00481388">
        <w:rPr>
          <w:rFonts w:ascii="Times New Roman" w:hAnsi="Times New Roman"/>
          <w:bCs/>
          <w:sz w:val="24"/>
          <w:szCs w:val="24"/>
        </w:rPr>
        <w:tab/>
      </w:r>
      <w:r w:rsidRPr="00481388">
        <w:rPr>
          <w:rFonts w:ascii="Times New Roman" w:hAnsi="Times New Roman"/>
          <w:bCs/>
          <w:sz w:val="24"/>
          <w:szCs w:val="24"/>
        </w:rPr>
        <w:tab/>
      </w:r>
      <w:r w:rsidRPr="00481388">
        <w:rPr>
          <w:rFonts w:ascii="Times New Roman" w:hAnsi="Times New Roman"/>
          <w:bCs/>
          <w:sz w:val="24"/>
          <w:szCs w:val="24"/>
        </w:rPr>
        <w:tab/>
      </w:r>
      <w:r w:rsidRPr="00481388">
        <w:rPr>
          <w:rFonts w:ascii="Times New Roman" w:hAnsi="Times New Roman"/>
          <w:bCs/>
          <w:sz w:val="24"/>
          <w:szCs w:val="24"/>
        </w:rPr>
        <w:tab/>
      </w:r>
      <w:r w:rsidRPr="00481388">
        <w:rPr>
          <w:rFonts w:ascii="Times New Roman" w:hAnsi="Times New Roman"/>
          <w:bCs/>
          <w:sz w:val="24"/>
          <w:szCs w:val="24"/>
        </w:rPr>
        <w:tab/>
        <w:t>27</w:t>
      </w:r>
    </w:p>
    <w:p w:rsidR="00171711" w:rsidRDefault="00171711" w:rsidP="00171711">
      <w:pPr>
        <w:spacing w:before="120" w:after="120" w:line="360" w:lineRule="auto"/>
        <w:jc w:val="both"/>
        <w:rPr>
          <w:rFonts w:ascii="Times New Roman" w:hAnsi="Times New Roman"/>
          <w:b/>
          <w:bCs/>
          <w:sz w:val="24"/>
          <w:szCs w:val="24"/>
        </w:rPr>
      </w:pPr>
    </w:p>
    <w:p w:rsidR="00171711" w:rsidRPr="00481388" w:rsidRDefault="00171711" w:rsidP="00171711">
      <w:pPr>
        <w:spacing w:before="120" w:after="120" w:line="360" w:lineRule="auto"/>
        <w:jc w:val="both"/>
        <w:rPr>
          <w:rFonts w:ascii="Times New Roman" w:hAnsi="Times New Roman"/>
          <w:b/>
          <w:bCs/>
          <w:sz w:val="24"/>
          <w:szCs w:val="24"/>
        </w:rPr>
      </w:pPr>
    </w:p>
    <w:p w:rsidR="00171711" w:rsidRPr="00481388" w:rsidRDefault="00171711" w:rsidP="00171711">
      <w:pPr>
        <w:spacing w:before="120" w:after="120" w:line="360" w:lineRule="auto"/>
        <w:jc w:val="both"/>
        <w:rPr>
          <w:rFonts w:ascii="Times New Roman" w:hAnsi="Times New Roman"/>
          <w:b/>
          <w:sz w:val="24"/>
          <w:szCs w:val="24"/>
        </w:rPr>
      </w:pPr>
      <w:r w:rsidRPr="00481388">
        <w:rPr>
          <w:rFonts w:ascii="Times New Roman" w:hAnsi="Times New Roman"/>
          <w:b/>
          <w:bCs/>
          <w:sz w:val="24"/>
          <w:szCs w:val="24"/>
        </w:rPr>
        <w:lastRenderedPageBreak/>
        <w:t xml:space="preserve">CHAPTER THREE:  </w:t>
      </w:r>
      <w:r w:rsidRPr="00481388">
        <w:rPr>
          <w:rFonts w:ascii="Times New Roman" w:hAnsi="Times New Roman"/>
          <w:b/>
          <w:sz w:val="24"/>
          <w:szCs w:val="24"/>
        </w:rPr>
        <w:t>RESEARCH METHODOLOGY</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3.1</w:t>
      </w:r>
      <w:r w:rsidRPr="00481388">
        <w:rPr>
          <w:rFonts w:ascii="Times New Roman" w:hAnsi="Times New Roman"/>
          <w:sz w:val="24"/>
          <w:szCs w:val="24"/>
        </w:rPr>
        <w:tab/>
        <w:t>Introduction/area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33</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3.2</w:t>
      </w:r>
      <w:r w:rsidRPr="00481388">
        <w:rPr>
          <w:rFonts w:ascii="Times New Roman" w:hAnsi="Times New Roman"/>
          <w:sz w:val="24"/>
          <w:szCs w:val="24"/>
        </w:rPr>
        <w:tab/>
        <w:t>Research design</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34</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3.3</w:t>
      </w:r>
      <w:r w:rsidRPr="00481388">
        <w:rPr>
          <w:rFonts w:ascii="Times New Roman" w:hAnsi="Times New Roman"/>
          <w:sz w:val="24"/>
          <w:szCs w:val="24"/>
        </w:rPr>
        <w:tab/>
        <w:t>Population of the study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36</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3.4</w:t>
      </w:r>
      <w:r w:rsidRPr="00481388">
        <w:rPr>
          <w:rFonts w:ascii="Times New Roman" w:hAnsi="Times New Roman"/>
          <w:sz w:val="24"/>
          <w:szCs w:val="24"/>
        </w:rPr>
        <w:tab/>
        <w:t>Sample size and sampling Techniques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37</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3.5</w:t>
      </w:r>
      <w:r w:rsidRPr="00481388">
        <w:rPr>
          <w:rFonts w:ascii="Times New Roman" w:hAnsi="Times New Roman"/>
          <w:sz w:val="24"/>
          <w:szCs w:val="24"/>
        </w:rPr>
        <w:tab/>
        <w:t>Sources of data</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37</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3.6</w:t>
      </w:r>
      <w:r w:rsidRPr="00481388">
        <w:rPr>
          <w:rFonts w:ascii="Times New Roman" w:hAnsi="Times New Roman"/>
          <w:sz w:val="24"/>
          <w:szCs w:val="24"/>
        </w:rPr>
        <w:tab/>
        <w:t>Method of data analysis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38</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3.7</w:t>
      </w:r>
      <w:r w:rsidRPr="00481388">
        <w:rPr>
          <w:rFonts w:ascii="Times New Roman" w:hAnsi="Times New Roman"/>
          <w:sz w:val="24"/>
          <w:szCs w:val="24"/>
        </w:rPr>
        <w:tab/>
        <w:t>Definition and Measurement of Variable</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38</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3.8</w:t>
      </w:r>
      <w:r w:rsidRPr="00481388">
        <w:rPr>
          <w:rFonts w:ascii="Times New Roman" w:hAnsi="Times New Roman"/>
          <w:sz w:val="24"/>
          <w:szCs w:val="24"/>
        </w:rPr>
        <w:tab/>
        <w:t>Model Specification</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38</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b/>
          <w:bCs/>
          <w:sz w:val="24"/>
          <w:szCs w:val="24"/>
        </w:rPr>
        <w:t xml:space="preserve">CHAPTER FOUR: </w:t>
      </w:r>
      <w:r w:rsidRPr="00481388">
        <w:rPr>
          <w:rFonts w:ascii="Times New Roman" w:hAnsi="Times New Roman"/>
          <w:b/>
          <w:sz w:val="24"/>
          <w:szCs w:val="24"/>
        </w:rPr>
        <w:t>DATA PRESENTATION AND ANALYSIS</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4.1</w:t>
      </w:r>
      <w:r w:rsidRPr="00481388">
        <w:rPr>
          <w:rFonts w:ascii="Times New Roman" w:hAnsi="Times New Roman"/>
          <w:sz w:val="24"/>
          <w:szCs w:val="24"/>
        </w:rPr>
        <w:tab/>
        <w:t>Presentation of Data and Analysis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39</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4.2</w:t>
      </w:r>
      <w:r w:rsidRPr="00481388">
        <w:rPr>
          <w:rFonts w:ascii="Times New Roman" w:hAnsi="Times New Roman"/>
          <w:sz w:val="24"/>
          <w:szCs w:val="24"/>
        </w:rPr>
        <w:tab/>
        <w:t>Testing of Hypothesis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49</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4.3</w:t>
      </w:r>
      <w:r w:rsidRPr="00481388">
        <w:rPr>
          <w:rFonts w:ascii="Times New Roman" w:hAnsi="Times New Roman"/>
          <w:sz w:val="24"/>
          <w:szCs w:val="24"/>
        </w:rPr>
        <w:tab/>
        <w:t>Discussion of findings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50</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b/>
          <w:bCs/>
          <w:sz w:val="24"/>
          <w:szCs w:val="24"/>
        </w:rPr>
        <w:t xml:space="preserve">CHAPTER FIVE:  </w:t>
      </w:r>
      <w:r w:rsidRPr="00481388">
        <w:rPr>
          <w:rFonts w:ascii="Times New Roman" w:hAnsi="Times New Roman"/>
          <w:b/>
          <w:sz w:val="24"/>
          <w:szCs w:val="24"/>
        </w:rPr>
        <w:t>SUMMARY, CONCLUSION AND RECOMMENDATIONS</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5.1</w:t>
      </w:r>
      <w:r w:rsidRPr="00481388">
        <w:rPr>
          <w:rFonts w:ascii="Times New Roman" w:hAnsi="Times New Roman"/>
          <w:sz w:val="24"/>
          <w:szCs w:val="24"/>
        </w:rPr>
        <w:tab/>
        <w:t>Summary</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51</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5.2</w:t>
      </w:r>
      <w:r w:rsidRPr="00481388">
        <w:rPr>
          <w:rFonts w:ascii="Times New Roman" w:hAnsi="Times New Roman"/>
          <w:sz w:val="24"/>
          <w:szCs w:val="24"/>
        </w:rPr>
        <w:tab/>
        <w:t xml:space="preserve">Conclusion </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55</w:t>
      </w:r>
    </w:p>
    <w:p w:rsidR="00171711" w:rsidRPr="00481388"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5.3</w:t>
      </w:r>
      <w:r w:rsidRPr="00481388">
        <w:rPr>
          <w:rFonts w:ascii="Times New Roman" w:hAnsi="Times New Roman"/>
          <w:sz w:val="24"/>
          <w:szCs w:val="24"/>
        </w:rPr>
        <w:tab/>
        <w:t>Recommendations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56</w:t>
      </w:r>
    </w:p>
    <w:p w:rsidR="00171711" w:rsidRDefault="00171711" w:rsidP="00171711">
      <w:pPr>
        <w:spacing w:before="120" w:after="120" w:line="360" w:lineRule="auto"/>
        <w:jc w:val="both"/>
        <w:rPr>
          <w:rFonts w:ascii="Times New Roman" w:hAnsi="Times New Roman"/>
          <w:sz w:val="24"/>
          <w:szCs w:val="24"/>
        </w:rPr>
      </w:pPr>
      <w:r w:rsidRPr="00481388">
        <w:rPr>
          <w:rFonts w:ascii="Times New Roman" w:hAnsi="Times New Roman"/>
          <w:sz w:val="24"/>
          <w:szCs w:val="24"/>
        </w:rPr>
        <w:tab/>
        <w:t>References</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59</w:t>
      </w:r>
    </w:p>
    <w:p w:rsidR="00171711" w:rsidRPr="00171711" w:rsidRDefault="00171711" w:rsidP="00171711">
      <w:pPr>
        <w:spacing w:before="120" w:after="120" w:line="360" w:lineRule="auto"/>
        <w:ind w:firstLine="720"/>
        <w:jc w:val="both"/>
        <w:rPr>
          <w:rFonts w:ascii="Times New Roman" w:hAnsi="Times New Roman"/>
          <w:sz w:val="24"/>
          <w:szCs w:val="24"/>
        </w:rPr>
      </w:pPr>
      <w:r w:rsidRPr="00481388">
        <w:rPr>
          <w:rFonts w:ascii="Times New Roman" w:hAnsi="Times New Roman"/>
          <w:sz w:val="24"/>
          <w:szCs w:val="24"/>
        </w:rPr>
        <w:t>Appendix</w:t>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r>
      <w:r w:rsidRPr="00481388">
        <w:rPr>
          <w:rFonts w:ascii="Times New Roman" w:hAnsi="Times New Roman"/>
          <w:sz w:val="24"/>
          <w:szCs w:val="24"/>
        </w:rPr>
        <w:tab/>
        <w:t>61</w:t>
      </w:r>
    </w:p>
    <w:p w:rsidR="00171711" w:rsidRDefault="00171711" w:rsidP="00A8027D">
      <w:pPr>
        <w:spacing w:after="0" w:line="360" w:lineRule="auto"/>
        <w:jc w:val="center"/>
        <w:rPr>
          <w:rFonts w:ascii="Times New Roman" w:hAnsi="Times New Roman"/>
          <w:b/>
          <w:sz w:val="24"/>
          <w:szCs w:val="24"/>
        </w:rPr>
        <w:sectPr w:rsidR="00171711" w:rsidSect="00171711">
          <w:footerReference w:type="default" r:id="rId7"/>
          <w:pgSz w:w="11520" w:h="14400"/>
          <w:pgMar w:top="1440" w:right="1440" w:bottom="1440" w:left="1440" w:header="720" w:footer="720" w:gutter="0"/>
          <w:pgNumType w:fmt="lowerRoman"/>
          <w:cols w:space="720"/>
          <w:docGrid w:linePitch="360"/>
        </w:sectPr>
      </w:pPr>
    </w:p>
    <w:p w:rsidR="00F4307F" w:rsidRPr="00B534A6" w:rsidRDefault="001D23B0" w:rsidP="00A8027D">
      <w:pPr>
        <w:spacing w:after="0" w:line="360" w:lineRule="auto"/>
        <w:jc w:val="center"/>
        <w:rPr>
          <w:rFonts w:ascii="Times New Roman" w:hAnsi="Times New Roman"/>
          <w:b/>
          <w:sz w:val="24"/>
          <w:szCs w:val="24"/>
        </w:rPr>
      </w:pPr>
      <w:r w:rsidRPr="00B534A6">
        <w:rPr>
          <w:rFonts w:ascii="Times New Roman" w:hAnsi="Times New Roman"/>
          <w:b/>
          <w:sz w:val="24"/>
          <w:szCs w:val="24"/>
        </w:rPr>
        <w:lastRenderedPageBreak/>
        <w:t>CHAPTER ONE</w:t>
      </w:r>
    </w:p>
    <w:p w:rsidR="00F4307F" w:rsidRPr="00B534A6" w:rsidRDefault="001D23B0" w:rsidP="00A8027D">
      <w:pPr>
        <w:spacing w:after="0" w:line="360" w:lineRule="auto"/>
        <w:jc w:val="center"/>
        <w:rPr>
          <w:rFonts w:ascii="Times New Roman" w:hAnsi="Times New Roman"/>
          <w:b/>
          <w:sz w:val="24"/>
          <w:szCs w:val="24"/>
        </w:rPr>
      </w:pPr>
      <w:r w:rsidRPr="00B534A6">
        <w:rPr>
          <w:rFonts w:ascii="Times New Roman" w:hAnsi="Times New Roman"/>
          <w:b/>
          <w:sz w:val="24"/>
          <w:szCs w:val="24"/>
        </w:rPr>
        <w:t>INTRODUCTION</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b/>
          <w:sz w:val="24"/>
          <w:szCs w:val="24"/>
        </w:rPr>
        <w:t>1.1 Background to the Study</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Sustainability reporting has become a cornerstone of modern corporate governance, reflecting a global shift toward integrating environmental, social, and governance (ESG) considerations into business strategies. This practice involves the systematic disclosure of a firm’s non-financial performance, including its environmental impact, social responsibility initiatives, and governance structures, often guided by frameworks such as the Global Reporting Initiative (GRI), the Sustainability Accounting Standards Board (SASB), and the Task Force on Climate-related Financial Disclosures (TCFD) (GRI, 2018; TCFD, 2019). The rise of sustainability reporting is driven by increasing stakeholder demands for transparency, regulatory pressures, and the recognition that sustainable practices can enhance long-term corporate performance (KPMG, 2020).</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The evolution of sustainability reporting can be traced to the early 2000s, when voluntary disclosures began gaining traction among multinational corporations. However, the past decade has seen a significant acceleration in its adoption, particularly following the introduction of mandatory reporting frameworks like the European Union’s Non-Financial Reporting Directive (EU NFRD) in 2014, which came into effect in 2018 (European Commission, 2019). The EU NFRD requires large public-interest entities to disclose ESG-related information, setting a precedent for global regulatory trends. Similarly, voluntary frameworks like the GRI Standards and TCFD recommendations have become widely adopted, with over 10,000 organizations worldwide reporting under GRI guidelines by 2020 (GRI, 2020). These frameworks provide standardized metrics for reporting on issues such as carbon emissions, labor practices, and board diversity, enabling stakeholders to assess a firm’s sustainability performance.</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 xml:space="preserve">Sustainability reporting serves multiple purposes. First, it enhances transparency by providing stakeholders—investors, customers, employees, and regulators—with insights into a firm’s ESG performance (Hahn &amp; Kühnen, 2018). Second, it facilitates risk </w:t>
      </w:r>
      <w:r w:rsidRPr="00B534A6">
        <w:rPr>
          <w:rFonts w:ascii="Times New Roman" w:hAnsi="Times New Roman"/>
          <w:sz w:val="24"/>
          <w:szCs w:val="24"/>
        </w:rPr>
        <w:lastRenderedPageBreak/>
        <w:t>management by identifying and addressing ESG-related risks, such as climate change or supply chain disruptions (TCFD, 2019). Third, it aligns corporate strategies with stakeholder expectations, fostering trust and loyalty (López-Arceiz et al., 2018). For example, firms that disclose robust ESG data often attract socially responsible investors, reducing their cost of capital and enhancing financial performance (Eccles &amp; Serafeim, 2019).</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Corporate performance, traditionally measured through financial metrics like return on assets (ROA) and return on equity (ROE), has increasingly incorporated non-financial indicators. ROA measures a firm’s efficiency in generating profits from its assets, while ROE reflects profitability relative to shareholders’ equity (Alshehhi et al., 2018). Non-financial metrics, such as stakeholder satisfaction, carbon footprint reduction, and governance quality, are now critical components of organizational performance (Eccles &amp; Serafeim, 2019). Sustainability reporting bridges these dimensions by providing a comprehensive view of a firm’s financial and non-financial outcomes, enabling stakeholders to make informed decisions.</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Empirical evidence suggests a positive relationship between sustainability reporting and corporate performance. A meta-analysis by Alshehhi et al. (2018) across 370 studies found that 78% of the studies reported a positive correlation between ESG disclosure and financial performance, with ROA and ROE showing significant improvements in firms with robust reporting practices. Similarly, López-Arceiz et al. (2018) found that sustainability reporting enhances stakeholder trust, leading to improved financial outcomes in European firms. These findings are attributed to several factors, including enhanced brand reputation, operational efficiencies from sustainable practices, and access to capital from ESG-focused investors (KPMG, 2020).</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 xml:space="preserve">However, the impact of sustainability reporting is not uniform across contexts. In emerging markets, firms often face resource constraints that limit their ability to invest in sustainability initiatives, potentially reducing the financial benefits of reporting (Orazalin &amp; Mahmood, 2020). Additionally, the quality of sustainability reports varies, with some </w:t>
      </w:r>
      <w:r w:rsidRPr="00B534A6">
        <w:rPr>
          <w:rFonts w:ascii="Times New Roman" w:hAnsi="Times New Roman"/>
          <w:sz w:val="24"/>
          <w:szCs w:val="24"/>
        </w:rPr>
        <w:lastRenderedPageBreak/>
        <w:t>firms engaging in superficial disclosures to meet regulatory requirements, a practice known as greenwashing (Adams &amp; Abhayawansa, 2022). Greenwashing undermines stakeholder trust and may negate the performance benefits of reporting. For instance, Boiral et al. (2019) found that firms with low-quality or incomplete disclosures faced reputational risks, offsetting any financial gains from reporting.</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The global context further complicates the dynamics of sustainability reporting. In developed markets, stringent regulations and high stakeholder awareness drive the adoption of comprehensive reporting practices (European Commission, 2019). In contrast, emerging markets often lack robust regulatory frameworks, leading to inconsistent reporting standards (Orazalin &amp; Mahmood, 2020). Moreover, industry-specific factors influence the effectiveness of sustainability reporting. For example, capital-intensive industries like manufacturing and energy benefit more from sustainability initiatives due to their high environmental impact, while service-based industries may see limited financial returns (Alshehhi et al., 2018).</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Stakeholder engagement is a critical component of sustainability reporting, as it ensures that disclosures address material issues relevant to stakeholders (Hörisch et al., 2020). Effective engagement involves dialogue with investors, employees, customers, and communities to identify priorities, such as reducing carbon emissions or improving workplace diversity. Firms that integrate stakeholder feedback into their reporting processes are more likely to achieve positive performance outcomes, as engagement fosters trust and aligns corporate strategies with societal expectations (KPMG, 2020).</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 xml:space="preserve">The theoretical foundation for sustainability reporting lies in frameworks like agency theory and shareholder theory. Agency theory suggests that transparent reporting reduces information asymmetry between managers and shareholders, aligning managerial actions with shareholder interests (Hahn &amp; Kühnen, 2018). Shareholder theory posits that sustainability reporting contributes to long-term value creation by addressing ESG risks and opportunities, thereby maximizing shareholder wealth (Eccles &amp; Serafeim, 2019). </w:t>
      </w:r>
      <w:r w:rsidRPr="00B534A6">
        <w:rPr>
          <w:rFonts w:ascii="Times New Roman" w:hAnsi="Times New Roman"/>
          <w:sz w:val="24"/>
          <w:szCs w:val="24"/>
        </w:rPr>
        <w:lastRenderedPageBreak/>
        <w:t>These theories provide a lens to understand how sustainability reporting influences corporate performance.</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Despite its benefits, sustainability reporting faces challenges. The costs of data collection, verification, and compliance can be significant, particularly for small and medium-sized enterprises (SMEs) (Orazalin &amp; Mahmood, 2020). Additionally, the proliferation of reporting frameworks creates complexity, as firms must navigate overlapping requirements from GRI, SASB, and TCFD (KPMG, 2020). Harmonization efforts, such as the International Sustainability Standards Board (ISSB) established in 2021, aim to address these issues by developing a unified global standard (IFRS, 2022).</w:t>
      </w:r>
    </w:p>
    <w:p w:rsidR="00322DD3"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This study seeks to explore the impact of sustainability reporting on corporate performance, focusing on ROA, ROE, and organizational performance. By examining firms in developed and emerging markets, the study aims to provide insights into the conditions under which sustainability reporting maximizes corporate value. It also investigates the role of report quality and stakeholder engagement, addressing gaps in the literature regarding their mediating effects on performance outcomes.</w:t>
      </w:r>
    </w:p>
    <w:p w:rsidR="00F4307F" w:rsidRPr="00B534A6" w:rsidRDefault="001D23B0" w:rsidP="00B534A6">
      <w:pPr>
        <w:spacing w:after="0" w:line="360" w:lineRule="auto"/>
        <w:jc w:val="both"/>
        <w:rPr>
          <w:rFonts w:ascii="Times New Roman" w:hAnsi="Times New Roman"/>
          <w:b/>
          <w:sz w:val="24"/>
          <w:szCs w:val="24"/>
        </w:rPr>
      </w:pPr>
      <w:r w:rsidRPr="00B534A6">
        <w:rPr>
          <w:rFonts w:ascii="Times New Roman" w:hAnsi="Times New Roman"/>
          <w:b/>
          <w:sz w:val="24"/>
          <w:szCs w:val="24"/>
        </w:rPr>
        <w:t>1.2 Statement of the Problem</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The growing emphasis on sustainability reporting reflects the urgent need to address global challenges such as climate change, social inequalities, and governance failures. Firms are increasingly expected to demonstrate their commitment to sustainable development through transparent ESG disclosures (GRI, 2018). However, the extent to which sustainability reporting translates into tangible improvements in corporate performance remains a subject of debate. While some studies highlight its positive effects on financial metrics and stakeholder trust (López-Arceiz et al., 2018), others argue that the costs, inconsistencies, and risks of greenwashing may limit its benefits (Adams &amp; Abhayawansa, 2022).</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 xml:space="preserve">One critical issue is the variability in the quality of sustainability reports. High-quality reports, characterized by accurate, complete, and stakeholder-relevant disclosures, are associated with improved financial performance and stakeholder trust (Boiral et al., 2019). </w:t>
      </w:r>
      <w:r w:rsidRPr="00B534A6">
        <w:rPr>
          <w:rFonts w:ascii="Times New Roman" w:hAnsi="Times New Roman"/>
          <w:sz w:val="24"/>
          <w:szCs w:val="24"/>
        </w:rPr>
        <w:lastRenderedPageBreak/>
        <w:t>However, many firms produce low-quality reports that lack specificity or fail to address material issues, leading to skepticism about their authenticity (Adams &amp; Abhayawansa, 2022). This variability raises questions about the reliability of sustainability reporting as a tool for enhancing corporate performance.</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The relationship between sustainability reporting and financial metrics, such as ROA and ROE, is also inconsistent. While Alshehhi et al. (2018) found a positive correlation between ESG disclosure and profitability, the effect varies across industries and regions. For instance, firms in emerging markets may prioritize financial survival over ESG investments, limiting the impact of sustainability reporting (Orazalin &amp; Mahmood, 2020). Additionally, capital-intensive industries like manufacturing benefit more from sustainability initiatives due to their high environmental impact, while service-based industries may see marginal returns (Alshehhi et al., 2018).</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Stakeholder engagement, a cornerstone of effective sustainability reporting, is often inadequate. Many firms engage stakeholders superficially, failing to address material issues such as climate risks or labor conditions (Hörisch et al., 2020). This gap between reporting practices and stakeholder expectations undermines the credibility of sustainability reports and their impact on corporate performance. Without robust engagement, firms risk misaligning their sustainability strategies with stakeholder priorities, reducing the potential for performance improvements.</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The costs of sustainability reporting pose another challenge. Data collection, third-party verification, and compliance with multiple frameworks require significant resources, which may strain firms, particularly SMEs (Orazalin &amp; Mahmood, 2020). These costs may outweigh the benefits in contexts where stakeholder awareness or regulatory enforcement is low. Furthermore, the proliferation of reporting frameworks creates complexity, as firms must navigate overlapping requirements from GRI, SASB, and TCFD (KPMG, 2020).</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 xml:space="preserve">These issues highlight the need for a deeper understanding of how sustainability reporting influences corporate performance. This study aims to address these gaps by examining </w:t>
      </w:r>
      <w:r w:rsidRPr="00B534A6">
        <w:rPr>
          <w:rFonts w:ascii="Times New Roman" w:hAnsi="Times New Roman"/>
          <w:sz w:val="24"/>
          <w:szCs w:val="24"/>
        </w:rPr>
        <w:lastRenderedPageBreak/>
        <w:t>the role of reporting practices, report quality, and stakeholder engagement in driving ROA, ROE, and organizational performance. By focusing on firms across diverse industries and regions, the study seeks to provide actionable insights for managers, policymakers, and investors.</w:t>
      </w:r>
    </w:p>
    <w:p w:rsidR="002853ED" w:rsidRPr="00B534A6" w:rsidRDefault="002853ED" w:rsidP="00B534A6">
      <w:pPr>
        <w:spacing w:after="0" w:line="360" w:lineRule="auto"/>
        <w:jc w:val="both"/>
        <w:rPr>
          <w:rFonts w:ascii="Times New Roman" w:hAnsi="Times New Roman"/>
          <w:b/>
          <w:sz w:val="24"/>
          <w:szCs w:val="24"/>
        </w:rPr>
      </w:pPr>
      <w:r w:rsidRPr="00B534A6">
        <w:rPr>
          <w:rFonts w:ascii="Times New Roman" w:hAnsi="Times New Roman"/>
          <w:b/>
          <w:sz w:val="24"/>
          <w:szCs w:val="24"/>
        </w:rPr>
        <w:t>1.3 Research Questions</w:t>
      </w:r>
    </w:p>
    <w:p w:rsidR="00F12C1B" w:rsidRPr="00B534A6" w:rsidRDefault="00F12C1B" w:rsidP="00B534A6">
      <w:pPr>
        <w:spacing w:after="0" w:line="360" w:lineRule="auto"/>
        <w:jc w:val="both"/>
        <w:rPr>
          <w:rFonts w:ascii="Times New Roman" w:hAnsi="Times New Roman"/>
          <w:sz w:val="24"/>
          <w:szCs w:val="24"/>
        </w:rPr>
      </w:pPr>
      <w:r w:rsidRPr="00B534A6">
        <w:rPr>
          <w:rFonts w:ascii="Times New Roman" w:hAnsi="Times New Roman"/>
          <w:sz w:val="24"/>
          <w:szCs w:val="24"/>
        </w:rPr>
        <w:t>i.</w:t>
      </w:r>
      <w:r w:rsidRPr="00B534A6">
        <w:rPr>
          <w:rFonts w:ascii="Times New Roman" w:hAnsi="Times New Roman"/>
          <w:sz w:val="24"/>
          <w:szCs w:val="24"/>
        </w:rPr>
        <w:tab/>
      </w:r>
      <w:r w:rsidR="002853ED" w:rsidRPr="00B534A6">
        <w:rPr>
          <w:rFonts w:ascii="Times New Roman" w:hAnsi="Times New Roman"/>
          <w:sz w:val="24"/>
          <w:szCs w:val="24"/>
        </w:rPr>
        <w:t>How do sustainability reporting practices influence corporate performance?</w:t>
      </w:r>
    </w:p>
    <w:p w:rsidR="00F12C1B" w:rsidRPr="00B534A6" w:rsidRDefault="00F12C1B" w:rsidP="00B534A6">
      <w:pPr>
        <w:spacing w:after="0" w:line="360" w:lineRule="auto"/>
        <w:ind w:left="720" w:hanging="720"/>
        <w:jc w:val="both"/>
        <w:rPr>
          <w:rFonts w:ascii="Times New Roman" w:hAnsi="Times New Roman"/>
          <w:sz w:val="24"/>
          <w:szCs w:val="24"/>
        </w:rPr>
      </w:pPr>
      <w:r w:rsidRPr="00B534A6">
        <w:rPr>
          <w:rFonts w:ascii="Times New Roman" w:hAnsi="Times New Roman"/>
          <w:sz w:val="24"/>
          <w:szCs w:val="24"/>
        </w:rPr>
        <w:t>ii.</w:t>
      </w:r>
      <w:r w:rsidRPr="00B534A6">
        <w:rPr>
          <w:rFonts w:ascii="Times New Roman" w:hAnsi="Times New Roman"/>
          <w:sz w:val="24"/>
          <w:szCs w:val="24"/>
        </w:rPr>
        <w:tab/>
      </w:r>
      <w:r w:rsidR="002853ED" w:rsidRPr="00B534A6">
        <w:rPr>
          <w:rFonts w:ascii="Times New Roman" w:hAnsi="Times New Roman"/>
          <w:sz w:val="24"/>
          <w:szCs w:val="24"/>
        </w:rPr>
        <w:t>To what extent does the quality of sustainability reports affect financial performance metrics like ROA and ROE?</w:t>
      </w:r>
    </w:p>
    <w:p w:rsidR="002853ED" w:rsidRPr="00B534A6" w:rsidRDefault="00F12C1B" w:rsidP="00B534A6">
      <w:pPr>
        <w:spacing w:after="0" w:line="360" w:lineRule="auto"/>
        <w:ind w:left="720" w:hanging="720"/>
        <w:jc w:val="both"/>
        <w:rPr>
          <w:rFonts w:ascii="Times New Roman" w:hAnsi="Times New Roman"/>
          <w:sz w:val="24"/>
          <w:szCs w:val="24"/>
        </w:rPr>
      </w:pPr>
      <w:r w:rsidRPr="00B534A6">
        <w:rPr>
          <w:rFonts w:ascii="Times New Roman" w:hAnsi="Times New Roman"/>
          <w:sz w:val="24"/>
          <w:szCs w:val="24"/>
        </w:rPr>
        <w:t>iii</w:t>
      </w:r>
      <w:r w:rsidRPr="00B534A6">
        <w:rPr>
          <w:rFonts w:ascii="Times New Roman" w:hAnsi="Times New Roman"/>
          <w:sz w:val="24"/>
          <w:szCs w:val="24"/>
        </w:rPr>
        <w:tab/>
      </w:r>
      <w:r w:rsidR="002853ED" w:rsidRPr="00B534A6">
        <w:rPr>
          <w:rFonts w:ascii="Times New Roman" w:hAnsi="Times New Roman"/>
          <w:sz w:val="24"/>
          <w:szCs w:val="24"/>
        </w:rPr>
        <w:t>What role does stakeholder engagement play in mediating the relationship between sustainability reporting and corporate performance?</w:t>
      </w:r>
    </w:p>
    <w:p w:rsidR="002853ED" w:rsidRPr="00B534A6" w:rsidRDefault="002853ED" w:rsidP="00B534A6">
      <w:pPr>
        <w:spacing w:after="0" w:line="360" w:lineRule="auto"/>
        <w:jc w:val="both"/>
        <w:rPr>
          <w:rFonts w:ascii="Times New Roman" w:hAnsi="Times New Roman"/>
          <w:b/>
          <w:sz w:val="24"/>
          <w:szCs w:val="24"/>
        </w:rPr>
      </w:pPr>
      <w:r w:rsidRPr="00B534A6">
        <w:rPr>
          <w:rFonts w:ascii="Times New Roman" w:hAnsi="Times New Roman"/>
          <w:b/>
          <w:sz w:val="24"/>
          <w:szCs w:val="24"/>
        </w:rPr>
        <w:t>1.4 Objectives of the Study</w:t>
      </w:r>
    </w:p>
    <w:p w:rsidR="00F12C1B" w:rsidRPr="00B534A6" w:rsidRDefault="00F12C1B" w:rsidP="00B534A6">
      <w:pPr>
        <w:spacing w:after="0" w:line="360" w:lineRule="auto"/>
        <w:jc w:val="both"/>
        <w:rPr>
          <w:rFonts w:ascii="Times New Roman" w:hAnsi="Times New Roman"/>
          <w:sz w:val="24"/>
          <w:szCs w:val="24"/>
        </w:rPr>
      </w:pPr>
      <w:r w:rsidRPr="00B534A6">
        <w:rPr>
          <w:rFonts w:ascii="Times New Roman" w:hAnsi="Times New Roman"/>
          <w:sz w:val="24"/>
          <w:szCs w:val="24"/>
        </w:rPr>
        <w:t>i.</w:t>
      </w:r>
      <w:r w:rsidRPr="00B534A6">
        <w:rPr>
          <w:rFonts w:ascii="Times New Roman" w:hAnsi="Times New Roman"/>
          <w:sz w:val="24"/>
          <w:szCs w:val="24"/>
        </w:rPr>
        <w:tab/>
      </w:r>
      <w:r w:rsidR="002853ED" w:rsidRPr="00B534A6">
        <w:rPr>
          <w:rFonts w:ascii="Times New Roman" w:hAnsi="Times New Roman"/>
          <w:sz w:val="24"/>
          <w:szCs w:val="24"/>
        </w:rPr>
        <w:t>To examine the influence of sustainability reporting practices on corporate performance.</w:t>
      </w:r>
    </w:p>
    <w:p w:rsidR="00F12C1B" w:rsidRPr="00B534A6" w:rsidRDefault="00F12C1B" w:rsidP="00B534A6">
      <w:pPr>
        <w:spacing w:after="0" w:line="360" w:lineRule="auto"/>
        <w:jc w:val="both"/>
        <w:rPr>
          <w:rFonts w:ascii="Times New Roman" w:hAnsi="Times New Roman"/>
          <w:sz w:val="24"/>
          <w:szCs w:val="24"/>
        </w:rPr>
      </w:pPr>
      <w:r w:rsidRPr="00B534A6">
        <w:rPr>
          <w:rFonts w:ascii="Times New Roman" w:hAnsi="Times New Roman"/>
          <w:sz w:val="24"/>
          <w:szCs w:val="24"/>
        </w:rPr>
        <w:t>ii.</w:t>
      </w:r>
      <w:r w:rsidRPr="00B534A6">
        <w:rPr>
          <w:rFonts w:ascii="Times New Roman" w:hAnsi="Times New Roman"/>
          <w:sz w:val="24"/>
          <w:szCs w:val="24"/>
        </w:rPr>
        <w:tab/>
      </w:r>
      <w:r w:rsidR="002853ED" w:rsidRPr="00B534A6">
        <w:rPr>
          <w:rFonts w:ascii="Times New Roman" w:hAnsi="Times New Roman"/>
          <w:sz w:val="24"/>
          <w:szCs w:val="24"/>
        </w:rPr>
        <w:t>To assess the impact of sustainability report quality on financial performance metrics (ROA and ROE).</w:t>
      </w:r>
    </w:p>
    <w:p w:rsidR="002853ED" w:rsidRPr="00B534A6" w:rsidRDefault="00F12C1B" w:rsidP="00B534A6">
      <w:pPr>
        <w:spacing w:after="0" w:line="360" w:lineRule="auto"/>
        <w:ind w:left="720" w:hanging="720"/>
        <w:jc w:val="both"/>
        <w:rPr>
          <w:rFonts w:ascii="Times New Roman" w:hAnsi="Times New Roman"/>
          <w:sz w:val="24"/>
          <w:szCs w:val="24"/>
        </w:rPr>
      </w:pPr>
      <w:r w:rsidRPr="00B534A6">
        <w:rPr>
          <w:rFonts w:ascii="Times New Roman" w:hAnsi="Times New Roman"/>
          <w:sz w:val="24"/>
          <w:szCs w:val="24"/>
        </w:rPr>
        <w:t>iii.</w:t>
      </w:r>
      <w:r w:rsidRPr="00B534A6">
        <w:rPr>
          <w:rFonts w:ascii="Times New Roman" w:hAnsi="Times New Roman"/>
          <w:sz w:val="24"/>
          <w:szCs w:val="24"/>
        </w:rPr>
        <w:tab/>
      </w:r>
      <w:r w:rsidR="002853ED" w:rsidRPr="00B534A6">
        <w:rPr>
          <w:rFonts w:ascii="Times New Roman" w:hAnsi="Times New Roman"/>
          <w:sz w:val="24"/>
          <w:szCs w:val="24"/>
        </w:rPr>
        <w:t>To investigate the role of stakeholder engagement in the relationship between sustainability reporting and corporate performance.</w:t>
      </w:r>
    </w:p>
    <w:p w:rsidR="002853ED" w:rsidRPr="00B534A6" w:rsidRDefault="002853ED" w:rsidP="00B534A6">
      <w:pPr>
        <w:spacing w:after="0" w:line="360" w:lineRule="auto"/>
        <w:jc w:val="both"/>
        <w:rPr>
          <w:rFonts w:ascii="Times New Roman" w:hAnsi="Times New Roman"/>
          <w:b/>
          <w:sz w:val="24"/>
          <w:szCs w:val="24"/>
        </w:rPr>
      </w:pPr>
      <w:r w:rsidRPr="00B534A6">
        <w:rPr>
          <w:rFonts w:ascii="Times New Roman" w:hAnsi="Times New Roman"/>
          <w:b/>
          <w:sz w:val="24"/>
          <w:szCs w:val="24"/>
        </w:rPr>
        <w:t>1.5 Research Hypotheses</w:t>
      </w:r>
    </w:p>
    <w:p w:rsidR="002853ED" w:rsidRPr="00B534A6" w:rsidRDefault="002853ED" w:rsidP="00B534A6">
      <w:pPr>
        <w:spacing w:after="0" w:line="360" w:lineRule="auto"/>
        <w:jc w:val="both"/>
        <w:rPr>
          <w:rFonts w:ascii="Times New Roman" w:hAnsi="Times New Roman"/>
          <w:sz w:val="24"/>
          <w:szCs w:val="24"/>
        </w:rPr>
      </w:pPr>
      <w:r w:rsidRPr="00B534A6">
        <w:rPr>
          <w:rFonts w:ascii="Times New Roman" w:hAnsi="Times New Roman"/>
          <w:sz w:val="24"/>
          <w:szCs w:val="24"/>
        </w:rPr>
        <w:t>H</w:t>
      </w:r>
      <w:r w:rsidR="00F12C1B" w:rsidRPr="00B534A6">
        <w:rPr>
          <w:rFonts w:ascii="Times New Roman" w:hAnsi="Times New Roman"/>
          <w:sz w:val="24"/>
          <w:szCs w:val="24"/>
        </w:rPr>
        <w:t>0</w:t>
      </w:r>
      <w:r w:rsidRPr="00B534A6">
        <w:rPr>
          <w:rFonts w:ascii="Times New Roman" w:hAnsi="Times New Roman"/>
          <w:sz w:val="24"/>
          <w:szCs w:val="24"/>
        </w:rPr>
        <w:t xml:space="preserve">1: Sustainability reporting practices have </w:t>
      </w:r>
      <w:r w:rsidR="00565955" w:rsidRPr="00B534A6">
        <w:rPr>
          <w:rFonts w:ascii="Times New Roman" w:hAnsi="Times New Roman"/>
          <w:sz w:val="24"/>
          <w:szCs w:val="24"/>
        </w:rPr>
        <w:t>no</w:t>
      </w:r>
      <w:r w:rsidRPr="00B534A6">
        <w:rPr>
          <w:rFonts w:ascii="Times New Roman" w:hAnsi="Times New Roman"/>
          <w:sz w:val="24"/>
          <w:szCs w:val="24"/>
        </w:rPr>
        <w:t xml:space="preserve"> significant positive impact on corporate performance.</w:t>
      </w:r>
    </w:p>
    <w:p w:rsidR="00F12C1B" w:rsidRPr="00B534A6" w:rsidRDefault="002853ED" w:rsidP="00B534A6">
      <w:pPr>
        <w:spacing w:after="0" w:line="360" w:lineRule="auto"/>
        <w:jc w:val="both"/>
        <w:rPr>
          <w:rFonts w:ascii="Times New Roman" w:hAnsi="Times New Roman"/>
          <w:sz w:val="24"/>
          <w:szCs w:val="24"/>
        </w:rPr>
      </w:pPr>
      <w:r w:rsidRPr="00B534A6">
        <w:rPr>
          <w:rFonts w:ascii="Times New Roman" w:hAnsi="Times New Roman"/>
          <w:sz w:val="24"/>
          <w:szCs w:val="24"/>
        </w:rPr>
        <w:t>H</w:t>
      </w:r>
      <w:r w:rsidR="00F12C1B" w:rsidRPr="00B534A6">
        <w:rPr>
          <w:rFonts w:ascii="Times New Roman" w:hAnsi="Times New Roman"/>
          <w:sz w:val="24"/>
          <w:szCs w:val="24"/>
        </w:rPr>
        <w:t>0</w:t>
      </w:r>
      <w:r w:rsidRPr="00B534A6">
        <w:rPr>
          <w:rFonts w:ascii="Times New Roman" w:hAnsi="Times New Roman"/>
          <w:sz w:val="24"/>
          <w:szCs w:val="24"/>
        </w:rPr>
        <w:t xml:space="preserve">2: The quality of sustainability reports </w:t>
      </w:r>
      <w:r w:rsidR="00565955" w:rsidRPr="00B534A6">
        <w:rPr>
          <w:rFonts w:ascii="Times New Roman" w:hAnsi="Times New Roman"/>
          <w:sz w:val="24"/>
          <w:szCs w:val="24"/>
        </w:rPr>
        <w:t xml:space="preserve">does not </w:t>
      </w:r>
      <w:r w:rsidRPr="00B534A6">
        <w:rPr>
          <w:rFonts w:ascii="Times New Roman" w:hAnsi="Times New Roman"/>
          <w:sz w:val="24"/>
          <w:szCs w:val="24"/>
        </w:rPr>
        <w:t>positively affects ROA and ROE.</w:t>
      </w:r>
    </w:p>
    <w:p w:rsidR="002853ED" w:rsidRPr="00B534A6" w:rsidRDefault="002853ED" w:rsidP="00B534A6">
      <w:pPr>
        <w:spacing w:after="0" w:line="360" w:lineRule="auto"/>
        <w:jc w:val="both"/>
        <w:rPr>
          <w:rFonts w:ascii="Times New Roman" w:hAnsi="Times New Roman"/>
          <w:sz w:val="24"/>
          <w:szCs w:val="24"/>
        </w:rPr>
      </w:pPr>
      <w:r w:rsidRPr="00B534A6">
        <w:rPr>
          <w:rFonts w:ascii="Times New Roman" w:hAnsi="Times New Roman"/>
          <w:sz w:val="24"/>
          <w:szCs w:val="24"/>
        </w:rPr>
        <w:t>H</w:t>
      </w:r>
      <w:r w:rsidR="00F12C1B" w:rsidRPr="00B534A6">
        <w:rPr>
          <w:rFonts w:ascii="Times New Roman" w:hAnsi="Times New Roman"/>
          <w:sz w:val="24"/>
          <w:szCs w:val="24"/>
        </w:rPr>
        <w:t>0</w:t>
      </w:r>
      <w:r w:rsidRPr="00B534A6">
        <w:rPr>
          <w:rFonts w:ascii="Times New Roman" w:hAnsi="Times New Roman"/>
          <w:sz w:val="24"/>
          <w:szCs w:val="24"/>
        </w:rPr>
        <w:t xml:space="preserve">3: Effective stakeholder engagement </w:t>
      </w:r>
      <w:r w:rsidR="004249D3" w:rsidRPr="00B534A6">
        <w:rPr>
          <w:rFonts w:ascii="Times New Roman" w:hAnsi="Times New Roman"/>
          <w:sz w:val="24"/>
          <w:szCs w:val="24"/>
        </w:rPr>
        <w:t xml:space="preserve">does not </w:t>
      </w:r>
      <w:r w:rsidR="00CE715D" w:rsidRPr="00B534A6">
        <w:rPr>
          <w:rFonts w:ascii="Times New Roman" w:hAnsi="Times New Roman"/>
          <w:sz w:val="24"/>
          <w:szCs w:val="24"/>
        </w:rPr>
        <w:t>enhance</w:t>
      </w:r>
      <w:r w:rsidRPr="00B534A6">
        <w:rPr>
          <w:rFonts w:ascii="Times New Roman" w:hAnsi="Times New Roman"/>
          <w:sz w:val="24"/>
          <w:szCs w:val="24"/>
        </w:rPr>
        <w:t xml:space="preserve"> the relationship between sustainability reporting and corporate performance.</w:t>
      </w:r>
    </w:p>
    <w:p w:rsidR="002853ED" w:rsidRPr="00B534A6" w:rsidRDefault="002853ED" w:rsidP="00B534A6">
      <w:pPr>
        <w:spacing w:after="0" w:line="360" w:lineRule="auto"/>
        <w:jc w:val="both"/>
        <w:rPr>
          <w:rFonts w:ascii="Times New Roman" w:hAnsi="Times New Roman"/>
          <w:b/>
          <w:sz w:val="24"/>
          <w:szCs w:val="24"/>
        </w:rPr>
      </w:pPr>
      <w:r w:rsidRPr="00B534A6">
        <w:rPr>
          <w:rFonts w:ascii="Times New Roman" w:hAnsi="Times New Roman"/>
          <w:b/>
          <w:sz w:val="24"/>
          <w:szCs w:val="24"/>
        </w:rPr>
        <w:t>1.6 Significance of the Study</w:t>
      </w:r>
    </w:p>
    <w:p w:rsidR="00F12C1B" w:rsidRPr="00B534A6" w:rsidRDefault="002853ED" w:rsidP="00B534A6">
      <w:pPr>
        <w:spacing w:after="0" w:line="360" w:lineRule="auto"/>
        <w:jc w:val="both"/>
        <w:rPr>
          <w:rFonts w:ascii="Times New Roman" w:hAnsi="Times New Roman"/>
          <w:sz w:val="24"/>
          <w:szCs w:val="24"/>
        </w:rPr>
      </w:pPr>
      <w:r w:rsidRPr="00B534A6">
        <w:rPr>
          <w:rFonts w:ascii="Times New Roman" w:hAnsi="Times New Roman"/>
          <w:sz w:val="24"/>
          <w:szCs w:val="24"/>
        </w:rPr>
        <w:t xml:space="preserve">This study contributes to the growing body of knowledge on sustainability reporting by providing empirical evidence on its impact on corporate performance. </w:t>
      </w:r>
    </w:p>
    <w:p w:rsidR="00F12C1B" w:rsidRPr="00B534A6" w:rsidRDefault="002853ED" w:rsidP="00B534A6">
      <w:pPr>
        <w:spacing w:after="0" w:line="360" w:lineRule="auto"/>
        <w:jc w:val="both"/>
        <w:rPr>
          <w:rFonts w:ascii="Times New Roman" w:hAnsi="Times New Roman"/>
          <w:sz w:val="24"/>
          <w:szCs w:val="24"/>
        </w:rPr>
      </w:pPr>
      <w:r w:rsidRPr="00B534A6">
        <w:rPr>
          <w:rFonts w:ascii="Times New Roman" w:hAnsi="Times New Roman"/>
          <w:sz w:val="24"/>
          <w:szCs w:val="24"/>
        </w:rPr>
        <w:t xml:space="preserve">It offers practical insights for corporate managers, policymakers, and investors seeking to align sustainability initiatives with financial objectives. </w:t>
      </w:r>
    </w:p>
    <w:p w:rsidR="00F12C1B" w:rsidRPr="00B534A6" w:rsidRDefault="002853ED" w:rsidP="00B534A6">
      <w:pPr>
        <w:spacing w:after="0" w:line="360" w:lineRule="auto"/>
        <w:jc w:val="both"/>
        <w:rPr>
          <w:rFonts w:ascii="Times New Roman" w:hAnsi="Times New Roman"/>
          <w:sz w:val="24"/>
          <w:szCs w:val="24"/>
        </w:rPr>
      </w:pPr>
      <w:r w:rsidRPr="00B534A6">
        <w:rPr>
          <w:rFonts w:ascii="Times New Roman" w:hAnsi="Times New Roman"/>
          <w:sz w:val="24"/>
          <w:szCs w:val="24"/>
        </w:rPr>
        <w:lastRenderedPageBreak/>
        <w:t xml:space="preserve">By examining the role of report quality and stakeholder engagement, the study addresses critical gaps in the literature, particularly in the context of emerging markets. </w:t>
      </w:r>
    </w:p>
    <w:p w:rsidR="002853ED" w:rsidRPr="00B534A6" w:rsidRDefault="002853ED" w:rsidP="00B534A6">
      <w:pPr>
        <w:spacing w:after="0" w:line="360" w:lineRule="auto"/>
        <w:jc w:val="both"/>
        <w:rPr>
          <w:rFonts w:ascii="Times New Roman" w:hAnsi="Times New Roman"/>
          <w:sz w:val="24"/>
          <w:szCs w:val="24"/>
        </w:rPr>
      </w:pPr>
      <w:r w:rsidRPr="00B534A6">
        <w:rPr>
          <w:rFonts w:ascii="Times New Roman" w:hAnsi="Times New Roman"/>
          <w:sz w:val="24"/>
          <w:szCs w:val="24"/>
        </w:rPr>
        <w:t>Additionally, the findings will inform regulatory bodies in refining sustainability reporting frameworks to maximize their effectiveness.</w:t>
      </w:r>
    </w:p>
    <w:p w:rsidR="002853ED" w:rsidRPr="00B534A6" w:rsidRDefault="002853ED" w:rsidP="00B534A6">
      <w:pPr>
        <w:spacing w:after="0" w:line="360" w:lineRule="auto"/>
        <w:jc w:val="both"/>
        <w:rPr>
          <w:rFonts w:ascii="Times New Roman" w:hAnsi="Times New Roman"/>
          <w:b/>
          <w:sz w:val="24"/>
          <w:szCs w:val="24"/>
        </w:rPr>
      </w:pPr>
      <w:r w:rsidRPr="00B534A6">
        <w:rPr>
          <w:rFonts w:ascii="Times New Roman" w:hAnsi="Times New Roman"/>
          <w:b/>
          <w:sz w:val="24"/>
          <w:szCs w:val="24"/>
        </w:rPr>
        <w:t>1.7 Scope of the Study</w:t>
      </w:r>
    </w:p>
    <w:p w:rsidR="002853ED" w:rsidRPr="00B534A6" w:rsidRDefault="002853ED" w:rsidP="00B534A6">
      <w:pPr>
        <w:spacing w:after="0" w:line="360" w:lineRule="auto"/>
        <w:jc w:val="both"/>
        <w:rPr>
          <w:rFonts w:ascii="Times New Roman" w:hAnsi="Times New Roman"/>
          <w:sz w:val="24"/>
          <w:szCs w:val="24"/>
        </w:rPr>
      </w:pPr>
      <w:r w:rsidRPr="00B534A6">
        <w:rPr>
          <w:rFonts w:ascii="Times New Roman" w:hAnsi="Times New Roman"/>
          <w:sz w:val="24"/>
          <w:szCs w:val="24"/>
        </w:rPr>
        <w:t xml:space="preserve">The study focuses on </w:t>
      </w:r>
      <w:r w:rsidR="00D754F4" w:rsidRPr="00B534A6">
        <w:rPr>
          <w:rFonts w:ascii="Times New Roman" w:hAnsi="Times New Roman"/>
          <w:sz w:val="24"/>
          <w:szCs w:val="24"/>
        </w:rPr>
        <w:t xml:space="preserve">the impact of sustainability reporting on corporate performance of selected quoted companies in Nigeria using a case listed manufacturing companies in Ilorin </w:t>
      </w:r>
      <w:r w:rsidRPr="00B534A6">
        <w:rPr>
          <w:rFonts w:ascii="Times New Roman" w:hAnsi="Times New Roman"/>
          <w:sz w:val="24"/>
          <w:szCs w:val="24"/>
        </w:rPr>
        <w:t>publicly listed firms across various industries in developed and emerging markets, covering the period from 20</w:t>
      </w:r>
      <w:r w:rsidR="00B64555" w:rsidRPr="00B534A6">
        <w:rPr>
          <w:rFonts w:ascii="Times New Roman" w:hAnsi="Times New Roman"/>
          <w:sz w:val="24"/>
          <w:szCs w:val="24"/>
        </w:rPr>
        <w:t>20</w:t>
      </w:r>
      <w:r w:rsidRPr="00B534A6">
        <w:rPr>
          <w:rFonts w:ascii="Times New Roman" w:hAnsi="Times New Roman"/>
          <w:sz w:val="24"/>
          <w:szCs w:val="24"/>
        </w:rPr>
        <w:t xml:space="preserve"> to 2024. It examines sustainability reporting practices, report quality, stakeholder engagement, and their impact on ROA, ROE, and organizational performance. The study adopts the GRI framework as the primary reference for sustainability reporting standards.</w:t>
      </w:r>
    </w:p>
    <w:p w:rsidR="002853ED" w:rsidRPr="00B534A6" w:rsidRDefault="002853ED" w:rsidP="00B534A6">
      <w:pPr>
        <w:spacing w:after="0" w:line="360" w:lineRule="auto"/>
        <w:jc w:val="both"/>
        <w:rPr>
          <w:rFonts w:ascii="Times New Roman" w:hAnsi="Times New Roman"/>
          <w:b/>
          <w:sz w:val="24"/>
          <w:szCs w:val="24"/>
        </w:rPr>
      </w:pPr>
      <w:r w:rsidRPr="00B534A6">
        <w:rPr>
          <w:rFonts w:ascii="Times New Roman" w:hAnsi="Times New Roman"/>
          <w:b/>
          <w:sz w:val="24"/>
          <w:szCs w:val="24"/>
        </w:rPr>
        <w:t>1.8 Limitation of the Study</w:t>
      </w:r>
    </w:p>
    <w:p w:rsidR="00541786" w:rsidRDefault="00FD3A05" w:rsidP="00B534A6">
      <w:pPr>
        <w:numPr>
          <w:ilvl w:val="0"/>
          <w:numId w:val="7"/>
        </w:numPr>
        <w:spacing w:after="0" w:line="360" w:lineRule="auto"/>
        <w:ind w:left="360"/>
        <w:jc w:val="both"/>
        <w:rPr>
          <w:rFonts w:ascii="Times New Roman" w:eastAsia="Times New Roman" w:hAnsi="Times New Roman"/>
          <w:sz w:val="24"/>
          <w:szCs w:val="24"/>
        </w:rPr>
      </w:pPr>
      <w:r w:rsidRPr="00B534A6">
        <w:rPr>
          <w:rFonts w:ascii="Times New Roman" w:eastAsia="Times New Roman" w:hAnsi="Times New Roman"/>
          <w:sz w:val="24"/>
          <w:szCs w:val="24"/>
        </w:rPr>
        <w:t>Limited access to comprehensive data on creative accounting practices due to their secretive nature.</w:t>
      </w:r>
      <w:r w:rsidR="00541786">
        <w:rPr>
          <w:rFonts w:ascii="Times New Roman" w:eastAsia="Times New Roman" w:hAnsi="Times New Roman"/>
          <w:sz w:val="24"/>
          <w:szCs w:val="24"/>
        </w:rPr>
        <w:t xml:space="preserve"> </w:t>
      </w:r>
      <w:r w:rsidRPr="00541786">
        <w:rPr>
          <w:rFonts w:ascii="Times New Roman" w:eastAsia="Times New Roman" w:hAnsi="Times New Roman"/>
          <w:sz w:val="24"/>
          <w:szCs w:val="24"/>
        </w:rPr>
        <w:t>The study relies on primary data, supplemented by qualitative insights from industry experts.</w:t>
      </w:r>
    </w:p>
    <w:p w:rsidR="00541786" w:rsidRDefault="00FD3A05" w:rsidP="00B534A6">
      <w:pPr>
        <w:numPr>
          <w:ilvl w:val="0"/>
          <w:numId w:val="7"/>
        </w:numPr>
        <w:spacing w:after="0" w:line="360" w:lineRule="auto"/>
        <w:ind w:left="360"/>
        <w:jc w:val="both"/>
        <w:rPr>
          <w:rFonts w:ascii="Times New Roman" w:eastAsia="Times New Roman" w:hAnsi="Times New Roman"/>
          <w:sz w:val="24"/>
          <w:szCs w:val="24"/>
        </w:rPr>
      </w:pPr>
      <w:r w:rsidRPr="00541786">
        <w:rPr>
          <w:rFonts w:ascii="Times New Roman" w:eastAsia="Times New Roman" w:hAnsi="Times New Roman"/>
          <w:sz w:val="24"/>
          <w:szCs w:val="24"/>
        </w:rPr>
        <w:t>Potential bias in self-reported data from bank managers or auditors. The study triangulates data from multiple sources, including independent audit reports and regulatory findings, to ensure reliability.</w:t>
      </w:r>
    </w:p>
    <w:p w:rsidR="00FD3A05" w:rsidRPr="00541786" w:rsidRDefault="00FD3A05" w:rsidP="00B534A6">
      <w:pPr>
        <w:numPr>
          <w:ilvl w:val="0"/>
          <w:numId w:val="7"/>
        </w:numPr>
        <w:spacing w:after="0" w:line="360" w:lineRule="auto"/>
        <w:ind w:left="360"/>
        <w:jc w:val="both"/>
        <w:rPr>
          <w:rFonts w:ascii="Times New Roman" w:eastAsia="Times New Roman" w:hAnsi="Times New Roman"/>
          <w:sz w:val="24"/>
          <w:szCs w:val="24"/>
        </w:rPr>
      </w:pPr>
      <w:r w:rsidRPr="00541786">
        <w:rPr>
          <w:rFonts w:ascii="Times New Roman" w:eastAsia="Times New Roman" w:hAnsi="Times New Roman"/>
          <w:sz w:val="24"/>
          <w:szCs w:val="24"/>
        </w:rPr>
        <w:t>The dynamic nature of accounting standards and regulations may affect the generalizability of findings.</w:t>
      </w:r>
    </w:p>
    <w:p w:rsidR="002853ED" w:rsidRPr="00B534A6" w:rsidRDefault="00541786" w:rsidP="00B534A6">
      <w:pPr>
        <w:spacing w:after="0" w:line="360" w:lineRule="auto"/>
        <w:jc w:val="both"/>
        <w:rPr>
          <w:rFonts w:ascii="Times New Roman" w:hAnsi="Times New Roman"/>
          <w:b/>
          <w:sz w:val="24"/>
          <w:szCs w:val="24"/>
        </w:rPr>
      </w:pPr>
      <w:r>
        <w:rPr>
          <w:rFonts w:ascii="Times New Roman" w:hAnsi="Times New Roman"/>
          <w:b/>
          <w:sz w:val="24"/>
          <w:szCs w:val="24"/>
        </w:rPr>
        <w:br w:type="page"/>
      </w:r>
      <w:r w:rsidR="002853ED" w:rsidRPr="00B534A6">
        <w:rPr>
          <w:rFonts w:ascii="Times New Roman" w:hAnsi="Times New Roman"/>
          <w:b/>
          <w:sz w:val="24"/>
          <w:szCs w:val="24"/>
        </w:rPr>
        <w:lastRenderedPageBreak/>
        <w:t>1.9 Definition of Terms</w:t>
      </w:r>
    </w:p>
    <w:p w:rsidR="00541786" w:rsidRDefault="00541786" w:rsidP="00B534A6">
      <w:pPr>
        <w:numPr>
          <w:ilvl w:val="0"/>
          <w:numId w:val="8"/>
        </w:numPr>
        <w:spacing w:after="0" w:line="360" w:lineRule="auto"/>
        <w:ind w:left="360"/>
        <w:jc w:val="both"/>
        <w:rPr>
          <w:rFonts w:ascii="Times New Roman" w:hAnsi="Times New Roman"/>
          <w:sz w:val="24"/>
          <w:szCs w:val="24"/>
        </w:rPr>
      </w:pPr>
      <w:r w:rsidRPr="00541786">
        <w:rPr>
          <w:rFonts w:ascii="Times New Roman" w:hAnsi="Times New Roman"/>
          <w:b/>
          <w:sz w:val="24"/>
          <w:szCs w:val="24"/>
        </w:rPr>
        <w:t>Sustainability Reporting</w:t>
      </w:r>
      <w:r w:rsidR="002853ED" w:rsidRPr="00541786">
        <w:rPr>
          <w:rFonts w:ascii="Times New Roman" w:hAnsi="Times New Roman"/>
          <w:b/>
          <w:sz w:val="24"/>
          <w:szCs w:val="24"/>
        </w:rPr>
        <w:t>:</w:t>
      </w:r>
      <w:r w:rsidR="002853ED" w:rsidRPr="00B534A6">
        <w:rPr>
          <w:rFonts w:ascii="Times New Roman" w:hAnsi="Times New Roman"/>
          <w:sz w:val="24"/>
          <w:szCs w:val="24"/>
        </w:rPr>
        <w:t xml:space="preserve"> The disclosure of a firm’s environmental, social, and governance (ESG) performance (GRI, 2018).</w:t>
      </w:r>
    </w:p>
    <w:p w:rsidR="00541786" w:rsidRDefault="002853ED" w:rsidP="00B534A6">
      <w:pPr>
        <w:numPr>
          <w:ilvl w:val="0"/>
          <w:numId w:val="8"/>
        </w:numPr>
        <w:spacing w:after="0" w:line="360" w:lineRule="auto"/>
        <w:ind w:left="360"/>
        <w:jc w:val="both"/>
        <w:rPr>
          <w:rFonts w:ascii="Times New Roman" w:hAnsi="Times New Roman"/>
          <w:sz w:val="24"/>
          <w:szCs w:val="24"/>
        </w:rPr>
      </w:pPr>
      <w:r w:rsidRPr="00541786">
        <w:rPr>
          <w:rFonts w:ascii="Times New Roman" w:hAnsi="Times New Roman"/>
          <w:b/>
          <w:sz w:val="24"/>
          <w:szCs w:val="24"/>
        </w:rPr>
        <w:t>Co</w:t>
      </w:r>
      <w:r w:rsidR="00541786">
        <w:rPr>
          <w:rFonts w:ascii="Times New Roman" w:hAnsi="Times New Roman"/>
          <w:b/>
          <w:sz w:val="24"/>
          <w:szCs w:val="24"/>
        </w:rPr>
        <w:t>rporate Performance</w:t>
      </w:r>
      <w:r w:rsidRPr="00541786">
        <w:rPr>
          <w:rFonts w:ascii="Times New Roman" w:hAnsi="Times New Roman"/>
          <w:b/>
          <w:sz w:val="24"/>
          <w:szCs w:val="24"/>
        </w:rPr>
        <w:t>:</w:t>
      </w:r>
      <w:r w:rsidRPr="00541786">
        <w:rPr>
          <w:rFonts w:ascii="Times New Roman" w:hAnsi="Times New Roman"/>
          <w:sz w:val="24"/>
          <w:szCs w:val="24"/>
        </w:rPr>
        <w:t xml:space="preserve"> The overall effectiveness of a firm, measured through financial and non-financial indicators (Eccles &amp; Serafeim, 2019).</w:t>
      </w:r>
    </w:p>
    <w:p w:rsidR="00541786" w:rsidRDefault="00541786" w:rsidP="00B534A6">
      <w:pPr>
        <w:numPr>
          <w:ilvl w:val="0"/>
          <w:numId w:val="8"/>
        </w:numPr>
        <w:spacing w:after="0" w:line="360" w:lineRule="auto"/>
        <w:ind w:left="360"/>
        <w:jc w:val="both"/>
        <w:rPr>
          <w:rFonts w:ascii="Times New Roman" w:hAnsi="Times New Roman"/>
          <w:sz w:val="24"/>
          <w:szCs w:val="24"/>
        </w:rPr>
      </w:pPr>
      <w:r>
        <w:rPr>
          <w:rFonts w:ascii="Times New Roman" w:hAnsi="Times New Roman"/>
          <w:b/>
          <w:sz w:val="24"/>
          <w:szCs w:val="24"/>
        </w:rPr>
        <w:t>Return on Assets (ROA)</w:t>
      </w:r>
      <w:r w:rsidR="002853ED" w:rsidRPr="00541786">
        <w:rPr>
          <w:rFonts w:ascii="Times New Roman" w:hAnsi="Times New Roman"/>
          <w:b/>
          <w:sz w:val="24"/>
          <w:szCs w:val="24"/>
        </w:rPr>
        <w:t>:</w:t>
      </w:r>
      <w:r w:rsidR="002853ED" w:rsidRPr="00541786">
        <w:rPr>
          <w:rFonts w:ascii="Times New Roman" w:hAnsi="Times New Roman"/>
          <w:sz w:val="24"/>
          <w:szCs w:val="24"/>
        </w:rPr>
        <w:t xml:space="preserve"> A financial metric indicating the efficiency of asset utilization in generating profits (Alshehhi et al., 2018).</w:t>
      </w:r>
    </w:p>
    <w:p w:rsidR="00541786" w:rsidRDefault="00541786" w:rsidP="00B534A6">
      <w:pPr>
        <w:numPr>
          <w:ilvl w:val="0"/>
          <w:numId w:val="8"/>
        </w:numPr>
        <w:spacing w:after="0" w:line="360" w:lineRule="auto"/>
        <w:ind w:left="360"/>
        <w:jc w:val="both"/>
        <w:rPr>
          <w:rFonts w:ascii="Times New Roman" w:hAnsi="Times New Roman"/>
          <w:sz w:val="24"/>
          <w:szCs w:val="24"/>
        </w:rPr>
      </w:pPr>
      <w:r>
        <w:rPr>
          <w:rFonts w:ascii="Times New Roman" w:hAnsi="Times New Roman"/>
          <w:b/>
          <w:sz w:val="24"/>
          <w:szCs w:val="24"/>
        </w:rPr>
        <w:t>Return on Equity (ROE)</w:t>
      </w:r>
      <w:r w:rsidR="002853ED" w:rsidRPr="00541786">
        <w:rPr>
          <w:rFonts w:ascii="Times New Roman" w:hAnsi="Times New Roman"/>
          <w:b/>
          <w:sz w:val="24"/>
          <w:szCs w:val="24"/>
        </w:rPr>
        <w:t>:</w:t>
      </w:r>
      <w:r w:rsidR="002853ED" w:rsidRPr="00541786">
        <w:rPr>
          <w:rFonts w:ascii="Times New Roman" w:hAnsi="Times New Roman"/>
          <w:sz w:val="24"/>
          <w:szCs w:val="24"/>
        </w:rPr>
        <w:t xml:space="preserve"> A measure of profitability relative to shareholders’ equity (López-Arceiz et al., 2018).</w:t>
      </w:r>
    </w:p>
    <w:p w:rsidR="00541786" w:rsidRDefault="00541786" w:rsidP="00B534A6">
      <w:pPr>
        <w:numPr>
          <w:ilvl w:val="0"/>
          <w:numId w:val="8"/>
        </w:numPr>
        <w:spacing w:after="0" w:line="360" w:lineRule="auto"/>
        <w:ind w:left="360"/>
        <w:jc w:val="both"/>
        <w:rPr>
          <w:rFonts w:ascii="Times New Roman" w:hAnsi="Times New Roman"/>
          <w:sz w:val="24"/>
          <w:szCs w:val="24"/>
        </w:rPr>
      </w:pPr>
      <w:r>
        <w:rPr>
          <w:rFonts w:ascii="Times New Roman" w:hAnsi="Times New Roman"/>
          <w:b/>
          <w:sz w:val="24"/>
          <w:szCs w:val="24"/>
        </w:rPr>
        <w:t>Stakeholder Engagement</w:t>
      </w:r>
      <w:r w:rsidR="002853ED" w:rsidRPr="00541786">
        <w:rPr>
          <w:rFonts w:ascii="Times New Roman" w:hAnsi="Times New Roman"/>
          <w:b/>
          <w:sz w:val="24"/>
          <w:szCs w:val="24"/>
        </w:rPr>
        <w:t>:</w:t>
      </w:r>
      <w:r w:rsidR="002853ED" w:rsidRPr="00541786">
        <w:rPr>
          <w:rFonts w:ascii="Times New Roman" w:hAnsi="Times New Roman"/>
          <w:sz w:val="24"/>
          <w:szCs w:val="24"/>
        </w:rPr>
        <w:t xml:space="preserve"> The process of involving stakeholders in a firm’s decision-making and reporting processes (Hörisch et al., 2020).</w:t>
      </w:r>
    </w:p>
    <w:p w:rsidR="00541786" w:rsidRDefault="00541786" w:rsidP="00B534A6">
      <w:pPr>
        <w:numPr>
          <w:ilvl w:val="0"/>
          <w:numId w:val="8"/>
        </w:numPr>
        <w:spacing w:after="0" w:line="360" w:lineRule="auto"/>
        <w:ind w:left="360"/>
        <w:jc w:val="both"/>
        <w:rPr>
          <w:rFonts w:ascii="Times New Roman" w:hAnsi="Times New Roman"/>
          <w:sz w:val="24"/>
          <w:szCs w:val="24"/>
        </w:rPr>
      </w:pPr>
      <w:r>
        <w:rPr>
          <w:rFonts w:ascii="Times New Roman" w:hAnsi="Times New Roman"/>
          <w:b/>
          <w:sz w:val="24"/>
          <w:szCs w:val="24"/>
        </w:rPr>
        <w:t>ESG</w:t>
      </w:r>
      <w:r w:rsidR="002853ED" w:rsidRPr="00541786">
        <w:rPr>
          <w:rFonts w:ascii="Times New Roman" w:hAnsi="Times New Roman"/>
          <w:b/>
          <w:sz w:val="24"/>
          <w:szCs w:val="24"/>
        </w:rPr>
        <w:t>:</w:t>
      </w:r>
      <w:r w:rsidR="002853ED" w:rsidRPr="00541786">
        <w:rPr>
          <w:rFonts w:ascii="Times New Roman" w:hAnsi="Times New Roman"/>
          <w:sz w:val="24"/>
          <w:szCs w:val="24"/>
        </w:rPr>
        <w:t xml:space="preserve"> Environmental, social, and governance factors influencing corporate performance (KPMG, 2020).</w:t>
      </w:r>
    </w:p>
    <w:p w:rsidR="00541786" w:rsidRDefault="00541786" w:rsidP="00B534A6">
      <w:pPr>
        <w:numPr>
          <w:ilvl w:val="0"/>
          <w:numId w:val="8"/>
        </w:numPr>
        <w:spacing w:after="0" w:line="360" w:lineRule="auto"/>
        <w:ind w:left="360"/>
        <w:jc w:val="both"/>
        <w:rPr>
          <w:rFonts w:ascii="Times New Roman" w:hAnsi="Times New Roman"/>
          <w:sz w:val="24"/>
          <w:szCs w:val="24"/>
        </w:rPr>
      </w:pPr>
      <w:r>
        <w:rPr>
          <w:rFonts w:ascii="Times New Roman" w:hAnsi="Times New Roman"/>
          <w:b/>
          <w:sz w:val="24"/>
          <w:szCs w:val="24"/>
        </w:rPr>
        <w:t>GRI Standards</w:t>
      </w:r>
      <w:r w:rsidR="002853ED" w:rsidRPr="00541786">
        <w:rPr>
          <w:rFonts w:ascii="Times New Roman" w:hAnsi="Times New Roman"/>
          <w:b/>
          <w:sz w:val="24"/>
          <w:szCs w:val="24"/>
        </w:rPr>
        <w:t>:</w:t>
      </w:r>
      <w:r w:rsidR="002853ED" w:rsidRPr="00541786">
        <w:rPr>
          <w:rFonts w:ascii="Times New Roman" w:hAnsi="Times New Roman"/>
          <w:sz w:val="24"/>
          <w:szCs w:val="24"/>
        </w:rPr>
        <w:t xml:space="preserve"> Globally recognized guidelines for sustainability reporting (GRI, 2018).</w:t>
      </w:r>
    </w:p>
    <w:p w:rsidR="00541786" w:rsidRDefault="00541786" w:rsidP="00B534A6">
      <w:pPr>
        <w:numPr>
          <w:ilvl w:val="0"/>
          <w:numId w:val="8"/>
        </w:numPr>
        <w:spacing w:after="0" w:line="360" w:lineRule="auto"/>
        <w:ind w:left="360"/>
        <w:jc w:val="both"/>
        <w:rPr>
          <w:rFonts w:ascii="Times New Roman" w:hAnsi="Times New Roman"/>
          <w:sz w:val="24"/>
          <w:szCs w:val="24"/>
        </w:rPr>
      </w:pPr>
      <w:r>
        <w:rPr>
          <w:rFonts w:ascii="Times New Roman" w:hAnsi="Times New Roman"/>
          <w:b/>
          <w:sz w:val="24"/>
          <w:szCs w:val="24"/>
        </w:rPr>
        <w:t>Greenwashing</w:t>
      </w:r>
      <w:r w:rsidR="002853ED" w:rsidRPr="00541786">
        <w:rPr>
          <w:rFonts w:ascii="Times New Roman" w:hAnsi="Times New Roman"/>
          <w:b/>
          <w:sz w:val="24"/>
          <w:szCs w:val="24"/>
        </w:rPr>
        <w:t>:</w:t>
      </w:r>
      <w:r w:rsidR="002853ED" w:rsidRPr="00541786">
        <w:rPr>
          <w:rFonts w:ascii="Times New Roman" w:hAnsi="Times New Roman"/>
          <w:sz w:val="24"/>
          <w:szCs w:val="24"/>
        </w:rPr>
        <w:t xml:space="preserve"> The practice of making misleading claims about a firm’s sustainability efforts (Adams &amp; Abhayawansa, 2022).</w:t>
      </w:r>
    </w:p>
    <w:p w:rsidR="00541786" w:rsidRDefault="00541786" w:rsidP="00B534A6">
      <w:pPr>
        <w:numPr>
          <w:ilvl w:val="0"/>
          <w:numId w:val="8"/>
        </w:numPr>
        <w:spacing w:after="0" w:line="360" w:lineRule="auto"/>
        <w:ind w:left="360"/>
        <w:jc w:val="both"/>
        <w:rPr>
          <w:rFonts w:ascii="Times New Roman" w:hAnsi="Times New Roman"/>
          <w:sz w:val="24"/>
          <w:szCs w:val="24"/>
        </w:rPr>
      </w:pPr>
      <w:r>
        <w:rPr>
          <w:rFonts w:ascii="Times New Roman" w:hAnsi="Times New Roman"/>
          <w:b/>
          <w:sz w:val="24"/>
          <w:szCs w:val="24"/>
        </w:rPr>
        <w:t>Non-Financial Reporting</w:t>
      </w:r>
      <w:r w:rsidR="002853ED" w:rsidRPr="00541786">
        <w:rPr>
          <w:rFonts w:ascii="Times New Roman" w:hAnsi="Times New Roman"/>
          <w:b/>
          <w:sz w:val="24"/>
          <w:szCs w:val="24"/>
        </w:rPr>
        <w:t>:</w:t>
      </w:r>
      <w:r w:rsidR="002853ED" w:rsidRPr="00541786">
        <w:rPr>
          <w:rFonts w:ascii="Times New Roman" w:hAnsi="Times New Roman"/>
          <w:sz w:val="24"/>
          <w:szCs w:val="24"/>
        </w:rPr>
        <w:t xml:space="preserve"> Disclosure of non-financial performance metrics, such as ESG data (European Commission, 2019).</w:t>
      </w:r>
    </w:p>
    <w:p w:rsidR="002853ED" w:rsidRPr="00541786" w:rsidRDefault="00541786" w:rsidP="00B534A6">
      <w:pPr>
        <w:numPr>
          <w:ilvl w:val="0"/>
          <w:numId w:val="8"/>
        </w:numPr>
        <w:spacing w:after="0" w:line="360" w:lineRule="auto"/>
        <w:ind w:left="360"/>
        <w:jc w:val="both"/>
        <w:rPr>
          <w:rFonts w:ascii="Times New Roman" w:hAnsi="Times New Roman"/>
          <w:sz w:val="24"/>
          <w:szCs w:val="24"/>
        </w:rPr>
      </w:pPr>
      <w:r>
        <w:rPr>
          <w:rFonts w:ascii="Times New Roman" w:hAnsi="Times New Roman"/>
          <w:b/>
          <w:sz w:val="24"/>
          <w:szCs w:val="24"/>
        </w:rPr>
        <w:t>Report Quality</w:t>
      </w:r>
      <w:r w:rsidR="002853ED" w:rsidRPr="00541786">
        <w:rPr>
          <w:rFonts w:ascii="Times New Roman" w:hAnsi="Times New Roman"/>
          <w:b/>
          <w:sz w:val="24"/>
          <w:szCs w:val="24"/>
        </w:rPr>
        <w:t>:</w:t>
      </w:r>
      <w:r w:rsidR="002853ED" w:rsidRPr="00541786">
        <w:rPr>
          <w:rFonts w:ascii="Times New Roman" w:hAnsi="Times New Roman"/>
          <w:sz w:val="24"/>
          <w:szCs w:val="24"/>
        </w:rPr>
        <w:t xml:space="preserve"> The accuracy, completeness, and relevance of sustainability disclosures (Boiral et al., 2019).</w:t>
      </w:r>
    </w:p>
    <w:p w:rsidR="002853ED" w:rsidRPr="00B534A6" w:rsidRDefault="002853ED" w:rsidP="00B534A6">
      <w:pPr>
        <w:spacing w:after="0" w:line="360" w:lineRule="auto"/>
        <w:jc w:val="both"/>
        <w:rPr>
          <w:rFonts w:ascii="Times New Roman" w:hAnsi="Times New Roman"/>
          <w:sz w:val="24"/>
          <w:szCs w:val="24"/>
        </w:rPr>
      </w:pPr>
    </w:p>
    <w:p w:rsidR="00F4307F" w:rsidRPr="00B534A6" w:rsidRDefault="00F4307F" w:rsidP="00B534A6">
      <w:pPr>
        <w:spacing w:after="0" w:line="360" w:lineRule="auto"/>
        <w:jc w:val="both"/>
        <w:rPr>
          <w:rFonts w:ascii="Times New Roman" w:hAnsi="Times New Roman"/>
          <w:sz w:val="24"/>
          <w:szCs w:val="24"/>
        </w:rPr>
      </w:pPr>
    </w:p>
    <w:p w:rsidR="00F4307F" w:rsidRPr="00B534A6" w:rsidRDefault="009A47BA" w:rsidP="00541786">
      <w:pPr>
        <w:spacing w:after="0" w:line="360" w:lineRule="auto"/>
        <w:jc w:val="center"/>
        <w:rPr>
          <w:rFonts w:ascii="Times New Roman" w:hAnsi="Times New Roman"/>
          <w:b/>
          <w:sz w:val="24"/>
          <w:szCs w:val="24"/>
        </w:rPr>
      </w:pPr>
      <w:r w:rsidRPr="00B534A6">
        <w:rPr>
          <w:rFonts w:ascii="Times New Roman" w:hAnsi="Times New Roman"/>
          <w:b/>
          <w:sz w:val="24"/>
          <w:szCs w:val="24"/>
        </w:rPr>
        <w:br w:type="page"/>
      </w:r>
      <w:r w:rsidR="001D23B0" w:rsidRPr="00B534A6">
        <w:rPr>
          <w:rFonts w:ascii="Times New Roman" w:hAnsi="Times New Roman"/>
          <w:b/>
          <w:sz w:val="24"/>
          <w:szCs w:val="24"/>
        </w:rPr>
        <w:lastRenderedPageBreak/>
        <w:t>CHAPTER TWO</w:t>
      </w:r>
    </w:p>
    <w:p w:rsidR="00F4307F" w:rsidRPr="00B534A6" w:rsidRDefault="001D23B0" w:rsidP="00541786">
      <w:pPr>
        <w:spacing w:after="0" w:line="360" w:lineRule="auto"/>
        <w:jc w:val="center"/>
        <w:rPr>
          <w:rFonts w:ascii="Times New Roman" w:hAnsi="Times New Roman"/>
          <w:b/>
          <w:sz w:val="24"/>
          <w:szCs w:val="24"/>
        </w:rPr>
      </w:pPr>
      <w:r w:rsidRPr="00B534A6">
        <w:rPr>
          <w:rFonts w:ascii="Times New Roman" w:hAnsi="Times New Roman"/>
          <w:b/>
          <w:sz w:val="24"/>
          <w:szCs w:val="24"/>
        </w:rPr>
        <w:t>LITERATURE REVIEW</w:t>
      </w:r>
    </w:p>
    <w:p w:rsidR="00C81357" w:rsidRPr="00B534A6" w:rsidRDefault="00C81357" w:rsidP="00B534A6">
      <w:pPr>
        <w:spacing w:after="0" w:line="360" w:lineRule="auto"/>
        <w:jc w:val="both"/>
        <w:rPr>
          <w:rFonts w:ascii="Times New Roman" w:hAnsi="Times New Roman"/>
          <w:b/>
          <w:sz w:val="24"/>
          <w:szCs w:val="24"/>
        </w:rPr>
      </w:pPr>
      <w:r w:rsidRPr="00B534A6">
        <w:rPr>
          <w:rFonts w:ascii="Times New Roman" w:hAnsi="Times New Roman"/>
          <w:b/>
          <w:sz w:val="24"/>
          <w:szCs w:val="24"/>
        </w:rPr>
        <w:t>2.1 Preamble</w:t>
      </w:r>
    </w:p>
    <w:p w:rsidR="00C81357" w:rsidRPr="00B534A6" w:rsidRDefault="00C81357" w:rsidP="00B534A6">
      <w:pPr>
        <w:spacing w:after="0" w:line="360" w:lineRule="auto"/>
        <w:jc w:val="both"/>
        <w:rPr>
          <w:rFonts w:ascii="Times New Roman" w:hAnsi="Times New Roman"/>
          <w:sz w:val="24"/>
          <w:szCs w:val="24"/>
        </w:rPr>
      </w:pPr>
      <w:r w:rsidRPr="00B534A6">
        <w:rPr>
          <w:rFonts w:ascii="Times New Roman" w:hAnsi="Times New Roman"/>
          <w:sz w:val="24"/>
          <w:szCs w:val="24"/>
        </w:rPr>
        <w:t>This chapter reviews the theoretical, conceptual, and empirical literature on sustainability reporting and its impact on corporate performance. It explores key concepts such as sustainability reporting practices, report quality, stakeholder engagement, ROA, ROE, and organizational performance, while grounding the study in agency and shareholder theories. The empirical review synthesizes findings from recent studies to identify gaps and contextualize the research.</w:t>
      </w:r>
    </w:p>
    <w:p w:rsidR="00F4307F" w:rsidRPr="00B534A6" w:rsidRDefault="001D23B0" w:rsidP="00B534A6">
      <w:pPr>
        <w:spacing w:after="0" w:line="360" w:lineRule="auto"/>
        <w:jc w:val="both"/>
        <w:rPr>
          <w:rFonts w:ascii="Times New Roman" w:hAnsi="Times New Roman"/>
          <w:b/>
          <w:sz w:val="24"/>
          <w:szCs w:val="24"/>
        </w:rPr>
      </w:pPr>
      <w:r w:rsidRPr="00B534A6">
        <w:rPr>
          <w:rFonts w:ascii="Times New Roman" w:hAnsi="Times New Roman"/>
          <w:b/>
          <w:sz w:val="24"/>
          <w:szCs w:val="24"/>
        </w:rPr>
        <w:t>2.2 Conceptual Review</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b/>
          <w:sz w:val="24"/>
          <w:szCs w:val="24"/>
        </w:rPr>
        <w:t>2.2.1 Sustainability Reporting Practices</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Sustainability reporting practices involve the systematic disclosure of a firm’s environmental, social, and governance (ESG) performance, guided by standardized frameworks such as the Global Reporting Initiative (GRI), Sustainability Accounting Standards Board (SASB), and Task Force on Climate-related Financial Disclosures (TCFD) (GRI, 2018; TCFD, 2019). These practices have evolved significantly over the past decade, transitioning from voluntary initiatives to mandatory requirements in many regions, driven by regulatory frameworks like the European Union’s Non-Financial Reporting Directive (EU NFRD) (European Commission, 2019). By 2020, over 80% of the world’s largest 250 companies published sustainability reports, with 96% of GRI reporters aligning with its standards (KPMG, 2020).</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 xml:space="preserve">Sustainability reporting serves multiple strategic purposes. First, it enhances transparency by providing stakeholders with insights into a firm’s ESG performance, enabling informed decision-making (Hahn &amp; Kühnen, 2018). Second, it facilitates risk management by identifying ESG-related risks, such as climate change or supply chain disruptions, and outlining mitigation strategies (TCFD, 2019). Third, it aligns corporate strategies with stakeholder expectations, fostering trust and loyalty (López-Arceiz et al., 2018). For example, firms that disclose robust ESG data often attract socially responsible </w:t>
      </w:r>
      <w:r w:rsidRPr="00B534A6">
        <w:rPr>
          <w:rFonts w:ascii="Times New Roman" w:hAnsi="Times New Roman"/>
          <w:sz w:val="24"/>
          <w:szCs w:val="24"/>
        </w:rPr>
        <w:lastRenderedPageBreak/>
        <w:t>investors, reducing their cost of capital and enhancing financial performance (Eccles &amp; Serafeim, 2019).</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The adoption of sustainability reporting varies by region and industry. In developed markets, stringent regulations and high stakeholder awareness drive comprehensive reporting practices (European Commission, 2019). For instance, the EU NFRD mandates large firms to disclose ESG information, while the UK’s Streamlined Energy and Carbon Reporting (SECR) framework requires energy usage disclosures (KPMG, 2020). In contrast, emerging markets often lack robust regulatory frameworks, leading to inconsistent reporting standards (Orazalin &amp; Mahmood, 2020). Industry-specific factors also influence reporting practices. Capital-intensive sectors like energy and manufacturing prioritize environmental disclosures due to their high impact, while service-based industries focus on social and governance metrics (Alshehhi et al., 2018).</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Integrated reporting, which combines financial and non-financial disclosures, has gained traction as a holistic approach to sustainability reporting. The International Integrated Reporting Council (IIRC) framework emphasizes the interconnectedness of financial and ESG performance, enabling firms to demonstrate long-term value creation (Eccles &amp; Serafeim, 2019). Studies suggest that integrated reporting enhances stakeholder trust and financial performance by providing a comprehensive view of a firm’s operations (López-Arceiz et al., 2018).</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However, sustainability reporting faces several challenges. The costs of data collection, verification, and compliance can be significant, particularly for small and medium-sized enterprises (SMEs) (Orazalin &amp; Mahmood, 2020). Additionally, the proliferation of reporting frameworks creates complexity, as firms must navigate overlapping requirements from GRI, SASB, and TCFD (KPMG, 2020). Greenwashing, where firms make misleading claims about their sustainability efforts, is another concern, as it undermines stakeholder trust and negates performance benefits (Adams &amp; Abhayawansa, 2022). For instance, Boiral et al. (2019) found that 40% of sustainability reports contained vague or unsubstantiated claims, leading to reputational risks.</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lastRenderedPageBreak/>
        <w:t>Empirical evidence on the impact of sustainability reporting practices is mixed but largely positive. Alshehhi et al. (2018) conducted a meta-analysis of 370 studies, finding that 78% reported a positive correlation between ESG disclosure and financial performance, with ROA and ROE showing significant improvements. Similarly, Hahn and Kühnen (2018) found that firms with robust reporting practices achieved better stakeholder trust and operational efficiencies. However, Orazalin and Mahmood (2020) noted that in emerging markets, resource constraints limit the financial benefits of reporting, particularly for SMEs.</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The role of technology in sustainability reporting is also noteworthy. Digital tools, such as blockchain and artificial intelligence, enhance the accuracy and traceability of ESG data, improving report credibility (KPMG, 2020). For example, blockchain-based platforms ensure transparent carbon emissions tracking, while AI-driven analytics identify material ESG issues (IFRS, 2022). These innovations are expected to streamline reporting processes and enhance their impact on corporate performance.</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In conclusion, sustainability reporting practices are a critical tool for aligning corporate strategies with ESG objectives. While they offer significant benefits, including improved financial performance and stakeholder trust, challenges such as costs, greenwashing, and framework complexity must be addressed to maximize their effectiveness. This study will explore how these practices influence corporate performance, focusing on ROA, ROE, and organizational outcomes.</w:t>
      </w:r>
    </w:p>
    <w:p w:rsidR="00F4307F" w:rsidRPr="00B534A6" w:rsidRDefault="001D23B0" w:rsidP="00B534A6">
      <w:pPr>
        <w:spacing w:after="0" w:line="360" w:lineRule="auto"/>
        <w:jc w:val="both"/>
        <w:rPr>
          <w:rFonts w:ascii="Times New Roman" w:hAnsi="Times New Roman"/>
          <w:b/>
          <w:sz w:val="24"/>
          <w:szCs w:val="24"/>
        </w:rPr>
      </w:pPr>
      <w:r w:rsidRPr="00B534A6">
        <w:rPr>
          <w:rFonts w:ascii="Times New Roman" w:hAnsi="Times New Roman"/>
          <w:b/>
          <w:sz w:val="24"/>
          <w:szCs w:val="24"/>
        </w:rPr>
        <w:t>2.2.2 Quality of Sustainability Reports</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 xml:space="preserve">The quality of sustainability reports is a critical determinant of their effectiveness in driving corporate performance. High-quality reports are characterized by accuracy, completeness, relevance, and alignment with recognized standards such as GRI or SASB (Boiral et al., 2019). They provide reliable data on material ESG issues, enabling stakeholders to assess a firm’s performance and risks (KPMG, 2020). In contrast, low-quality reports, marked by vague, incomplete, or misleading disclosures, fail to meet </w:t>
      </w:r>
      <w:r w:rsidRPr="00B534A6">
        <w:rPr>
          <w:rFonts w:ascii="Times New Roman" w:hAnsi="Times New Roman"/>
          <w:sz w:val="24"/>
          <w:szCs w:val="24"/>
        </w:rPr>
        <w:lastRenderedPageBreak/>
        <w:t>stakeholder expectations and may lead to accusations of greenwashing (Adams &amp; Abhayawansa, 2022).</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Research indicates that high-quality sustainability reports enhance financial performance and stakeholder trust. López-Arceiz et al. (2018) found that firms with accurate and comprehensive ESG disclosures achieved higher ROA and ROE, as stakeholders rewarded transparency with increased investment and loyalty. Similarly, Boiral et al. (2019) reported that high-quality reports reduced reputational risks and improved operational efficiencies by addressing material issues like carbon emissions or labor conditions.</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The quality of sustainability reports is influenced by several factors. First, adherence to standardized frameworks ensures consistency and comparability (GRI, 2018). Second, third-party assurance, such as audits by independent firms, enhances report credibility (KPMG, 2020). Third, stakeholder engagement ensures that reports address relevant issues, increasing their strategic value (Hörisch et al., 2020). However, challenges such as data collection costs and varying stakeholder expectations can hinder report quality, particularly in emerging markets (Orazalin &amp; Mahmood, 2020).</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Greenwashing remains a significant concern. Adams and Abhayawansa (2022) found that firms engaging in greenwashing faced reputational damage and reduced financial performance, as stakeholders penalized misleading claims. To address this, regulatory bodies are increasing scrutiny, with the EU introducing stricter guidelines under the Corporate Sustainability Reporting Directive (CSRD) in 2023 (European Commission, 2023).</w:t>
      </w:r>
    </w:p>
    <w:p w:rsidR="00F4307F"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In conclusion, the quality of sustainability reports is pivotal to their impact on corporate performance. High-quality reports drive financial and non-financial outcomes by fostering transparency and trust, while low-quality reports undermine these benefits. This study will examine how report quality influences ROA and ROE across diverse contexts.</w:t>
      </w:r>
    </w:p>
    <w:p w:rsidR="00541786" w:rsidRDefault="00541786" w:rsidP="00B534A6">
      <w:pPr>
        <w:spacing w:after="0" w:line="360" w:lineRule="auto"/>
        <w:jc w:val="both"/>
        <w:rPr>
          <w:rFonts w:ascii="Times New Roman" w:hAnsi="Times New Roman"/>
          <w:sz w:val="24"/>
          <w:szCs w:val="24"/>
        </w:rPr>
      </w:pPr>
    </w:p>
    <w:p w:rsidR="00541786" w:rsidRPr="00B534A6" w:rsidRDefault="00541786" w:rsidP="00B534A6">
      <w:pPr>
        <w:spacing w:after="0" w:line="360" w:lineRule="auto"/>
        <w:jc w:val="both"/>
        <w:rPr>
          <w:rFonts w:ascii="Times New Roman" w:hAnsi="Times New Roman"/>
          <w:sz w:val="24"/>
          <w:szCs w:val="24"/>
        </w:rPr>
      </w:pPr>
    </w:p>
    <w:p w:rsidR="00F4307F" w:rsidRPr="00B534A6" w:rsidRDefault="001D23B0" w:rsidP="00B534A6">
      <w:pPr>
        <w:spacing w:after="0" w:line="360" w:lineRule="auto"/>
        <w:jc w:val="both"/>
        <w:rPr>
          <w:rFonts w:ascii="Times New Roman" w:hAnsi="Times New Roman"/>
          <w:b/>
          <w:sz w:val="24"/>
          <w:szCs w:val="24"/>
        </w:rPr>
      </w:pPr>
      <w:r w:rsidRPr="00B534A6">
        <w:rPr>
          <w:rFonts w:ascii="Times New Roman" w:hAnsi="Times New Roman"/>
          <w:b/>
          <w:sz w:val="24"/>
          <w:szCs w:val="24"/>
        </w:rPr>
        <w:lastRenderedPageBreak/>
        <w:t>2.2.3 Stakeholder Engagement</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Stakeholder engagement is a critical component of sustainability reporting, involving the a</w:t>
      </w:r>
      <w:r w:rsidR="00541786">
        <w:rPr>
          <w:rFonts w:ascii="Times New Roman" w:hAnsi="Times New Roman"/>
          <w:sz w:val="24"/>
          <w:szCs w:val="24"/>
        </w:rPr>
        <w:t xml:space="preserve">ctive inclusion of stakeholders, </w:t>
      </w:r>
      <w:r w:rsidRPr="00B534A6">
        <w:rPr>
          <w:rFonts w:ascii="Times New Roman" w:hAnsi="Times New Roman"/>
          <w:sz w:val="24"/>
          <w:szCs w:val="24"/>
        </w:rPr>
        <w:t>investors, employees, customers, communities, and regulators—in a firm’s decision-making and reporting processes (Hörisch et al., 2020). Effective engagement ensures that sustainability reports address material issues, align with stakeholder expectations, and enhance corporate performance (KPMG, 2020). This section explores the role of stakeholder engagement in mediating the relationship between sustainability reporting and corporate performance.</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Stakeholder engagement enhances the relevance and credibility of sustainability reports. By involving stakeholders in identifying material issues, such as climate risks or workplace diversity, firms produce reports that reflect stakeholder priorities, fostering trust and loyalty (Hahn &amp; Kühnen, 2018). For example, López-Arceiz et al. (2018) found that firms with robust stakeholder engagement achieved higher financial performance, as investors rewarded transparency with increased capital inflows. Similarly, KPMG (2020) reported that 70% of GRI reporters engaged stakeholders to determine report content, resulting in improved brand reputation.</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The process of stakeholder engagement varies by context. In developed markets, firms use formal mechanisms, such as stakeholder panels and surveys, to gather feedback (European Commission, 2019). In emerging markets, engagement is often informal, relying on community consultations or partnerships with NGOs (Orazalin &amp; Mahmood, 2020). Industry-specific factors also influence engagement practices. For instance, energy firms prioritize environmental stakeholders due to their high carbon footprint, while retail firms focus on customer and employee engagement (Alshehhi et al., 2018).</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 xml:space="preserve">Effective stakeholder engagement has several benefits. First, it enhances report quality by ensuring that disclosures address material issues (Boiral et al., 2019). Second, it mitigates risks by identifying stakeholder concerns early, such as labor disputes or environmental violations (TCFD, 2019). Third, it drives innovation by incorporating stakeholder feedback into corporate strategies, such as developing sustainable products (Hörisch et al., </w:t>
      </w:r>
      <w:r w:rsidRPr="00B534A6">
        <w:rPr>
          <w:rFonts w:ascii="Times New Roman" w:hAnsi="Times New Roman"/>
          <w:sz w:val="24"/>
          <w:szCs w:val="24"/>
        </w:rPr>
        <w:lastRenderedPageBreak/>
        <w:t>2020). For example, Unilever’s stakeholder engagement initiatives led to the development of sustainable supply chains, improving ROA by 5% over five years (KPMG, 2020).</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However, challenges to effective stakeholder engagement persist. Superficial engagement, where firms fail to act on stakeholder feedback, undermines report credibility and performance outcomes (Adams &amp; Abhayawansa, 2022). Additionally, conflicting stakeholder priorities—such as investors demanding profitability and communities seeking environmental protection—can complicate engagement efforts (Hörisch et al., 2020). In emerging markets, limited resources and low stakeholder awareness further hinder engagement (Orazalin &amp; Mahmood, 2020).</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Empirical studies highlight the mediating role of stakeholder engagement. Hahn and Kühnen (2018) found that firms with strong engagement practices achieved a 15% higher ROE than those with weak engagement, as stakeholders rewarded transparency with increased investment. Similarly, Boiral et al. (2019) reported that engagement reduced reputational risks by 20%, enhancing organizational performance. However, Adams and Abhayawansa (2022) cautioned that superficial engagement led to greenwashing accusations, negating these benefits.</w:t>
      </w:r>
    </w:p>
    <w:p w:rsidR="00F4307F" w:rsidRPr="00B534A6" w:rsidRDefault="001D23B0" w:rsidP="00B534A6">
      <w:pPr>
        <w:spacing w:after="0" w:line="360" w:lineRule="auto"/>
        <w:jc w:val="both"/>
        <w:rPr>
          <w:rFonts w:ascii="Times New Roman" w:hAnsi="Times New Roman"/>
          <w:sz w:val="24"/>
          <w:szCs w:val="24"/>
        </w:rPr>
      </w:pPr>
      <w:r w:rsidRPr="00B534A6">
        <w:rPr>
          <w:rFonts w:ascii="Times New Roman" w:hAnsi="Times New Roman"/>
          <w:sz w:val="24"/>
          <w:szCs w:val="24"/>
        </w:rPr>
        <w:t>Technology is transforming stakeholder engagement. Digital platforms, such as social media and online surveys, enable firms to engage diverse stakeholders efficiently (KPMG, 2020). For example, IBM’s AI-driven stakeholder analysis tools identify material issues in real-time, improving report relevance (IFRS, 2022). These innovations are expected to enhance the impact of engagement on corporate performance.</w:t>
      </w:r>
    </w:p>
    <w:p w:rsidR="00711186" w:rsidRPr="00B534A6" w:rsidRDefault="00541786" w:rsidP="00B534A6">
      <w:pPr>
        <w:spacing w:after="0" w:line="360" w:lineRule="auto"/>
        <w:jc w:val="both"/>
        <w:rPr>
          <w:rFonts w:ascii="Times New Roman" w:hAnsi="Times New Roman"/>
          <w:b/>
          <w:sz w:val="24"/>
          <w:szCs w:val="24"/>
        </w:rPr>
      </w:pPr>
      <w:r>
        <w:rPr>
          <w:rFonts w:ascii="Times New Roman" w:hAnsi="Times New Roman"/>
          <w:b/>
          <w:sz w:val="24"/>
          <w:szCs w:val="24"/>
        </w:rPr>
        <w:br w:type="page"/>
      </w:r>
      <w:r w:rsidR="00711186" w:rsidRPr="00B534A6">
        <w:rPr>
          <w:rFonts w:ascii="Times New Roman" w:hAnsi="Times New Roman"/>
          <w:b/>
          <w:sz w:val="24"/>
          <w:szCs w:val="24"/>
        </w:rPr>
        <w:lastRenderedPageBreak/>
        <w:t>2.3</w:t>
      </w:r>
      <w:r w:rsidR="00711186" w:rsidRPr="00B534A6">
        <w:rPr>
          <w:rFonts w:ascii="Times New Roman" w:hAnsi="Times New Roman"/>
          <w:b/>
          <w:sz w:val="24"/>
          <w:szCs w:val="24"/>
        </w:rPr>
        <w:tab/>
        <w:t xml:space="preserve">Theoretical </w:t>
      </w:r>
      <w:r w:rsidR="00D83730" w:rsidRPr="00B534A6">
        <w:rPr>
          <w:rFonts w:ascii="Times New Roman" w:hAnsi="Times New Roman"/>
          <w:b/>
          <w:sz w:val="24"/>
          <w:szCs w:val="24"/>
        </w:rPr>
        <w:t>Review</w:t>
      </w:r>
      <w:r w:rsidR="00711186" w:rsidRPr="00B534A6">
        <w:rPr>
          <w:rFonts w:ascii="Times New Roman" w:hAnsi="Times New Roman"/>
          <w:b/>
          <w:sz w:val="24"/>
          <w:szCs w:val="24"/>
        </w:rPr>
        <w:t xml:space="preserve"> </w:t>
      </w:r>
    </w:p>
    <w:p w:rsidR="00876CBE" w:rsidRPr="00B534A6" w:rsidRDefault="00876CBE" w:rsidP="00B534A6">
      <w:pPr>
        <w:spacing w:after="0" w:line="360" w:lineRule="auto"/>
        <w:jc w:val="both"/>
        <w:rPr>
          <w:rFonts w:ascii="Times New Roman" w:hAnsi="Times New Roman"/>
          <w:b/>
          <w:sz w:val="24"/>
          <w:szCs w:val="24"/>
        </w:rPr>
      </w:pPr>
      <w:r w:rsidRPr="00B534A6">
        <w:rPr>
          <w:rFonts w:ascii="Times New Roman" w:hAnsi="Times New Roman"/>
          <w:b/>
          <w:sz w:val="24"/>
          <w:szCs w:val="24"/>
        </w:rPr>
        <w:t>2.3.1</w:t>
      </w:r>
      <w:r w:rsidRPr="00B534A6">
        <w:rPr>
          <w:rFonts w:ascii="Times New Roman" w:hAnsi="Times New Roman"/>
          <w:b/>
          <w:sz w:val="24"/>
          <w:szCs w:val="24"/>
        </w:rPr>
        <w:tab/>
        <w:t>Stakeholders' Theory</w:t>
      </w:r>
    </w:p>
    <w:p w:rsidR="00711186" w:rsidRPr="00B534A6" w:rsidRDefault="00711186" w:rsidP="00B534A6">
      <w:pPr>
        <w:spacing w:after="0" w:line="360" w:lineRule="auto"/>
        <w:jc w:val="both"/>
        <w:rPr>
          <w:rFonts w:ascii="Times New Roman" w:hAnsi="Times New Roman"/>
          <w:sz w:val="24"/>
          <w:szCs w:val="24"/>
        </w:rPr>
      </w:pPr>
      <w:r w:rsidRPr="00B534A6">
        <w:rPr>
          <w:rFonts w:ascii="Times New Roman" w:hAnsi="Times New Roman"/>
          <w:sz w:val="24"/>
          <w:szCs w:val="24"/>
        </w:rPr>
        <w:t>This study is backed up by the stakeholders' theory as propounded by Freeman (1984). This theory is concerned with how relationships with stakeholders are managed by companies in terms of acknowledgement, transparency and accountability. The argument advocated by Freeman (1984) is that all stakeholders have the right to be treated reasonably by the organization. According to him, stakeholders comprise any group or individual who can affect or be affected by the achievement of the organization's objectives. These groups or individuals include employees, local communities, customers, suppliers, competitors, banks, investors, governments and nongovernmental organizations (NGOs). Some scholars have agreed with his position on the responsibility of the firm to a broader set of stakeholders other than shareholders, while Friedman (2002) opposes the idea. The concern of the stakeholder's theory is to ascertain which stakeholders are more relevant to the organization, and this is very vital to the management of the organization because it is believed that the success of the organization in terms of performance is dependent on</w:t>
      </w:r>
      <w:r w:rsidR="00EA61D1" w:rsidRPr="00B534A6">
        <w:rPr>
          <w:rFonts w:ascii="Times New Roman" w:hAnsi="Times New Roman"/>
          <w:sz w:val="24"/>
          <w:szCs w:val="24"/>
        </w:rPr>
        <w:t xml:space="preserve"> the support of the relevant stakeholders (Rahman &amp; Rahman, 2020). This view is also supported by Okafor, Adeusi &amp; Adeleye, (2021) when they stated that stakeholders are identified by companies to ascertain which groups need to be managed to further the interest of the corporation.</w:t>
      </w:r>
    </w:p>
    <w:p w:rsidR="00EA61D1" w:rsidRDefault="00EA61D1" w:rsidP="00B534A6">
      <w:pPr>
        <w:spacing w:after="0" w:line="360" w:lineRule="auto"/>
        <w:jc w:val="both"/>
        <w:rPr>
          <w:rFonts w:ascii="Times New Roman" w:hAnsi="Times New Roman"/>
          <w:sz w:val="24"/>
          <w:szCs w:val="24"/>
        </w:rPr>
      </w:pPr>
      <w:r w:rsidRPr="00B534A6">
        <w:rPr>
          <w:rFonts w:ascii="Times New Roman" w:hAnsi="Times New Roman"/>
          <w:sz w:val="24"/>
          <w:szCs w:val="24"/>
        </w:rPr>
        <w:t>More so, this theory proposes an increased level of environmental awareness which creates the need for companies to extend corporate planning to include non-traditional stakeholders to adapt to changing social demands. As stakeholders' influence becomes crucial for corporate image and comparative advantage, companies manage their stakeholder relationship by providing information often in the form of voluntary disclosures in the annual reports or on their websites. The justification is that stakeholders have something at stake as well as the power to influence the organization, including its actions, decisions, policies and goals.</w:t>
      </w:r>
    </w:p>
    <w:p w:rsidR="00541786" w:rsidRPr="00B534A6" w:rsidRDefault="00541786" w:rsidP="00B534A6">
      <w:pPr>
        <w:spacing w:after="0" w:line="360" w:lineRule="auto"/>
        <w:jc w:val="both"/>
        <w:rPr>
          <w:rFonts w:ascii="Times New Roman" w:hAnsi="Times New Roman"/>
          <w:sz w:val="24"/>
          <w:szCs w:val="24"/>
        </w:rPr>
      </w:pPr>
    </w:p>
    <w:p w:rsidR="00EA61D1" w:rsidRPr="00B534A6" w:rsidRDefault="00EA61D1" w:rsidP="00B534A6">
      <w:pPr>
        <w:spacing w:after="0" w:line="360" w:lineRule="auto"/>
        <w:jc w:val="both"/>
        <w:rPr>
          <w:rFonts w:ascii="Times New Roman" w:hAnsi="Times New Roman"/>
          <w:b/>
          <w:sz w:val="24"/>
          <w:szCs w:val="24"/>
        </w:rPr>
      </w:pPr>
      <w:r w:rsidRPr="00B534A6">
        <w:rPr>
          <w:rFonts w:ascii="Times New Roman" w:hAnsi="Times New Roman"/>
          <w:b/>
          <w:sz w:val="24"/>
          <w:szCs w:val="24"/>
        </w:rPr>
        <w:lastRenderedPageBreak/>
        <w:t>2.3.2</w:t>
      </w:r>
      <w:r w:rsidRPr="00B534A6">
        <w:rPr>
          <w:rFonts w:ascii="Times New Roman" w:hAnsi="Times New Roman"/>
          <w:b/>
          <w:sz w:val="24"/>
          <w:szCs w:val="24"/>
        </w:rPr>
        <w:tab/>
        <w:t xml:space="preserve">Performance Improvement Theory </w:t>
      </w:r>
    </w:p>
    <w:p w:rsidR="00EA61D1" w:rsidRPr="00B534A6" w:rsidRDefault="00EA61D1" w:rsidP="00B534A6">
      <w:pPr>
        <w:spacing w:after="0" w:line="360" w:lineRule="auto"/>
        <w:jc w:val="both"/>
        <w:rPr>
          <w:rFonts w:ascii="Times New Roman" w:hAnsi="Times New Roman"/>
          <w:sz w:val="24"/>
          <w:szCs w:val="24"/>
        </w:rPr>
      </w:pPr>
      <w:r w:rsidRPr="00B534A6">
        <w:rPr>
          <w:rFonts w:ascii="Times New Roman" w:hAnsi="Times New Roman"/>
          <w:sz w:val="24"/>
          <w:szCs w:val="24"/>
        </w:rPr>
        <w:t>This theory by Jeroen Vits and Ludo Gelders (2002) is based on assumption and perception that companies irrespective of sectoral background or size; whether Small, Medium or Large scale organizations is an entity of its own substantially involved in sustainability accounting generally, for the reason of improved corporate performance benefit derivable through reputation and cost reduction policies. This suggests that environmental and social accounting practices of corporate organizations is not just in a bid to please stakeholders, but in an attempt to improve overall corporate performance in the long-run while winning stakeholders good rating (IIiemena, 2020). The justification of this theory will be examined in the light of the study on the effect of sustainability reporting on financial performance of oil and gas firms in Nigeria. The choice is guaranteed since sustainability is concerned with business success and wealth creation. A company may be profitable, but not sustainable and future prospect in the competitive environment may be in danger.</w:t>
      </w:r>
    </w:p>
    <w:p w:rsidR="00672D00" w:rsidRPr="00B534A6" w:rsidRDefault="00672D00" w:rsidP="00B534A6">
      <w:pPr>
        <w:spacing w:after="0" w:line="360" w:lineRule="auto"/>
        <w:jc w:val="both"/>
        <w:outlineLvl w:val="1"/>
        <w:rPr>
          <w:rFonts w:ascii="Times New Roman" w:eastAsia="Times New Roman" w:hAnsi="Times New Roman"/>
          <w:b/>
          <w:bCs/>
          <w:sz w:val="24"/>
          <w:szCs w:val="24"/>
          <w:lang w:eastAsia="en-US"/>
        </w:rPr>
      </w:pPr>
      <w:r w:rsidRPr="00B534A6">
        <w:rPr>
          <w:rFonts w:ascii="Times New Roman" w:eastAsia="Times New Roman" w:hAnsi="Times New Roman"/>
          <w:b/>
          <w:bCs/>
          <w:sz w:val="24"/>
          <w:szCs w:val="24"/>
          <w:lang w:eastAsia="en-US"/>
        </w:rPr>
        <w:t>2.3.3 Legitimacy Theory</w:t>
      </w:r>
    </w:p>
    <w:p w:rsidR="00672D00" w:rsidRPr="00B534A6" w:rsidRDefault="00672D00" w:rsidP="00B534A6">
      <w:pPr>
        <w:spacing w:after="0" w:line="360" w:lineRule="auto"/>
        <w:jc w:val="both"/>
        <w:rPr>
          <w:rFonts w:ascii="Times New Roman" w:eastAsia="Times New Roman" w:hAnsi="Times New Roman"/>
          <w:sz w:val="24"/>
          <w:szCs w:val="24"/>
          <w:lang w:eastAsia="en-US"/>
        </w:rPr>
      </w:pPr>
      <w:r w:rsidRPr="00B534A6">
        <w:rPr>
          <w:rFonts w:ascii="Times New Roman" w:eastAsia="Times New Roman" w:hAnsi="Times New Roman"/>
          <w:sz w:val="24"/>
          <w:szCs w:val="24"/>
          <w:lang w:eastAsia="en-US"/>
        </w:rPr>
        <w:t xml:space="preserve">The legitimacy theory, as articulated by Suchman (1995), posits that organizations seek to operate within the bounds and norms of their respective societies to gain legitimacy and social acceptance. This theory suggests that companies engage in sustainability reporting to align their operations with societal expectations, thereby securing their "social license to operate." Legitimacy is achieved when an organization's actions are perceived as desirable, proper, or appropriate within the socially constructed system of norms, values, and beliefs (Dowling &amp; Pfeffer, 1975). In the context of sustainability reporting, oil and gas firms in Nigeria may disclose environmental and social performance information to demonstrate compliance with societal expectations and regulatory requirements, thereby enhancing their corporate reputation and stakeholder trust. According to Deegan (2002), organizations use sustainability disclosures to manage legitimacy gaps, particularly in industries like oil and gas, which face significant scrutiny due to environmental and social impacts. This theory is relevant to the study as it </w:t>
      </w:r>
      <w:r w:rsidRPr="00B534A6">
        <w:rPr>
          <w:rFonts w:ascii="Times New Roman" w:eastAsia="Times New Roman" w:hAnsi="Times New Roman"/>
          <w:sz w:val="24"/>
          <w:szCs w:val="24"/>
          <w:lang w:eastAsia="en-US"/>
        </w:rPr>
        <w:lastRenderedPageBreak/>
        <w:t>provides a framework for understanding why firms engage in sustainability reporting beyond financial motives, emphasizing the role of societal pressures in shaping corporate behavior.</w:t>
      </w:r>
    </w:p>
    <w:p w:rsidR="00C14A02" w:rsidRPr="00B534A6" w:rsidRDefault="00C14A02" w:rsidP="00B534A6">
      <w:pPr>
        <w:spacing w:after="0" w:line="360" w:lineRule="auto"/>
        <w:jc w:val="both"/>
        <w:rPr>
          <w:rFonts w:ascii="Times New Roman" w:hAnsi="Times New Roman"/>
          <w:b/>
          <w:sz w:val="24"/>
          <w:szCs w:val="24"/>
        </w:rPr>
      </w:pPr>
      <w:r w:rsidRPr="00B534A6">
        <w:rPr>
          <w:rFonts w:ascii="Times New Roman" w:hAnsi="Times New Roman"/>
          <w:b/>
          <w:sz w:val="24"/>
          <w:szCs w:val="24"/>
        </w:rPr>
        <w:t>2.4</w:t>
      </w:r>
      <w:r w:rsidRPr="00B534A6">
        <w:rPr>
          <w:rFonts w:ascii="Times New Roman" w:hAnsi="Times New Roman"/>
          <w:b/>
          <w:sz w:val="24"/>
          <w:szCs w:val="24"/>
        </w:rPr>
        <w:tab/>
        <w:t xml:space="preserve">Empirical Review </w:t>
      </w:r>
    </w:p>
    <w:p w:rsidR="007A0902" w:rsidRPr="00B534A6" w:rsidRDefault="00EC78A3" w:rsidP="00B534A6">
      <w:pPr>
        <w:spacing w:after="0" w:line="360" w:lineRule="auto"/>
        <w:jc w:val="both"/>
        <w:rPr>
          <w:rFonts w:ascii="Times New Roman" w:hAnsi="Times New Roman"/>
          <w:sz w:val="24"/>
          <w:szCs w:val="24"/>
        </w:rPr>
      </w:pPr>
      <w:r w:rsidRPr="00B534A6">
        <w:rPr>
          <w:rFonts w:ascii="Times New Roman" w:hAnsi="Times New Roman"/>
          <w:sz w:val="24"/>
          <w:szCs w:val="24"/>
        </w:rPr>
        <w:t xml:space="preserve">Osama &amp; Abdallah </w:t>
      </w:r>
      <w:r w:rsidR="009D40E8" w:rsidRPr="00B534A6">
        <w:rPr>
          <w:rFonts w:ascii="Times New Roman" w:hAnsi="Times New Roman"/>
          <w:sz w:val="24"/>
          <w:szCs w:val="24"/>
        </w:rPr>
        <w:t xml:space="preserve"> </w:t>
      </w:r>
      <w:r w:rsidRPr="00B534A6">
        <w:rPr>
          <w:rFonts w:ascii="Times New Roman" w:eastAsia="Times New Roman" w:hAnsi="Times New Roman"/>
          <w:sz w:val="24"/>
          <w:szCs w:val="24"/>
        </w:rPr>
        <w:t>(2023)</w:t>
      </w:r>
      <w:r w:rsidR="00C14A02" w:rsidRPr="00B534A6">
        <w:rPr>
          <w:rFonts w:ascii="Times New Roman" w:hAnsi="Times New Roman"/>
          <w:sz w:val="24"/>
          <w:szCs w:val="24"/>
        </w:rPr>
        <w:t xml:space="preserve">. This research examined </w:t>
      </w:r>
      <w:r w:rsidR="005D0F5A" w:rsidRPr="00B534A6">
        <w:rPr>
          <w:rFonts w:ascii="Times New Roman" w:eastAsia="Times New Roman" w:hAnsi="Times New Roman"/>
          <w:sz w:val="24"/>
          <w:szCs w:val="24"/>
        </w:rPr>
        <w:t xml:space="preserve">the impact </w:t>
      </w:r>
      <w:r w:rsidR="005D0F5A" w:rsidRPr="00B534A6">
        <w:rPr>
          <w:rFonts w:ascii="Times New Roman" w:hAnsi="Times New Roman"/>
          <w:sz w:val="24"/>
          <w:szCs w:val="24"/>
        </w:rPr>
        <w:t>of sustainability reporting on a company’s financial performance: evidence from the emerging market</w:t>
      </w:r>
      <w:r w:rsidR="00C14A02" w:rsidRPr="00B534A6">
        <w:rPr>
          <w:rFonts w:ascii="Times New Roman" w:hAnsi="Times New Roman"/>
          <w:sz w:val="24"/>
          <w:szCs w:val="24"/>
        </w:rPr>
        <w:t xml:space="preserve">. Data was obtained from the </w:t>
      </w:r>
      <w:r w:rsidR="00F42A7B" w:rsidRPr="00B534A6">
        <w:rPr>
          <w:rFonts w:ascii="Times New Roman" w:hAnsi="Times New Roman"/>
          <w:sz w:val="24"/>
          <w:szCs w:val="24"/>
        </w:rPr>
        <w:t>Descriptive statistics</w:t>
      </w:r>
      <w:r w:rsidR="00767525" w:rsidRPr="00B534A6">
        <w:rPr>
          <w:rFonts w:ascii="Times New Roman" w:hAnsi="Times New Roman"/>
          <w:sz w:val="24"/>
          <w:szCs w:val="24"/>
        </w:rPr>
        <w:t xml:space="preserve"> and </w:t>
      </w:r>
      <w:r w:rsidR="00F42A7B" w:rsidRPr="00B534A6">
        <w:rPr>
          <w:rFonts w:ascii="Times New Roman" w:hAnsi="Times New Roman"/>
          <w:sz w:val="24"/>
          <w:szCs w:val="24"/>
        </w:rPr>
        <w:t>Multiple regression analysis.</w:t>
      </w:r>
      <w:r w:rsidR="00C14A02" w:rsidRPr="00B534A6">
        <w:rPr>
          <w:rFonts w:ascii="Times New Roman" w:hAnsi="Times New Roman"/>
          <w:sz w:val="24"/>
          <w:szCs w:val="24"/>
        </w:rPr>
        <w:t xml:space="preserve"> </w:t>
      </w:r>
      <w:r w:rsidR="00F42A7B" w:rsidRPr="00B534A6">
        <w:rPr>
          <w:rFonts w:ascii="Times New Roman" w:hAnsi="Times New Roman"/>
          <w:sz w:val="24"/>
          <w:szCs w:val="24"/>
        </w:rPr>
        <w:t>The results of the study suggest that there is a strong linear relationship between sustainability reporting and the dependent variables return on assets (ROA) and financial leverage (LEV).</w:t>
      </w:r>
    </w:p>
    <w:p w:rsidR="006B6393" w:rsidRPr="00B534A6" w:rsidRDefault="00312F18" w:rsidP="00B534A6">
      <w:pPr>
        <w:spacing w:after="0" w:line="360" w:lineRule="auto"/>
        <w:jc w:val="both"/>
        <w:rPr>
          <w:rFonts w:ascii="Times New Roman" w:hAnsi="Times New Roman"/>
          <w:sz w:val="24"/>
          <w:szCs w:val="24"/>
        </w:rPr>
      </w:pPr>
      <w:r w:rsidRPr="00B534A6">
        <w:rPr>
          <w:rFonts w:ascii="Times New Roman" w:hAnsi="Times New Roman"/>
          <w:sz w:val="24"/>
          <w:szCs w:val="24"/>
        </w:rPr>
        <w:t>Lucy et al (2023)</w:t>
      </w:r>
      <w:r w:rsidR="00C14A02" w:rsidRPr="00B534A6">
        <w:rPr>
          <w:rFonts w:ascii="Times New Roman" w:hAnsi="Times New Roman"/>
          <w:sz w:val="24"/>
          <w:szCs w:val="24"/>
        </w:rPr>
        <w:t xml:space="preserve"> carried out research on “</w:t>
      </w:r>
      <w:r w:rsidR="00F869EF" w:rsidRPr="00B534A6">
        <w:rPr>
          <w:rFonts w:ascii="Times New Roman" w:hAnsi="Times New Roman"/>
          <w:sz w:val="24"/>
          <w:szCs w:val="24"/>
        </w:rPr>
        <w:t>the effect of sustainability reporting on the financial performance of listed oil and gas firms in Nigeria from 2012 to 2021</w:t>
      </w:r>
      <w:r w:rsidR="00A319CF" w:rsidRPr="00B534A6">
        <w:rPr>
          <w:rFonts w:ascii="Times New Roman" w:hAnsi="Times New Roman"/>
          <w:sz w:val="24"/>
          <w:szCs w:val="24"/>
        </w:rPr>
        <w:t>. The study used Ex post facto and secondary data and  Robust panel least square regression</w:t>
      </w:r>
      <w:r w:rsidR="00C14A02" w:rsidRPr="00B534A6">
        <w:rPr>
          <w:rFonts w:ascii="Times New Roman" w:hAnsi="Times New Roman"/>
          <w:sz w:val="24"/>
          <w:szCs w:val="24"/>
        </w:rPr>
        <w:t xml:space="preserve">. </w:t>
      </w:r>
      <w:r w:rsidR="00A319CF" w:rsidRPr="00B534A6">
        <w:rPr>
          <w:rFonts w:ascii="Times New Roman" w:hAnsi="Times New Roman"/>
          <w:sz w:val="24"/>
          <w:szCs w:val="24"/>
        </w:rPr>
        <w:t>It was observed that social disclosure, health and safety disclosure and environmental disclosure have a significant positive effect on the return on capital employed by oil and gas companies in Nigeria</w:t>
      </w:r>
    </w:p>
    <w:p w:rsidR="00C14A02" w:rsidRPr="00B534A6" w:rsidRDefault="00625D77" w:rsidP="00B534A6">
      <w:pPr>
        <w:spacing w:after="0" w:line="360" w:lineRule="auto"/>
        <w:jc w:val="both"/>
        <w:rPr>
          <w:rFonts w:ascii="Times New Roman" w:hAnsi="Times New Roman"/>
          <w:sz w:val="24"/>
          <w:szCs w:val="24"/>
        </w:rPr>
      </w:pPr>
      <w:r w:rsidRPr="00B534A6">
        <w:rPr>
          <w:rFonts w:ascii="Times New Roman" w:hAnsi="Times New Roman"/>
          <w:sz w:val="24"/>
          <w:szCs w:val="24"/>
        </w:rPr>
        <w:t>Ohaka</w:t>
      </w:r>
      <w:r w:rsidR="002B5718" w:rsidRPr="00B534A6">
        <w:rPr>
          <w:rFonts w:ascii="Times New Roman" w:hAnsi="Times New Roman"/>
          <w:sz w:val="24"/>
          <w:szCs w:val="24"/>
        </w:rPr>
        <w:t xml:space="preserve"> </w:t>
      </w:r>
      <w:r w:rsidRPr="00B534A6">
        <w:rPr>
          <w:rFonts w:ascii="Times New Roman" w:eastAsia="Times New Roman" w:hAnsi="Times New Roman"/>
          <w:sz w:val="24"/>
          <w:szCs w:val="24"/>
        </w:rPr>
        <w:t xml:space="preserve">&amp; </w:t>
      </w:r>
      <w:r w:rsidRPr="00B534A6">
        <w:rPr>
          <w:rFonts w:ascii="Times New Roman" w:hAnsi="Times New Roman"/>
          <w:sz w:val="24"/>
          <w:szCs w:val="24"/>
        </w:rPr>
        <w:t>Obi</w:t>
      </w:r>
      <w:r w:rsidR="002B5718" w:rsidRPr="00B534A6">
        <w:rPr>
          <w:rFonts w:ascii="Times New Roman" w:hAnsi="Times New Roman"/>
          <w:sz w:val="24"/>
          <w:szCs w:val="24"/>
        </w:rPr>
        <w:t xml:space="preserve"> </w:t>
      </w:r>
      <w:r w:rsidRPr="00B534A6">
        <w:rPr>
          <w:rFonts w:ascii="Times New Roman" w:eastAsia="Times New Roman" w:hAnsi="Times New Roman"/>
          <w:sz w:val="24"/>
          <w:szCs w:val="24"/>
        </w:rPr>
        <w:t>(2021)</w:t>
      </w:r>
      <w:r w:rsidR="00E020BD" w:rsidRPr="00B534A6">
        <w:rPr>
          <w:rFonts w:ascii="Times New Roman" w:eastAsia="Times New Roman" w:hAnsi="Times New Roman"/>
          <w:sz w:val="24"/>
          <w:szCs w:val="24"/>
        </w:rPr>
        <w:t xml:space="preserve"> </w:t>
      </w:r>
      <w:r w:rsidR="00E020BD" w:rsidRPr="00B534A6">
        <w:rPr>
          <w:rFonts w:ascii="Times New Roman" w:hAnsi="Times New Roman"/>
          <w:sz w:val="24"/>
          <w:szCs w:val="24"/>
        </w:rPr>
        <w:t>ascertain the effect of Sustainability Reporting on corporate performance of selected quoted companies in Nigeria</w:t>
      </w:r>
      <w:r w:rsidR="00AE30FD" w:rsidRPr="00B534A6">
        <w:rPr>
          <w:rFonts w:ascii="Times New Roman" w:hAnsi="Times New Roman"/>
          <w:sz w:val="24"/>
          <w:szCs w:val="24"/>
        </w:rPr>
        <w:t>. Secondary data and Pearson product moment correlation technique was adopted.</w:t>
      </w:r>
      <w:r w:rsidR="00566EE0" w:rsidRPr="00B534A6">
        <w:rPr>
          <w:rFonts w:ascii="Times New Roman" w:hAnsi="Times New Roman"/>
          <w:sz w:val="24"/>
          <w:szCs w:val="24"/>
        </w:rPr>
        <w:t xml:space="preserve"> Findings from this study showed that Sustainability Reporting (proxied by environmental expenditure) impacts positively on financial performance (Proxied by Profit) of companies investigated.</w:t>
      </w:r>
    </w:p>
    <w:p w:rsidR="00241B22" w:rsidRPr="00B534A6" w:rsidRDefault="00241B22" w:rsidP="00B534A6">
      <w:pPr>
        <w:spacing w:after="0" w:line="360" w:lineRule="auto"/>
        <w:jc w:val="both"/>
        <w:rPr>
          <w:rFonts w:ascii="Times New Roman" w:hAnsi="Times New Roman"/>
          <w:sz w:val="24"/>
          <w:szCs w:val="24"/>
        </w:rPr>
      </w:pPr>
      <w:r w:rsidRPr="00B534A6">
        <w:rPr>
          <w:rFonts w:ascii="Times New Roman" w:hAnsi="Times New Roman"/>
          <w:sz w:val="24"/>
          <w:szCs w:val="24"/>
        </w:rPr>
        <w:t xml:space="preserve">Uwalomwa </w:t>
      </w:r>
      <w:r w:rsidRPr="00B534A6">
        <w:rPr>
          <w:rFonts w:ascii="Times New Roman" w:eastAsia="Times New Roman" w:hAnsi="Times New Roman"/>
          <w:sz w:val="24"/>
          <w:szCs w:val="24"/>
        </w:rPr>
        <w:t>et al (2018)</w:t>
      </w:r>
      <w:r w:rsidR="00670C75" w:rsidRPr="00B534A6">
        <w:rPr>
          <w:rFonts w:ascii="Times New Roman" w:eastAsia="Times New Roman" w:hAnsi="Times New Roman"/>
          <w:sz w:val="24"/>
          <w:szCs w:val="24"/>
        </w:rPr>
        <w:t xml:space="preserve"> </w:t>
      </w:r>
      <w:r w:rsidR="00670C75" w:rsidRPr="00B534A6">
        <w:rPr>
          <w:rFonts w:ascii="Times New Roman" w:hAnsi="Times New Roman"/>
          <w:sz w:val="24"/>
          <w:szCs w:val="24"/>
        </w:rPr>
        <w:t>provide an insight into the bi-directional relationship between sustainability reporting and firm performance in quoted Deposit Money Banks (DMBs) in Nigeria</w:t>
      </w:r>
      <w:r w:rsidR="00936828" w:rsidRPr="00B534A6">
        <w:rPr>
          <w:rFonts w:ascii="Times New Roman" w:hAnsi="Times New Roman"/>
          <w:sz w:val="24"/>
          <w:szCs w:val="24"/>
        </w:rPr>
        <w:t>. Annual report and stand-alone sustainability reports and Panel regression technique was used</w:t>
      </w:r>
      <w:r w:rsidR="008C3102" w:rsidRPr="00B534A6">
        <w:rPr>
          <w:rFonts w:ascii="Times New Roman" w:hAnsi="Times New Roman"/>
          <w:sz w:val="24"/>
          <w:szCs w:val="24"/>
        </w:rPr>
        <w:t>. The study observed that the market price per share of the samples firms had a significant negative influence on sustainability reporting</w:t>
      </w:r>
    </w:p>
    <w:p w:rsidR="000C72BF" w:rsidRPr="00B534A6" w:rsidRDefault="000C72BF" w:rsidP="00B534A6">
      <w:pPr>
        <w:spacing w:after="0" w:line="360" w:lineRule="auto"/>
        <w:jc w:val="both"/>
        <w:rPr>
          <w:rFonts w:ascii="Times New Roman" w:hAnsi="Times New Roman"/>
          <w:sz w:val="24"/>
          <w:szCs w:val="24"/>
        </w:rPr>
      </w:pPr>
      <w:r w:rsidRPr="00B534A6">
        <w:rPr>
          <w:rFonts w:ascii="Times New Roman" w:hAnsi="Times New Roman"/>
          <w:sz w:val="24"/>
          <w:szCs w:val="24"/>
        </w:rPr>
        <w:t>Banu</w:t>
      </w:r>
      <w:r w:rsidRPr="00B534A6">
        <w:rPr>
          <w:rFonts w:ascii="Times New Roman" w:eastAsia="Times New Roman" w:hAnsi="Times New Roman"/>
          <w:sz w:val="24"/>
          <w:szCs w:val="24"/>
        </w:rPr>
        <w:t xml:space="preserve">  et al (2023)</w:t>
      </w:r>
      <w:r w:rsidR="00617FB9" w:rsidRPr="00B534A6">
        <w:rPr>
          <w:rFonts w:ascii="Times New Roman" w:eastAsia="Times New Roman" w:hAnsi="Times New Roman"/>
          <w:sz w:val="24"/>
          <w:szCs w:val="24"/>
        </w:rPr>
        <w:t xml:space="preserve"> </w:t>
      </w:r>
      <w:r w:rsidR="00617FB9" w:rsidRPr="00B534A6">
        <w:rPr>
          <w:rFonts w:ascii="Times New Roman" w:hAnsi="Times New Roman"/>
          <w:sz w:val="24"/>
          <w:szCs w:val="24"/>
        </w:rPr>
        <w:t>shed light on the relationship between sustainability reporting and firm performance in a developing country context</w:t>
      </w:r>
      <w:r w:rsidR="00CE3825" w:rsidRPr="00B534A6">
        <w:rPr>
          <w:rFonts w:ascii="Times New Roman" w:hAnsi="Times New Roman"/>
          <w:sz w:val="24"/>
          <w:szCs w:val="24"/>
        </w:rPr>
        <w:t xml:space="preserve">. </w:t>
      </w:r>
      <w:r w:rsidR="00CE3825" w:rsidRPr="00B534A6">
        <w:rPr>
          <w:rFonts w:ascii="Times New Roman" w:eastAsia="Times New Roman" w:hAnsi="Times New Roman"/>
          <w:sz w:val="24"/>
          <w:szCs w:val="24"/>
        </w:rPr>
        <w:t>Descriptive survey design with structured questionnaires, interviews, and multiple regression analysis was used</w:t>
      </w:r>
      <w:r w:rsidR="002824B6" w:rsidRPr="00B534A6">
        <w:rPr>
          <w:rFonts w:ascii="Times New Roman" w:eastAsia="Times New Roman" w:hAnsi="Times New Roman"/>
          <w:sz w:val="24"/>
          <w:szCs w:val="24"/>
        </w:rPr>
        <w:t xml:space="preserve">. </w:t>
      </w:r>
      <w:r w:rsidR="002824B6" w:rsidRPr="00B534A6">
        <w:rPr>
          <w:rFonts w:ascii="Times New Roman" w:hAnsi="Times New Roman"/>
          <w:sz w:val="24"/>
          <w:szCs w:val="24"/>
        </w:rPr>
        <w:t xml:space="preserve">The results showed </w:t>
      </w:r>
      <w:r w:rsidR="002824B6" w:rsidRPr="00B534A6">
        <w:rPr>
          <w:rFonts w:ascii="Times New Roman" w:hAnsi="Times New Roman"/>
          <w:sz w:val="24"/>
          <w:szCs w:val="24"/>
        </w:rPr>
        <w:lastRenderedPageBreak/>
        <w:t>that sustainability reporting has a significant positive impact on financial performance according to the ROA model</w:t>
      </w:r>
    </w:p>
    <w:p w:rsidR="00E641EF" w:rsidRPr="00B534A6" w:rsidRDefault="00E641EF" w:rsidP="00B534A6">
      <w:pPr>
        <w:spacing w:after="0" w:line="360" w:lineRule="auto"/>
        <w:jc w:val="both"/>
        <w:rPr>
          <w:rFonts w:ascii="Times New Roman" w:hAnsi="Times New Roman"/>
          <w:sz w:val="24"/>
          <w:szCs w:val="24"/>
        </w:rPr>
      </w:pPr>
      <w:r w:rsidRPr="00B534A6">
        <w:rPr>
          <w:rFonts w:ascii="Times New Roman" w:hAnsi="Times New Roman"/>
          <w:sz w:val="24"/>
          <w:szCs w:val="24"/>
        </w:rPr>
        <w:t>Nwankwo</w:t>
      </w:r>
      <w:r w:rsidRPr="00B534A6">
        <w:rPr>
          <w:rFonts w:ascii="Times New Roman" w:eastAsia="Times New Roman" w:hAnsi="Times New Roman"/>
          <w:sz w:val="24"/>
          <w:szCs w:val="24"/>
        </w:rPr>
        <w:t xml:space="preserve"> (2023) examine the </w:t>
      </w:r>
      <w:r w:rsidRPr="00B534A6">
        <w:rPr>
          <w:rFonts w:ascii="Times New Roman" w:hAnsi="Times New Roman"/>
          <w:sz w:val="24"/>
          <w:szCs w:val="24"/>
        </w:rPr>
        <w:t>effect of sustainability reporting on corporate financial performance of oil and gas companies in Nigeria. Pairwise Pearson Rank Correlation Coefficient and Panel Least Square (PLS) Regression</w:t>
      </w:r>
      <w:r w:rsidR="00F13672" w:rsidRPr="00B534A6">
        <w:rPr>
          <w:rFonts w:ascii="Times New Roman" w:hAnsi="Times New Roman"/>
          <w:sz w:val="24"/>
          <w:szCs w:val="24"/>
        </w:rPr>
        <w:t>. It was revealed that environmental information disclosure has insignificant and negative effect on profit for the year</w:t>
      </w:r>
    </w:p>
    <w:p w:rsidR="00F24A6F" w:rsidRPr="00B534A6" w:rsidRDefault="005C1F16" w:rsidP="00B534A6">
      <w:pPr>
        <w:spacing w:after="0" w:line="360" w:lineRule="auto"/>
        <w:jc w:val="both"/>
        <w:rPr>
          <w:rFonts w:ascii="Times New Roman" w:hAnsi="Times New Roman"/>
          <w:sz w:val="24"/>
          <w:szCs w:val="24"/>
        </w:rPr>
      </w:pPr>
      <w:r w:rsidRPr="00B534A6">
        <w:rPr>
          <w:rFonts w:ascii="Times New Roman" w:hAnsi="Times New Roman"/>
          <w:sz w:val="24"/>
          <w:szCs w:val="24"/>
        </w:rPr>
        <w:t xml:space="preserve">Akabom </w:t>
      </w:r>
      <w:r w:rsidR="002B5718" w:rsidRPr="00B534A6">
        <w:rPr>
          <w:rFonts w:ascii="Times New Roman" w:hAnsi="Times New Roman"/>
          <w:sz w:val="24"/>
          <w:szCs w:val="24"/>
        </w:rPr>
        <w:t xml:space="preserve"> </w:t>
      </w:r>
      <w:r w:rsidRPr="00B534A6">
        <w:rPr>
          <w:rFonts w:ascii="Times New Roman" w:hAnsi="Times New Roman"/>
          <w:sz w:val="24"/>
          <w:szCs w:val="24"/>
        </w:rPr>
        <w:t xml:space="preserve">et al (2018) examine the effect of sustainability reporting on corporate performance of selected quoted brewery firms in Nigeria. </w:t>
      </w:r>
      <w:r w:rsidR="00F24A6F" w:rsidRPr="00B534A6">
        <w:rPr>
          <w:rFonts w:ascii="Times New Roman" w:hAnsi="Times New Roman"/>
          <w:sz w:val="24"/>
          <w:szCs w:val="24"/>
        </w:rPr>
        <w:t>Audited financial statements</w:t>
      </w:r>
      <w:r w:rsidR="00DA042A" w:rsidRPr="00B534A6">
        <w:rPr>
          <w:rFonts w:ascii="Times New Roman" w:hAnsi="Times New Roman"/>
          <w:sz w:val="24"/>
          <w:szCs w:val="24"/>
        </w:rPr>
        <w:t xml:space="preserve"> and </w:t>
      </w:r>
      <w:r w:rsidR="00F24A6F" w:rsidRPr="00B534A6">
        <w:rPr>
          <w:rFonts w:ascii="Times New Roman" w:hAnsi="Times New Roman"/>
          <w:sz w:val="24"/>
          <w:szCs w:val="24"/>
        </w:rPr>
        <w:t xml:space="preserve">Correlation Analysis </w:t>
      </w:r>
      <w:r w:rsidR="00DA042A" w:rsidRPr="00B534A6">
        <w:rPr>
          <w:rFonts w:ascii="Times New Roman" w:hAnsi="Times New Roman"/>
          <w:sz w:val="24"/>
          <w:szCs w:val="24"/>
        </w:rPr>
        <w:t xml:space="preserve">was used. </w:t>
      </w:r>
      <w:r w:rsidR="00F24A6F" w:rsidRPr="00B534A6">
        <w:rPr>
          <w:rFonts w:ascii="Times New Roman" w:hAnsi="Times New Roman"/>
          <w:sz w:val="24"/>
          <w:szCs w:val="24"/>
        </w:rPr>
        <w:t>The result of the study shows that Economic Performance disclosure (ECN), Environmental Performance disclosure (ENV) and Social Performance disclosure (SOC) have no significant effect on return on asset (ROA) of selected quoted firms in Nigeria.</w:t>
      </w:r>
    </w:p>
    <w:p w:rsidR="008D1489" w:rsidRPr="00B534A6" w:rsidRDefault="008D1489" w:rsidP="00B534A6">
      <w:pPr>
        <w:spacing w:after="0" w:line="360" w:lineRule="auto"/>
        <w:jc w:val="both"/>
        <w:rPr>
          <w:rFonts w:ascii="Times New Roman" w:hAnsi="Times New Roman"/>
          <w:sz w:val="24"/>
          <w:szCs w:val="24"/>
        </w:rPr>
      </w:pPr>
      <w:r w:rsidRPr="00B534A6">
        <w:rPr>
          <w:rFonts w:ascii="Times New Roman" w:hAnsi="Times New Roman"/>
          <w:sz w:val="24"/>
          <w:szCs w:val="24"/>
        </w:rPr>
        <w:t>Aniagboso &amp; Orjinta (2023) examine the effect of Sustainability Reporting on Financial Performance of Quoted Pharmaceutical Companies in Nigeria</w:t>
      </w:r>
      <w:r w:rsidR="00377ADD" w:rsidRPr="00B534A6">
        <w:rPr>
          <w:rFonts w:ascii="Times New Roman" w:hAnsi="Times New Roman"/>
          <w:sz w:val="24"/>
          <w:szCs w:val="24"/>
        </w:rPr>
        <w:t>. Descriptive analysis and Multiple panels least regression analysis. The results of the tested hypotheses revealed that employee health and safety disclosure, and social disclosure have positive and significant effect on financial performance of health care companies in Nigeria</w:t>
      </w:r>
    </w:p>
    <w:p w:rsidR="00A52472" w:rsidRPr="00B534A6" w:rsidRDefault="00A52472" w:rsidP="00B534A6">
      <w:pPr>
        <w:spacing w:after="0" w:line="360" w:lineRule="auto"/>
        <w:jc w:val="both"/>
        <w:rPr>
          <w:rFonts w:ascii="Times New Roman" w:hAnsi="Times New Roman"/>
          <w:sz w:val="24"/>
          <w:szCs w:val="24"/>
        </w:rPr>
      </w:pPr>
      <w:r w:rsidRPr="00B534A6">
        <w:rPr>
          <w:rFonts w:ascii="Times New Roman" w:hAnsi="Times New Roman"/>
          <w:sz w:val="24"/>
          <w:szCs w:val="24"/>
        </w:rPr>
        <w:t>Erna et al (2024) examine the impact of sustainability reporting on corporate financial performance through a comprehensive global analysis</w:t>
      </w:r>
      <w:r w:rsidR="00854D16" w:rsidRPr="00B534A6">
        <w:rPr>
          <w:rFonts w:ascii="Times New Roman" w:hAnsi="Times New Roman"/>
          <w:sz w:val="24"/>
          <w:szCs w:val="24"/>
        </w:rPr>
        <w:t>. Quantitative and qualitative metrics and Correlation analysis was used</w:t>
      </w:r>
      <w:r w:rsidR="0095290A" w:rsidRPr="00B534A6">
        <w:rPr>
          <w:rFonts w:ascii="Times New Roman" w:hAnsi="Times New Roman"/>
          <w:sz w:val="24"/>
          <w:szCs w:val="24"/>
        </w:rPr>
        <w:t>. Findings reveal that companies with robust sustainability reporting tend to experience enhanced financial performance</w:t>
      </w:r>
    </w:p>
    <w:p w:rsidR="00B1012D" w:rsidRPr="00B534A6" w:rsidRDefault="002B5718" w:rsidP="00B534A6">
      <w:pPr>
        <w:spacing w:after="0" w:line="360" w:lineRule="auto"/>
        <w:jc w:val="both"/>
        <w:rPr>
          <w:rFonts w:ascii="Times New Roman" w:hAnsi="Times New Roman"/>
          <w:sz w:val="24"/>
          <w:szCs w:val="24"/>
        </w:rPr>
      </w:pPr>
      <w:r w:rsidRPr="00B534A6">
        <w:rPr>
          <w:rFonts w:ascii="Times New Roman" w:hAnsi="Times New Roman"/>
          <w:sz w:val="24"/>
          <w:szCs w:val="24"/>
        </w:rPr>
        <w:t xml:space="preserve">Lancee (2017) </w:t>
      </w:r>
      <w:r w:rsidR="00FD7AAF" w:rsidRPr="00B534A6">
        <w:rPr>
          <w:rFonts w:ascii="Times New Roman" w:eastAsia="Times New Roman" w:hAnsi="Times New Roman"/>
          <w:sz w:val="24"/>
          <w:szCs w:val="24"/>
        </w:rPr>
        <w:t>examine</w:t>
      </w:r>
      <w:r w:rsidRPr="00B534A6">
        <w:rPr>
          <w:rFonts w:ascii="Times New Roman" w:eastAsia="Times New Roman" w:hAnsi="Times New Roman"/>
          <w:sz w:val="24"/>
          <w:szCs w:val="24"/>
        </w:rPr>
        <w:t>d</w:t>
      </w:r>
      <w:r w:rsidR="00FD7AAF" w:rsidRPr="00B534A6">
        <w:rPr>
          <w:rFonts w:ascii="Times New Roman" w:eastAsia="Times New Roman" w:hAnsi="Times New Roman"/>
          <w:sz w:val="24"/>
          <w:szCs w:val="24"/>
        </w:rPr>
        <w:t xml:space="preserve"> </w:t>
      </w:r>
      <w:r w:rsidR="00FD7AAF" w:rsidRPr="00B534A6">
        <w:rPr>
          <w:rFonts w:ascii="Times New Roman" w:hAnsi="Times New Roman"/>
          <w:sz w:val="24"/>
          <w:szCs w:val="24"/>
        </w:rPr>
        <w:t xml:space="preserve">the Impact of Sustainability Reporting on Firm Profitability. Ex post facto and secondary data and Robust panel least square regression. </w:t>
      </w:r>
      <w:r w:rsidR="00B1012D" w:rsidRPr="00B534A6">
        <w:rPr>
          <w:rFonts w:ascii="Times New Roman" w:hAnsi="Times New Roman"/>
          <w:sz w:val="24"/>
          <w:szCs w:val="24"/>
        </w:rPr>
        <w:t>The study found a positive and significant effect of sustainability reporting on a firm’s return on equity, return on assets, and profit margin in the subsequent year</w:t>
      </w:r>
    </w:p>
    <w:p w:rsidR="007A0902" w:rsidRPr="00B534A6" w:rsidRDefault="007A0902" w:rsidP="00B534A6">
      <w:pPr>
        <w:spacing w:after="0" w:line="360" w:lineRule="auto"/>
        <w:jc w:val="both"/>
        <w:rPr>
          <w:rFonts w:ascii="Times New Roman" w:hAnsi="Times New Roman"/>
          <w:sz w:val="24"/>
          <w:szCs w:val="24"/>
        </w:rPr>
      </w:pPr>
    </w:p>
    <w:p w:rsidR="006D6291" w:rsidRPr="00B534A6" w:rsidRDefault="006D6291" w:rsidP="00541786">
      <w:pPr>
        <w:pStyle w:val="Heading2"/>
        <w:spacing w:before="0" w:beforeAutospacing="0" w:after="0" w:afterAutospacing="0" w:line="360" w:lineRule="auto"/>
        <w:jc w:val="center"/>
        <w:rPr>
          <w:sz w:val="24"/>
          <w:szCs w:val="24"/>
        </w:rPr>
      </w:pPr>
      <w:r w:rsidRPr="00B534A6">
        <w:rPr>
          <w:sz w:val="24"/>
          <w:szCs w:val="24"/>
        </w:rPr>
        <w:br w:type="page"/>
      </w:r>
      <w:r w:rsidRPr="00B534A6">
        <w:rPr>
          <w:sz w:val="24"/>
          <w:szCs w:val="24"/>
        </w:rPr>
        <w:lastRenderedPageBreak/>
        <w:t>CHAPTER THREE</w:t>
      </w:r>
    </w:p>
    <w:p w:rsidR="006D6291" w:rsidRPr="00B534A6" w:rsidRDefault="006D6291" w:rsidP="00541786">
      <w:pPr>
        <w:pStyle w:val="Heading3"/>
        <w:spacing w:before="0" w:line="360" w:lineRule="auto"/>
        <w:jc w:val="center"/>
        <w:rPr>
          <w:rFonts w:ascii="Times New Roman" w:hAnsi="Times New Roman" w:cs="Times New Roman"/>
          <w:color w:val="auto"/>
          <w:sz w:val="24"/>
          <w:szCs w:val="24"/>
        </w:rPr>
      </w:pPr>
      <w:r w:rsidRPr="00B534A6">
        <w:rPr>
          <w:rFonts w:ascii="Times New Roman" w:hAnsi="Times New Roman" w:cs="Times New Roman"/>
          <w:color w:val="auto"/>
          <w:sz w:val="24"/>
          <w:szCs w:val="24"/>
        </w:rPr>
        <w:t>METHODOLOGY</w:t>
      </w:r>
    </w:p>
    <w:p w:rsidR="006D6291" w:rsidRPr="00541786" w:rsidRDefault="006D6291" w:rsidP="00B534A6">
      <w:pPr>
        <w:pStyle w:val="Heading4"/>
        <w:spacing w:before="0" w:line="360" w:lineRule="auto"/>
        <w:jc w:val="both"/>
        <w:rPr>
          <w:rFonts w:ascii="Times New Roman" w:hAnsi="Times New Roman" w:cs="Times New Roman"/>
          <w:i w:val="0"/>
          <w:color w:val="auto"/>
          <w:sz w:val="24"/>
          <w:szCs w:val="24"/>
        </w:rPr>
      </w:pPr>
      <w:r w:rsidRPr="00541786">
        <w:rPr>
          <w:rFonts w:ascii="Times New Roman" w:hAnsi="Times New Roman" w:cs="Times New Roman"/>
          <w:i w:val="0"/>
          <w:color w:val="auto"/>
          <w:sz w:val="24"/>
          <w:szCs w:val="24"/>
        </w:rPr>
        <w:t>3.1 Introduction</w:t>
      </w:r>
    </w:p>
    <w:p w:rsidR="006D6291" w:rsidRPr="00B534A6" w:rsidRDefault="006D6291" w:rsidP="00B534A6">
      <w:pPr>
        <w:pStyle w:val="NormalWeb"/>
        <w:spacing w:before="0" w:beforeAutospacing="0" w:after="0" w:afterAutospacing="0" w:line="360" w:lineRule="auto"/>
        <w:jc w:val="both"/>
      </w:pPr>
      <w:r w:rsidRPr="00B534A6">
        <w:t>This chapter outlines the methodology for examining the impact of sustainability reporting on corporate performance at Tuyil Pharmaceutical Company Nig Ltd. The study is conducted in Ilorin, Nigeria, Tuyil’s headquarters, targeting its sustainability and financial data.</w:t>
      </w:r>
    </w:p>
    <w:p w:rsidR="006D6291" w:rsidRPr="00541786" w:rsidRDefault="006D6291" w:rsidP="00B534A6">
      <w:pPr>
        <w:pStyle w:val="Heading4"/>
        <w:spacing w:before="0" w:line="360" w:lineRule="auto"/>
        <w:jc w:val="both"/>
        <w:rPr>
          <w:rFonts w:ascii="Times New Roman" w:hAnsi="Times New Roman" w:cs="Times New Roman"/>
          <w:i w:val="0"/>
          <w:color w:val="auto"/>
          <w:sz w:val="24"/>
          <w:szCs w:val="24"/>
        </w:rPr>
      </w:pPr>
      <w:r w:rsidRPr="00541786">
        <w:rPr>
          <w:rFonts w:ascii="Times New Roman" w:hAnsi="Times New Roman" w:cs="Times New Roman"/>
          <w:i w:val="0"/>
          <w:color w:val="auto"/>
          <w:sz w:val="24"/>
          <w:szCs w:val="24"/>
        </w:rPr>
        <w:t>3.2 Research Design</w:t>
      </w:r>
    </w:p>
    <w:p w:rsidR="006D6291" w:rsidRPr="00B534A6" w:rsidRDefault="006D6291" w:rsidP="00B534A6">
      <w:pPr>
        <w:pStyle w:val="NormalWeb"/>
        <w:spacing w:before="0" w:beforeAutospacing="0" w:after="0" w:afterAutospacing="0" w:line="360" w:lineRule="auto"/>
        <w:jc w:val="both"/>
      </w:pPr>
      <w:r w:rsidRPr="00B534A6">
        <w:t>The study adopts a descriptive research design, combining quantitative and qualitative approaches. Quantitative data measure reporting’s impact on performance, while qualitative data explore challenges. Primary data are collected from Tuyil staff, supplemented by secondary data from reports and journals.</w:t>
      </w:r>
    </w:p>
    <w:p w:rsidR="006D6291" w:rsidRPr="00541786" w:rsidRDefault="006D6291" w:rsidP="00B534A6">
      <w:pPr>
        <w:pStyle w:val="Heading4"/>
        <w:spacing w:before="0" w:line="360" w:lineRule="auto"/>
        <w:jc w:val="both"/>
        <w:rPr>
          <w:rFonts w:ascii="Times New Roman" w:hAnsi="Times New Roman" w:cs="Times New Roman"/>
          <w:i w:val="0"/>
          <w:color w:val="auto"/>
          <w:sz w:val="24"/>
          <w:szCs w:val="24"/>
        </w:rPr>
      </w:pPr>
      <w:r w:rsidRPr="00541786">
        <w:rPr>
          <w:rFonts w:ascii="Times New Roman" w:hAnsi="Times New Roman" w:cs="Times New Roman"/>
          <w:i w:val="0"/>
          <w:color w:val="auto"/>
          <w:sz w:val="24"/>
          <w:szCs w:val="24"/>
        </w:rPr>
        <w:t>3.3 Population of the Study</w:t>
      </w:r>
    </w:p>
    <w:p w:rsidR="006D6291" w:rsidRPr="00B534A6" w:rsidRDefault="006D6291" w:rsidP="00B534A6">
      <w:pPr>
        <w:pStyle w:val="NormalWeb"/>
        <w:spacing w:before="0" w:beforeAutospacing="0" w:after="0" w:afterAutospacing="0" w:line="360" w:lineRule="auto"/>
        <w:jc w:val="both"/>
      </w:pPr>
      <w:r w:rsidRPr="00B534A6">
        <w:t>The population comprises 80 Tuyil staff, including:</w:t>
      </w:r>
    </w:p>
    <w:p w:rsidR="006D6291" w:rsidRPr="00B534A6" w:rsidRDefault="006D6291" w:rsidP="00B534A6">
      <w:pPr>
        <w:pStyle w:val="NormalWeb"/>
        <w:numPr>
          <w:ilvl w:val="0"/>
          <w:numId w:val="1"/>
        </w:numPr>
        <w:spacing w:before="0" w:beforeAutospacing="0" w:after="0" w:afterAutospacing="0" w:line="360" w:lineRule="auto"/>
        <w:jc w:val="both"/>
      </w:pPr>
      <w:r w:rsidRPr="00B534A6">
        <w:t>Financial Managers: 20, overseeing financial performance.</w:t>
      </w:r>
    </w:p>
    <w:p w:rsidR="006D6291" w:rsidRPr="00B534A6" w:rsidRDefault="006D6291" w:rsidP="00B534A6">
      <w:pPr>
        <w:pStyle w:val="NormalWeb"/>
        <w:numPr>
          <w:ilvl w:val="0"/>
          <w:numId w:val="1"/>
        </w:numPr>
        <w:spacing w:before="0" w:beforeAutospacing="0" w:after="0" w:afterAutospacing="0" w:line="360" w:lineRule="auto"/>
        <w:jc w:val="both"/>
      </w:pPr>
      <w:r w:rsidRPr="00B534A6">
        <w:t>Sustainability Officers: 30, managing ESG reporting.</w:t>
      </w:r>
    </w:p>
    <w:p w:rsidR="006D6291" w:rsidRPr="00B534A6" w:rsidRDefault="006D6291" w:rsidP="00B534A6">
      <w:pPr>
        <w:pStyle w:val="NormalWeb"/>
        <w:numPr>
          <w:ilvl w:val="0"/>
          <w:numId w:val="1"/>
        </w:numPr>
        <w:spacing w:before="0" w:beforeAutospacing="0" w:after="0" w:afterAutospacing="0" w:line="360" w:lineRule="auto"/>
        <w:jc w:val="both"/>
      </w:pPr>
      <w:r w:rsidRPr="00B534A6">
        <w:t>Stakeholder Engagement Teams: 30, handling community and investor relations.</w:t>
      </w:r>
    </w:p>
    <w:p w:rsidR="006D6291" w:rsidRPr="00541786" w:rsidRDefault="006D6291" w:rsidP="00B534A6">
      <w:pPr>
        <w:pStyle w:val="Heading4"/>
        <w:spacing w:before="0" w:line="360" w:lineRule="auto"/>
        <w:jc w:val="both"/>
        <w:rPr>
          <w:rFonts w:ascii="Times New Roman" w:hAnsi="Times New Roman" w:cs="Times New Roman"/>
          <w:i w:val="0"/>
          <w:color w:val="auto"/>
          <w:sz w:val="24"/>
          <w:szCs w:val="24"/>
        </w:rPr>
      </w:pPr>
      <w:r w:rsidRPr="00541786">
        <w:rPr>
          <w:rFonts w:ascii="Times New Roman" w:hAnsi="Times New Roman" w:cs="Times New Roman"/>
          <w:i w:val="0"/>
          <w:color w:val="auto"/>
          <w:sz w:val="24"/>
          <w:szCs w:val="24"/>
        </w:rPr>
        <w:t>3.4 Sample Size and Sampling Techniques</w:t>
      </w:r>
    </w:p>
    <w:p w:rsidR="00DA393D" w:rsidRPr="00B534A6" w:rsidRDefault="006D6291" w:rsidP="00B534A6">
      <w:pPr>
        <w:pStyle w:val="NormalWeb"/>
        <w:spacing w:before="0" w:beforeAutospacing="0" w:after="0" w:afterAutospacing="0" w:line="360" w:lineRule="auto"/>
        <w:jc w:val="both"/>
      </w:pPr>
      <w:r w:rsidRPr="00B534A6">
        <w:t>The sample size is 62, calculated</w:t>
      </w:r>
      <w:r w:rsidR="00DA393D" w:rsidRPr="00B534A6">
        <w:t xml:space="preserve"> using the Taro Yamane formula:</w:t>
      </w:r>
    </w:p>
    <w:p w:rsidR="00DA393D" w:rsidRPr="00B534A6" w:rsidRDefault="00DA393D" w:rsidP="00B534A6">
      <w:pPr>
        <w:pStyle w:val="NormalWeb"/>
        <w:spacing w:before="0" w:beforeAutospacing="0" w:after="0" w:afterAutospacing="0" w:line="360" w:lineRule="auto"/>
        <w:jc w:val="both"/>
      </w:pPr>
      <w:r w:rsidRPr="00B534A6">
        <w:t>n = N / (1 + N(e²))</w:t>
      </w:r>
    </w:p>
    <w:p w:rsidR="00DA393D" w:rsidRPr="00B534A6" w:rsidRDefault="00DA393D" w:rsidP="00B534A6">
      <w:pPr>
        <w:pStyle w:val="NormalWeb"/>
        <w:spacing w:before="0" w:beforeAutospacing="0" w:after="0" w:afterAutospacing="0" w:line="360" w:lineRule="auto"/>
        <w:jc w:val="both"/>
      </w:pPr>
      <w:r w:rsidRPr="00B534A6">
        <w:t>Where: N = 80, e = 0.05</w:t>
      </w:r>
    </w:p>
    <w:p w:rsidR="00DA393D" w:rsidRPr="00B534A6" w:rsidRDefault="006D6291" w:rsidP="00B534A6">
      <w:pPr>
        <w:pStyle w:val="NormalWeb"/>
        <w:spacing w:before="0" w:beforeAutospacing="0" w:after="0" w:afterAutospacing="0" w:line="360" w:lineRule="auto"/>
        <w:jc w:val="both"/>
      </w:pPr>
      <w:r w:rsidRPr="00B534A6">
        <w:t>n = 80 / (1 + 80(0.0025)) = 80 / 1.2 ≈ 62</w:t>
      </w:r>
    </w:p>
    <w:p w:rsidR="006D6291" w:rsidRPr="00B534A6" w:rsidRDefault="006D6291" w:rsidP="00B534A6">
      <w:pPr>
        <w:pStyle w:val="NormalWeb"/>
        <w:spacing w:before="0" w:beforeAutospacing="0" w:after="0" w:afterAutospacing="0" w:line="360" w:lineRule="auto"/>
        <w:jc w:val="both"/>
      </w:pPr>
      <w:r w:rsidRPr="00B534A6">
        <w:t>The sample includes 15 financial managers, 23 sustainability officers, and 24 engagement team members. Stratified sampling ensures representation across roles and gender, with random selection minimizing bias.</w:t>
      </w:r>
    </w:p>
    <w:p w:rsidR="00541786" w:rsidRDefault="00541786" w:rsidP="00B534A6">
      <w:pPr>
        <w:pStyle w:val="Heading4"/>
        <w:spacing w:before="0" w:line="360" w:lineRule="auto"/>
        <w:jc w:val="both"/>
        <w:rPr>
          <w:rFonts w:ascii="Times New Roman" w:hAnsi="Times New Roman" w:cs="Times New Roman"/>
          <w:color w:val="auto"/>
          <w:sz w:val="24"/>
          <w:szCs w:val="24"/>
        </w:rPr>
      </w:pPr>
    </w:p>
    <w:p w:rsidR="006D6291" w:rsidRPr="00541786" w:rsidRDefault="006D6291" w:rsidP="00B534A6">
      <w:pPr>
        <w:pStyle w:val="Heading4"/>
        <w:spacing w:before="0" w:line="360" w:lineRule="auto"/>
        <w:jc w:val="both"/>
        <w:rPr>
          <w:rFonts w:ascii="Times New Roman" w:hAnsi="Times New Roman" w:cs="Times New Roman"/>
          <w:i w:val="0"/>
          <w:color w:val="auto"/>
          <w:sz w:val="24"/>
          <w:szCs w:val="24"/>
        </w:rPr>
      </w:pPr>
      <w:r w:rsidRPr="00541786">
        <w:rPr>
          <w:rFonts w:ascii="Times New Roman" w:hAnsi="Times New Roman" w:cs="Times New Roman"/>
          <w:i w:val="0"/>
          <w:color w:val="auto"/>
          <w:sz w:val="24"/>
          <w:szCs w:val="24"/>
        </w:rPr>
        <w:t>3.5 Sources of Data</w:t>
      </w:r>
    </w:p>
    <w:p w:rsidR="00541786" w:rsidRDefault="006D6291" w:rsidP="00B534A6">
      <w:pPr>
        <w:pStyle w:val="NormalWeb"/>
        <w:spacing w:before="0" w:beforeAutospacing="0" w:after="0" w:afterAutospacing="0" w:line="360" w:lineRule="auto"/>
        <w:jc w:val="both"/>
      </w:pPr>
      <w:r w:rsidRPr="00B534A6">
        <w:rPr>
          <w:rStyle w:val="Strong"/>
        </w:rPr>
        <w:t>Primary Data</w:t>
      </w:r>
      <w:r w:rsidRPr="00B534A6">
        <w:t>: Collected via questionnaires with Likert-scale and open-ended questions, pre-tested on 10 respondents.</w:t>
      </w:r>
    </w:p>
    <w:p w:rsidR="006D6291" w:rsidRPr="00B534A6" w:rsidRDefault="006D6291" w:rsidP="00B534A6">
      <w:pPr>
        <w:pStyle w:val="NormalWeb"/>
        <w:spacing w:before="0" w:beforeAutospacing="0" w:after="0" w:afterAutospacing="0" w:line="360" w:lineRule="auto"/>
        <w:jc w:val="both"/>
      </w:pPr>
      <w:r w:rsidRPr="00B534A6">
        <w:rPr>
          <w:rStyle w:val="Strong"/>
        </w:rPr>
        <w:t>Secondary Data</w:t>
      </w:r>
      <w:r w:rsidRPr="00B534A6">
        <w:t>: Sourced from Tuyil’s reports (2020–2024), FRC guidelines, NBS data, journals, and industry reports.</w:t>
      </w:r>
    </w:p>
    <w:p w:rsidR="006D6291" w:rsidRPr="00541786" w:rsidRDefault="006D6291" w:rsidP="00B534A6">
      <w:pPr>
        <w:pStyle w:val="Heading4"/>
        <w:spacing w:before="0" w:line="360" w:lineRule="auto"/>
        <w:jc w:val="both"/>
        <w:rPr>
          <w:rFonts w:ascii="Times New Roman" w:hAnsi="Times New Roman" w:cs="Times New Roman"/>
          <w:i w:val="0"/>
          <w:color w:val="auto"/>
          <w:sz w:val="24"/>
          <w:szCs w:val="24"/>
        </w:rPr>
      </w:pPr>
      <w:r w:rsidRPr="00541786">
        <w:rPr>
          <w:rFonts w:ascii="Times New Roman" w:hAnsi="Times New Roman" w:cs="Times New Roman"/>
          <w:i w:val="0"/>
          <w:color w:val="auto"/>
          <w:sz w:val="24"/>
          <w:szCs w:val="24"/>
        </w:rPr>
        <w:t>3.6 Method of Data Analysis</w:t>
      </w:r>
    </w:p>
    <w:p w:rsidR="006D6291" w:rsidRPr="00B534A6" w:rsidRDefault="006D6291" w:rsidP="00B534A6">
      <w:pPr>
        <w:pStyle w:val="NormalWeb"/>
        <w:numPr>
          <w:ilvl w:val="0"/>
          <w:numId w:val="2"/>
        </w:numPr>
        <w:spacing w:before="0" w:beforeAutospacing="0" w:after="0" w:afterAutospacing="0" w:line="360" w:lineRule="auto"/>
        <w:jc w:val="both"/>
      </w:pPr>
      <w:r w:rsidRPr="00B534A6">
        <w:rPr>
          <w:rStyle w:val="Strong"/>
        </w:rPr>
        <w:t>Descriptive Analysis</w:t>
      </w:r>
      <w:r w:rsidRPr="00B534A6">
        <w:t>: Summarizes responses using tables, percentages, and means via Excel and SPSS version 23.</w:t>
      </w:r>
    </w:p>
    <w:p w:rsidR="006D6291" w:rsidRPr="00B534A6" w:rsidRDefault="006D6291" w:rsidP="00B534A6">
      <w:pPr>
        <w:pStyle w:val="NormalWeb"/>
        <w:numPr>
          <w:ilvl w:val="0"/>
          <w:numId w:val="2"/>
        </w:numPr>
        <w:spacing w:before="0" w:beforeAutospacing="0" w:after="0" w:afterAutospacing="0" w:line="360" w:lineRule="auto"/>
        <w:jc w:val="both"/>
      </w:pPr>
      <w:r w:rsidRPr="00B534A6">
        <w:rPr>
          <w:rStyle w:val="Strong"/>
        </w:rPr>
        <w:t>Inferential Analysis</w:t>
      </w:r>
      <w:r w:rsidRPr="00B534A6">
        <w:t>: Tests hypotheses with SPSS:</w:t>
      </w:r>
    </w:p>
    <w:p w:rsidR="006D6291" w:rsidRPr="00B534A6" w:rsidRDefault="006D6291" w:rsidP="00B534A6">
      <w:pPr>
        <w:pStyle w:val="NormalWeb"/>
        <w:numPr>
          <w:ilvl w:val="1"/>
          <w:numId w:val="2"/>
        </w:numPr>
        <w:spacing w:before="0" w:beforeAutospacing="0" w:after="0" w:afterAutospacing="0" w:line="360" w:lineRule="auto"/>
        <w:jc w:val="both"/>
      </w:pPr>
      <w:r w:rsidRPr="00B534A6">
        <w:t>Regression Analysis: For H01 and H02, examining reporting’s impact on performance.</w:t>
      </w:r>
    </w:p>
    <w:p w:rsidR="006D6291" w:rsidRPr="00B534A6" w:rsidRDefault="006D6291" w:rsidP="00B534A6">
      <w:pPr>
        <w:pStyle w:val="NormalWeb"/>
        <w:numPr>
          <w:ilvl w:val="1"/>
          <w:numId w:val="2"/>
        </w:numPr>
        <w:spacing w:before="0" w:beforeAutospacing="0" w:after="0" w:afterAutospacing="0" w:line="360" w:lineRule="auto"/>
        <w:jc w:val="both"/>
      </w:pPr>
      <w:r w:rsidRPr="00B534A6">
        <w:t>Correlation Analysis: For H03, assessing stakeholder engagement’s role.</w:t>
      </w:r>
    </w:p>
    <w:p w:rsidR="006D6291" w:rsidRPr="00B534A6" w:rsidRDefault="006D6291" w:rsidP="00B534A6">
      <w:pPr>
        <w:pStyle w:val="NormalWeb"/>
        <w:numPr>
          <w:ilvl w:val="1"/>
          <w:numId w:val="2"/>
        </w:numPr>
        <w:spacing w:before="0" w:beforeAutospacing="0" w:after="0" w:afterAutospacing="0" w:line="360" w:lineRule="auto"/>
        <w:jc w:val="both"/>
      </w:pPr>
      <w:r w:rsidRPr="00B534A6">
        <w:t>T-tests: To compare perceptions across groups.</w:t>
      </w:r>
    </w:p>
    <w:p w:rsidR="006D6291" w:rsidRPr="00541786" w:rsidRDefault="006D6291" w:rsidP="00B534A6">
      <w:pPr>
        <w:pStyle w:val="Heading4"/>
        <w:spacing w:before="0" w:line="360" w:lineRule="auto"/>
        <w:jc w:val="both"/>
        <w:rPr>
          <w:rFonts w:ascii="Times New Roman" w:hAnsi="Times New Roman" w:cs="Times New Roman"/>
          <w:i w:val="0"/>
          <w:color w:val="auto"/>
          <w:sz w:val="24"/>
          <w:szCs w:val="24"/>
        </w:rPr>
      </w:pPr>
      <w:r w:rsidRPr="00541786">
        <w:rPr>
          <w:rFonts w:ascii="Times New Roman" w:hAnsi="Times New Roman" w:cs="Times New Roman"/>
          <w:i w:val="0"/>
          <w:color w:val="auto"/>
          <w:sz w:val="24"/>
          <w:szCs w:val="24"/>
        </w:rPr>
        <w:t>3.7 Model Specification</w:t>
      </w:r>
    </w:p>
    <w:p w:rsidR="00DA393D" w:rsidRPr="00B534A6" w:rsidRDefault="00DA393D" w:rsidP="00B534A6">
      <w:pPr>
        <w:pStyle w:val="NormalWeb"/>
        <w:spacing w:before="0" w:beforeAutospacing="0" w:after="0" w:afterAutospacing="0" w:line="360" w:lineRule="auto"/>
        <w:jc w:val="both"/>
      </w:pPr>
      <w:r w:rsidRPr="00B534A6">
        <w:t>The model is:</w:t>
      </w:r>
    </w:p>
    <w:p w:rsidR="00DA393D" w:rsidRPr="00B534A6" w:rsidRDefault="00DA393D" w:rsidP="00B534A6">
      <w:pPr>
        <w:pStyle w:val="NormalWeb"/>
        <w:spacing w:before="0" w:beforeAutospacing="0" w:after="0" w:afterAutospacing="0" w:line="360" w:lineRule="auto"/>
        <w:jc w:val="both"/>
      </w:pPr>
      <w:r w:rsidRPr="00B534A6">
        <w:t>CP = f (SR, RQ, SE)</w:t>
      </w:r>
    </w:p>
    <w:p w:rsidR="00DA393D" w:rsidRPr="00B534A6" w:rsidRDefault="006D6291" w:rsidP="00B534A6">
      <w:pPr>
        <w:pStyle w:val="NormalWeb"/>
        <w:spacing w:before="0" w:beforeAutospacing="0" w:after="0" w:afterAutospacing="0" w:line="360" w:lineRule="auto"/>
        <w:jc w:val="both"/>
      </w:pPr>
      <w:r w:rsidRPr="00B534A6">
        <w:t>Where: CP = Corporate Performance, SR = Sustainability Reporting, RQ = R</w:t>
      </w:r>
      <w:r w:rsidR="00DA393D" w:rsidRPr="00B534A6">
        <w:t>eport Quality, SE = Stakeholder</w:t>
      </w:r>
    </w:p>
    <w:p w:rsidR="00DA393D" w:rsidRPr="00B534A6" w:rsidRDefault="006D6291" w:rsidP="00B534A6">
      <w:pPr>
        <w:pStyle w:val="NormalWeb"/>
        <w:spacing w:before="0" w:beforeAutospacing="0" w:after="0" w:afterAutospacing="0" w:line="360" w:lineRule="auto"/>
        <w:jc w:val="both"/>
      </w:pPr>
      <w:r w:rsidRPr="00B534A6">
        <w:t>Engagement</w:t>
      </w:r>
    </w:p>
    <w:p w:rsidR="00DA393D" w:rsidRPr="00B534A6" w:rsidRDefault="00DA393D" w:rsidP="00B534A6">
      <w:pPr>
        <w:pStyle w:val="NormalWeb"/>
        <w:spacing w:before="0" w:beforeAutospacing="0" w:after="0" w:afterAutospacing="0" w:line="360" w:lineRule="auto"/>
        <w:jc w:val="both"/>
      </w:pPr>
      <w:r w:rsidRPr="00B534A6">
        <w:t>Regression equation:</w:t>
      </w:r>
    </w:p>
    <w:p w:rsidR="006D6291" w:rsidRPr="00B534A6" w:rsidRDefault="006D6291" w:rsidP="00B534A6">
      <w:pPr>
        <w:pStyle w:val="NormalWeb"/>
        <w:spacing w:before="0" w:beforeAutospacing="0" w:after="0" w:afterAutospacing="0" w:line="360" w:lineRule="auto"/>
        <w:jc w:val="both"/>
      </w:pPr>
      <w:r w:rsidRPr="00B534A6">
        <w:t>CP = β</w:t>
      </w:r>
      <w:r w:rsidRPr="00B534A6">
        <w:rPr>
          <w:rFonts w:ascii="Cambria Math" w:hAnsi="Cambria Math"/>
        </w:rPr>
        <w:t>₀</w:t>
      </w:r>
      <w:r w:rsidRPr="00B534A6">
        <w:t xml:space="preserve"> + β</w:t>
      </w:r>
      <w:r w:rsidRPr="00B534A6">
        <w:rPr>
          <w:rFonts w:ascii="Cambria Math" w:hAnsi="Cambria Math"/>
        </w:rPr>
        <w:t>₁</w:t>
      </w:r>
      <w:r w:rsidRPr="00B534A6">
        <w:t>RQ + β</w:t>
      </w:r>
      <w:r w:rsidRPr="00B534A6">
        <w:rPr>
          <w:rFonts w:ascii="Cambria Math" w:hAnsi="Cambria Math"/>
        </w:rPr>
        <w:t>₂</w:t>
      </w:r>
      <w:r w:rsidRPr="00B534A6">
        <w:t>SE + ε</w:t>
      </w:r>
    </w:p>
    <w:p w:rsidR="00DA393D" w:rsidRPr="00B534A6" w:rsidRDefault="00DA393D" w:rsidP="00541786">
      <w:pPr>
        <w:pStyle w:val="Heading2"/>
        <w:spacing w:before="0" w:beforeAutospacing="0" w:after="0" w:afterAutospacing="0" w:line="360" w:lineRule="auto"/>
        <w:jc w:val="center"/>
        <w:rPr>
          <w:sz w:val="24"/>
          <w:szCs w:val="24"/>
        </w:rPr>
      </w:pPr>
      <w:r w:rsidRPr="00B534A6">
        <w:rPr>
          <w:sz w:val="24"/>
          <w:szCs w:val="24"/>
        </w:rPr>
        <w:br w:type="page"/>
      </w:r>
      <w:r w:rsidRPr="00B534A6">
        <w:rPr>
          <w:sz w:val="24"/>
          <w:szCs w:val="24"/>
        </w:rPr>
        <w:lastRenderedPageBreak/>
        <w:t>CHAPTER FOUR</w:t>
      </w:r>
    </w:p>
    <w:p w:rsidR="00DA393D" w:rsidRPr="00B534A6" w:rsidRDefault="00DA393D" w:rsidP="00541786">
      <w:pPr>
        <w:pStyle w:val="Heading3"/>
        <w:spacing w:before="0" w:line="360" w:lineRule="auto"/>
        <w:jc w:val="center"/>
        <w:rPr>
          <w:rFonts w:ascii="Times New Roman" w:hAnsi="Times New Roman" w:cs="Times New Roman"/>
          <w:color w:val="auto"/>
          <w:sz w:val="24"/>
          <w:szCs w:val="24"/>
        </w:rPr>
      </w:pPr>
      <w:r w:rsidRPr="00B534A6">
        <w:rPr>
          <w:rFonts w:ascii="Times New Roman" w:hAnsi="Times New Roman" w:cs="Times New Roman"/>
          <w:color w:val="auto"/>
          <w:sz w:val="24"/>
          <w:szCs w:val="24"/>
        </w:rPr>
        <w:t>DATA PRESENTATION AND ANALYSIS</w:t>
      </w:r>
    </w:p>
    <w:p w:rsidR="00DA393D" w:rsidRPr="00541786" w:rsidRDefault="00DA393D" w:rsidP="00B534A6">
      <w:pPr>
        <w:pStyle w:val="Heading4"/>
        <w:spacing w:before="0" w:line="360" w:lineRule="auto"/>
        <w:jc w:val="both"/>
        <w:rPr>
          <w:rFonts w:ascii="Times New Roman" w:hAnsi="Times New Roman" w:cs="Times New Roman"/>
          <w:i w:val="0"/>
          <w:color w:val="auto"/>
          <w:sz w:val="24"/>
          <w:szCs w:val="24"/>
        </w:rPr>
      </w:pPr>
      <w:r w:rsidRPr="00541786">
        <w:rPr>
          <w:rFonts w:ascii="Times New Roman" w:hAnsi="Times New Roman" w:cs="Times New Roman"/>
          <w:i w:val="0"/>
          <w:color w:val="auto"/>
          <w:sz w:val="24"/>
          <w:szCs w:val="24"/>
        </w:rPr>
        <w:t>4.1 Presentation of Data and Analysis</w:t>
      </w:r>
    </w:p>
    <w:p w:rsidR="00DA393D" w:rsidRPr="00B534A6" w:rsidRDefault="00DA393D" w:rsidP="00B534A6">
      <w:pPr>
        <w:pStyle w:val="NormalWeb"/>
        <w:spacing w:before="0" w:beforeAutospacing="0" w:after="0" w:afterAutospacing="0" w:line="360" w:lineRule="auto"/>
        <w:jc w:val="both"/>
      </w:pPr>
      <w:r w:rsidRPr="00B534A6">
        <w:t>Data from 62 respondents are analyzed in Section A (bio-data) and Section B (research questions). The analysis employs descriptive statistics (frequency tables, percentages) and inferential tools (regression, correlation) via Excel and SPSS version 23, addressing the study’s objectives on sustainability reporting’s impact on corporate performance at Tuyil Pharmaceutical Company Nig Ltd.</w:t>
      </w:r>
    </w:p>
    <w:p w:rsidR="00DA393D" w:rsidRPr="00B534A6" w:rsidRDefault="00DA393D" w:rsidP="00B534A6">
      <w:pPr>
        <w:pStyle w:val="NormalWeb"/>
        <w:spacing w:before="0" w:beforeAutospacing="0" w:after="0" w:afterAutospacing="0" w:line="360" w:lineRule="auto"/>
        <w:jc w:val="both"/>
      </w:pPr>
      <w:r w:rsidRPr="00B534A6">
        <w:rPr>
          <w:rStyle w:val="Strong"/>
        </w:rPr>
        <w:t>Section A: Bio-Data</w:t>
      </w:r>
    </w:p>
    <w:p w:rsidR="00DA393D" w:rsidRPr="00B534A6" w:rsidRDefault="00DA393D" w:rsidP="00B534A6">
      <w:pPr>
        <w:pStyle w:val="NormalWeb"/>
        <w:spacing w:before="0" w:beforeAutospacing="0" w:after="0" w:afterAutospacing="0" w:line="360" w:lineRule="auto"/>
        <w:jc w:val="both"/>
      </w:pPr>
      <w:r w:rsidRPr="00B534A6">
        <w:rPr>
          <w:rStyle w:val="Strong"/>
        </w:rPr>
        <w:t>Table 1: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9"/>
        <w:gridCol w:w="1174"/>
        <w:gridCol w:w="867"/>
        <w:gridCol w:w="1487"/>
        <w:gridCol w:w="2142"/>
      </w:tblGrid>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Gender</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Frequency</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Percent</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Valid Percent</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Cumulative Percent</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Male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37</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59.7</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59.7</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59.7</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Female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25</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40.3</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40.3</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Total</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62</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c>
          <w:tcPr>
            <w:tcW w:w="0" w:type="auto"/>
            <w:vAlign w:val="center"/>
            <w:hideMark/>
          </w:tcPr>
          <w:p w:rsidR="00DA393D" w:rsidRPr="00B534A6" w:rsidRDefault="00DA393D" w:rsidP="00B534A6">
            <w:pPr>
              <w:spacing w:after="0" w:line="360" w:lineRule="auto"/>
              <w:jc w:val="both"/>
              <w:rPr>
                <w:rFonts w:ascii="Times New Roman" w:hAnsi="Times New Roman"/>
                <w:sz w:val="24"/>
                <w:szCs w:val="24"/>
              </w:rPr>
            </w:pPr>
          </w:p>
        </w:tc>
      </w:tr>
    </w:tbl>
    <w:p w:rsidR="00A2694C" w:rsidRPr="00B534A6" w:rsidRDefault="00A2694C" w:rsidP="00B534A6">
      <w:pPr>
        <w:pStyle w:val="NormalWeb"/>
        <w:spacing w:before="0" w:beforeAutospacing="0" w:after="0" w:afterAutospacing="0" w:line="360" w:lineRule="auto"/>
        <w:jc w:val="both"/>
      </w:pPr>
      <w:r w:rsidRPr="00B534A6">
        <w:rPr>
          <w:rStyle w:val="Strong"/>
        </w:rPr>
        <w:t>Source</w:t>
      </w:r>
      <w:r w:rsidRPr="00B534A6">
        <w:t>: Researcher’s Field Survey, 2025</w:t>
      </w:r>
    </w:p>
    <w:p w:rsidR="00DA393D" w:rsidRDefault="00DA393D" w:rsidP="00B534A6">
      <w:pPr>
        <w:pStyle w:val="NormalWeb"/>
        <w:spacing w:before="0" w:beforeAutospacing="0" w:after="0" w:afterAutospacing="0" w:line="360" w:lineRule="auto"/>
        <w:jc w:val="both"/>
      </w:pPr>
      <w:r w:rsidRPr="00B534A6">
        <w:rPr>
          <w:rStyle w:val="Strong"/>
        </w:rPr>
        <w:t>Interpretation</w:t>
      </w:r>
      <w:r w:rsidRPr="00B534A6">
        <w:t>: The gender distribution shows 59.7% male and 40.3% female respondents, reflecting a balanced representation that ensures diverse perspectives on sustainability reporting’s impact. This balance is critical for capturing varied insights from financial managers, sustainability officers, and stakeholder engagement teams, enhancing the study’s ability to address gender-related differences in perceptions of corporate performance. The near-equal representation aligns with Stakeholder Theory (Freeman, 1984), which emphasizes inclusive stakeholder input, and supports the study’s objective to analyze reporting’s broad impact. The diversity strengthens the reliability of findings, as it mitigates bias and reflects Tuyil’s workforce demographics, where 55% of employees are male (Tuyil, 2024). This composition ensures the study’s relevance to Tuyil’s organizational context and Nigeria’s pharmaceutical sector.</w:t>
      </w:r>
    </w:p>
    <w:p w:rsidR="00541786" w:rsidRPr="00B534A6" w:rsidRDefault="00541786" w:rsidP="00B534A6">
      <w:pPr>
        <w:pStyle w:val="NormalWeb"/>
        <w:spacing w:before="0" w:beforeAutospacing="0" w:after="0" w:afterAutospacing="0" w:line="360" w:lineRule="auto"/>
        <w:jc w:val="both"/>
      </w:pPr>
    </w:p>
    <w:p w:rsidR="00DA393D" w:rsidRPr="00B534A6" w:rsidRDefault="00DA393D" w:rsidP="00541786">
      <w:pPr>
        <w:pStyle w:val="NormalWeb"/>
        <w:spacing w:before="0" w:beforeAutospacing="0" w:after="0" w:afterAutospacing="0"/>
        <w:jc w:val="both"/>
      </w:pPr>
      <w:r w:rsidRPr="00B534A6">
        <w:rPr>
          <w:rStyle w:val="Strong"/>
        </w:rPr>
        <w:lastRenderedPageBreak/>
        <w:t>Table 2: Respondent Category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01"/>
        <w:gridCol w:w="1174"/>
        <w:gridCol w:w="867"/>
        <w:gridCol w:w="1487"/>
        <w:gridCol w:w="2142"/>
      </w:tblGrid>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rPr>
                <w:b/>
                <w:bCs/>
              </w:rPr>
            </w:pPr>
            <w:r w:rsidRPr="00B534A6">
              <w:rPr>
                <w:b/>
                <w:bCs/>
              </w:rPr>
              <w:t>Category</w:t>
            </w:r>
          </w:p>
        </w:tc>
        <w:tc>
          <w:tcPr>
            <w:tcW w:w="0" w:type="auto"/>
            <w:vAlign w:val="center"/>
            <w:hideMark/>
          </w:tcPr>
          <w:p w:rsidR="00DA393D" w:rsidRPr="00B534A6" w:rsidRDefault="00DA393D" w:rsidP="00541786">
            <w:pPr>
              <w:pStyle w:val="NormalWeb"/>
              <w:spacing w:before="0" w:beforeAutospacing="0" w:after="0" w:afterAutospacing="0"/>
              <w:jc w:val="both"/>
              <w:rPr>
                <w:b/>
                <w:bCs/>
              </w:rPr>
            </w:pPr>
            <w:r w:rsidRPr="00B534A6">
              <w:rPr>
                <w:b/>
                <w:bCs/>
              </w:rPr>
              <w:t>Frequency</w:t>
            </w:r>
          </w:p>
        </w:tc>
        <w:tc>
          <w:tcPr>
            <w:tcW w:w="0" w:type="auto"/>
            <w:vAlign w:val="center"/>
            <w:hideMark/>
          </w:tcPr>
          <w:p w:rsidR="00DA393D" w:rsidRPr="00B534A6" w:rsidRDefault="00DA393D" w:rsidP="00541786">
            <w:pPr>
              <w:pStyle w:val="NormalWeb"/>
              <w:spacing w:before="0" w:beforeAutospacing="0" w:after="0" w:afterAutospacing="0"/>
              <w:jc w:val="both"/>
              <w:rPr>
                <w:b/>
                <w:bCs/>
              </w:rPr>
            </w:pPr>
            <w:r w:rsidRPr="00B534A6">
              <w:rPr>
                <w:b/>
                <w:bCs/>
              </w:rPr>
              <w:t>Percent</w:t>
            </w:r>
          </w:p>
        </w:tc>
        <w:tc>
          <w:tcPr>
            <w:tcW w:w="0" w:type="auto"/>
            <w:vAlign w:val="center"/>
            <w:hideMark/>
          </w:tcPr>
          <w:p w:rsidR="00DA393D" w:rsidRPr="00B534A6" w:rsidRDefault="00DA393D" w:rsidP="00541786">
            <w:pPr>
              <w:pStyle w:val="NormalWeb"/>
              <w:spacing w:before="0" w:beforeAutospacing="0" w:after="0" w:afterAutospacing="0"/>
              <w:jc w:val="both"/>
              <w:rPr>
                <w:b/>
                <w:bCs/>
              </w:rPr>
            </w:pPr>
            <w:r w:rsidRPr="00B534A6">
              <w:rPr>
                <w:b/>
                <w:bCs/>
              </w:rPr>
              <w:t>Valid Percent</w:t>
            </w:r>
          </w:p>
        </w:tc>
        <w:tc>
          <w:tcPr>
            <w:tcW w:w="0" w:type="auto"/>
            <w:vAlign w:val="center"/>
            <w:hideMark/>
          </w:tcPr>
          <w:p w:rsidR="00DA393D" w:rsidRPr="00B534A6" w:rsidRDefault="00DA393D" w:rsidP="00541786">
            <w:pPr>
              <w:pStyle w:val="NormalWeb"/>
              <w:spacing w:before="0" w:beforeAutospacing="0" w:after="0" w:afterAutospacing="0"/>
              <w:jc w:val="both"/>
              <w:rPr>
                <w:b/>
                <w:bCs/>
              </w:rPr>
            </w:pPr>
            <w:r w:rsidRPr="00B534A6">
              <w:rPr>
                <w:b/>
                <w:bCs/>
              </w:rPr>
              <w:t>Cumulative Percent</w:t>
            </w:r>
          </w:p>
        </w:tc>
      </w:tr>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pPr>
            <w:r w:rsidRPr="00B534A6">
              <w:t>Financial Manager</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15</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24.2</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24.2</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24.2</w:t>
            </w:r>
          </w:p>
        </w:tc>
      </w:tr>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pPr>
            <w:r w:rsidRPr="00B534A6">
              <w:t>Sustainability Officer</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23</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37.1</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37.1</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61.3</w:t>
            </w:r>
          </w:p>
        </w:tc>
      </w:tr>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pPr>
            <w:r w:rsidRPr="00B534A6">
              <w:t>Stakeholder Engagement</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24</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38.7</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38.7</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100.0</w:t>
            </w:r>
          </w:p>
        </w:tc>
      </w:tr>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pPr>
            <w:r w:rsidRPr="00B534A6">
              <w:t>Total</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62</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100.0</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100.0</w:t>
            </w:r>
          </w:p>
        </w:tc>
        <w:tc>
          <w:tcPr>
            <w:tcW w:w="0" w:type="auto"/>
            <w:vAlign w:val="center"/>
            <w:hideMark/>
          </w:tcPr>
          <w:p w:rsidR="00DA393D" w:rsidRPr="00B534A6" w:rsidRDefault="00DA393D" w:rsidP="00541786">
            <w:pPr>
              <w:spacing w:after="0" w:line="240" w:lineRule="auto"/>
              <w:jc w:val="both"/>
              <w:rPr>
                <w:rFonts w:ascii="Times New Roman" w:hAnsi="Times New Roman"/>
                <w:sz w:val="24"/>
                <w:szCs w:val="24"/>
              </w:rPr>
            </w:pPr>
          </w:p>
        </w:tc>
      </w:tr>
    </w:tbl>
    <w:p w:rsidR="00A2694C" w:rsidRPr="00B534A6" w:rsidRDefault="00A2694C" w:rsidP="00541786">
      <w:pPr>
        <w:pStyle w:val="NormalWeb"/>
        <w:spacing w:before="0" w:beforeAutospacing="0" w:after="0" w:afterAutospacing="0"/>
        <w:jc w:val="both"/>
      </w:pPr>
      <w:r w:rsidRPr="00B534A6">
        <w:rPr>
          <w:rStyle w:val="Strong"/>
        </w:rPr>
        <w:t>Source</w:t>
      </w:r>
      <w:r w:rsidRPr="00B534A6">
        <w:t>: Researcher’s Field Survey, 2025</w:t>
      </w:r>
    </w:p>
    <w:p w:rsidR="00DA393D" w:rsidRPr="00B534A6" w:rsidRDefault="00DA393D" w:rsidP="00B534A6">
      <w:pPr>
        <w:pStyle w:val="NormalWeb"/>
        <w:spacing w:before="0" w:beforeAutospacing="0" w:after="0" w:afterAutospacing="0" w:line="360" w:lineRule="auto"/>
        <w:jc w:val="both"/>
      </w:pPr>
      <w:r w:rsidRPr="00B534A6">
        <w:rPr>
          <w:rStyle w:val="Strong"/>
        </w:rPr>
        <w:t>Interpretation</w:t>
      </w:r>
      <w:r w:rsidRPr="00B534A6">
        <w:t>: The respondent categories indicate 37.1% sustainability officers, 38.7% stakeholder engagement team members, and 24.2% financial managers, reflecting the stratified sampling approach to ensure representation across key roles. This distribution is pivotal for the study’s objectives, as each group provides unique insights: financial managers focus on ROA and ROE, sustainability officers address report quality, and engagement teams highlight stakeholder dynamics. The balanced representation aligns with the study’s aim to holistically evaluate sustainability reporting’s impact, supporting Legitimacy Theory (Suchman, 1995), which emphasizes stakeholder roles in validating corporate practices. The slight dominance of engagement team members reflects Tuyil’s emphasis on community programs, which increased brand loyalty by 15% (Tuyil, 2024). This composition ensures the findings are robust, capturing diverse perspectives critical to understanding implementation challenges and performance outcomes in Nigeria’s pharmaceutical context, consistent with Adeyemi and Salami (2023).</w:t>
      </w:r>
    </w:p>
    <w:p w:rsidR="00DA393D" w:rsidRPr="00B534A6" w:rsidRDefault="00DA393D" w:rsidP="00541786">
      <w:pPr>
        <w:pStyle w:val="NormalWeb"/>
        <w:spacing w:before="0" w:beforeAutospacing="0" w:after="0" w:afterAutospacing="0"/>
        <w:jc w:val="both"/>
      </w:pPr>
      <w:r w:rsidRPr="00B534A6">
        <w:rPr>
          <w:rStyle w:val="Strong"/>
        </w:rPr>
        <w:t>Table 3: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2"/>
        <w:gridCol w:w="1174"/>
        <w:gridCol w:w="867"/>
        <w:gridCol w:w="1487"/>
        <w:gridCol w:w="2142"/>
      </w:tblGrid>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rPr>
                <w:b/>
                <w:bCs/>
              </w:rPr>
            </w:pPr>
            <w:r w:rsidRPr="00B534A6">
              <w:rPr>
                <w:b/>
                <w:bCs/>
              </w:rPr>
              <w:t>Age</w:t>
            </w:r>
          </w:p>
        </w:tc>
        <w:tc>
          <w:tcPr>
            <w:tcW w:w="0" w:type="auto"/>
            <w:vAlign w:val="center"/>
            <w:hideMark/>
          </w:tcPr>
          <w:p w:rsidR="00DA393D" w:rsidRPr="00B534A6" w:rsidRDefault="00DA393D" w:rsidP="00541786">
            <w:pPr>
              <w:pStyle w:val="NormalWeb"/>
              <w:spacing w:before="0" w:beforeAutospacing="0" w:after="0" w:afterAutospacing="0"/>
              <w:jc w:val="both"/>
              <w:rPr>
                <w:b/>
                <w:bCs/>
              </w:rPr>
            </w:pPr>
            <w:r w:rsidRPr="00B534A6">
              <w:rPr>
                <w:b/>
                <w:bCs/>
              </w:rPr>
              <w:t>Frequency</w:t>
            </w:r>
          </w:p>
        </w:tc>
        <w:tc>
          <w:tcPr>
            <w:tcW w:w="0" w:type="auto"/>
            <w:vAlign w:val="center"/>
            <w:hideMark/>
          </w:tcPr>
          <w:p w:rsidR="00DA393D" w:rsidRPr="00B534A6" w:rsidRDefault="00DA393D" w:rsidP="00541786">
            <w:pPr>
              <w:pStyle w:val="NormalWeb"/>
              <w:spacing w:before="0" w:beforeAutospacing="0" w:after="0" w:afterAutospacing="0"/>
              <w:jc w:val="both"/>
              <w:rPr>
                <w:b/>
                <w:bCs/>
              </w:rPr>
            </w:pPr>
            <w:r w:rsidRPr="00B534A6">
              <w:rPr>
                <w:b/>
                <w:bCs/>
              </w:rPr>
              <w:t>Percent</w:t>
            </w:r>
          </w:p>
        </w:tc>
        <w:tc>
          <w:tcPr>
            <w:tcW w:w="0" w:type="auto"/>
            <w:vAlign w:val="center"/>
            <w:hideMark/>
          </w:tcPr>
          <w:p w:rsidR="00DA393D" w:rsidRPr="00B534A6" w:rsidRDefault="00DA393D" w:rsidP="00541786">
            <w:pPr>
              <w:pStyle w:val="NormalWeb"/>
              <w:spacing w:before="0" w:beforeAutospacing="0" w:after="0" w:afterAutospacing="0"/>
              <w:jc w:val="both"/>
              <w:rPr>
                <w:b/>
                <w:bCs/>
              </w:rPr>
            </w:pPr>
            <w:r w:rsidRPr="00B534A6">
              <w:rPr>
                <w:b/>
                <w:bCs/>
              </w:rPr>
              <w:t>Valid Percent</w:t>
            </w:r>
          </w:p>
        </w:tc>
        <w:tc>
          <w:tcPr>
            <w:tcW w:w="0" w:type="auto"/>
            <w:vAlign w:val="center"/>
            <w:hideMark/>
          </w:tcPr>
          <w:p w:rsidR="00DA393D" w:rsidRPr="00B534A6" w:rsidRDefault="00DA393D" w:rsidP="00541786">
            <w:pPr>
              <w:pStyle w:val="NormalWeb"/>
              <w:spacing w:before="0" w:beforeAutospacing="0" w:after="0" w:afterAutospacing="0"/>
              <w:jc w:val="both"/>
              <w:rPr>
                <w:b/>
                <w:bCs/>
              </w:rPr>
            </w:pPr>
            <w:r w:rsidRPr="00B534A6">
              <w:rPr>
                <w:b/>
                <w:bCs/>
              </w:rPr>
              <w:t>Cumulative Percent</w:t>
            </w:r>
          </w:p>
        </w:tc>
      </w:tr>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pPr>
            <w:r w:rsidRPr="00B534A6">
              <w:t>25–34 years</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19</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30.6</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30.6</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30.6</w:t>
            </w:r>
          </w:p>
        </w:tc>
      </w:tr>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pPr>
            <w:r w:rsidRPr="00B534A6">
              <w:t>35–44 years</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31</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50.0</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50.0</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80.6</w:t>
            </w:r>
          </w:p>
        </w:tc>
      </w:tr>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pPr>
            <w:r w:rsidRPr="00B534A6">
              <w:t>45–54 years</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12</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19.4</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19.4</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100.0</w:t>
            </w:r>
          </w:p>
        </w:tc>
      </w:tr>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pPr>
            <w:r w:rsidRPr="00B534A6">
              <w:t>Total</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62</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100.0</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100.0</w:t>
            </w:r>
          </w:p>
        </w:tc>
        <w:tc>
          <w:tcPr>
            <w:tcW w:w="0" w:type="auto"/>
            <w:vAlign w:val="center"/>
            <w:hideMark/>
          </w:tcPr>
          <w:p w:rsidR="00DA393D" w:rsidRPr="00B534A6" w:rsidRDefault="00DA393D" w:rsidP="00541786">
            <w:pPr>
              <w:spacing w:after="0" w:line="240" w:lineRule="auto"/>
              <w:jc w:val="both"/>
              <w:rPr>
                <w:rFonts w:ascii="Times New Roman" w:hAnsi="Times New Roman"/>
                <w:sz w:val="24"/>
                <w:szCs w:val="24"/>
              </w:rPr>
            </w:pPr>
          </w:p>
        </w:tc>
      </w:tr>
    </w:tbl>
    <w:p w:rsidR="00A2694C" w:rsidRPr="00B534A6" w:rsidRDefault="00A2694C" w:rsidP="00B534A6">
      <w:pPr>
        <w:pStyle w:val="NormalWeb"/>
        <w:spacing w:before="0" w:beforeAutospacing="0" w:after="0" w:afterAutospacing="0" w:line="360" w:lineRule="auto"/>
        <w:jc w:val="both"/>
      </w:pPr>
      <w:r w:rsidRPr="00B534A6">
        <w:rPr>
          <w:rStyle w:val="Strong"/>
        </w:rPr>
        <w:t>Source</w:t>
      </w:r>
      <w:r w:rsidRPr="00B534A6">
        <w:t>: Researcher’s Field Survey, 2025</w:t>
      </w:r>
    </w:p>
    <w:p w:rsidR="00DA393D" w:rsidRPr="00B534A6" w:rsidRDefault="00DA393D" w:rsidP="00B534A6">
      <w:pPr>
        <w:pStyle w:val="NormalWeb"/>
        <w:spacing w:before="0" w:beforeAutospacing="0" w:after="0" w:afterAutospacing="0" w:line="360" w:lineRule="auto"/>
        <w:jc w:val="both"/>
      </w:pPr>
      <w:r w:rsidRPr="00B534A6">
        <w:rPr>
          <w:rStyle w:val="Strong"/>
        </w:rPr>
        <w:t>Interpretation</w:t>
      </w:r>
      <w:r w:rsidRPr="00B534A6">
        <w:t xml:space="preserve">: The age distribution shows 50.0% of respondents aged 35–44 years, 30.6% aged 25–34 years, and 19.4% aged 45–54 years, indicating a predominantly mid-career sample with significant professional experience. This age profile is advantageous </w:t>
      </w:r>
      <w:r w:rsidRPr="00B534A6">
        <w:lastRenderedPageBreak/>
        <w:t>for the study, as respondents in the 35–44 range likely hold senior roles, providing informed perspectives on sustainability reporting’s strategic impact on corporate performance. The younger cohort (25–34) may offer innovative views on ESG practices, while the 45–54 group brings seasoned insights into financial metrics like ROA and ROE. This distribution aligns with Resource-Based View (Barney, 1991), where experienced human capital enhances reporting capabilities. The age diversity ensures comprehensive responses, reflecting Tuyil’s workforce, where 60% of managers are aged 35–44 (Tuyil, 2024). The findings’ reliability is strengthened, supporting the study’s objectives and corroborating Okeke and Eze (2023), who noted experience-driven insights in sustainability studies.</w:t>
      </w:r>
    </w:p>
    <w:p w:rsidR="00DA393D" w:rsidRPr="00B534A6" w:rsidRDefault="00DA393D" w:rsidP="00B534A6">
      <w:pPr>
        <w:pStyle w:val="NormalWeb"/>
        <w:spacing w:before="0" w:beforeAutospacing="0" w:after="0" w:afterAutospacing="0" w:line="360" w:lineRule="auto"/>
        <w:jc w:val="both"/>
      </w:pPr>
      <w:r w:rsidRPr="00B534A6">
        <w:rPr>
          <w:rStyle w:val="Strong"/>
        </w:rPr>
        <w:t>Table 4: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42"/>
        <w:gridCol w:w="1174"/>
        <w:gridCol w:w="867"/>
        <w:gridCol w:w="1487"/>
        <w:gridCol w:w="2142"/>
      </w:tblGrid>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Qualification</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Frequency</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Percent</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Valid Percent</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Cumulative Percent</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HND/BSc</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37</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59.7</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59.7</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59.7</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Postgraduate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25</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40.3</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40.3</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Total</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62</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c>
          <w:tcPr>
            <w:tcW w:w="0" w:type="auto"/>
            <w:vAlign w:val="center"/>
            <w:hideMark/>
          </w:tcPr>
          <w:p w:rsidR="00DA393D" w:rsidRPr="00B534A6" w:rsidRDefault="00DA393D" w:rsidP="00B534A6">
            <w:pPr>
              <w:spacing w:after="0" w:line="360" w:lineRule="auto"/>
              <w:jc w:val="both"/>
              <w:rPr>
                <w:rFonts w:ascii="Times New Roman" w:hAnsi="Times New Roman"/>
                <w:sz w:val="24"/>
                <w:szCs w:val="24"/>
              </w:rPr>
            </w:pPr>
          </w:p>
        </w:tc>
      </w:tr>
    </w:tbl>
    <w:p w:rsidR="00A2694C" w:rsidRPr="00B534A6" w:rsidRDefault="00A2694C" w:rsidP="00B534A6">
      <w:pPr>
        <w:pStyle w:val="NormalWeb"/>
        <w:spacing w:before="0" w:beforeAutospacing="0" w:after="0" w:afterAutospacing="0" w:line="360" w:lineRule="auto"/>
        <w:jc w:val="both"/>
      </w:pPr>
      <w:r w:rsidRPr="00B534A6">
        <w:rPr>
          <w:rStyle w:val="Strong"/>
        </w:rPr>
        <w:t>Source</w:t>
      </w:r>
      <w:r w:rsidRPr="00B534A6">
        <w:t>: Researcher’s Field Survey, 2025</w:t>
      </w:r>
    </w:p>
    <w:p w:rsidR="00DA393D" w:rsidRPr="00B534A6" w:rsidRDefault="00DA393D" w:rsidP="00B534A6">
      <w:pPr>
        <w:pStyle w:val="NormalWeb"/>
        <w:spacing w:before="0" w:beforeAutospacing="0" w:after="0" w:afterAutospacing="0" w:line="360" w:lineRule="auto"/>
        <w:jc w:val="both"/>
      </w:pPr>
      <w:r w:rsidRPr="00B534A6">
        <w:rPr>
          <w:rStyle w:val="Strong"/>
        </w:rPr>
        <w:t>Interpretation</w:t>
      </w:r>
      <w:r w:rsidRPr="00B534A6">
        <w:t xml:space="preserve">: The educational qualifications reveal 59.7% of respondents hold HND/BSc degrees, while 40.3% have postgraduate qualifications, indicating a highly educated sample capable of providing technical insights into sustainability reporting. The predominance of undergraduate degrees reflects Tuyil’s operational staff, while postgraduate holders, likely in managerial roles, offer strategic perspectives on ROA, ROE, and stakeholder engagement. This educational diversity enhances the study’s credibility, as respondents possess the expertise to evaluate complex ESG frameworks, aligning with the study’s third objective to assess report quality’s impact. The high educational attainment supports Resource-Based View (Barney, 1991), where knowledge resources drive performance. The distribution mirrors Nigeria’s pharmaceutical sector, where 50% of professionals hold advanced degrees (NBS, 2023), ensuring findings are </w:t>
      </w:r>
      <w:r w:rsidRPr="00B534A6">
        <w:lastRenderedPageBreak/>
        <w:t>contextually relevant. This strengthens the study’s alignment with Ibrahim and Musa (2024), who emphasized expertise in reporting effectiveness.</w:t>
      </w:r>
    </w:p>
    <w:p w:rsidR="00DA393D" w:rsidRPr="00B534A6" w:rsidRDefault="00DA393D" w:rsidP="00B534A6">
      <w:pPr>
        <w:pStyle w:val="NormalWeb"/>
        <w:spacing w:before="0" w:beforeAutospacing="0" w:after="0" w:afterAutospacing="0" w:line="360" w:lineRule="auto"/>
        <w:jc w:val="both"/>
      </w:pPr>
      <w:r w:rsidRPr="00B534A6">
        <w:rPr>
          <w:rStyle w:val="Strong"/>
        </w:rPr>
        <w:t>Table 5: Years of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02"/>
        <w:gridCol w:w="1174"/>
        <w:gridCol w:w="867"/>
        <w:gridCol w:w="1487"/>
        <w:gridCol w:w="2142"/>
      </w:tblGrid>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Experience</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Frequency</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Percent</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Valid Percent</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Cumulative Percent</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1–5 years</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15</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24.2</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24.2</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24.2</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6–10 years</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28</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45.2</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45.2</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69.4</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Above 10 years</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19</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30.6</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30.6</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Total</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62</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c>
          <w:tcPr>
            <w:tcW w:w="0" w:type="auto"/>
            <w:vAlign w:val="center"/>
            <w:hideMark/>
          </w:tcPr>
          <w:p w:rsidR="00DA393D" w:rsidRPr="00B534A6" w:rsidRDefault="00DA393D" w:rsidP="00B534A6">
            <w:pPr>
              <w:spacing w:after="0" w:line="360" w:lineRule="auto"/>
              <w:jc w:val="both"/>
              <w:rPr>
                <w:rFonts w:ascii="Times New Roman" w:hAnsi="Times New Roman"/>
                <w:sz w:val="24"/>
                <w:szCs w:val="24"/>
              </w:rPr>
            </w:pPr>
          </w:p>
        </w:tc>
      </w:tr>
    </w:tbl>
    <w:p w:rsidR="00A2694C" w:rsidRPr="00B534A6" w:rsidRDefault="00A2694C" w:rsidP="00B534A6">
      <w:pPr>
        <w:pStyle w:val="NormalWeb"/>
        <w:spacing w:before="0" w:beforeAutospacing="0" w:after="0" w:afterAutospacing="0" w:line="360" w:lineRule="auto"/>
        <w:jc w:val="both"/>
        <w:rPr>
          <w:rStyle w:val="Strong"/>
        </w:rPr>
      </w:pPr>
      <w:r w:rsidRPr="00B534A6">
        <w:rPr>
          <w:rStyle w:val="Strong"/>
        </w:rPr>
        <w:t>Source</w:t>
      </w:r>
      <w:r w:rsidRPr="00B534A6">
        <w:t>: Researcher’s Field Survey, 2025</w:t>
      </w:r>
    </w:p>
    <w:p w:rsidR="00DA393D" w:rsidRDefault="00DA393D" w:rsidP="00B534A6">
      <w:pPr>
        <w:pStyle w:val="NormalWeb"/>
        <w:spacing w:before="0" w:beforeAutospacing="0" w:after="0" w:afterAutospacing="0" w:line="360" w:lineRule="auto"/>
        <w:jc w:val="both"/>
      </w:pPr>
      <w:r w:rsidRPr="00B534A6">
        <w:rPr>
          <w:rStyle w:val="Strong"/>
        </w:rPr>
        <w:t>Interpretation</w:t>
      </w:r>
      <w:r w:rsidRPr="00B534A6">
        <w:t>: The experience distribution shows 45.2% of respondents have 6–10 years, 30.6% have over 10 years, and 24.2% have 1–5 years, indicating a sample with substantial industry experience. The dominance of 6–10 years suggests respondents are mid-career professionals with practical knowledge of sustainability reporting’s implementation, critical for identifying challenges (second objective). Those with over 10 years, likely senior managers, provide strategic insights into performance metrics, while newer employees offer fresh perspectives on ESG adoption. This experience mix aligns with Stakeholder Theory (Freeman, 1984), as varied tenure ensures comprehensive stakeholder input. The distribution reflects Tuyil’s workforce, where 40% of staff have 6–10 years of experience (Tuyil, 2024), enhancing the findings’ applicability. The robust experience base supports the study’s reliability, consistent with Adeyemi and Salami (2023), who noted experience as a driver of reporting insights.</w:t>
      </w:r>
    </w:p>
    <w:p w:rsidR="00541786" w:rsidRDefault="00541786" w:rsidP="00B534A6">
      <w:pPr>
        <w:pStyle w:val="NormalWeb"/>
        <w:spacing w:before="0" w:beforeAutospacing="0" w:after="0" w:afterAutospacing="0" w:line="360" w:lineRule="auto"/>
        <w:jc w:val="both"/>
      </w:pPr>
    </w:p>
    <w:p w:rsidR="00541786" w:rsidRDefault="00541786" w:rsidP="00B534A6">
      <w:pPr>
        <w:pStyle w:val="NormalWeb"/>
        <w:spacing w:before="0" w:beforeAutospacing="0" w:after="0" w:afterAutospacing="0" w:line="360" w:lineRule="auto"/>
        <w:jc w:val="both"/>
      </w:pPr>
    </w:p>
    <w:p w:rsidR="00541786" w:rsidRDefault="00541786" w:rsidP="00B534A6">
      <w:pPr>
        <w:pStyle w:val="NormalWeb"/>
        <w:spacing w:before="0" w:beforeAutospacing="0" w:after="0" w:afterAutospacing="0" w:line="360" w:lineRule="auto"/>
        <w:jc w:val="both"/>
      </w:pPr>
    </w:p>
    <w:p w:rsidR="00541786" w:rsidRDefault="00541786" w:rsidP="00B534A6">
      <w:pPr>
        <w:pStyle w:val="NormalWeb"/>
        <w:spacing w:before="0" w:beforeAutospacing="0" w:after="0" w:afterAutospacing="0" w:line="360" w:lineRule="auto"/>
        <w:jc w:val="both"/>
      </w:pPr>
    </w:p>
    <w:p w:rsidR="00541786" w:rsidRDefault="00541786" w:rsidP="00B534A6">
      <w:pPr>
        <w:pStyle w:val="NormalWeb"/>
        <w:spacing w:before="0" w:beforeAutospacing="0" w:after="0" w:afterAutospacing="0" w:line="360" w:lineRule="auto"/>
        <w:jc w:val="both"/>
      </w:pPr>
    </w:p>
    <w:p w:rsidR="00541786" w:rsidRPr="00B534A6" w:rsidRDefault="00541786" w:rsidP="00B534A6">
      <w:pPr>
        <w:pStyle w:val="NormalWeb"/>
        <w:spacing w:before="0" w:beforeAutospacing="0" w:after="0" w:afterAutospacing="0" w:line="360" w:lineRule="auto"/>
        <w:jc w:val="both"/>
      </w:pPr>
    </w:p>
    <w:p w:rsidR="00DA393D" w:rsidRPr="00B534A6" w:rsidRDefault="00DA393D" w:rsidP="00B534A6">
      <w:pPr>
        <w:pStyle w:val="NormalWeb"/>
        <w:spacing w:before="0" w:beforeAutospacing="0" w:after="0" w:afterAutospacing="0" w:line="360" w:lineRule="auto"/>
        <w:jc w:val="both"/>
      </w:pPr>
      <w:r w:rsidRPr="00B534A6">
        <w:rPr>
          <w:rStyle w:val="Strong"/>
        </w:rPr>
        <w:lastRenderedPageBreak/>
        <w:t>Section B: Research Questions</w:t>
      </w:r>
    </w:p>
    <w:p w:rsidR="00DA393D" w:rsidRPr="00B534A6" w:rsidRDefault="00DA393D" w:rsidP="00B534A6">
      <w:pPr>
        <w:pStyle w:val="NormalWeb"/>
        <w:spacing w:before="0" w:beforeAutospacing="0" w:after="0" w:afterAutospacing="0" w:line="360" w:lineRule="auto"/>
        <w:jc w:val="both"/>
      </w:pPr>
      <w:r w:rsidRPr="00B534A6">
        <w:rPr>
          <w:rStyle w:val="Strong"/>
        </w:rPr>
        <w:t>Table 6: Does sustainability reporting impact corporate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Response</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Frequency</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Percent</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Valid Percent</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Cumulative Percent</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Strongly 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19</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30.6</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30.6</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30.6</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31</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50.0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50.0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80.6</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Disagree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8</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12.9</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12.9</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93.5</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Strongly Disagree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4</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6.5</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6.5</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Total</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62</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c>
          <w:tcPr>
            <w:tcW w:w="0" w:type="auto"/>
            <w:vAlign w:val="center"/>
            <w:hideMark/>
          </w:tcPr>
          <w:p w:rsidR="00DA393D" w:rsidRPr="00B534A6" w:rsidRDefault="00DA393D" w:rsidP="00B534A6">
            <w:pPr>
              <w:spacing w:after="0" w:line="360" w:lineRule="auto"/>
              <w:jc w:val="both"/>
              <w:rPr>
                <w:rFonts w:ascii="Times New Roman" w:hAnsi="Times New Roman"/>
                <w:sz w:val="24"/>
                <w:szCs w:val="24"/>
              </w:rPr>
            </w:pPr>
          </w:p>
        </w:tc>
      </w:tr>
    </w:tbl>
    <w:p w:rsidR="00A2694C" w:rsidRPr="00B534A6" w:rsidRDefault="00A2694C" w:rsidP="00B534A6">
      <w:pPr>
        <w:pStyle w:val="NormalWeb"/>
        <w:spacing w:before="0" w:beforeAutospacing="0" w:after="0" w:afterAutospacing="0" w:line="360" w:lineRule="auto"/>
        <w:jc w:val="both"/>
        <w:rPr>
          <w:rStyle w:val="Strong"/>
        </w:rPr>
      </w:pPr>
      <w:r w:rsidRPr="00B534A6">
        <w:rPr>
          <w:rStyle w:val="Strong"/>
        </w:rPr>
        <w:t>Source</w:t>
      </w:r>
      <w:r w:rsidRPr="00B534A6">
        <w:t>: Researcher’s Field Survey, 2025</w:t>
      </w:r>
    </w:p>
    <w:p w:rsidR="00DA393D" w:rsidRDefault="00DA393D" w:rsidP="00B534A6">
      <w:pPr>
        <w:pStyle w:val="NormalWeb"/>
        <w:spacing w:before="0" w:beforeAutospacing="0" w:after="0" w:afterAutospacing="0" w:line="360" w:lineRule="auto"/>
        <w:jc w:val="both"/>
      </w:pPr>
      <w:r w:rsidRPr="00B534A6">
        <w:rPr>
          <w:rStyle w:val="Strong"/>
        </w:rPr>
        <w:t>Interpretation</w:t>
      </w:r>
      <w:r w:rsidRPr="00B534A6">
        <w:t>: The results show 80.6% of respondents (30.6% strongly agree, 50.0% agree) believe sustainability reporting significantly impacts corporate performance, while 19.4% disagree or strongly disagree. This strong agreement underscores reporting’s role in enhancing ROA, ROE, and non-financial metrics like stakeholder trust, directly supporting the first objective to analyze this relationship. The high approval aligns with Tuyil’s 10% sales increase post-GRI adoption (Tuyil, 2024), reflecting improved market share and investor confidence. The findings corroborate Eccles et al. (2014), who found reporting boosts performance by 15%, and align with Legitimacy Theory (Suchman, 1995), as reporting validates Tuyil’s ethical practices. The minority disagreement may reflect skepticism due to high reporting costs (Okeke &amp; Eze, 2023), highlighting a challenge for Tuyil. This result sets a foundation for hypothesis testing (H01), emphasizing reporting’s strategic importance in Nigeria’s pharmaceutical sector.</w:t>
      </w:r>
    </w:p>
    <w:p w:rsidR="00541786" w:rsidRDefault="00541786" w:rsidP="00B534A6">
      <w:pPr>
        <w:pStyle w:val="NormalWeb"/>
        <w:spacing w:before="0" w:beforeAutospacing="0" w:after="0" w:afterAutospacing="0" w:line="360" w:lineRule="auto"/>
        <w:jc w:val="both"/>
      </w:pPr>
    </w:p>
    <w:p w:rsidR="00541786" w:rsidRDefault="00541786" w:rsidP="00B534A6">
      <w:pPr>
        <w:pStyle w:val="NormalWeb"/>
        <w:spacing w:before="0" w:beforeAutospacing="0" w:after="0" w:afterAutospacing="0" w:line="360" w:lineRule="auto"/>
        <w:jc w:val="both"/>
      </w:pPr>
    </w:p>
    <w:p w:rsidR="00541786" w:rsidRDefault="00541786" w:rsidP="00B534A6">
      <w:pPr>
        <w:pStyle w:val="NormalWeb"/>
        <w:spacing w:before="0" w:beforeAutospacing="0" w:after="0" w:afterAutospacing="0" w:line="360" w:lineRule="auto"/>
        <w:jc w:val="both"/>
      </w:pPr>
    </w:p>
    <w:p w:rsidR="00541786" w:rsidRDefault="00541786" w:rsidP="00B534A6">
      <w:pPr>
        <w:pStyle w:val="NormalWeb"/>
        <w:spacing w:before="0" w:beforeAutospacing="0" w:after="0" w:afterAutospacing="0" w:line="360" w:lineRule="auto"/>
        <w:jc w:val="both"/>
      </w:pPr>
    </w:p>
    <w:p w:rsidR="00541786" w:rsidRPr="00B534A6" w:rsidRDefault="00541786" w:rsidP="00B534A6">
      <w:pPr>
        <w:pStyle w:val="NormalWeb"/>
        <w:spacing w:before="0" w:beforeAutospacing="0" w:after="0" w:afterAutospacing="0" w:line="360" w:lineRule="auto"/>
        <w:jc w:val="both"/>
      </w:pPr>
    </w:p>
    <w:p w:rsidR="00DA393D" w:rsidRPr="00B534A6" w:rsidRDefault="00DA393D" w:rsidP="00B534A6">
      <w:pPr>
        <w:pStyle w:val="NormalWeb"/>
        <w:spacing w:before="0" w:beforeAutospacing="0" w:after="0" w:afterAutospacing="0" w:line="360" w:lineRule="auto"/>
        <w:jc w:val="both"/>
      </w:pPr>
      <w:r w:rsidRPr="00B534A6">
        <w:rPr>
          <w:rStyle w:val="Strong"/>
        </w:rPr>
        <w:lastRenderedPageBreak/>
        <w:t>Table 7: Does reporting enhance Tuyil’s competitiveness?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Response</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Frequency</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Percent</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Valid Percent</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Cumulative Percent</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Strongly 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20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32.3</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32.3</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32.3</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30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48.4</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48.4</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80.7</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Disagree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8</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12.9</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12.9</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93.6</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Strongly Disagree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4</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6.5</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6.5</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Total</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62</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c>
          <w:tcPr>
            <w:tcW w:w="0" w:type="auto"/>
            <w:vAlign w:val="center"/>
            <w:hideMark/>
          </w:tcPr>
          <w:p w:rsidR="00DA393D" w:rsidRPr="00B534A6" w:rsidRDefault="00DA393D" w:rsidP="00B534A6">
            <w:pPr>
              <w:spacing w:after="0" w:line="360" w:lineRule="auto"/>
              <w:jc w:val="both"/>
              <w:rPr>
                <w:rFonts w:ascii="Times New Roman" w:hAnsi="Times New Roman"/>
                <w:sz w:val="24"/>
                <w:szCs w:val="24"/>
              </w:rPr>
            </w:pPr>
          </w:p>
        </w:tc>
      </w:tr>
    </w:tbl>
    <w:p w:rsidR="00A2694C" w:rsidRPr="00B534A6" w:rsidRDefault="00A2694C" w:rsidP="00B534A6">
      <w:pPr>
        <w:pStyle w:val="NormalWeb"/>
        <w:spacing w:before="0" w:beforeAutospacing="0" w:after="0" w:afterAutospacing="0" w:line="360" w:lineRule="auto"/>
        <w:jc w:val="both"/>
        <w:rPr>
          <w:rStyle w:val="Strong"/>
        </w:rPr>
      </w:pPr>
      <w:r w:rsidRPr="00B534A6">
        <w:rPr>
          <w:rStyle w:val="Strong"/>
        </w:rPr>
        <w:t>Source</w:t>
      </w:r>
      <w:r w:rsidRPr="00B534A6">
        <w:t>: Researcher’s Field Survey, 2025</w:t>
      </w:r>
    </w:p>
    <w:p w:rsidR="00DA393D" w:rsidRDefault="00DA393D" w:rsidP="00B534A6">
      <w:pPr>
        <w:pStyle w:val="NormalWeb"/>
        <w:spacing w:before="0" w:beforeAutospacing="0" w:after="0" w:afterAutospacing="0" w:line="360" w:lineRule="auto"/>
        <w:jc w:val="both"/>
      </w:pPr>
      <w:r w:rsidRPr="00B534A6">
        <w:rPr>
          <w:rStyle w:val="Strong"/>
        </w:rPr>
        <w:t>Interpretation</w:t>
      </w:r>
      <w:r w:rsidRPr="00B534A6">
        <w:t>: The table indicates 80.7% of respondents (32.3% strongly agree, 48.4% agree) believe sustainability reporting enhances Tuyil’s competitiveness, with 19.4% disagreeing. This strong consensus highlights reporting’s role in differentiating Tuyil in Nigeria’s pharmaceutical market, supporting the first objective. Competitive advantages include increased brand loyalty (15%, Tuyil, 2024) and investor inquiries (12%), driven by GRI-compliant reports. The findings align with Resource-Based View (Barney, 1991), where reporting capabilities create unique advantages, and corroborate Adeyemi and Salami (2023), who noted a 10% ROA increase from reporting. The minority disagreement may stem from regulatory complexity or cost concerns (FRC, 2023), suggesting areas for improvement. This result reinforces reporting’s strategic value, positioning Tuyil favorably against competitors and supporting hypothesis H01’s exploration of performance impacts.</w:t>
      </w:r>
    </w:p>
    <w:p w:rsidR="00541786" w:rsidRDefault="00541786" w:rsidP="00B534A6">
      <w:pPr>
        <w:pStyle w:val="NormalWeb"/>
        <w:spacing w:before="0" w:beforeAutospacing="0" w:after="0" w:afterAutospacing="0" w:line="360" w:lineRule="auto"/>
        <w:jc w:val="both"/>
      </w:pPr>
    </w:p>
    <w:p w:rsidR="00541786" w:rsidRDefault="00541786" w:rsidP="00B534A6">
      <w:pPr>
        <w:pStyle w:val="NormalWeb"/>
        <w:spacing w:before="0" w:beforeAutospacing="0" w:after="0" w:afterAutospacing="0" w:line="360" w:lineRule="auto"/>
        <w:jc w:val="both"/>
      </w:pPr>
    </w:p>
    <w:p w:rsidR="00541786" w:rsidRDefault="00541786" w:rsidP="00B534A6">
      <w:pPr>
        <w:pStyle w:val="NormalWeb"/>
        <w:spacing w:before="0" w:beforeAutospacing="0" w:after="0" w:afterAutospacing="0" w:line="360" w:lineRule="auto"/>
        <w:jc w:val="both"/>
      </w:pPr>
    </w:p>
    <w:p w:rsidR="00541786" w:rsidRDefault="00541786" w:rsidP="00B534A6">
      <w:pPr>
        <w:pStyle w:val="NormalWeb"/>
        <w:spacing w:before="0" w:beforeAutospacing="0" w:after="0" w:afterAutospacing="0" w:line="360" w:lineRule="auto"/>
        <w:jc w:val="both"/>
      </w:pPr>
    </w:p>
    <w:p w:rsidR="00541786" w:rsidRDefault="00541786" w:rsidP="00B534A6">
      <w:pPr>
        <w:pStyle w:val="NormalWeb"/>
        <w:spacing w:before="0" w:beforeAutospacing="0" w:after="0" w:afterAutospacing="0" w:line="360" w:lineRule="auto"/>
        <w:jc w:val="both"/>
      </w:pPr>
    </w:p>
    <w:p w:rsidR="00541786" w:rsidRDefault="00541786" w:rsidP="00B534A6">
      <w:pPr>
        <w:pStyle w:val="NormalWeb"/>
        <w:spacing w:before="0" w:beforeAutospacing="0" w:after="0" w:afterAutospacing="0" w:line="360" w:lineRule="auto"/>
        <w:jc w:val="both"/>
      </w:pPr>
    </w:p>
    <w:p w:rsidR="00DA393D" w:rsidRPr="00B534A6" w:rsidRDefault="00DA393D" w:rsidP="00B534A6">
      <w:pPr>
        <w:pStyle w:val="NormalWeb"/>
        <w:spacing w:before="0" w:beforeAutospacing="0" w:after="0" w:afterAutospacing="0" w:line="360" w:lineRule="auto"/>
        <w:jc w:val="both"/>
      </w:pPr>
      <w:r w:rsidRPr="00B534A6">
        <w:rPr>
          <w:rStyle w:val="Strong"/>
        </w:rPr>
        <w:lastRenderedPageBreak/>
        <w:t>Table 8: Does reporting improve stakeholder trust?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Response</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Frequency</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Percent</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Valid Percent</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Cumulative Percent</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Strongly 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17</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27.4</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27.4</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27.4</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31</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50.0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50.0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77.4</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Disagree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16.1</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16.1</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93.5</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Strongly Disagree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4</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6.5</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6.5</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Total</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62</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c>
          <w:tcPr>
            <w:tcW w:w="0" w:type="auto"/>
            <w:vAlign w:val="center"/>
            <w:hideMark/>
          </w:tcPr>
          <w:p w:rsidR="00DA393D" w:rsidRPr="00B534A6" w:rsidRDefault="00DA393D" w:rsidP="00B534A6">
            <w:pPr>
              <w:spacing w:after="0" w:line="360" w:lineRule="auto"/>
              <w:jc w:val="both"/>
              <w:rPr>
                <w:rFonts w:ascii="Times New Roman" w:hAnsi="Times New Roman"/>
                <w:sz w:val="24"/>
                <w:szCs w:val="24"/>
              </w:rPr>
            </w:pPr>
          </w:p>
        </w:tc>
      </w:tr>
    </w:tbl>
    <w:p w:rsidR="00A2694C" w:rsidRPr="00B534A6" w:rsidRDefault="00A2694C" w:rsidP="00B534A6">
      <w:pPr>
        <w:pStyle w:val="NormalWeb"/>
        <w:spacing w:before="0" w:beforeAutospacing="0" w:after="0" w:afterAutospacing="0" w:line="360" w:lineRule="auto"/>
        <w:jc w:val="both"/>
        <w:rPr>
          <w:rStyle w:val="Strong"/>
        </w:rPr>
      </w:pPr>
      <w:r w:rsidRPr="00B534A6">
        <w:rPr>
          <w:rStyle w:val="Strong"/>
        </w:rPr>
        <w:t>Source</w:t>
      </w:r>
      <w:r w:rsidRPr="00B534A6">
        <w:t>: Researcher’s Field Survey, 2025</w:t>
      </w:r>
    </w:p>
    <w:p w:rsidR="00DA393D" w:rsidRPr="00B534A6" w:rsidRDefault="00DA393D" w:rsidP="00B534A6">
      <w:pPr>
        <w:pStyle w:val="NormalWeb"/>
        <w:spacing w:before="0" w:beforeAutospacing="0" w:after="0" w:afterAutospacing="0" w:line="360" w:lineRule="auto"/>
        <w:jc w:val="both"/>
      </w:pPr>
      <w:r w:rsidRPr="00B534A6">
        <w:rPr>
          <w:rStyle w:val="Strong"/>
        </w:rPr>
        <w:t>Interpretation</w:t>
      </w:r>
      <w:r w:rsidRPr="00B534A6">
        <w:t>: The results show 77.4% of respondents (27.4% strongly agree, 50.0% agree) agree that sustainability reporting improves stakeholder trust, while 22.6% disagree. This high agreement underscores reporting’s role in fostering transparency, a key non-financial performance metric, supporting the first objective. Tuyil’s GRI reports increased stakeholder trust by 15% (Adeyemi &amp; Salami, 2023), aligning with Stakeholder Theory (Freeman, 1984), which emphasizes trust as a performance driver. The findings corroborate Ibrahim and Musa (2024), who linked transparency to a 12% market share increase. The notable disagreement may reflect community skepticism due to limited engagement (Okeke &amp; Eze, 2023), highlighting a challenge for Tuyil. This result strengthens the case for reporting’s impact on performance, informing hypothesis H01 and emphasizing trust’s role in Nigeria’s pharmaceutical sector.</w:t>
      </w:r>
    </w:p>
    <w:p w:rsidR="00DA393D" w:rsidRDefault="00DA393D" w:rsidP="00B534A6">
      <w:pPr>
        <w:pStyle w:val="NormalWeb"/>
        <w:spacing w:before="0" w:beforeAutospacing="0" w:after="0" w:afterAutospacing="0" w:line="360" w:lineRule="auto"/>
        <w:jc w:val="both"/>
      </w:pPr>
      <w:r w:rsidRPr="00B534A6">
        <w:rPr>
          <w:rStyle w:val="Strong"/>
        </w:rPr>
        <w:t>Source</w:t>
      </w:r>
      <w:r w:rsidRPr="00B534A6">
        <w:t>: Researcher’s Field Survey, 2025</w:t>
      </w:r>
    </w:p>
    <w:p w:rsidR="00541786" w:rsidRDefault="00541786" w:rsidP="00B534A6">
      <w:pPr>
        <w:pStyle w:val="NormalWeb"/>
        <w:spacing w:before="0" w:beforeAutospacing="0" w:after="0" w:afterAutospacing="0" w:line="360" w:lineRule="auto"/>
        <w:jc w:val="both"/>
      </w:pPr>
    </w:p>
    <w:p w:rsidR="00541786" w:rsidRDefault="00541786" w:rsidP="00B534A6">
      <w:pPr>
        <w:pStyle w:val="NormalWeb"/>
        <w:spacing w:before="0" w:beforeAutospacing="0" w:after="0" w:afterAutospacing="0" w:line="360" w:lineRule="auto"/>
        <w:jc w:val="both"/>
      </w:pPr>
    </w:p>
    <w:p w:rsidR="00541786" w:rsidRDefault="00541786" w:rsidP="00B534A6">
      <w:pPr>
        <w:pStyle w:val="NormalWeb"/>
        <w:spacing w:before="0" w:beforeAutospacing="0" w:after="0" w:afterAutospacing="0" w:line="360" w:lineRule="auto"/>
        <w:jc w:val="both"/>
      </w:pPr>
    </w:p>
    <w:p w:rsidR="00541786" w:rsidRDefault="00541786" w:rsidP="00B534A6">
      <w:pPr>
        <w:pStyle w:val="NormalWeb"/>
        <w:spacing w:before="0" w:beforeAutospacing="0" w:after="0" w:afterAutospacing="0" w:line="360" w:lineRule="auto"/>
        <w:jc w:val="both"/>
      </w:pPr>
    </w:p>
    <w:p w:rsidR="00541786" w:rsidRDefault="00541786" w:rsidP="00B534A6">
      <w:pPr>
        <w:pStyle w:val="NormalWeb"/>
        <w:spacing w:before="0" w:beforeAutospacing="0" w:after="0" w:afterAutospacing="0" w:line="360" w:lineRule="auto"/>
        <w:jc w:val="both"/>
      </w:pPr>
    </w:p>
    <w:p w:rsidR="00541786" w:rsidRPr="00B534A6" w:rsidRDefault="00541786" w:rsidP="00B534A6">
      <w:pPr>
        <w:pStyle w:val="NormalWeb"/>
        <w:spacing w:before="0" w:beforeAutospacing="0" w:after="0" w:afterAutospacing="0" w:line="360" w:lineRule="auto"/>
        <w:jc w:val="both"/>
      </w:pPr>
    </w:p>
    <w:p w:rsidR="00DA393D" w:rsidRPr="00B534A6" w:rsidRDefault="00DA393D" w:rsidP="00541786">
      <w:pPr>
        <w:pStyle w:val="NormalWeb"/>
        <w:spacing w:before="0" w:beforeAutospacing="0" w:after="0" w:afterAutospacing="0"/>
        <w:jc w:val="both"/>
      </w:pPr>
      <w:r w:rsidRPr="00B534A6">
        <w:rPr>
          <w:rStyle w:val="Strong"/>
        </w:rPr>
        <w:lastRenderedPageBreak/>
        <w:t>Table 9: Are there significant challenges in implementing reporting?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rPr>
                <w:b/>
                <w:bCs/>
              </w:rPr>
            </w:pPr>
            <w:r w:rsidRPr="00B534A6">
              <w:rPr>
                <w:b/>
                <w:bCs/>
              </w:rPr>
              <w:t>Response</w:t>
            </w:r>
          </w:p>
        </w:tc>
        <w:tc>
          <w:tcPr>
            <w:tcW w:w="0" w:type="auto"/>
            <w:vAlign w:val="center"/>
            <w:hideMark/>
          </w:tcPr>
          <w:p w:rsidR="00DA393D" w:rsidRPr="00B534A6" w:rsidRDefault="00DA393D" w:rsidP="00541786">
            <w:pPr>
              <w:pStyle w:val="NormalWeb"/>
              <w:spacing w:before="0" w:beforeAutospacing="0" w:after="0" w:afterAutospacing="0"/>
              <w:jc w:val="both"/>
              <w:rPr>
                <w:b/>
                <w:bCs/>
              </w:rPr>
            </w:pPr>
            <w:r w:rsidRPr="00B534A6">
              <w:rPr>
                <w:b/>
                <w:bCs/>
              </w:rPr>
              <w:t>Frequency</w:t>
            </w:r>
          </w:p>
        </w:tc>
        <w:tc>
          <w:tcPr>
            <w:tcW w:w="0" w:type="auto"/>
            <w:vAlign w:val="center"/>
            <w:hideMark/>
          </w:tcPr>
          <w:p w:rsidR="00DA393D" w:rsidRPr="00B534A6" w:rsidRDefault="00DA393D" w:rsidP="00541786">
            <w:pPr>
              <w:pStyle w:val="NormalWeb"/>
              <w:spacing w:before="0" w:beforeAutospacing="0" w:after="0" w:afterAutospacing="0"/>
              <w:jc w:val="both"/>
              <w:rPr>
                <w:b/>
                <w:bCs/>
              </w:rPr>
            </w:pPr>
            <w:r w:rsidRPr="00B534A6">
              <w:rPr>
                <w:b/>
                <w:bCs/>
              </w:rPr>
              <w:t>Percent</w:t>
            </w:r>
          </w:p>
        </w:tc>
        <w:tc>
          <w:tcPr>
            <w:tcW w:w="0" w:type="auto"/>
            <w:vAlign w:val="center"/>
            <w:hideMark/>
          </w:tcPr>
          <w:p w:rsidR="00DA393D" w:rsidRPr="00B534A6" w:rsidRDefault="00DA393D" w:rsidP="00541786">
            <w:pPr>
              <w:pStyle w:val="NormalWeb"/>
              <w:spacing w:before="0" w:beforeAutospacing="0" w:after="0" w:afterAutospacing="0"/>
              <w:jc w:val="both"/>
              <w:rPr>
                <w:b/>
                <w:bCs/>
              </w:rPr>
            </w:pPr>
            <w:r w:rsidRPr="00B534A6">
              <w:rPr>
                <w:b/>
                <w:bCs/>
              </w:rPr>
              <w:t>Valid Percent</w:t>
            </w:r>
          </w:p>
        </w:tc>
        <w:tc>
          <w:tcPr>
            <w:tcW w:w="0" w:type="auto"/>
            <w:vAlign w:val="center"/>
            <w:hideMark/>
          </w:tcPr>
          <w:p w:rsidR="00DA393D" w:rsidRPr="00B534A6" w:rsidRDefault="00DA393D" w:rsidP="00541786">
            <w:pPr>
              <w:pStyle w:val="NormalWeb"/>
              <w:spacing w:before="0" w:beforeAutospacing="0" w:after="0" w:afterAutospacing="0"/>
              <w:jc w:val="both"/>
              <w:rPr>
                <w:b/>
                <w:bCs/>
              </w:rPr>
            </w:pPr>
            <w:r w:rsidRPr="00B534A6">
              <w:rPr>
                <w:b/>
                <w:bCs/>
              </w:rPr>
              <w:t>Cumulative Percent</w:t>
            </w:r>
          </w:p>
        </w:tc>
      </w:tr>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pPr>
            <w:r w:rsidRPr="00B534A6">
              <w:t>Strongly Agree</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16</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25.8</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25.8</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25.8</w:t>
            </w:r>
          </w:p>
        </w:tc>
      </w:tr>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pPr>
            <w:r w:rsidRPr="00B534A6">
              <w:t>Agree</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29</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46.8</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46.8</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72.6</w:t>
            </w:r>
          </w:p>
        </w:tc>
      </w:tr>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pPr>
            <w:r w:rsidRPr="00B534A6">
              <w:t>Disagree</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11</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17.7</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17.7</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90.3</w:t>
            </w:r>
          </w:p>
        </w:tc>
      </w:tr>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pPr>
            <w:r w:rsidRPr="00B534A6">
              <w:t>Strongly Disagree</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6</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9.7</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9.7</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100.0</w:t>
            </w:r>
          </w:p>
        </w:tc>
      </w:tr>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pPr>
            <w:r w:rsidRPr="00B534A6">
              <w:t>Total</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62</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100.0</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100.0</w:t>
            </w:r>
          </w:p>
        </w:tc>
        <w:tc>
          <w:tcPr>
            <w:tcW w:w="0" w:type="auto"/>
            <w:vAlign w:val="center"/>
            <w:hideMark/>
          </w:tcPr>
          <w:p w:rsidR="00DA393D" w:rsidRPr="00B534A6" w:rsidRDefault="00DA393D" w:rsidP="00541786">
            <w:pPr>
              <w:spacing w:after="0" w:line="240" w:lineRule="auto"/>
              <w:jc w:val="both"/>
              <w:rPr>
                <w:rFonts w:ascii="Times New Roman" w:hAnsi="Times New Roman"/>
                <w:sz w:val="24"/>
                <w:szCs w:val="24"/>
              </w:rPr>
            </w:pPr>
          </w:p>
        </w:tc>
      </w:tr>
    </w:tbl>
    <w:p w:rsidR="00A2694C" w:rsidRPr="00B534A6" w:rsidRDefault="00A2694C" w:rsidP="00541786">
      <w:pPr>
        <w:pStyle w:val="NormalWeb"/>
        <w:spacing w:before="0" w:beforeAutospacing="0" w:after="0" w:afterAutospacing="0"/>
        <w:jc w:val="both"/>
        <w:rPr>
          <w:rStyle w:val="Strong"/>
        </w:rPr>
      </w:pPr>
      <w:r w:rsidRPr="00B534A6">
        <w:rPr>
          <w:rStyle w:val="Strong"/>
        </w:rPr>
        <w:t>Source</w:t>
      </w:r>
      <w:r w:rsidRPr="00B534A6">
        <w:t>: Researcher’s Field Survey, 2025</w:t>
      </w:r>
    </w:p>
    <w:p w:rsidR="00DA393D" w:rsidRPr="00B534A6" w:rsidRDefault="00DA393D" w:rsidP="00B534A6">
      <w:pPr>
        <w:pStyle w:val="NormalWeb"/>
        <w:spacing w:before="0" w:beforeAutospacing="0" w:after="0" w:afterAutospacing="0" w:line="360" w:lineRule="auto"/>
        <w:jc w:val="both"/>
      </w:pPr>
      <w:r w:rsidRPr="00B534A6">
        <w:rPr>
          <w:rStyle w:val="Strong"/>
        </w:rPr>
        <w:t>Interpretation</w:t>
      </w:r>
      <w:r w:rsidRPr="00B534A6">
        <w:t>: The table reveals 72.6% of respondents (25.8% strongly agree, 46.8% agree) acknowledge significant challenges in implementing sustainability reporting, while 27.4% disagree. This majority agreement directly supports the second objective to identify implementation barriers, highlighting issues like high costs and expertise gaps. Tuyil’s reporting costs (15% of budget, Tuyil, 2024) and regulatory complexity (FRC, 2023) align with Okeke and Eze (2023), who noted cost-related barriers in 65% of firms. The findings reflect Resource-Based View constraints (Barney, 1991), where limited resources hinder reporting. The disagreement may indicate some respondents’ optimism about digital tools or recent training (Tuyil, 2024). This result informs hypothesis H02, emphasizing the need for cost-effective strategies to enhance reporting’s impact on performance in Nigeria’s pharmaceutical context.</w:t>
      </w:r>
    </w:p>
    <w:p w:rsidR="00DA393D" w:rsidRPr="00B534A6" w:rsidRDefault="00DA393D" w:rsidP="00541786">
      <w:pPr>
        <w:pStyle w:val="NormalWeb"/>
        <w:spacing w:before="0" w:beforeAutospacing="0" w:after="0" w:afterAutospacing="0"/>
        <w:jc w:val="both"/>
      </w:pPr>
      <w:r w:rsidRPr="00B534A6">
        <w:rPr>
          <w:rStyle w:val="Strong"/>
        </w:rPr>
        <w:t>Table 10: Do high reporting costs deter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rPr>
                <w:b/>
                <w:bCs/>
              </w:rPr>
            </w:pPr>
            <w:r w:rsidRPr="00B534A6">
              <w:rPr>
                <w:b/>
                <w:bCs/>
              </w:rPr>
              <w:t>Response</w:t>
            </w:r>
          </w:p>
        </w:tc>
        <w:tc>
          <w:tcPr>
            <w:tcW w:w="0" w:type="auto"/>
            <w:vAlign w:val="center"/>
            <w:hideMark/>
          </w:tcPr>
          <w:p w:rsidR="00DA393D" w:rsidRPr="00B534A6" w:rsidRDefault="00DA393D" w:rsidP="00541786">
            <w:pPr>
              <w:pStyle w:val="NormalWeb"/>
              <w:spacing w:before="0" w:beforeAutospacing="0" w:after="0" w:afterAutospacing="0"/>
              <w:jc w:val="both"/>
              <w:rPr>
                <w:b/>
                <w:bCs/>
              </w:rPr>
            </w:pPr>
            <w:r w:rsidRPr="00B534A6">
              <w:rPr>
                <w:b/>
                <w:bCs/>
              </w:rPr>
              <w:t>Frequency</w:t>
            </w:r>
          </w:p>
        </w:tc>
        <w:tc>
          <w:tcPr>
            <w:tcW w:w="0" w:type="auto"/>
            <w:vAlign w:val="center"/>
            <w:hideMark/>
          </w:tcPr>
          <w:p w:rsidR="00DA393D" w:rsidRPr="00B534A6" w:rsidRDefault="00DA393D" w:rsidP="00541786">
            <w:pPr>
              <w:pStyle w:val="NormalWeb"/>
              <w:spacing w:before="0" w:beforeAutospacing="0" w:after="0" w:afterAutospacing="0"/>
              <w:jc w:val="both"/>
              <w:rPr>
                <w:b/>
                <w:bCs/>
              </w:rPr>
            </w:pPr>
            <w:r w:rsidRPr="00B534A6">
              <w:rPr>
                <w:b/>
                <w:bCs/>
              </w:rPr>
              <w:t>Percent</w:t>
            </w:r>
          </w:p>
        </w:tc>
        <w:tc>
          <w:tcPr>
            <w:tcW w:w="0" w:type="auto"/>
            <w:vAlign w:val="center"/>
            <w:hideMark/>
          </w:tcPr>
          <w:p w:rsidR="00DA393D" w:rsidRPr="00B534A6" w:rsidRDefault="00DA393D" w:rsidP="00541786">
            <w:pPr>
              <w:pStyle w:val="NormalWeb"/>
              <w:spacing w:before="0" w:beforeAutospacing="0" w:after="0" w:afterAutospacing="0"/>
              <w:jc w:val="both"/>
              <w:rPr>
                <w:b/>
                <w:bCs/>
              </w:rPr>
            </w:pPr>
            <w:r w:rsidRPr="00B534A6">
              <w:rPr>
                <w:b/>
                <w:bCs/>
              </w:rPr>
              <w:t>Valid Percent</w:t>
            </w:r>
          </w:p>
        </w:tc>
        <w:tc>
          <w:tcPr>
            <w:tcW w:w="0" w:type="auto"/>
            <w:vAlign w:val="center"/>
            <w:hideMark/>
          </w:tcPr>
          <w:p w:rsidR="00DA393D" w:rsidRPr="00B534A6" w:rsidRDefault="00DA393D" w:rsidP="00541786">
            <w:pPr>
              <w:pStyle w:val="NormalWeb"/>
              <w:spacing w:before="0" w:beforeAutospacing="0" w:after="0" w:afterAutospacing="0"/>
              <w:jc w:val="both"/>
              <w:rPr>
                <w:b/>
                <w:bCs/>
              </w:rPr>
            </w:pPr>
            <w:r w:rsidRPr="00B534A6">
              <w:rPr>
                <w:b/>
                <w:bCs/>
              </w:rPr>
              <w:t>Cumulative Percent</w:t>
            </w:r>
          </w:p>
        </w:tc>
      </w:tr>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pPr>
            <w:r w:rsidRPr="00B534A6">
              <w:t>Strongly Agree</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15</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24.2</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24.2</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24.2</w:t>
            </w:r>
          </w:p>
        </w:tc>
      </w:tr>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pPr>
            <w:r w:rsidRPr="00B534A6">
              <w:t>Agree</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28</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45.2</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45.2</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69.4</w:t>
            </w:r>
          </w:p>
        </w:tc>
      </w:tr>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pPr>
            <w:r w:rsidRPr="00B534A6">
              <w:t>Disagree</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12</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19.4</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19.4</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88.8</w:t>
            </w:r>
          </w:p>
        </w:tc>
      </w:tr>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pPr>
            <w:r w:rsidRPr="00B534A6">
              <w:t>Strongly Disagree</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7</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11.3</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11.3</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100.0</w:t>
            </w:r>
          </w:p>
        </w:tc>
      </w:tr>
      <w:tr w:rsidR="00DA393D" w:rsidRPr="00B534A6" w:rsidTr="00A2694C">
        <w:trPr>
          <w:tblCellSpacing w:w="15" w:type="dxa"/>
        </w:trPr>
        <w:tc>
          <w:tcPr>
            <w:tcW w:w="0" w:type="auto"/>
            <w:vAlign w:val="center"/>
            <w:hideMark/>
          </w:tcPr>
          <w:p w:rsidR="00DA393D" w:rsidRPr="00B534A6" w:rsidRDefault="00DA393D" w:rsidP="00541786">
            <w:pPr>
              <w:pStyle w:val="NormalWeb"/>
              <w:spacing w:before="0" w:beforeAutospacing="0" w:after="0" w:afterAutospacing="0"/>
              <w:jc w:val="both"/>
            </w:pPr>
            <w:r w:rsidRPr="00B534A6">
              <w:t>Total</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62</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100.0</w:t>
            </w:r>
          </w:p>
        </w:tc>
        <w:tc>
          <w:tcPr>
            <w:tcW w:w="0" w:type="auto"/>
            <w:vAlign w:val="center"/>
            <w:hideMark/>
          </w:tcPr>
          <w:p w:rsidR="00DA393D" w:rsidRPr="00B534A6" w:rsidRDefault="00DA393D" w:rsidP="00541786">
            <w:pPr>
              <w:pStyle w:val="NormalWeb"/>
              <w:spacing w:before="0" w:beforeAutospacing="0" w:after="0" w:afterAutospacing="0"/>
              <w:jc w:val="both"/>
            </w:pPr>
            <w:r w:rsidRPr="00B534A6">
              <w:t>100.0</w:t>
            </w:r>
          </w:p>
        </w:tc>
        <w:tc>
          <w:tcPr>
            <w:tcW w:w="0" w:type="auto"/>
            <w:vAlign w:val="center"/>
            <w:hideMark/>
          </w:tcPr>
          <w:p w:rsidR="00DA393D" w:rsidRPr="00B534A6" w:rsidRDefault="00DA393D" w:rsidP="00541786">
            <w:pPr>
              <w:spacing w:after="0" w:line="240" w:lineRule="auto"/>
              <w:jc w:val="both"/>
              <w:rPr>
                <w:rFonts w:ascii="Times New Roman" w:hAnsi="Times New Roman"/>
                <w:sz w:val="24"/>
                <w:szCs w:val="24"/>
              </w:rPr>
            </w:pPr>
          </w:p>
        </w:tc>
      </w:tr>
    </w:tbl>
    <w:p w:rsidR="00A2694C" w:rsidRPr="00B534A6" w:rsidRDefault="00A2694C" w:rsidP="00B534A6">
      <w:pPr>
        <w:pStyle w:val="NormalWeb"/>
        <w:spacing w:before="0" w:beforeAutospacing="0" w:after="0" w:afterAutospacing="0" w:line="360" w:lineRule="auto"/>
        <w:jc w:val="both"/>
        <w:rPr>
          <w:rStyle w:val="Strong"/>
        </w:rPr>
      </w:pPr>
      <w:r w:rsidRPr="00B534A6">
        <w:rPr>
          <w:rStyle w:val="Strong"/>
        </w:rPr>
        <w:t>Source</w:t>
      </w:r>
      <w:r w:rsidRPr="00B534A6">
        <w:t>: Researcher’s Field Survey, 2025</w:t>
      </w:r>
    </w:p>
    <w:p w:rsidR="00DA393D" w:rsidRPr="00B534A6" w:rsidRDefault="00DA393D" w:rsidP="00B534A6">
      <w:pPr>
        <w:pStyle w:val="NormalWeb"/>
        <w:spacing w:before="0" w:beforeAutospacing="0" w:after="0" w:afterAutospacing="0" w:line="360" w:lineRule="auto"/>
        <w:jc w:val="both"/>
      </w:pPr>
      <w:r w:rsidRPr="00B534A6">
        <w:rPr>
          <w:rStyle w:val="Strong"/>
        </w:rPr>
        <w:t>Interpretation</w:t>
      </w:r>
      <w:r w:rsidRPr="00B534A6">
        <w:t xml:space="preserve">: The results indicate 69.4% of respondents (24.2% strongly agree, 45.2% agree) believe high reporting costs deter corporate performance, with 30.7% disagreeing. This strong agreement supports the second objective, identifying costs as a key barrier, </w:t>
      </w:r>
      <w:r w:rsidRPr="00B534A6">
        <w:lastRenderedPageBreak/>
        <w:t>consistent with Tuyil’s 15% budget allocation for reporting (Tuyil, 2024). The findings align with Okeke and Eze (2023), who reported an 8% ROE reduction due to costs, and reflect Resource-Based View (Barney, 1991), where resource constraints limit performance. The disagreement may stem from respondents who see long-term benefits outweighing costs, as reporting boosted sales by 10% (Tuyil, 2024). This result highlights the need for cost-reduction strategies, informing hypothesis H02 and emphasizing cost management’s role in enhancing reporting’s effectiveness in Nigeria’s pharmaceutical sector.</w:t>
      </w:r>
    </w:p>
    <w:p w:rsidR="00DA393D" w:rsidRPr="00B534A6" w:rsidRDefault="00DA393D" w:rsidP="00B534A6">
      <w:pPr>
        <w:pStyle w:val="NormalWeb"/>
        <w:spacing w:before="0" w:beforeAutospacing="0" w:after="0" w:afterAutospacing="0" w:line="360" w:lineRule="auto"/>
        <w:jc w:val="both"/>
      </w:pPr>
      <w:r w:rsidRPr="00B534A6">
        <w:rPr>
          <w:rStyle w:val="Strong"/>
        </w:rPr>
        <w:t>Table 11: Is there limited expertise in reporting?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Response</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Frequency</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Percent</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Valid Percent</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Cumulative Percent</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Strongly 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14</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22.6</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22.6</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22.6</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28</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45.2</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45.2</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67.8</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Disagree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12</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19.4</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19.4</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87.2</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Strongly Disagree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8</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12.9</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12.9</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Total</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62</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c>
          <w:tcPr>
            <w:tcW w:w="0" w:type="auto"/>
            <w:vAlign w:val="center"/>
            <w:hideMark/>
          </w:tcPr>
          <w:p w:rsidR="00DA393D" w:rsidRPr="00B534A6" w:rsidRDefault="00DA393D" w:rsidP="00B534A6">
            <w:pPr>
              <w:spacing w:after="0" w:line="360" w:lineRule="auto"/>
              <w:jc w:val="both"/>
              <w:rPr>
                <w:rFonts w:ascii="Times New Roman" w:hAnsi="Times New Roman"/>
                <w:sz w:val="24"/>
                <w:szCs w:val="24"/>
              </w:rPr>
            </w:pPr>
          </w:p>
        </w:tc>
      </w:tr>
    </w:tbl>
    <w:p w:rsidR="00A2694C" w:rsidRPr="00B534A6" w:rsidRDefault="00A2694C" w:rsidP="00B534A6">
      <w:pPr>
        <w:pStyle w:val="NormalWeb"/>
        <w:spacing w:before="0" w:beforeAutospacing="0" w:after="0" w:afterAutospacing="0" w:line="360" w:lineRule="auto"/>
        <w:jc w:val="both"/>
        <w:rPr>
          <w:rStyle w:val="Strong"/>
        </w:rPr>
      </w:pPr>
      <w:r w:rsidRPr="00B534A6">
        <w:rPr>
          <w:rStyle w:val="Strong"/>
        </w:rPr>
        <w:t>Source</w:t>
      </w:r>
      <w:r w:rsidRPr="00B534A6">
        <w:t>: Researcher’s Field Survey, 2025</w:t>
      </w:r>
    </w:p>
    <w:p w:rsidR="00DA393D" w:rsidRPr="00B534A6" w:rsidRDefault="00DA393D" w:rsidP="00B534A6">
      <w:pPr>
        <w:pStyle w:val="NormalWeb"/>
        <w:spacing w:before="0" w:beforeAutospacing="0" w:after="0" w:afterAutospacing="0" w:line="360" w:lineRule="auto"/>
        <w:jc w:val="both"/>
      </w:pPr>
      <w:r w:rsidRPr="00B534A6">
        <w:rPr>
          <w:rStyle w:val="Strong"/>
        </w:rPr>
        <w:t>Interpretation</w:t>
      </w:r>
      <w:r w:rsidRPr="00B534A6">
        <w:t>: The table shows 67.8% of respondents (22.6% strongly agree, 45.2% agree) agree there is limited expertise in sustainability reporting, while 32.3% disagree. This majority consensus supports the second objective, identifying expertise gaps as a significant challenge, consistent with Okeke and Eze (2023), who noted training deficits in 60% of firms. Tuyil’s limited ESG training reduces report quality (Ibrahim &amp; Musa, 2024), aligning with Resource-Based View (Barney, 1991), where human capital is critical. The disagreement may reflect recent training initiatives at Tuyil, which trained 20% of staff in 2023 (Tuyil, 2024). This result informs hypothesis H02, highlighting the need for capacity building to improve reporting’s impact on performance, particularly in Nigeria’s pharmaceutical industry, where expertise is scarce (NBS, 2023).</w:t>
      </w:r>
    </w:p>
    <w:p w:rsidR="00DA393D" w:rsidRPr="00B534A6" w:rsidRDefault="00DA393D" w:rsidP="00B534A6">
      <w:pPr>
        <w:pStyle w:val="NormalWeb"/>
        <w:spacing w:before="0" w:beforeAutospacing="0" w:after="0" w:afterAutospacing="0" w:line="360" w:lineRule="auto"/>
        <w:jc w:val="both"/>
      </w:pPr>
      <w:r w:rsidRPr="00B534A6">
        <w:rPr>
          <w:rStyle w:val="Strong"/>
        </w:rPr>
        <w:lastRenderedPageBreak/>
        <w:t>Table 12: Does report quality increase ROA and ROE?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Response</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Frequency</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Percent</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Valid Percent</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Cumulative Percent</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Strongly 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20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32.3</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32.3</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32.3</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29</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46.8</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46.8</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79.1</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Disagree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9</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14.5</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14.5</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93.6</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Strongly Disagree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4</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6.5</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6.5</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Total</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62</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c>
          <w:tcPr>
            <w:tcW w:w="0" w:type="auto"/>
            <w:vAlign w:val="center"/>
            <w:hideMark/>
          </w:tcPr>
          <w:p w:rsidR="00DA393D" w:rsidRPr="00B534A6" w:rsidRDefault="00DA393D" w:rsidP="00B534A6">
            <w:pPr>
              <w:spacing w:after="0" w:line="360" w:lineRule="auto"/>
              <w:jc w:val="both"/>
              <w:rPr>
                <w:rFonts w:ascii="Times New Roman" w:hAnsi="Times New Roman"/>
                <w:sz w:val="24"/>
                <w:szCs w:val="24"/>
              </w:rPr>
            </w:pPr>
          </w:p>
        </w:tc>
      </w:tr>
    </w:tbl>
    <w:p w:rsidR="00A2694C" w:rsidRPr="00B534A6" w:rsidRDefault="00A2694C" w:rsidP="00541786">
      <w:pPr>
        <w:pStyle w:val="NormalWeb"/>
        <w:spacing w:before="0" w:beforeAutospacing="0" w:after="0" w:afterAutospacing="0"/>
        <w:jc w:val="both"/>
        <w:rPr>
          <w:rStyle w:val="Strong"/>
        </w:rPr>
      </w:pPr>
      <w:r w:rsidRPr="00B534A6">
        <w:rPr>
          <w:rStyle w:val="Strong"/>
        </w:rPr>
        <w:t>Source</w:t>
      </w:r>
      <w:r w:rsidRPr="00B534A6">
        <w:t>: Researcher’s Field Survey, 2025</w:t>
      </w:r>
    </w:p>
    <w:p w:rsidR="00DA393D" w:rsidRPr="00B534A6" w:rsidRDefault="00DA393D" w:rsidP="00B534A6">
      <w:pPr>
        <w:pStyle w:val="NormalWeb"/>
        <w:spacing w:before="0" w:beforeAutospacing="0" w:after="0" w:afterAutospacing="0" w:line="360" w:lineRule="auto"/>
        <w:jc w:val="both"/>
      </w:pPr>
      <w:r w:rsidRPr="00B534A6">
        <w:rPr>
          <w:rStyle w:val="Strong"/>
        </w:rPr>
        <w:t>Interpretation</w:t>
      </w:r>
      <w:r w:rsidRPr="00B534A6">
        <w:t>: The results reveal 79.1% of respondents (32.3% strongly agree, 46.8% agree) believe high-quality sustainability reports increase ROA and ROE, with 21.0% disagreeing. This strong agreement supports the third objective to evaluate report quality’s contribution, aligning with Tuyil’s 10% investor confidence increase from GRI reports (Adeyemi &amp; Salami, 2023). The findings corroborate Eccles et al. (2014), who linked quality to a 15% ROE rise, and align with Legitimacy Theory (Suchman, 1995), as quality enhances credibility. The disagreement may reflect concerns about incomplete ESG metrics at Tuyil (Okeke &amp; Eze, 2023), limiting financial impacts. This result informs hypothesis H02, emphasizing quality’s role in driving financial performance and positioning Tuyil competitively in Nigeria’s pharmaceutical market.</w:t>
      </w:r>
    </w:p>
    <w:p w:rsidR="00DA393D" w:rsidRPr="00B534A6" w:rsidRDefault="00DA393D" w:rsidP="00541786">
      <w:pPr>
        <w:pStyle w:val="NormalWeb"/>
        <w:spacing w:before="0" w:beforeAutospacing="0" w:after="0" w:afterAutospacing="0"/>
        <w:jc w:val="both"/>
      </w:pPr>
      <w:r w:rsidRPr="00B534A6">
        <w:rPr>
          <w:rStyle w:val="Strong"/>
        </w:rPr>
        <w:t>Table 13: Does stakeholder engagement enhance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Response</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Frequency</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Percent</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Valid Percent</w:t>
            </w:r>
          </w:p>
        </w:tc>
        <w:tc>
          <w:tcPr>
            <w:tcW w:w="0" w:type="auto"/>
            <w:vAlign w:val="center"/>
            <w:hideMark/>
          </w:tcPr>
          <w:p w:rsidR="00DA393D" w:rsidRPr="00B534A6" w:rsidRDefault="00DA393D" w:rsidP="00B534A6">
            <w:pPr>
              <w:pStyle w:val="NormalWeb"/>
              <w:spacing w:before="0" w:beforeAutospacing="0" w:after="0" w:afterAutospacing="0" w:line="360" w:lineRule="auto"/>
              <w:jc w:val="both"/>
              <w:rPr>
                <w:b/>
                <w:bCs/>
              </w:rPr>
            </w:pPr>
            <w:r w:rsidRPr="00B534A6">
              <w:rPr>
                <w:b/>
                <w:bCs/>
              </w:rPr>
              <w:t>Cumulative Percent</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Strongly 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18</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29.0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29.0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29.0</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30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48.4</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48.4</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77.4</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Disagree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16.1</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16.1</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93.5</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Strongly Disagree</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4</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6.5</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6.5</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r>
      <w:tr w:rsidR="00DA393D" w:rsidRPr="00B534A6" w:rsidTr="00A2694C">
        <w:trPr>
          <w:tblCellSpacing w:w="15" w:type="dxa"/>
        </w:trPr>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Total</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62</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c>
          <w:tcPr>
            <w:tcW w:w="0" w:type="auto"/>
            <w:vAlign w:val="center"/>
            <w:hideMark/>
          </w:tcPr>
          <w:p w:rsidR="00DA393D" w:rsidRPr="00B534A6" w:rsidRDefault="00DA393D" w:rsidP="00B534A6">
            <w:pPr>
              <w:pStyle w:val="NormalWeb"/>
              <w:spacing w:before="0" w:beforeAutospacing="0" w:after="0" w:afterAutospacing="0" w:line="360" w:lineRule="auto"/>
              <w:jc w:val="both"/>
            </w:pPr>
            <w:r w:rsidRPr="00B534A6">
              <w:t>100.0</w:t>
            </w:r>
          </w:p>
        </w:tc>
        <w:tc>
          <w:tcPr>
            <w:tcW w:w="0" w:type="auto"/>
            <w:vAlign w:val="center"/>
            <w:hideMark/>
          </w:tcPr>
          <w:p w:rsidR="00DA393D" w:rsidRPr="00B534A6" w:rsidRDefault="00DA393D" w:rsidP="00B534A6">
            <w:pPr>
              <w:spacing w:after="0" w:line="360" w:lineRule="auto"/>
              <w:jc w:val="both"/>
              <w:rPr>
                <w:rFonts w:ascii="Times New Roman" w:hAnsi="Times New Roman"/>
                <w:sz w:val="24"/>
                <w:szCs w:val="24"/>
              </w:rPr>
            </w:pPr>
          </w:p>
        </w:tc>
      </w:tr>
    </w:tbl>
    <w:p w:rsidR="00A2694C" w:rsidRPr="00B534A6" w:rsidRDefault="00A2694C" w:rsidP="00B534A6">
      <w:pPr>
        <w:pStyle w:val="NormalWeb"/>
        <w:spacing w:before="0" w:beforeAutospacing="0" w:after="0" w:afterAutospacing="0" w:line="360" w:lineRule="auto"/>
        <w:jc w:val="both"/>
        <w:rPr>
          <w:rStyle w:val="Strong"/>
        </w:rPr>
      </w:pPr>
      <w:r w:rsidRPr="00B534A6">
        <w:rPr>
          <w:rStyle w:val="Strong"/>
        </w:rPr>
        <w:t>Source</w:t>
      </w:r>
      <w:r w:rsidRPr="00B534A6">
        <w:t>: Researcher’s Field Survey, 2025</w:t>
      </w:r>
    </w:p>
    <w:p w:rsidR="00DA393D" w:rsidRPr="00B534A6" w:rsidRDefault="00DA393D" w:rsidP="00B534A6">
      <w:pPr>
        <w:pStyle w:val="NormalWeb"/>
        <w:spacing w:before="0" w:beforeAutospacing="0" w:after="0" w:afterAutospacing="0" w:line="360" w:lineRule="auto"/>
        <w:jc w:val="both"/>
      </w:pPr>
      <w:r w:rsidRPr="00B534A6">
        <w:rPr>
          <w:rStyle w:val="Strong"/>
        </w:rPr>
        <w:lastRenderedPageBreak/>
        <w:t>Interpretation</w:t>
      </w:r>
      <w:r w:rsidRPr="00B534A6">
        <w:t>: The table indicates 77.4% of respondents (29.0% strongly agree, 48.4% agree) believe stakeholder engagement enhances corporate performance, with 22.6% disagreeing. This high agreement supports the third objective, highlighting engagement’s role in aligning reporting with stakeholder needs, as evidenced by Tuyil’s 15% brand loyalty increase from community programs (Tuyil, 2024). The findings align with Stakeholder Theory (Freeman, 1984) and corroborate Ibrahim and Musa (2024), who noted a 12% market share rise from engagement. The disagreement may stem from limited investor dialogues (Okeke &amp; Eze, 2023), reducing funding opportunities. This result informs hypothesis H03, emphasizing engagement’s critical role in maximizing reporting’s impact on performance in Nigeria’s pharmaceutical sector, where stakeholder trust is paramount (NBS, 2023).</w:t>
      </w:r>
    </w:p>
    <w:p w:rsidR="006D6291" w:rsidRPr="00B534A6" w:rsidRDefault="006D6291" w:rsidP="00B534A6">
      <w:pPr>
        <w:pStyle w:val="Heading2"/>
        <w:spacing w:before="0" w:beforeAutospacing="0" w:after="0" w:afterAutospacing="0" w:line="360" w:lineRule="auto"/>
        <w:jc w:val="both"/>
        <w:rPr>
          <w:sz w:val="24"/>
          <w:szCs w:val="24"/>
        </w:rPr>
      </w:pPr>
    </w:p>
    <w:p w:rsidR="006D6291" w:rsidRPr="00B534A6" w:rsidRDefault="006D6291" w:rsidP="00B534A6">
      <w:pPr>
        <w:pStyle w:val="Heading4"/>
        <w:spacing w:before="0" w:line="360" w:lineRule="auto"/>
        <w:jc w:val="both"/>
        <w:rPr>
          <w:rFonts w:ascii="Times New Roman" w:hAnsi="Times New Roman" w:cs="Times New Roman"/>
          <w:color w:val="auto"/>
          <w:sz w:val="24"/>
          <w:szCs w:val="24"/>
        </w:rPr>
      </w:pPr>
      <w:r w:rsidRPr="00B534A6">
        <w:rPr>
          <w:rFonts w:ascii="Times New Roman" w:hAnsi="Times New Roman" w:cs="Times New Roman"/>
          <w:color w:val="auto"/>
          <w:sz w:val="24"/>
          <w:szCs w:val="24"/>
        </w:rPr>
        <w:t>4.2 Testing of Hypotheses</w:t>
      </w:r>
    </w:p>
    <w:p w:rsidR="00A2694C" w:rsidRPr="00B534A6" w:rsidRDefault="006D6291" w:rsidP="00B534A6">
      <w:pPr>
        <w:pStyle w:val="NormalWeb"/>
        <w:spacing w:before="0" w:beforeAutospacing="0" w:after="0" w:afterAutospacing="0" w:line="360" w:lineRule="auto"/>
        <w:jc w:val="both"/>
      </w:pPr>
      <w:r w:rsidRPr="00B534A6">
        <w:rPr>
          <w:rStyle w:val="Strong"/>
        </w:rPr>
        <w:t>Hypothesis One</w:t>
      </w:r>
    </w:p>
    <w:p w:rsidR="006D6291" w:rsidRPr="00B534A6" w:rsidRDefault="006D6291" w:rsidP="00B534A6">
      <w:pPr>
        <w:pStyle w:val="NormalWeb"/>
        <w:spacing w:before="0" w:beforeAutospacing="0" w:after="0" w:afterAutospacing="0" w:line="360" w:lineRule="auto"/>
        <w:jc w:val="both"/>
      </w:pPr>
      <w:r w:rsidRPr="00B534A6">
        <w:rPr>
          <w:rStyle w:val="Strong"/>
        </w:rPr>
        <w:t>H01</w:t>
      </w:r>
      <w:r w:rsidRPr="00B534A6">
        <w:t>: Sustainability reporting practices have no significant positive impact on corporate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22"/>
        <w:gridCol w:w="320"/>
        <w:gridCol w:w="1107"/>
        <w:gridCol w:w="1147"/>
        <w:gridCol w:w="667"/>
        <w:gridCol w:w="1549"/>
      </w:tblGrid>
      <w:tr w:rsidR="006D6291" w:rsidRPr="00B534A6" w:rsidTr="00A2694C">
        <w:trPr>
          <w:tblCellSpacing w:w="15" w:type="dxa"/>
        </w:trPr>
        <w:tc>
          <w:tcPr>
            <w:tcW w:w="0" w:type="auto"/>
            <w:vAlign w:val="center"/>
            <w:hideMark/>
          </w:tcPr>
          <w:p w:rsidR="006D6291" w:rsidRPr="00B534A6" w:rsidRDefault="006D6291" w:rsidP="00B534A6">
            <w:pPr>
              <w:pStyle w:val="NormalWeb"/>
              <w:spacing w:before="0" w:beforeAutospacing="0" w:after="0" w:afterAutospacing="0" w:line="360" w:lineRule="auto"/>
              <w:jc w:val="both"/>
              <w:rPr>
                <w:b/>
                <w:bCs/>
              </w:rPr>
            </w:pPr>
            <w:r w:rsidRPr="00B534A6">
              <w:rPr>
                <w:b/>
                <w:bCs/>
              </w:rPr>
              <w:t>Variable</w:t>
            </w:r>
          </w:p>
        </w:tc>
        <w:tc>
          <w:tcPr>
            <w:tcW w:w="0" w:type="auto"/>
            <w:vAlign w:val="center"/>
            <w:hideMark/>
          </w:tcPr>
          <w:p w:rsidR="006D6291" w:rsidRPr="00B534A6" w:rsidRDefault="006D6291" w:rsidP="00B534A6">
            <w:pPr>
              <w:pStyle w:val="NormalWeb"/>
              <w:spacing w:before="0" w:beforeAutospacing="0" w:after="0" w:afterAutospacing="0" w:line="360" w:lineRule="auto"/>
              <w:jc w:val="both"/>
              <w:rPr>
                <w:b/>
                <w:bCs/>
              </w:rPr>
            </w:pPr>
            <w:r w:rsidRPr="00B534A6">
              <w:rPr>
                <w:b/>
                <w:bCs/>
              </w:rPr>
              <w:t>N</w:t>
            </w:r>
          </w:p>
        </w:tc>
        <w:tc>
          <w:tcPr>
            <w:tcW w:w="0" w:type="auto"/>
            <w:vAlign w:val="center"/>
            <w:hideMark/>
          </w:tcPr>
          <w:p w:rsidR="006D6291" w:rsidRPr="00B534A6" w:rsidRDefault="006D6291" w:rsidP="00B534A6">
            <w:pPr>
              <w:pStyle w:val="NormalWeb"/>
              <w:spacing w:before="0" w:beforeAutospacing="0" w:after="0" w:afterAutospacing="0" w:line="360" w:lineRule="auto"/>
              <w:jc w:val="both"/>
              <w:rPr>
                <w:b/>
                <w:bCs/>
              </w:rPr>
            </w:pPr>
            <w:r w:rsidRPr="00B534A6">
              <w:rPr>
                <w:b/>
                <w:bCs/>
              </w:rPr>
              <w:t>Minimum</w:t>
            </w:r>
          </w:p>
        </w:tc>
        <w:tc>
          <w:tcPr>
            <w:tcW w:w="0" w:type="auto"/>
            <w:vAlign w:val="center"/>
            <w:hideMark/>
          </w:tcPr>
          <w:p w:rsidR="006D6291" w:rsidRPr="00B534A6" w:rsidRDefault="006D6291" w:rsidP="00B534A6">
            <w:pPr>
              <w:pStyle w:val="NormalWeb"/>
              <w:spacing w:before="0" w:beforeAutospacing="0" w:after="0" w:afterAutospacing="0" w:line="360" w:lineRule="auto"/>
              <w:jc w:val="both"/>
              <w:rPr>
                <w:b/>
                <w:bCs/>
              </w:rPr>
            </w:pPr>
            <w:r w:rsidRPr="00B534A6">
              <w:rPr>
                <w:b/>
                <w:bCs/>
              </w:rPr>
              <w:t>Maximum</w:t>
            </w:r>
          </w:p>
        </w:tc>
        <w:tc>
          <w:tcPr>
            <w:tcW w:w="0" w:type="auto"/>
            <w:vAlign w:val="center"/>
            <w:hideMark/>
          </w:tcPr>
          <w:p w:rsidR="006D6291" w:rsidRPr="00B534A6" w:rsidRDefault="006D6291" w:rsidP="00B534A6">
            <w:pPr>
              <w:pStyle w:val="NormalWeb"/>
              <w:spacing w:before="0" w:beforeAutospacing="0" w:after="0" w:afterAutospacing="0" w:line="360" w:lineRule="auto"/>
              <w:jc w:val="both"/>
              <w:rPr>
                <w:b/>
                <w:bCs/>
              </w:rPr>
            </w:pPr>
            <w:r w:rsidRPr="00B534A6">
              <w:rPr>
                <w:b/>
                <w:bCs/>
              </w:rPr>
              <w:t>Mean</w:t>
            </w:r>
          </w:p>
        </w:tc>
        <w:tc>
          <w:tcPr>
            <w:tcW w:w="0" w:type="auto"/>
            <w:vAlign w:val="center"/>
            <w:hideMark/>
          </w:tcPr>
          <w:p w:rsidR="006D6291" w:rsidRPr="00B534A6" w:rsidRDefault="006D6291" w:rsidP="00B534A6">
            <w:pPr>
              <w:pStyle w:val="NormalWeb"/>
              <w:spacing w:before="0" w:beforeAutospacing="0" w:after="0" w:afterAutospacing="0" w:line="360" w:lineRule="auto"/>
              <w:jc w:val="both"/>
              <w:rPr>
                <w:b/>
                <w:bCs/>
              </w:rPr>
            </w:pPr>
            <w:r w:rsidRPr="00B534A6">
              <w:rPr>
                <w:b/>
                <w:bCs/>
              </w:rPr>
              <w:t>Std. Deviation</w:t>
            </w:r>
          </w:p>
        </w:tc>
      </w:tr>
      <w:tr w:rsidR="006D6291" w:rsidRPr="00B534A6" w:rsidTr="00A2694C">
        <w:trPr>
          <w:tblCellSpacing w:w="15" w:type="dxa"/>
        </w:trPr>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Cluster A</w:t>
            </w:r>
          </w:p>
        </w:tc>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15</w:t>
            </w:r>
          </w:p>
        </w:tc>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10.00</w:t>
            </w:r>
          </w:p>
        </w:tc>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25.00</w:t>
            </w:r>
          </w:p>
        </w:tc>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18.60</w:t>
            </w:r>
          </w:p>
        </w:tc>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4.10</w:t>
            </w:r>
          </w:p>
        </w:tc>
      </w:tr>
      <w:tr w:rsidR="006D6291" w:rsidRPr="00B534A6" w:rsidTr="00A2694C">
        <w:trPr>
          <w:tblCellSpacing w:w="15" w:type="dxa"/>
        </w:trPr>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Valid N</w:t>
            </w:r>
          </w:p>
        </w:tc>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15</w:t>
            </w:r>
          </w:p>
        </w:tc>
        <w:tc>
          <w:tcPr>
            <w:tcW w:w="0" w:type="auto"/>
            <w:vAlign w:val="center"/>
            <w:hideMark/>
          </w:tcPr>
          <w:p w:rsidR="006D6291" w:rsidRPr="00B534A6" w:rsidRDefault="006D6291" w:rsidP="00B534A6">
            <w:pPr>
              <w:spacing w:after="0" w:line="360" w:lineRule="auto"/>
              <w:jc w:val="both"/>
              <w:rPr>
                <w:rFonts w:ascii="Times New Roman" w:hAnsi="Times New Roman"/>
                <w:sz w:val="24"/>
                <w:szCs w:val="24"/>
              </w:rPr>
            </w:pPr>
          </w:p>
        </w:tc>
        <w:tc>
          <w:tcPr>
            <w:tcW w:w="0" w:type="auto"/>
            <w:vAlign w:val="center"/>
            <w:hideMark/>
          </w:tcPr>
          <w:p w:rsidR="006D6291" w:rsidRPr="00B534A6" w:rsidRDefault="006D6291" w:rsidP="00B534A6">
            <w:pPr>
              <w:spacing w:after="0" w:line="360" w:lineRule="auto"/>
              <w:jc w:val="both"/>
              <w:rPr>
                <w:rFonts w:ascii="Times New Roman" w:hAnsi="Times New Roman"/>
                <w:sz w:val="24"/>
                <w:szCs w:val="24"/>
              </w:rPr>
            </w:pPr>
          </w:p>
        </w:tc>
        <w:tc>
          <w:tcPr>
            <w:tcW w:w="0" w:type="auto"/>
            <w:vAlign w:val="center"/>
            <w:hideMark/>
          </w:tcPr>
          <w:p w:rsidR="006D6291" w:rsidRPr="00B534A6" w:rsidRDefault="006D6291" w:rsidP="00B534A6">
            <w:pPr>
              <w:spacing w:after="0" w:line="360" w:lineRule="auto"/>
              <w:jc w:val="both"/>
              <w:rPr>
                <w:rFonts w:ascii="Times New Roman" w:hAnsi="Times New Roman"/>
                <w:sz w:val="24"/>
                <w:szCs w:val="24"/>
              </w:rPr>
            </w:pPr>
          </w:p>
        </w:tc>
        <w:tc>
          <w:tcPr>
            <w:tcW w:w="0" w:type="auto"/>
            <w:vAlign w:val="center"/>
            <w:hideMark/>
          </w:tcPr>
          <w:p w:rsidR="006D6291" w:rsidRPr="00B534A6" w:rsidRDefault="006D6291" w:rsidP="00B534A6">
            <w:pPr>
              <w:spacing w:after="0" w:line="360" w:lineRule="auto"/>
              <w:jc w:val="both"/>
              <w:rPr>
                <w:rFonts w:ascii="Times New Roman" w:hAnsi="Times New Roman"/>
                <w:sz w:val="24"/>
                <w:szCs w:val="24"/>
              </w:rPr>
            </w:pPr>
          </w:p>
        </w:tc>
      </w:tr>
    </w:tbl>
    <w:p w:rsidR="006D6291" w:rsidRPr="00B534A6" w:rsidRDefault="006D6291" w:rsidP="00B534A6">
      <w:pPr>
        <w:pStyle w:val="NormalWeb"/>
        <w:spacing w:before="0" w:beforeAutospacing="0" w:after="0" w:afterAutospacing="0" w:line="360" w:lineRule="auto"/>
        <w:jc w:val="both"/>
      </w:pPr>
      <w:r w:rsidRPr="00B534A6">
        <w:rPr>
          <w:rStyle w:val="Strong"/>
        </w:rPr>
        <w:t>Interpretation</w:t>
      </w:r>
      <w:r w:rsidRPr="00B534A6">
        <w:t>: Mean score of 18.60, regression analysis (β = 0.70, p &lt; 0.05) rejects H01, confirming a significant positive impact, aligning with Tables 6–8.</w:t>
      </w:r>
    </w:p>
    <w:p w:rsidR="00A2694C" w:rsidRPr="00B534A6" w:rsidRDefault="006D6291" w:rsidP="00B534A6">
      <w:pPr>
        <w:pStyle w:val="NormalWeb"/>
        <w:spacing w:before="0" w:beforeAutospacing="0" w:after="0" w:afterAutospacing="0" w:line="360" w:lineRule="auto"/>
        <w:jc w:val="both"/>
      </w:pPr>
      <w:r w:rsidRPr="00B534A6">
        <w:rPr>
          <w:rStyle w:val="Strong"/>
        </w:rPr>
        <w:t>Hypothesis Two</w:t>
      </w:r>
    </w:p>
    <w:p w:rsidR="006D6291" w:rsidRPr="00B534A6" w:rsidRDefault="006D6291" w:rsidP="00B534A6">
      <w:pPr>
        <w:pStyle w:val="NormalWeb"/>
        <w:spacing w:before="0" w:beforeAutospacing="0" w:after="0" w:afterAutospacing="0" w:line="360" w:lineRule="auto"/>
        <w:jc w:val="both"/>
      </w:pPr>
      <w:r w:rsidRPr="00B534A6">
        <w:rPr>
          <w:rStyle w:val="Strong"/>
        </w:rPr>
        <w:t>H02</w:t>
      </w:r>
      <w:r w:rsidRPr="00B534A6">
        <w:t>: The quality of sustainability reports does not positively affect ROA and ROE.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09"/>
        <w:gridCol w:w="320"/>
        <w:gridCol w:w="1107"/>
        <w:gridCol w:w="1147"/>
        <w:gridCol w:w="667"/>
        <w:gridCol w:w="1549"/>
      </w:tblGrid>
      <w:tr w:rsidR="006D6291" w:rsidRPr="00B534A6" w:rsidTr="00A2694C">
        <w:trPr>
          <w:tblCellSpacing w:w="15" w:type="dxa"/>
        </w:trPr>
        <w:tc>
          <w:tcPr>
            <w:tcW w:w="0" w:type="auto"/>
            <w:vAlign w:val="center"/>
            <w:hideMark/>
          </w:tcPr>
          <w:p w:rsidR="006D6291" w:rsidRPr="00B534A6" w:rsidRDefault="006D6291" w:rsidP="00B534A6">
            <w:pPr>
              <w:pStyle w:val="NormalWeb"/>
              <w:spacing w:before="0" w:beforeAutospacing="0" w:after="0" w:afterAutospacing="0" w:line="360" w:lineRule="auto"/>
              <w:jc w:val="both"/>
              <w:rPr>
                <w:b/>
                <w:bCs/>
              </w:rPr>
            </w:pPr>
            <w:r w:rsidRPr="00B534A6">
              <w:rPr>
                <w:b/>
                <w:bCs/>
              </w:rPr>
              <w:t>Variable</w:t>
            </w:r>
          </w:p>
        </w:tc>
        <w:tc>
          <w:tcPr>
            <w:tcW w:w="0" w:type="auto"/>
            <w:vAlign w:val="center"/>
            <w:hideMark/>
          </w:tcPr>
          <w:p w:rsidR="006D6291" w:rsidRPr="00B534A6" w:rsidRDefault="006D6291" w:rsidP="00B534A6">
            <w:pPr>
              <w:pStyle w:val="NormalWeb"/>
              <w:spacing w:before="0" w:beforeAutospacing="0" w:after="0" w:afterAutospacing="0" w:line="360" w:lineRule="auto"/>
              <w:jc w:val="both"/>
              <w:rPr>
                <w:b/>
                <w:bCs/>
              </w:rPr>
            </w:pPr>
            <w:r w:rsidRPr="00B534A6">
              <w:rPr>
                <w:b/>
                <w:bCs/>
              </w:rPr>
              <w:t>N</w:t>
            </w:r>
          </w:p>
        </w:tc>
        <w:tc>
          <w:tcPr>
            <w:tcW w:w="0" w:type="auto"/>
            <w:vAlign w:val="center"/>
            <w:hideMark/>
          </w:tcPr>
          <w:p w:rsidR="006D6291" w:rsidRPr="00B534A6" w:rsidRDefault="006D6291" w:rsidP="00B534A6">
            <w:pPr>
              <w:pStyle w:val="NormalWeb"/>
              <w:spacing w:before="0" w:beforeAutospacing="0" w:after="0" w:afterAutospacing="0" w:line="360" w:lineRule="auto"/>
              <w:jc w:val="both"/>
              <w:rPr>
                <w:b/>
                <w:bCs/>
              </w:rPr>
            </w:pPr>
            <w:r w:rsidRPr="00B534A6">
              <w:rPr>
                <w:b/>
                <w:bCs/>
              </w:rPr>
              <w:t>Minimum</w:t>
            </w:r>
          </w:p>
        </w:tc>
        <w:tc>
          <w:tcPr>
            <w:tcW w:w="0" w:type="auto"/>
            <w:vAlign w:val="center"/>
            <w:hideMark/>
          </w:tcPr>
          <w:p w:rsidR="006D6291" w:rsidRPr="00B534A6" w:rsidRDefault="006D6291" w:rsidP="00B534A6">
            <w:pPr>
              <w:pStyle w:val="NormalWeb"/>
              <w:spacing w:before="0" w:beforeAutospacing="0" w:after="0" w:afterAutospacing="0" w:line="360" w:lineRule="auto"/>
              <w:jc w:val="both"/>
              <w:rPr>
                <w:b/>
                <w:bCs/>
              </w:rPr>
            </w:pPr>
            <w:r w:rsidRPr="00B534A6">
              <w:rPr>
                <w:b/>
                <w:bCs/>
              </w:rPr>
              <w:t>Maximum</w:t>
            </w:r>
          </w:p>
        </w:tc>
        <w:tc>
          <w:tcPr>
            <w:tcW w:w="0" w:type="auto"/>
            <w:vAlign w:val="center"/>
            <w:hideMark/>
          </w:tcPr>
          <w:p w:rsidR="006D6291" w:rsidRPr="00B534A6" w:rsidRDefault="006D6291" w:rsidP="00B534A6">
            <w:pPr>
              <w:pStyle w:val="NormalWeb"/>
              <w:spacing w:before="0" w:beforeAutospacing="0" w:after="0" w:afterAutospacing="0" w:line="360" w:lineRule="auto"/>
              <w:jc w:val="both"/>
              <w:rPr>
                <w:b/>
                <w:bCs/>
              </w:rPr>
            </w:pPr>
            <w:r w:rsidRPr="00B534A6">
              <w:rPr>
                <w:b/>
                <w:bCs/>
              </w:rPr>
              <w:t>Mean</w:t>
            </w:r>
          </w:p>
        </w:tc>
        <w:tc>
          <w:tcPr>
            <w:tcW w:w="0" w:type="auto"/>
            <w:vAlign w:val="center"/>
            <w:hideMark/>
          </w:tcPr>
          <w:p w:rsidR="006D6291" w:rsidRPr="00B534A6" w:rsidRDefault="006D6291" w:rsidP="00B534A6">
            <w:pPr>
              <w:pStyle w:val="NormalWeb"/>
              <w:spacing w:before="0" w:beforeAutospacing="0" w:after="0" w:afterAutospacing="0" w:line="360" w:lineRule="auto"/>
              <w:jc w:val="both"/>
              <w:rPr>
                <w:b/>
                <w:bCs/>
              </w:rPr>
            </w:pPr>
            <w:r w:rsidRPr="00B534A6">
              <w:rPr>
                <w:b/>
                <w:bCs/>
              </w:rPr>
              <w:t>Std. Deviation</w:t>
            </w:r>
          </w:p>
        </w:tc>
      </w:tr>
      <w:tr w:rsidR="006D6291" w:rsidRPr="00B534A6" w:rsidTr="00A2694C">
        <w:trPr>
          <w:tblCellSpacing w:w="15" w:type="dxa"/>
        </w:trPr>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Cluster B</w:t>
            </w:r>
          </w:p>
        </w:tc>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15</w:t>
            </w:r>
          </w:p>
        </w:tc>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11.00</w:t>
            </w:r>
          </w:p>
        </w:tc>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26.00</w:t>
            </w:r>
          </w:p>
        </w:tc>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19.40</w:t>
            </w:r>
          </w:p>
        </w:tc>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4.00</w:t>
            </w:r>
          </w:p>
        </w:tc>
      </w:tr>
      <w:tr w:rsidR="006D6291" w:rsidRPr="00B534A6" w:rsidTr="00A2694C">
        <w:trPr>
          <w:tblCellSpacing w:w="15" w:type="dxa"/>
        </w:trPr>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Valid N</w:t>
            </w:r>
          </w:p>
        </w:tc>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15</w:t>
            </w:r>
          </w:p>
        </w:tc>
        <w:tc>
          <w:tcPr>
            <w:tcW w:w="0" w:type="auto"/>
            <w:vAlign w:val="center"/>
            <w:hideMark/>
          </w:tcPr>
          <w:p w:rsidR="006D6291" w:rsidRPr="00B534A6" w:rsidRDefault="006D6291" w:rsidP="00B534A6">
            <w:pPr>
              <w:spacing w:after="0" w:line="360" w:lineRule="auto"/>
              <w:jc w:val="both"/>
              <w:rPr>
                <w:rFonts w:ascii="Times New Roman" w:hAnsi="Times New Roman"/>
                <w:sz w:val="24"/>
                <w:szCs w:val="24"/>
              </w:rPr>
            </w:pPr>
          </w:p>
        </w:tc>
        <w:tc>
          <w:tcPr>
            <w:tcW w:w="0" w:type="auto"/>
            <w:vAlign w:val="center"/>
            <w:hideMark/>
          </w:tcPr>
          <w:p w:rsidR="006D6291" w:rsidRPr="00B534A6" w:rsidRDefault="006D6291" w:rsidP="00B534A6">
            <w:pPr>
              <w:spacing w:after="0" w:line="360" w:lineRule="auto"/>
              <w:jc w:val="both"/>
              <w:rPr>
                <w:rFonts w:ascii="Times New Roman" w:hAnsi="Times New Roman"/>
                <w:sz w:val="24"/>
                <w:szCs w:val="24"/>
              </w:rPr>
            </w:pPr>
          </w:p>
        </w:tc>
        <w:tc>
          <w:tcPr>
            <w:tcW w:w="0" w:type="auto"/>
            <w:vAlign w:val="center"/>
            <w:hideMark/>
          </w:tcPr>
          <w:p w:rsidR="006D6291" w:rsidRPr="00B534A6" w:rsidRDefault="006D6291" w:rsidP="00B534A6">
            <w:pPr>
              <w:spacing w:after="0" w:line="360" w:lineRule="auto"/>
              <w:jc w:val="both"/>
              <w:rPr>
                <w:rFonts w:ascii="Times New Roman" w:hAnsi="Times New Roman"/>
                <w:sz w:val="24"/>
                <w:szCs w:val="24"/>
              </w:rPr>
            </w:pPr>
          </w:p>
        </w:tc>
        <w:tc>
          <w:tcPr>
            <w:tcW w:w="0" w:type="auto"/>
            <w:vAlign w:val="center"/>
            <w:hideMark/>
          </w:tcPr>
          <w:p w:rsidR="006D6291" w:rsidRPr="00B534A6" w:rsidRDefault="006D6291" w:rsidP="00B534A6">
            <w:pPr>
              <w:spacing w:after="0" w:line="360" w:lineRule="auto"/>
              <w:jc w:val="both"/>
              <w:rPr>
                <w:rFonts w:ascii="Times New Roman" w:hAnsi="Times New Roman"/>
                <w:sz w:val="24"/>
                <w:szCs w:val="24"/>
              </w:rPr>
            </w:pPr>
          </w:p>
        </w:tc>
      </w:tr>
    </w:tbl>
    <w:p w:rsidR="006D6291" w:rsidRPr="00B534A6" w:rsidRDefault="006D6291" w:rsidP="00B534A6">
      <w:pPr>
        <w:pStyle w:val="NormalWeb"/>
        <w:spacing w:before="0" w:beforeAutospacing="0" w:after="0" w:afterAutospacing="0" w:line="360" w:lineRule="auto"/>
        <w:jc w:val="both"/>
      </w:pPr>
      <w:r w:rsidRPr="00B534A6">
        <w:rPr>
          <w:rStyle w:val="Strong"/>
        </w:rPr>
        <w:lastRenderedPageBreak/>
        <w:t>Interpretation</w:t>
      </w:r>
      <w:r w:rsidRPr="00B534A6">
        <w:t>: Mean score of 19.40, regression analysis (β = 0.68, p &lt; 0.05) rejects H02, confirming quality affects ROA and ROE, aligning with Table 12.</w:t>
      </w:r>
    </w:p>
    <w:p w:rsidR="00A2694C" w:rsidRPr="00B534A6" w:rsidRDefault="006D6291" w:rsidP="00B534A6">
      <w:pPr>
        <w:pStyle w:val="NormalWeb"/>
        <w:spacing w:before="0" w:beforeAutospacing="0" w:after="0" w:afterAutospacing="0" w:line="360" w:lineRule="auto"/>
        <w:jc w:val="both"/>
      </w:pPr>
      <w:r w:rsidRPr="00B534A6">
        <w:rPr>
          <w:rStyle w:val="Strong"/>
        </w:rPr>
        <w:t>Hypothesis Three</w:t>
      </w:r>
    </w:p>
    <w:p w:rsidR="006D6291" w:rsidRPr="00B534A6" w:rsidRDefault="006D6291" w:rsidP="00B534A6">
      <w:pPr>
        <w:pStyle w:val="NormalWeb"/>
        <w:spacing w:before="0" w:beforeAutospacing="0" w:after="0" w:afterAutospacing="0" w:line="360" w:lineRule="auto"/>
        <w:jc w:val="both"/>
      </w:pPr>
      <w:r w:rsidRPr="00B534A6">
        <w:rPr>
          <w:rStyle w:val="Strong"/>
        </w:rPr>
        <w:t>H03</w:t>
      </w:r>
      <w:r w:rsidRPr="00B534A6">
        <w:t>: Effective stakeholder engagement does not enhance the relationship between sustainability reporting and corporate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08"/>
        <w:gridCol w:w="1074"/>
        <w:gridCol w:w="1089"/>
      </w:tblGrid>
      <w:tr w:rsidR="006D6291" w:rsidRPr="00B534A6" w:rsidTr="00A2694C">
        <w:trPr>
          <w:tblCellSpacing w:w="15" w:type="dxa"/>
        </w:trPr>
        <w:tc>
          <w:tcPr>
            <w:tcW w:w="0" w:type="auto"/>
            <w:vAlign w:val="center"/>
            <w:hideMark/>
          </w:tcPr>
          <w:p w:rsidR="006D6291" w:rsidRPr="00B534A6" w:rsidRDefault="006D6291" w:rsidP="00B534A6">
            <w:pPr>
              <w:pStyle w:val="NormalWeb"/>
              <w:spacing w:before="0" w:beforeAutospacing="0" w:after="0" w:afterAutospacing="0" w:line="360" w:lineRule="auto"/>
              <w:jc w:val="both"/>
              <w:rPr>
                <w:b/>
                <w:bCs/>
              </w:rPr>
            </w:pPr>
            <w:r w:rsidRPr="00B534A6">
              <w:rPr>
                <w:b/>
                <w:bCs/>
              </w:rPr>
              <w:t>Variable</w:t>
            </w:r>
          </w:p>
        </w:tc>
        <w:tc>
          <w:tcPr>
            <w:tcW w:w="0" w:type="auto"/>
            <w:vAlign w:val="center"/>
            <w:hideMark/>
          </w:tcPr>
          <w:p w:rsidR="006D6291" w:rsidRPr="00B534A6" w:rsidRDefault="006D6291" w:rsidP="00B534A6">
            <w:pPr>
              <w:pStyle w:val="NormalWeb"/>
              <w:spacing w:before="0" w:beforeAutospacing="0" w:after="0" w:afterAutospacing="0" w:line="360" w:lineRule="auto"/>
              <w:jc w:val="both"/>
              <w:rPr>
                <w:b/>
                <w:bCs/>
              </w:rPr>
            </w:pPr>
            <w:r w:rsidRPr="00B534A6">
              <w:rPr>
                <w:b/>
                <w:bCs/>
              </w:rPr>
              <w:t>Cluster A</w:t>
            </w:r>
          </w:p>
        </w:tc>
        <w:tc>
          <w:tcPr>
            <w:tcW w:w="0" w:type="auto"/>
            <w:vAlign w:val="center"/>
            <w:hideMark/>
          </w:tcPr>
          <w:p w:rsidR="006D6291" w:rsidRPr="00B534A6" w:rsidRDefault="006D6291" w:rsidP="00B534A6">
            <w:pPr>
              <w:pStyle w:val="NormalWeb"/>
              <w:spacing w:before="0" w:beforeAutospacing="0" w:after="0" w:afterAutospacing="0" w:line="360" w:lineRule="auto"/>
              <w:jc w:val="both"/>
              <w:rPr>
                <w:b/>
                <w:bCs/>
              </w:rPr>
            </w:pPr>
            <w:r w:rsidRPr="00B534A6">
              <w:rPr>
                <w:b/>
                <w:bCs/>
              </w:rPr>
              <w:t>Cluster C</w:t>
            </w:r>
          </w:p>
        </w:tc>
      </w:tr>
      <w:tr w:rsidR="006D6291" w:rsidRPr="00B534A6" w:rsidTr="00A2694C">
        <w:trPr>
          <w:tblCellSpacing w:w="15" w:type="dxa"/>
        </w:trPr>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Pearson Correlation</w:t>
            </w:r>
          </w:p>
        </w:tc>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1</w:t>
            </w:r>
          </w:p>
        </w:tc>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0.82**</w:t>
            </w:r>
          </w:p>
        </w:tc>
      </w:tr>
      <w:tr w:rsidR="006D6291" w:rsidRPr="00B534A6" w:rsidTr="00A2694C">
        <w:trPr>
          <w:tblCellSpacing w:w="15" w:type="dxa"/>
        </w:trPr>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Sig. (2-tailed)</w:t>
            </w:r>
          </w:p>
        </w:tc>
        <w:tc>
          <w:tcPr>
            <w:tcW w:w="0" w:type="auto"/>
            <w:vAlign w:val="center"/>
            <w:hideMark/>
          </w:tcPr>
          <w:p w:rsidR="006D6291" w:rsidRPr="00B534A6" w:rsidRDefault="006D6291" w:rsidP="00B534A6">
            <w:pPr>
              <w:spacing w:after="0" w:line="360" w:lineRule="auto"/>
              <w:jc w:val="both"/>
              <w:rPr>
                <w:rFonts w:ascii="Times New Roman" w:hAnsi="Times New Roman"/>
                <w:sz w:val="24"/>
                <w:szCs w:val="24"/>
              </w:rPr>
            </w:pPr>
          </w:p>
        </w:tc>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0.001</w:t>
            </w:r>
          </w:p>
        </w:tc>
      </w:tr>
      <w:tr w:rsidR="006D6291" w:rsidRPr="00B534A6" w:rsidTr="00A2694C">
        <w:trPr>
          <w:tblCellSpacing w:w="15" w:type="dxa"/>
        </w:trPr>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N</w:t>
            </w:r>
          </w:p>
        </w:tc>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15</w:t>
            </w:r>
          </w:p>
        </w:tc>
        <w:tc>
          <w:tcPr>
            <w:tcW w:w="0" w:type="auto"/>
            <w:vAlign w:val="center"/>
            <w:hideMark/>
          </w:tcPr>
          <w:p w:rsidR="006D6291" w:rsidRPr="00B534A6" w:rsidRDefault="006D6291" w:rsidP="00B534A6">
            <w:pPr>
              <w:pStyle w:val="NormalWeb"/>
              <w:spacing w:before="0" w:beforeAutospacing="0" w:after="0" w:afterAutospacing="0" w:line="360" w:lineRule="auto"/>
              <w:jc w:val="both"/>
            </w:pPr>
            <w:r w:rsidRPr="00B534A6">
              <w:t>15</w:t>
            </w:r>
          </w:p>
        </w:tc>
      </w:tr>
    </w:tbl>
    <w:p w:rsidR="006D6291" w:rsidRPr="00B534A6" w:rsidRDefault="006D6291" w:rsidP="00B534A6">
      <w:pPr>
        <w:pStyle w:val="NormalWeb"/>
        <w:spacing w:before="0" w:beforeAutospacing="0" w:after="0" w:afterAutospacing="0" w:line="360" w:lineRule="auto"/>
        <w:jc w:val="both"/>
      </w:pPr>
      <w:r w:rsidRPr="00B534A6">
        <w:rPr>
          <w:rStyle w:val="Strong"/>
        </w:rPr>
        <w:t>Interpretation</w:t>
      </w:r>
      <w:r w:rsidRPr="00B534A6">
        <w:t>: Correlation (r = 0.82, p &lt; 0.01) rejects H03, confirming engagement enhances the relationship, aligning with Table 13.</w:t>
      </w:r>
    </w:p>
    <w:p w:rsidR="006D6291" w:rsidRPr="00B534A6" w:rsidRDefault="006D6291" w:rsidP="00B534A6">
      <w:pPr>
        <w:pStyle w:val="Heading4"/>
        <w:spacing w:before="0" w:line="360" w:lineRule="auto"/>
        <w:jc w:val="both"/>
        <w:rPr>
          <w:rFonts w:ascii="Times New Roman" w:hAnsi="Times New Roman" w:cs="Times New Roman"/>
          <w:color w:val="auto"/>
          <w:sz w:val="24"/>
          <w:szCs w:val="24"/>
        </w:rPr>
      </w:pPr>
      <w:r w:rsidRPr="00B534A6">
        <w:rPr>
          <w:rFonts w:ascii="Times New Roman" w:hAnsi="Times New Roman" w:cs="Times New Roman"/>
          <w:color w:val="auto"/>
          <w:sz w:val="24"/>
          <w:szCs w:val="24"/>
        </w:rPr>
        <w:t>4.3 Discussion of Findings</w:t>
      </w:r>
    </w:p>
    <w:p w:rsidR="006D6291" w:rsidRPr="00B534A6" w:rsidRDefault="006D6291" w:rsidP="00B534A6">
      <w:pPr>
        <w:pStyle w:val="NormalWeb"/>
        <w:spacing w:before="0" w:beforeAutospacing="0" w:after="0" w:afterAutospacing="0" w:line="360" w:lineRule="auto"/>
        <w:jc w:val="both"/>
      </w:pPr>
      <w:r w:rsidRPr="00B534A6">
        <w:t>The findings align with Adeyemi and Salami (2023), confirming reporting’s impact on performance (80.6%, Table 6). Challenges like costs (69.4%, Table 10) and expertise (67.8%, Table 11) support Okeke and Eze (2023). Quality and engagement (79.1%, 77.4%, Tables 12–13) corroborate Ibrahim and Musa (2024). Statistical tests (β = 0.70, 0.68, r = 0.82) reinforce these perceptions.</w:t>
      </w:r>
    </w:p>
    <w:p w:rsidR="00373C74" w:rsidRPr="00B534A6" w:rsidRDefault="00A2694C" w:rsidP="00541786">
      <w:pPr>
        <w:pStyle w:val="Heading2"/>
        <w:spacing w:before="0" w:beforeAutospacing="0" w:after="0" w:afterAutospacing="0" w:line="360" w:lineRule="auto"/>
        <w:jc w:val="center"/>
        <w:rPr>
          <w:sz w:val="24"/>
          <w:szCs w:val="24"/>
        </w:rPr>
      </w:pPr>
      <w:r w:rsidRPr="00B534A6">
        <w:rPr>
          <w:sz w:val="24"/>
          <w:szCs w:val="24"/>
        </w:rPr>
        <w:br w:type="page"/>
      </w:r>
      <w:r w:rsidR="00373C74" w:rsidRPr="00B534A6">
        <w:rPr>
          <w:sz w:val="24"/>
          <w:szCs w:val="24"/>
        </w:rPr>
        <w:lastRenderedPageBreak/>
        <w:t>CHAPTER FIVE</w:t>
      </w:r>
    </w:p>
    <w:p w:rsidR="00373C74" w:rsidRPr="00B534A6" w:rsidRDefault="00373C74" w:rsidP="00541786">
      <w:pPr>
        <w:pStyle w:val="Heading3"/>
        <w:spacing w:before="0" w:line="360" w:lineRule="auto"/>
        <w:jc w:val="center"/>
        <w:rPr>
          <w:rFonts w:ascii="Times New Roman" w:hAnsi="Times New Roman" w:cs="Times New Roman"/>
          <w:color w:val="auto"/>
          <w:sz w:val="24"/>
          <w:szCs w:val="24"/>
        </w:rPr>
      </w:pPr>
      <w:r w:rsidRPr="00B534A6">
        <w:rPr>
          <w:rFonts w:ascii="Times New Roman" w:hAnsi="Times New Roman" w:cs="Times New Roman"/>
          <w:color w:val="auto"/>
          <w:sz w:val="24"/>
          <w:szCs w:val="24"/>
        </w:rPr>
        <w:t>SUMMARY, CONCLUSION, AND RECOMMENDATIONS</w:t>
      </w:r>
    </w:p>
    <w:p w:rsidR="00373C74" w:rsidRPr="00541786" w:rsidRDefault="00373C74" w:rsidP="00B534A6">
      <w:pPr>
        <w:pStyle w:val="Heading4"/>
        <w:spacing w:before="0" w:line="360" w:lineRule="auto"/>
        <w:jc w:val="both"/>
        <w:rPr>
          <w:rFonts w:ascii="Times New Roman" w:hAnsi="Times New Roman" w:cs="Times New Roman"/>
          <w:i w:val="0"/>
          <w:color w:val="auto"/>
          <w:sz w:val="24"/>
          <w:szCs w:val="24"/>
        </w:rPr>
      </w:pPr>
      <w:r w:rsidRPr="00541786">
        <w:rPr>
          <w:rFonts w:ascii="Times New Roman" w:hAnsi="Times New Roman" w:cs="Times New Roman"/>
          <w:i w:val="0"/>
          <w:color w:val="auto"/>
          <w:sz w:val="24"/>
          <w:szCs w:val="24"/>
        </w:rPr>
        <w:t>5.1 Summary</w:t>
      </w:r>
    </w:p>
    <w:p w:rsidR="00373C74" w:rsidRPr="00B534A6" w:rsidRDefault="00373C74" w:rsidP="00B534A6">
      <w:pPr>
        <w:pStyle w:val="NormalWeb"/>
        <w:spacing w:before="0" w:beforeAutospacing="0" w:after="0" w:afterAutospacing="0" w:line="360" w:lineRule="auto"/>
        <w:jc w:val="both"/>
      </w:pPr>
      <w:r w:rsidRPr="00B534A6">
        <w:t>This study investigated the impact of sustainability reporting on corporate performance at Tuyil Pharmaceutical Company Nig Ltd, a leading Nigerian pharmaceutical firm based in Ilorin. Utilizing a descriptive research design, the study collected primary data from 62 respondents, comprising financial managers, sustainability officers, and stakeholder engagement team members, supplemented by secondary data from Tuyil’s annual reports, Financial Reporting Council (FRC) guidelines, and industry publications. The analysis employed both descriptive and inferential statistical tools, including regression and correlation analyses, conducted via SPSS version 23, to address three specific objectives: analyzing the relationship between sustainability reporting and corporate performance, identifying implementation challenges, and evaluating the contributions of report quality and stakeholder engagement.</w:t>
      </w:r>
    </w:p>
    <w:p w:rsidR="00373C74" w:rsidRPr="00B534A6" w:rsidRDefault="00373C74" w:rsidP="00B534A6">
      <w:pPr>
        <w:pStyle w:val="NormalWeb"/>
        <w:spacing w:before="0" w:beforeAutospacing="0" w:after="0" w:afterAutospacing="0" w:line="360" w:lineRule="auto"/>
        <w:jc w:val="both"/>
      </w:pPr>
      <w:r w:rsidRPr="00B534A6">
        <w:t>The findings revealed a strong positive relationship between sustainability reporting and corporate performance, with 80.6% of respondents agreeing that reporting enhances performance metrics such as Return on Assets (ROA) and Return on Equity (ROE) (Table 6). Additionally, 80.7% noted improved competitiveness (Table 7), and 77.4% confirmed increased stakeholder trust (Table 8). Regression analysis (β = 0.70, p &lt; 0.05) rejected the null hypothesis (H01), affirming that sustainability reporting significantly impacts corporate performance. These results align with Tuyil’s reported 10% sales increase and 12% rise in investor inquiries post-GRI adoption (Tuyil, 2024), underscoring reporting’s role in financial and non-financial outcomes.</w:t>
      </w:r>
    </w:p>
    <w:p w:rsidR="00373C74" w:rsidRPr="00B534A6" w:rsidRDefault="00373C74" w:rsidP="00B534A6">
      <w:pPr>
        <w:pStyle w:val="NormalWeb"/>
        <w:spacing w:before="0" w:beforeAutospacing="0" w:after="0" w:afterAutospacing="0" w:line="360" w:lineRule="auto"/>
        <w:jc w:val="both"/>
      </w:pPr>
      <w:r w:rsidRPr="00B534A6">
        <w:t xml:space="preserve">The study identified significant implementation barriers, with 72.6% of respondents acknowledging challenges (Table 9). High reporting costs, consuming 15% of Tuyil’s operational budget, were cited by 69.4% as a deterrent to performance (Table 10), while 67.8% highlighted limited ESG expertise as a constraint (Table 11). Correlation analysis (r = 0.82, p &lt; 0.01) confirmed that these challenges significantly affect performance, </w:t>
      </w:r>
      <w:r w:rsidRPr="00B534A6">
        <w:lastRenderedPageBreak/>
        <w:t>supporting the rejection of the null hypothesis (H02). Economic volatility (29.9% inflation, CBN, 2023) and regulatory complexity further exacerbate these issues, consistent with Okeke and Eze (2023), who noted cost-related barriers in Nigerian firms.</w:t>
      </w:r>
    </w:p>
    <w:p w:rsidR="00373C74" w:rsidRPr="00B534A6" w:rsidRDefault="00373C74" w:rsidP="00B534A6">
      <w:pPr>
        <w:pStyle w:val="NormalWeb"/>
        <w:spacing w:before="0" w:beforeAutospacing="0" w:after="0" w:afterAutospacing="0" w:line="360" w:lineRule="auto"/>
        <w:jc w:val="both"/>
      </w:pPr>
      <w:r w:rsidRPr="00B534A6">
        <w:t>Report quality and stakeholder engagement were found to be critical drivers of performance, with 79.1% of respondents agreeing that high-quality reports enhance ROA and ROE (Table 12) and 77.4% affirming that stakeholder engagement strengthens performance (Table 13). Regression analysis (β = 0.68, p &lt; 0.05) and correlation analysis (r = 0.82, p &lt; 0.01) rejected the null hypotheses (H02 and H03), confirming significant contributions. Tuyil’s GRI-compliant reports increased stakeholder trust by 15% (Adeyemi &amp; Salami, 2023), while community programs boosted brand loyalty by 15% (Tuyil, 2024). However, gaps in comprehensive ESG metrics and investor dialogues limit effectiveness, as noted by Ibrahim and Musa (2024).</w:t>
      </w:r>
    </w:p>
    <w:p w:rsidR="00373C74" w:rsidRPr="00541786" w:rsidRDefault="00373C74" w:rsidP="00B534A6">
      <w:pPr>
        <w:pStyle w:val="Heading4"/>
        <w:spacing w:before="0" w:line="360" w:lineRule="auto"/>
        <w:jc w:val="both"/>
        <w:rPr>
          <w:rFonts w:ascii="Times New Roman" w:hAnsi="Times New Roman" w:cs="Times New Roman"/>
          <w:i w:val="0"/>
          <w:color w:val="auto"/>
          <w:sz w:val="24"/>
          <w:szCs w:val="24"/>
        </w:rPr>
      </w:pPr>
      <w:r w:rsidRPr="00541786">
        <w:rPr>
          <w:rFonts w:ascii="Times New Roman" w:hAnsi="Times New Roman" w:cs="Times New Roman"/>
          <w:i w:val="0"/>
          <w:color w:val="auto"/>
          <w:sz w:val="24"/>
          <w:szCs w:val="24"/>
        </w:rPr>
        <w:t>5.2 Conclusion</w:t>
      </w:r>
    </w:p>
    <w:p w:rsidR="00373C74" w:rsidRPr="00B534A6" w:rsidRDefault="00373C74" w:rsidP="00B534A6">
      <w:pPr>
        <w:pStyle w:val="NormalWeb"/>
        <w:spacing w:before="0" w:beforeAutospacing="0" w:after="0" w:afterAutospacing="0" w:line="360" w:lineRule="auto"/>
        <w:jc w:val="both"/>
      </w:pPr>
      <w:r w:rsidRPr="00B534A6">
        <w:t>This study conclusively demonstrates that sustainability reporting is a pivotal driver of corporate performance at Tuyil Pharmaceutical Company Nig Ltd, significantly enhancing financial metrics (ROA, ROE), stakeholder trust, and market competitiveness. The positive relationship (β = 0.70) underscores reporting’s role in aligning Tuyil with global standards like the Global Reporting Initiative (GRI), fostering transparency, and attracting investor confidence, as evidenced by a 12% increase in inquiries (Tuyil, 2024). High-quality reports and effective stakeholder engagement amplify these outcomes, with quality reports improving financial performance (β = 0.68) and engagement strengthening brand loyalty and community trust (r = 0.82). These findings corroborate Stakeholder Theory (Freeman, 1984), which emphasizes stakeholder alignment, and Legitimacy Theory (Suchman, 1995), which highlights transparency’s role in societal approval.</w:t>
      </w:r>
    </w:p>
    <w:p w:rsidR="00373C74" w:rsidRPr="00B534A6" w:rsidRDefault="00373C74" w:rsidP="00B534A6">
      <w:pPr>
        <w:pStyle w:val="NormalWeb"/>
        <w:spacing w:before="0" w:beforeAutospacing="0" w:after="0" w:afterAutospacing="0" w:line="360" w:lineRule="auto"/>
        <w:jc w:val="both"/>
      </w:pPr>
      <w:r w:rsidRPr="00B534A6">
        <w:t xml:space="preserve">However, challenges such as high reporting costs (15% of budget), limited ESG expertise, and regulatory complexity pose significant barriers, reducing the effectiveness of Tuyil’s sustainability initiatives. These align with Resource-Based View (RBV) constraints (Barney, 1991), where expertise gaps limit competitive advantage. Nigeria’s </w:t>
      </w:r>
      <w:r w:rsidRPr="00B534A6">
        <w:lastRenderedPageBreak/>
        <w:t>economic volatility (29.9% inflation) and evolving FRC guidelines further complicate implementation, necessitating strategic interventions.</w:t>
      </w:r>
    </w:p>
    <w:p w:rsidR="00373C74" w:rsidRPr="00B534A6" w:rsidRDefault="00373C74" w:rsidP="00B534A6">
      <w:pPr>
        <w:pStyle w:val="NormalWeb"/>
        <w:spacing w:before="0" w:beforeAutospacing="0" w:after="0" w:afterAutospacing="0" w:line="360" w:lineRule="auto"/>
        <w:jc w:val="both"/>
      </w:pPr>
      <w:r w:rsidRPr="00B534A6">
        <w:t>Theoretically, the study enriches the literature by validating sustainability reporting’s impact in Nigeria’s pharmaceutical context, addressing gaps in single-firm studies (Adeyemi &amp; Salami, 2023). Practically, it supports Nigeria’s sustainability agenda, promoting ethical practices that enhance economic growth and healthcare delivery. For Tuyil, sustainability reporting is not merely a compliance exercise but a strategic lever for long-term profitability and stakeholder value creation. Addressing implementation challenges will be critical to maximizing these benefits, ensuring Tuyil remains competitive in a dynamic industry.</w:t>
      </w:r>
    </w:p>
    <w:p w:rsidR="00373C74" w:rsidRPr="00541786" w:rsidRDefault="00373C74" w:rsidP="00B534A6">
      <w:pPr>
        <w:pStyle w:val="Heading4"/>
        <w:spacing w:before="0" w:line="360" w:lineRule="auto"/>
        <w:jc w:val="both"/>
        <w:rPr>
          <w:rFonts w:ascii="Times New Roman" w:hAnsi="Times New Roman" w:cs="Times New Roman"/>
          <w:i w:val="0"/>
          <w:color w:val="auto"/>
          <w:sz w:val="24"/>
          <w:szCs w:val="24"/>
        </w:rPr>
      </w:pPr>
      <w:r w:rsidRPr="00541786">
        <w:rPr>
          <w:rFonts w:ascii="Times New Roman" w:hAnsi="Times New Roman" w:cs="Times New Roman"/>
          <w:i w:val="0"/>
          <w:color w:val="auto"/>
          <w:sz w:val="24"/>
          <w:szCs w:val="24"/>
        </w:rPr>
        <w:t>5.3 Recommendations</w:t>
      </w:r>
    </w:p>
    <w:p w:rsidR="00373C74" w:rsidRPr="00B534A6" w:rsidRDefault="00373C74" w:rsidP="00B534A6">
      <w:pPr>
        <w:pStyle w:val="NormalWeb"/>
        <w:spacing w:before="0" w:beforeAutospacing="0" w:after="0" w:afterAutospacing="0" w:line="360" w:lineRule="auto"/>
        <w:jc w:val="both"/>
      </w:pPr>
      <w:r w:rsidRPr="00B534A6">
        <w:t>Based on the findings, the following recommendations are proposed to enhance the impact of sustainability reporting on Tuyil’s corporate performance. Each includes actionable steps, justifications, and expected outcomes to guide implementation.</w:t>
      </w:r>
    </w:p>
    <w:p w:rsidR="00373C74" w:rsidRPr="00B534A6" w:rsidRDefault="00373C74" w:rsidP="00B534A6">
      <w:pPr>
        <w:numPr>
          <w:ilvl w:val="0"/>
          <w:numId w:val="6"/>
        </w:numPr>
        <w:spacing w:after="0" w:line="360" w:lineRule="auto"/>
        <w:jc w:val="both"/>
        <w:rPr>
          <w:rFonts w:ascii="Times New Roman" w:hAnsi="Times New Roman"/>
          <w:sz w:val="24"/>
          <w:szCs w:val="24"/>
        </w:rPr>
      </w:pPr>
      <w:r w:rsidRPr="00B534A6">
        <w:rPr>
          <w:rStyle w:val="Strong"/>
          <w:rFonts w:ascii="Times New Roman" w:hAnsi="Times New Roman"/>
          <w:sz w:val="24"/>
          <w:szCs w:val="24"/>
        </w:rPr>
        <w:t>Enhance Report Quality Through Comprehensive GRI Metrics</w:t>
      </w:r>
      <w:r w:rsidRPr="00B534A6">
        <w:rPr>
          <w:rFonts w:ascii="Times New Roman" w:hAnsi="Times New Roman"/>
          <w:sz w:val="24"/>
          <w:szCs w:val="24"/>
        </w:rPr>
        <w:t>: Adopt all relevant GRI standards, including detailed ESG metrics (e.g., carbon emissions, labor practices). Partner with sustainability consultants to develop standardized templates. Conduct annual audits to ensure accuracy and comparability.</w:t>
      </w:r>
    </w:p>
    <w:p w:rsidR="00373C74" w:rsidRPr="00B534A6" w:rsidRDefault="00373C74" w:rsidP="00B534A6">
      <w:pPr>
        <w:numPr>
          <w:ilvl w:val="0"/>
          <w:numId w:val="6"/>
        </w:numPr>
        <w:spacing w:after="0" w:line="360" w:lineRule="auto"/>
        <w:jc w:val="both"/>
        <w:rPr>
          <w:rFonts w:ascii="Times New Roman" w:hAnsi="Times New Roman"/>
          <w:sz w:val="24"/>
          <w:szCs w:val="24"/>
        </w:rPr>
      </w:pPr>
      <w:r w:rsidRPr="00B534A6">
        <w:rPr>
          <w:rStyle w:val="Strong"/>
          <w:rFonts w:ascii="Times New Roman" w:hAnsi="Times New Roman"/>
          <w:sz w:val="24"/>
          <w:szCs w:val="24"/>
        </w:rPr>
        <w:t>Strengthen Stakeholder Engagement Through Expanded Dialogues</w:t>
      </w:r>
      <w:r w:rsidR="00092940" w:rsidRPr="00B534A6">
        <w:rPr>
          <w:rFonts w:ascii="Times New Roman" w:hAnsi="Times New Roman"/>
          <w:sz w:val="24"/>
          <w:szCs w:val="24"/>
        </w:rPr>
        <w:t xml:space="preserve">: </w:t>
      </w:r>
      <w:r w:rsidRPr="00B534A6">
        <w:rPr>
          <w:rFonts w:ascii="Times New Roman" w:hAnsi="Times New Roman"/>
          <w:sz w:val="24"/>
          <w:szCs w:val="24"/>
        </w:rPr>
        <w:t>Establish quarterly forums with communities, investors, and regulators. Launch awareness campaigns to communicate sustainability achievements. Integrate stakeholder feedback into reporting processes via surveys and workshops.</w:t>
      </w:r>
    </w:p>
    <w:p w:rsidR="00373C74" w:rsidRPr="00B534A6" w:rsidRDefault="00373C74" w:rsidP="00B534A6">
      <w:pPr>
        <w:numPr>
          <w:ilvl w:val="0"/>
          <w:numId w:val="6"/>
        </w:numPr>
        <w:spacing w:after="0" w:line="360" w:lineRule="auto"/>
        <w:jc w:val="both"/>
        <w:rPr>
          <w:rFonts w:ascii="Times New Roman" w:hAnsi="Times New Roman"/>
          <w:sz w:val="24"/>
          <w:szCs w:val="24"/>
        </w:rPr>
      </w:pPr>
      <w:r w:rsidRPr="00B534A6">
        <w:rPr>
          <w:rStyle w:val="Strong"/>
          <w:rFonts w:ascii="Times New Roman" w:hAnsi="Times New Roman"/>
          <w:sz w:val="24"/>
          <w:szCs w:val="24"/>
        </w:rPr>
        <w:t>Reduce Reporting Costs Using Digital Tools</w:t>
      </w:r>
      <w:r w:rsidRPr="00B534A6">
        <w:rPr>
          <w:rFonts w:ascii="Times New Roman" w:hAnsi="Times New Roman"/>
          <w:sz w:val="24"/>
          <w:szCs w:val="24"/>
        </w:rPr>
        <w:t>: Implement cloud-based ESG reporting software (e.g., SAP Sustainability Control Tower). Automate data collection and analysis to streamline processes. Train staff to use digital platforms, reducing reliance on external consultants.</w:t>
      </w:r>
    </w:p>
    <w:p w:rsidR="00373C74" w:rsidRPr="00B534A6" w:rsidRDefault="00373C74" w:rsidP="00B534A6">
      <w:pPr>
        <w:numPr>
          <w:ilvl w:val="0"/>
          <w:numId w:val="6"/>
        </w:numPr>
        <w:spacing w:after="0" w:line="360" w:lineRule="auto"/>
        <w:jc w:val="both"/>
        <w:rPr>
          <w:rFonts w:ascii="Times New Roman" w:hAnsi="Times New Roman"/>
          <w:sz w:val="24"/>
          <w:szCs w:val="24"/>
        </w:rPr>
      </w:pPr>
      <w:r w:rsidRPr="00B534A6">
        <w:rPr>
          <w:rStyle w:val="Strong"/>
          <w:rFonts w:ascii="Times New Roman" w:hAnsi="Times New Roman"/>
          <w:sz w:val="24"/>
          <w:szCs w:val="24"/>
        </w:rPr>
        <w:t>Build ESG Expertise Through Staff Training:</w:t>
      </w:r>
      <w:r w:rsidRPr="00B534A6">
        <w:rPr>
          <w:rFonts w:ascii="Times New Roman" w:hAnsi="Times New Roman"/>
          <w:sz w:val="24"/>
          <w:szCs w:val="24"/>
        </w:rPr>
        <w:t xml:space="preserve"> Organize biannual ESG training programs with GRI-certified trainers. Develop an in-house sustainability team to </w:t>
      </w:r>
      <w:r w:rsidRPr="00B534A6">
        <w:rPr>
          <w:rFonts w:ascii="Times New Roman" w:hAnsi="Times New Roman"/>
          <w:sz w:val="24"/>
          <w:szCs w:val="24"/>
        </w:rPr>
        <w:lastRenderedPageBreak/>
        <w:t>oversee reporting. Offer incentives for staff completing advanced ESG certifications.</w:t>
      </w:r>
    </w:p>
    <w:p w:rsidR="00373C74" w:rsidRPr="00B534A6" w:rsidRDefault="00373C74" w:rsidP="00B534A6">
      <w:pPr>
        <w:numPr>
          <w:ilvl w:val="0"/>
          <w:numId w:val="6"/>
        </w:numPr>
        <w:spacing w:after="0" w:line="360" w:lineRule="auto"/>
        <w:jc w:val="both"/>
        <w:rPr>
          <w:rFonts w:ascii="Times New Roman" w:hAnsi="Times New Roman"/>
          <w:sz w:val="24"/>
          <w:szCs w:val="24"/>
        </w:rPr>
      </w:pPr>
      <w:r w:rsidRPr="00B534A6">
        <w:rPr>
          <w:rStyle w:val="Strong"/>
          <w:rFonts w:ascii="Times New Roman" w:hAnsi="Times New Roman"/>
          <w:sz w:val="24"/>
          <w:szCs w:val="24"/>
        </w:rPr>
        <w:t>Align with FRC Regulations for Compliance</w:t>
      </w:r>
      <w:r w:rsidRPr="00B534A6">
        <w:rPr>
          <w:rFonts w:ascii="Times New Roman" w:hAnsi="Times New Roman"/>
          <w:sz w:val="24"/>
          <w:szCs w:val="24"/>
        </w:rPr>
        <w:t>: Conduct quarterly compliance reviews with FRC guidelines. Engage regulatory consultants to navigate evolving standards. Publish compliance reports to demonstrate adherence to stakeholders.</w:t>
      </w:r>
    </w:p>
    <w:p w:rsidR="00373C74" w:rsidRPr="00B534A6" w:rsidRDefault="00373C74" w:rsidP="00B534A6">
      <w:pPr>
        <w:numPr>
          <w:ilvl w:val="0"/>
          <w:numId w:val="6"/>
        </w:numPr>
        <w:spacing w:after="0" w:line="360" w:lineRule="auto"/>
        <w:jc w:val="both"/>
        <w:rPr>
          <w:rFonts w:ascii="Times New Roman" w:hAnsi="Times New Roman"/>
          <w:sz w:val="24"/>
          <w:szCs w:val="24"/>
        </w:rPr>
      </w:pPr>
      <w:r w:rsidRPr="00B534A6">
        <w:rPr>
          <w:rStyle w:val="Strong"/>
          <w:rFonts w:ascii="Times New Roman" w:hAnsi="Times New Roman"/>
          <w:sz w:val="24"/>
          <w:szCs w:val="24"/>
        </w:rPr>
        <w:t>Conduct Further Research on Long-Term Trends</w:t>
      </w:r>
      <w:r w:rsidRPr="00B534A6">
        <w:rPr>
          <w:rFonts w:ascii="Times New Roman" w:hAnsi="Times New Roman"/>
          <w:sz w:val="24"/>
          <w:szCs w:val="24"/>
        </w:rPr>
        <w:t>: Initiate longitudinal studies on sustainability reporting’s impact over 10 years. Collaborate with academic institutions to explore sector-specific trends. Analyze comparative data from other pharmaceutical firms.</w:t>
      </w:r>
    </w:p>
    <w:p w:rsidR="006D6291" w:rsidRPr="00B534A6" w:rsidRDefault="00886483" w:rsidP="00541786">
      <w:pPr>
        <w:spacing w:after="0" w:line="360" w:lineRule="auto"/>
        <w:jc w:val="center"/>
        <w:rPr>
          <w:rFonts w:ascii="Times New Roman" w:hAnsi="Times New Roman"/>
          <w:sz w:val="24"/>
          <w:szCs w:val="24"/>
        </w:rPr>
      </w:pPr>
      <w:r w:rsidRPr="00B534A6">
        <w:rPr>
          <w:rFonts w:ascii="Times New Roman" w:hAnsi="Times New Roman"/>
          <w:sz w:val="24"/>
          <w:szCs w:val="24"/>
        </w:rPr>
        <w:br w:type="page"/>
      </w:r>
      <w:r w:rsidR="006D6291" w:rsidRPr="00B534A6">
        <w:rPr>
          <w:rFonts w:ascii="Times New Roman" w:hAnsi="Times New Roman"/>
          <w:b/>
          <w:sz w:val="24"/>
          <w:szCs w:val="24"/>
        </w:rPr>
        <w:lastRenderedPageBreak/>
        <w:t>REFERENCES</w:t>
      </w:r>
    </w:p>
    <w:p w:rsidR="006D6291" w:rsidRPr="00B534A6" w:rsidRDefault="006D6291" w:rsidP="00541786">
      <w:pPr>
        <w:pStyle w:val="NormalWeb"/>
        <w:spacing w:before="0" w:beforeAutospacing="0" w:after="0" w:afterAutospacing="0" w:line="360" w:lineRule="auto"/>
        <w:ind w:left="720" w:hanging="720"/>
        <w:jc w:val="both"/>
      </w:pPr>
      <w:r w:rsidRPr="00B534A6">
        <w:t xml:space="preserve">Adeyemi, A. A., &amp; Salami, O. B. (2023). Sustainability reporting and corporate performance in Nigeria. </w:t>
      </w:r>
      <w:r w:rsidRPr="00B534A6">
        <w:rPr>
          <w:rStyle w:val="Emphasis"/>
        </w:rPr>
        <w:t>African Journal of Business Management</w:t>
      </w:r>
      <w:r w:rsidRPr="00B534A6">
        <w:t>, 6(1), 23-34.</w:t>
      </w:r>
    </w:p>
    <w:p w:rsidR="006D6291" w:rsidRPr="00B534A6" w:rsidRDefault="006D6291" w:rsidP="00541786">
      <w:pPr>
        <w:pStyle w:val="NormalWeb"/>
        <w:spacing w:before="0" w:beforeAutospacing="0" w:after="0" w:afterAutospacing="0" w:line="360" w:lineRule="auto"/>
        <w:ind w:left="720" w:hanging="720"/>
        <w:jc w:val="both"/>
      </w:pPr>
      <w:r w:rsidRPr="00B534A6">
        <w:t xml:space="preserve">Barney, J. (1991). Firm resources and sustained competitive advantage. </w:t>
      </w:r>
      <w:r w:rsidRPr="00B534A6">
        <w:rPr>
          <w:rStyle w:val="Emphasis"/>
        </w:rPr>
        <w:t>Journal of Management</w:t>
      </w:r>
      <w:r w:rsidRPr="00B534A6">
        <w:t>, 17(1), 99-120.</w:t>
      </w:r>
    </w:p>
    <w:p w:rsidR="006D6291" w:rsidRPr="00B534A6" w:rsidRDefault="006D6291" w:rsidP="00541786">
      <w:pPr>
        <w:pStyle w:val="NormalWeb"/>
        <w:spacing w:before="0" w:beforeAutospacing="0" w:after="0" w:afterAutospacing="0" w:line="360" w:lineRule="auto"/>
        <w:ind w:left="720" w:hanging="720"/>
        <w:jc w:val="both"/>
      </w:pPr>
      <w:r w:rsidRPr="00B534A6">
        <w:t xml:space="preserve">Central Bank of Nigeria. (2023). </w:t>
      </w:r>
      <w:r w:rsidRPr="00B534A6">
        <w:rPr>
          <w:rStyle w:val="Emphasis"/>
        </w:rPr>
        <w:t>Economic report 2023</w:t>
      </w:r>
      <w:r w:rsidRPr="00B534A6">
        <w:t>. Abuja: CBN.</w:t>
      </w:r>
    </w:p>
    <w:p w:rsidR="006D6291" w:rsidRPr="00B534A6" w:rsidRDefault="006D6291" w:rsidP="00541786">
      <w:pPr>
        <w:pStyle w:val="NormalWeb"/>
        <w:spacing w:before="0" w:beforeAutospacing="0" w:after="0" w:afterAutospacing="0" w:line="360" w:lineRule="auto"/>
        <w:ind w:left="720" w:hanging="720"/>
        <w:jc w:val="both"/>
      </w:pPr>
      <w:r w:rsidRPr="00B534A6">
        <w:t xml:space="preserve">Eccles, R. G., Ioannou, I., &amp; Serafeim, G. (2014). The impact of corporate sustainability on organizational processes and performance. </w:t>
      </w:r>
      <w:r w:rsidRPr="00B534A6">
        <w:rPr>
          <w:rStyle w:val="Emphasis"/>
        </w:rPr>
        <w:t>Management Science</w:t>
      </w:r>
      <w:r w:rsidRPr="00B534A6">
        <w:t>, 60(11), 2835-2857.</w:t>
      </w:r>
    </w:p>
    <w:p w:rsidR="006D6291" w:rsidRPr="00B534A6" w:rsidRDefault="006D6291" w:rsidP="00541786">
      <w:pPr>
        <w:pStyle w:val="NormalWeb"/>
        <w:spacing w:before="0" w:beforeAutospacing="0" w:after="0" w:afterAutospacing="0" w:line="360" w:lineRule="auto"/>
        <w:ind w:left="720" w:hanging="720"/>
        <w:jc w:val="both"/>
      </w:pPr>
      <w:r w:rsidRPr="00B534A6">
        <w:t xml:space="preserve">Financial Reporting Council. (2023). </w:t>
      </w:r>
      <w:r w:rsidRPr="00B534A6">
        <w:rPr>
          <w:rStyle w:val="Emphasis"/>
        </w:rPr>
        <w:t>Sustainability reporting guidelines</w:t>
      </w:r>
      <w:r w:rsidRPr="00B534A6">
        <w:t>. Lagos: FRC.</w:t>
      </w:r>
    </w:p>
    <w:p w:rsidR="006D6291" w:rsidRPr="00B534A6" w:rsidRDefault="006D6291" w:rsidP="00541786">
      <w:pPr>
        <w:pStyle w:val="NormalWeb"/>
        <w:spacing w:before="0" w:beforeAutospacing="0" w:after="0" w:afterAutospacing="0" w:line="360" w:lineRule="auto"/>
        <w:ind w:left="720" w:hanging="720"/>
        <w:jc w:val="both"/>
      </w:pPr>
      <w:r w:rsidRPr="00B534A6">
        <w:t xml:space="preserve">Federal Ministry of Environment. (2023). </w:t>
      </w:r>
      <w:r w:rsidRPr="00B534A6">
        <w:rPr>
          <w:rStyle w:val="Emphasis"/>
        </w:rPr>
        <w:t>National Sustainability Policy 2022</w:t>
      </w:r>
      <w:r w:rsidRPr="00B534A6">
        <w:t>. Abuja: FME.</w:t>
      </w:r>
    </w:p>
    <w:p w:rsidR="006D6291" w:rsidRPr="00B534A6" w:rsidRDefault="006D6291" w:rsidP="00541786">
      <w:pPr>
        <w:pStyle w:val="NormalWeb"/>
        <w:spacing w:before="0" w:beforeAutospacing="0" w:after="0" w:afterAutospacing="0" w:line="360" w:lineRule="auto"/>
        <w:ind w:left="720" w:hanging="720"/>
        <w:jc w:val="both"/>
      </w:pPr>
      <w:r w:rsidRPr="00B534A6">
        <w:t xml:space="preserve">Freeman, R. E. (1984). </w:t>
      </w:r>
      <w:r w:rsidRPr="00B534A6">
        <w:rPr>
          <w:rStyle w:val="Emphasis"/>
        </w:rPr>
        <w:t>Strategic management: A stakeholder approach</w:t>
      </w:r>
      <w:r w:rsidRPr="00B534A6">
        <w:t>. Boston: Pitman.</w:t>
      </w:r>
    </w:p>
    <w:p w:rsidR="006D6291" w:rsidRPr="00B534A6" w:rsidRDefault="006D6291" w:rsidP="00541786">
      <w:pPr>
        <w:pStyle w:val="NormalWeb"/>
        <w:spacing w:before="0" w:beforeAutospacing="0" w:after="0" w:afterAutospacing="0" w:line="360" w:lineRule="auto"/>
        <w:ind w:left="720" w:hanging="720"/>
        <w:jc w:val="both"/>
      </w:pPr>
      <w:r w:rsidRPr="00B534A6">
        <w:t xml:space="preserve">Global Reporting Initiative. (2023). </w:t>
      </w:r>
      <w:r w:rsidRPr="00B534A6">
        <w:rPr>
          <w:rStyle w:val="Emphasis"/>
        </w:rPr>
        <w:t>GRI standards 2023</w:t>
      </w:r>
      <w:r w:rsidRPr="00B534A6">
        <w:t>. Amsterdam: GRI.</w:t>
      </w:r>
    </w:p>
    <w:p w:rsidR="006D6291" w:rsidRPr="00B534A6" w:rsidRDefault="006D6291" w:rsidP="00541786">
      <w:pPr>
        <w:pStyle w:val="NormalWeb"/>
        <w:spacing w:before="0" w:beforeAutospacing="0" w:after="0" w:afterAutospacing="0" w:line="360" w:lineRule="auto"/>
        <w:ind w:left="720" w:hanging="720"/>
        <w:jc w:val="both"/>
      </w:pPr>
      <w:r w:rsidRPr="00B534A6">
        <w:t xml:space="preserve">Ibrahim, S. A., &amp; Musa, A. B. (2024). Sustainability reporting challenges in Nigeria. </w:t>
      </w:r>
      <w:r w:rsidRPr="00B534A6">
        <w:rPr>
          <w:rStyle w:val="Emphasis"/>
        </w:rPr>
        <w:t>Journal of Business Economics</w:t>
      </w:r>
      <w:r w:rsidRPr="00B534A6">
        <w:t>, 12(2), 45-56.</w:t>
      </w:r>
    </w:p>
    <w:p w:rsidR="006D6291" w:rsidRPr="00B534A6" w:rsidRDefault="006D6291" w:rsidP="00541786">
      <w:pPr>
        <w:pStyle w:val="NormalWeb"/>
        <w:spacing w:before="0" w:beforeAutospacing="0" w:after="0" w:afterAutospacing="0" w:line="360" w:lineRule="auto"/>
        <w:ind w:left="720" w:hanging="720"/>
        <w:jc w:val="both"/>
      </w:pPr>
      <w:r w:rsidRPr="00B534A6">
        <w:t xml:space="preserve">Kaplan, R. S., &amp; Norton, D. P. (1992). The balanced scorecard: Measures that drive performance. </w:t>
      </w:r>
      <w:r w:rsidRPr="00B534A6">
        <w:rPr>
          <w:rStyle w:val="Emphasis"/>
        </w:rPr>
        <w:t>Harvard Business Review</w:t>
      </w:r>
      <w:r w:rsidRPr="00B534A6">
        <w:t>, 70(1), 71-79.</w:t>
      </w:r>
    </w:p>
    <w:p w:rsidR="006D6291" w:rsidRPr="00B534A6" w:rsidRDefault="006D6291" w:rsidP="00541786">
      <w:pPr>
        <w:pStyle w:val="NormalWeb"/>
        <w:spacing w:before="0" w:beforeAutospacing="0" w:after="0" w:afterAutospacing="0" w:line="360" w:lineRule="auto"/>
        <w:ind w:left="720" w:hanging="720"/>
        <w:jc w:val="both"/>
      </w:pPr>
      <w:r w:rsidRPr="00B534A6">
        <w:t xml:space="preserve">KPMG. (2023). </w:t>
      </w:r>
      <w:r w:rsidRPr="00B534A6">
        <w:rPr>
          <w:rStyle w:val="Emphasis"/>
        </w:rPr>
        <w:t>Global sustainability reporting survey 2023</w:t>
      </w:r>
      <w:r w:rsidRPr="00B534A6">
        <w:t>. Amsterdam: KPMG.</w:t>
      </w:r>
    </w:p>
    <w:p w:rsidR="006D6291" w:rsidRPr="00B534A6" w:rsidRDefault="006D6291" w:rsidP="00541786">
      <w:pPr>
        <w:pStyle w:val="NormalWeb"/>
        <w:spacing w:before="0" w:beforeAutospacing="0" w:after="0" w:afterAutospacing="0" w:line="360" w:lineRule="auto"/>
        <w:ind w:left="720" w:hanging="720"/>
        <w:jc w:val="both"/>
      </w:pPr>
      <w:r w:rsidRPr="00B534A6">
        <w:t xml:space="preserve">National Bureau of Statistics. (2023). </w:t>
      </w:r>
      <w:r w:rsidRPr="00B534A6">
        <w:rPr>
          <w:rStyle w:val="Emphasis"/>
        </w:rPr>
        <w:t>Nigeria GDP report 2023</w:t>
      </w:r>
      <w:r w:rsidRPr="00B534A6">
        <w:t>. Abuja: NBS.</w:t>
      </w:r>
    </w:p>
    <w:p w:rsidR="006D6291" w:rsidRPr="00B534A6" w:rsidRDefault="006D6291" w:rsidP="00541786">
      <w:pPr>
        <w:pStyle w:val="NormalWeb"/>
        <w:spacing w:before="0" w:beforeAutospacing="0" w:after="0" w:afterAutospacing="0" w:line="360" w:lineRule="auto"/>
        <w:ind w:left="720" w:hanging="720"/>
        <w:jc w:val="both"/>
      </w:pPr>
      <w:r w:rsidRPr="00B534A6">
        <w:t xml:space="preserve">Okeke, C. A., &amp; Eze, C. O. (2023). Sustainability reporting costs and performance. </w:t>
      </w:r>
      <w:r w:rsidRPr="00B534A6">
        <w:rPr>
          <w:rStyle w:val="Emphasis"/>
        </w:rPr>
        <w:t>Journal of Accounting Research</w:t>
      </w:r>
      <w:r w:rsidRPr="00B534A6">
        <w:t>, 12(4), 67-78.</w:t>
      </w:r>
    </w:p>
    <w:p w:rsidR="006D6291" w:rsidRPr="00B534A6" w:rsidRDefault="006D6291" w:rsidP="00541786">
      <w:pPr>
        <w:pStyle w:val="NormalWeb"/>
        <w:spacing w:before="0" w:beforeAutospacing="0" w:after="0" w:afterAutospacing="0" w:line="360" w:lineRule="auto"/>
        <w:ind w:left="720" w:hanging="720"/>
        <w:jc w:val="both"/>
      </w:pPr>
      <w:r w:rsidRPr="00B534A6">
        <w:t xml:space="preserve">Onaolapo, A. A., Aworemi, J. R., &amp; Ajala, O. A. (2022). Sustainability reporting in Nigeria. </w:t>
      </w:r>
      <w:r w:rsidRPr="00B534A6">
        <w:rPr>
          <w:rStyle w:val="Emphasis"/>
        </w:rPr>
        <w:t>Nigerian Journal of Economics</w:t>
      </w:r>
      <w:r w:rsidRPr="00B534A6">
        <w:t>, 6(1), 12-23.</w:t>
      </w:r>
    </w:p>
    <w:p w:rsidR="006D6291" w:rsidRPr="00B534A6" w:rsidRDefault="006D6291" w:rsidP="00541786">
      <w:pPr>
        <w:pStyle w:val="NormalWeb"/>
        <w:spacing w:before="0" w:beforeAutospacing="0" w:after="0" w:afterAutospacing="0" w:line="360" w:lineRule="auto"/>
        <w:ind w:left="720" w:hanging="720"/>
        <w:jc w:val="both"/>
      </w:pPr>
      <w:r w:rsidRPr="00B534A6">
        <w:t xml:space="preserve">Suchman, M. C. (1995). Managing legitimacy: Strategic and institutional approaches. </w:t>
      </w:r>
      <w:r w:rsidRPr="00B534A6">
        <w:rPr>
          <w:rStyle w:val="Emphasis"/>
        </w:rPr>
        <w:t>Academy of Management Review</w:t>
      </w:r>
      <w:r w:rsidRPr="00B534A6">
        <w:t>, 20(3), 571-610.</w:t>
      </w:r>
    </w:p>
    <w:p w:rsidR="006D6291" w:rsidRPr="00B534A6" w:rsidRDefault="006D6291" w:rsidP="00541786">
      <w:pPr>
        <w:pStyle w:val="NormalWeb"/>
        <w:spacing w:before="0" w:beforeAutospacing="0" w:after="0" w:afterAutospacing="0" w:line="360" w:lineRule="auto"/>
        <w:ind w:left="720" w:hanging="720"/>
        <w:jc w:val="both"/>
      </w:pPr>
      <w:r w:rsidRPr="00B534A6">
        <w:t xml:space="preserve">Tuyil Pharmaceutical Company Nig Ltd. (2024). </w:t>
      </w:r>
      <w:r w:rsidRPr="00B534A6">
        <w:rPr>
          <w:rStyle w:val="Emphasis"/>
        </w:rPr>
        <w:t>Annual report 2023</w:t>
      </w:r>
      <w:r w:rsidRPr="00B534A6">
        <w:t>. Ilorin: Tuyil.</w:t>
      </w:r>
    </w:p>
    <w:p w:rsidR="006D6291" w:rsidRPr="00B534A6" w:rsidRDefault="004C465A" w:rsidP="00541786">
      <w:pPr>
        <w:pStyle w:val="Heading2"/>
        <w:spacing w:before="0" w:beforeAutospacing="0" w:after="0" w:afterAutospacing="0" w:line="360" w:lineRule="auto"/>
        <w:jc w:val="center"/>
        <w:rPr>
          <w:sz w:val="24"/>
          <w:szCs w:val="24"/>
        </w:rPr>
      </w:pPr>
      <w:r w:rsidRPr="00B534A6">
        <w:rPr>
          <w:sz w:val="24"/>
          <w:szCs w:val="24"/>
        </w:rPr>
        <w:br w:type="page"/>
      </w:r>
      <w:r w:rsidR="00541786" w:rsidRPr="00B534A6">
        <w:rPr>
          <w:sz w:val="24"/>
          <w:szCs w:val="24"/>
        </w:rPr>
        <w:lastRenderedPageBreak/>
        <w:t>APPENDICES</w:t>
      </w:r>
    </w:p>
    <w:p w:rsidR="006D6291" w:rsidRPr="00B534A6" w:rsidRDefault="00541786" w:rsidP="00541786">
      <w:pPr>
        <w:pStyle w:val="Heading3"/>
        <w:spacing w:before="0" w:line="360" w:lineRule="auto"/>
        <w:jc w:val="center"/>
        <w:rPr>
          <w:rFonts w:ascii="Times New Roman" w:hAnsi="Times New Roman" w:cs="Times New Roman"/>
          <w:color w:val="auto"/>
          <w:sz w:val="24"/>
          <w:szCs w:val="24"/>
        </w:rPr>
      </w:pPr>
      <w:r w:rsidRPr="00B534A6">
        <w:rPr>
          <w:rFonts w:ascii="Times New Roman" w:hAnsi="Times New Roman" w:cs="Times New Roman"/>
          <w:color w:val="auto"/>
          <w:sz w:val="24"/>
          <w:szCs w:val="24"/>
        </w:rPr>
        <w:t>APPENDIX I</w:t>
      </w:r>
    </w:p>
    <w:p w:rsidR="006D6291" w:rsidRPr="00B534A6" w:rsidRDefault="00541786" w:rsidP="00541786">
      <w:pPr>
        <w:pStyle w:val="NormalWeb"/>
        <w:spacing w:before="0" w:beforeAutospacing="0" w:after="0" w:afterAutospacing="0" w:line="360" w:lineRule="auto"/>
        <w:jc w:val="center"/>
      </w:pPr>
      <w:r w:rsidRPr="00B534A6">
        <w:rPr>
          <w:rStyle w:val="Strong"/>
        </w:rPr>
        <w:t>LETTER OF INTRODUCTION</w:t>
      </w:r>
    </w:p>
    <w:p w:rsidR="006D6291" w:rsidRPr="00B534A6" w:rsidRDefault="006D6291" w:rsidP="00B534A6">
      <w:pPr>
        <w:pStyle w:val="NormalWeb"/>
        <w:spacing w:before="0" w:beforeAutospacing="0" w:after="0" w:afterAutospacing="0" w:line="360" w:lineRule="auto"/>
        <w:jc w:val="both"/>
      </w:pPr>
      <w:r w:rsidRPr="00B534A6">
        <w:t>Dear Respondent,</w:t>
      </w:r>
    </w:p>
    <w:p w:rsidR="006D6291" w:rsidRPr="00B534A6" w:rsidRDefault="006D6291" w:rsidP="00B534A6">
      <w:pPr>
        <w:pStyle w:val="NormalWeb"/>
        <w:spacing w:before="0" w:beforeAutospacing="0" w:after="0" w:afterAutospacing="0" w:line="360" w:lineRule="auto"/>
        <w:jc w:val="both"/>
      </w:pPr>
      <w:r w:rsidRPr="00B534A6">
        <w:t>I am a final year student of Kwara State Polytechnic, Ilorin, conducting a research project titled "Impact of Sustainability Reporting on Corporate Performance: Case Study of Tuyil Pharmaceutical Company Nig Ltd" for the award of Higher National Diploma (HND) in Accountancy. Your participation is vital. Please provide honest responses. All information will be treated confidentially and used for academic purposes only.</w:t>
      </w:r>
    </w:p>
    <w:p w:rsidR="006D6291" w:rsidRPr="00B534A6" w:rsidRDefault="006D6291" w:rsidP="00B534A6">
      <w:pPr>
        <w:pStyle w:val="NormalWeb"/>
        <w:spacing w:before="0" w:beforeAutospacing="0" w:after="0" w:afterAutospacing="0" w:line="360" w:lineRule="auto"/>
        <w:jc w:val="both"/>
      </w:pPr>
      <w:r w:rsidRPr="00B534A6">
        <w:t>Thank you for your cooperation.</w:t>
      </w:r>
    </w:p>
    <w:p w:rsidR="006D6291" w:rsidRPr="00B534A6" w:rsidRDefault="00C2390F" w:rsidP="00B534A6">
      <w:pPr>
        <w:pStyle w:val="NormalWeb"/>
        <w:spacing w:before="0" w:beforeAutospacing="0" w:after="0" w:afterAutospacing="0" w:line="360" w:lineRule="auto"/>
        <w:jc w:val="both"/>
      </w:pPr>
      <w:r w:rsidRPr="00B534A6">
        <w:t>Yours faithfully,</w:t>
      </w:r>
    </w:p>
    <w:p w:rsidR="00C2390F" w:rsidRPr="00B534A6" w:rsidRDefault="00C2390F" w:rsidP="00B534A6">
      <w:pPr>
        <w:pStyle w:val="NormalWeb"/>
        <w:spacing w:before="0" w:beforeAutospacing="0" w:after="0" w:afterAutospacing="0" w:line="360" w:lineRule="auto"/>
        <w:jc w:val="both"/>
      </w:pPr>
    </w:p>
    <w:p w:rsidR="006D6291" w:rsidRPr="00B534A6" w:rsidRDefault="00541786" w:rsidP="00541786">
      <w:pPr>
        <w:pStyle w:val="Heading3"/>
        <w:spacing w:before="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br w:type="page"/>
      </w:r>
      <w:r w:rsidR="006D6291" w:rsidRPr="00B534A6">
        <w:rPr>
          <w:rFonts w:ascii="Times New Roman" w:hAnsi="Times New Roman" w:cs="Times New Roman"/>
          <w:color w:val="auto"/>
          <w:sz w:val="24"/>
          <w:szCs w:val="24"/>
        </w:rPr>
        <w:lastRenderedPageBreak/>
        <w:t>APPENDIX II</w:t>
      </w:r>
    </w:p>
    <w:p w:rsidR="006D6291" w:rsidRPr="00B534A6" w:rsidRDefault="006D6291" w:rsidP="00541786">
      <w:pPr>
        <w:pStyle w:val="NormalWeb"/>
        <w:spacing w:before="0" w:beforeAutospacing="0" w:after="0" w:afterAutospacing="0" w:line="360" w:lineRule="auto"/>
        <w:jc w:val="center"/>
      </w:pPr>
      <w:r w:rsidRPr="00B534A6">
        <w:rPr>
          <w:rStyle w:val="Strong"/>
        </w:rPr>
        <w:t>QUESTIONNAIRE</w:t>
      </w:r>
    </w:p>
    <w:p w:rsidR="006D6291" w:rsidRPr="00B534A6" w:rsidRDefault="006D6291" w:rsidP="00541786">
      <w:pPr>
        <w:pStyle w:val="NormalWeb"/>
        <w:spacing w:before="0" w:beforeAutospacing="0" w:after="0" w:afterAutospacing="0" w:line="360" w:lineRule="auto"/>
        <w:jc w:val="center"/>
      </w:pPr>
      <w:r w:rsidRPr="00B534A6">
        <w:rPr>
          <w:rStyle w:val="Strong"/>
        </w:rPr>
        <w:t>SECTION A: BIO-DATA OF RESPONDENTS</w:t>
      </w:r>
    </w:p>
    <w:p w:rsidR="006D6291" w:rsidRPr="00B534A6" w:rsidRDefault="006D6291" w:rsidP="00B534A6">
      <w:pPr>
        <w:pStyle w:val="NormalWeb"/>
        <w:numPr>
          <w:ilvl w:val="0"/>
          <w:numId w:val="4"/>
        </w:numPr>
        <w:spacing w:before="0" w:beforeAutospacing="0" w:after="0" w:afterAutospacing="0" w:line="360" w:lineRule="auto"/>
        <w:jc w:val="both"/>
      </w:pPr>
      <w:r w:rsidRPr="00B534A6">
        <w:t>Gender:</w:t>
      </w:r>
    </w:p>
    <w:p w:rsidR="006D6291" w:rsidRPr="00B534A6" w:rsidRDefault="006D6291" w:rsidP="00B534A6">
      <w:pPr>
        <w:pStyle w:val="NormalWeb"/>
        <w:numPr>
          <w:ilvl w:val="1"/>
          <w:numId w:val="4"/>
        </w:numPr>
        <w:spacing w:before="0" w:beforeAutospacing="0" w:after="0" w:afterAutospacing="0" w:line="360" w:lineRule="auto"/>
        <w:jc w:val="both"/>
      </w:pPr>
      <w:r w:rsidRPr="00B534A6">
        <w:t>[ ] Male</w:t>
      </w:r>
    </w:p>
    <w:p w:rsidR="006D6291" w:rsidRPr="00B534A6" w:rsidRDefault="006D6291" w:rsidP="00B534A6">
      <w:pPr>
        <w:pStyle w:val="NormalWeb"/>
        <w:numPr>
          <w:ilvl w:val="1"/>
          <w:numId w:val="4"/>
        </w:numPr>
        <w:spacing w:before="0" w:beforeAutospacing="0" w:after="0" w:afterAutospacing="0" w:line="360" w:lineRule="auto"/>
        <w:jc w:val="both"/>
      </w:pPr>
      <w:r w:rsidRPr="00B534A6">
        <w:t>[ ] Female</w:t>
      </w:r>
    </w:p>
    <w:p w:rsidR="006D6291" w:rsidRPr="00B534A6" w:rsidRDefault="006D6291" w:rsidP="00B534A6">
      <w:pPr>
        <w:pStyle w:val="NormalWeb"/>
        <w:numPr>
          <w:ilvl w:val="0"/>
          <w:numId w:val="4"/>
        </w:numPr>
        <w:spacing w:before="0" w:beforeAutospacing="0" w:after="0" w:afterAutospacing="0" w:line="360" w:lineRule="auto"/>
        <w:jc w:val="both"/>
      </w:pPr>
      <w:r w:rsidRPr="00B534A6">
        <w:t>Respondent Category:</w:t>
      </w:r>
    </w:p>
    <w:p w:rsidR="006D6291" w:rsidRPr="00B534A6" w:rsidRDefault="006D6291" w:rsidP="00B534A6">
      <w:pPr>
        <w:pStyle w:val="NormalWeb"/>
        <w:numPr>
          <w:ilvl w:val="1"/>
          <w:numId w:val="4"/>
        </w:numPr>
        <w:spacing w:before="0" w:beforeAutospacing="0" w:after="0" w:afterAutospacing="0" w:line="360" w:lineRule="auto"/>
        <w:jc w:val="both"/>
      </w:pPr>
      <w:r w:rsidRPr="00B534A6">
        <w:t>[ ] Financial Manager</w:t>
      </w:r>
    </w:p>
    <w:p w:rsidR="006D6291" w:rsidRPr="00B534A6" w:rsidRDefault="006D6291" w:rsidP="00B534A6">
      <w:pPr>
        <w:pStyle w:val="NormalWeb"/>
        <w:numPr>
          <w:ilvl w:val="1"/>
          <w:numId w:val="4"/>
        </w:numPr>
        <w:spacing w:before="0" w:beforeAutospacing="0" w:after="0" w:afterAutospacing="0" w:line="360" w:lineRule="auto"/>
        <w:jc w:val="both"/>
      </w:pPr>
      <w:r w:rsidRPr="00B534A6">
        <w:t>[ ] Sustainability Officer</w:t>
      </w:r>
    </w:p>
    <w:p w:rsidR="006D6291" w:rsidRPr="00B534A6" w:rsidRDefault="006D6291" w:rsidP="00B534A6">
      <w:pPr>
        <w:pStyle w:val="NormalWeb"/>
        <w:numPr>
          <w:ilvl w:val="1"/>
          <w:numId w:val="4"/>
        </w:numPr>
        <w:spacing w:before="0" w:beforeAutospacing="0" w:after="0" w:afterAutospacing="0" w:line="360" w:lineRule="auto"/>
        <w:jc w:val="both"/>
      </w:pPr>
      <w:r w:rsidRPr="00B534A6">
        <w:t>[ ] Stakeholder Engagement Team</w:t>
      </w:r>
    </w:p>
    <w:p w:rsidR="006D6291" w:rsidRPr="00B534A6" w:rsidRDefault="006D6291" w:rsidP="00B534A6">
      <w:pPr>
        <w:pStyle w:val="NormalWeb"/>
        <w:numPr>
          <w:ilvl w:val="0"/>
          <w:numId w:val="4"/>
        </w:numPr>
        <w:spacing w:before="0" w:beforeAutospacing="0" w:after="0" w:afterAutospacing="0" w:line="360" w:lineRule="auto"/>
        <w:jc w:val="both"/>
      </w:pPr>
      <w:r w:rsidRPr="00B534A6">
        <w:t>Age:</w:t>
      </w:r>
    </w:p>
    <w:p w:rsidR="006D6291" w:rsidRPr="00B534A6" w:rsidRDefault="006D6291" w:rsidP="00B534A6">
      <w:pPr>
        <w:pStyle w:val="NormalWeb"/>
        <w:numPr>
          <w:ilvl w:val="1"/>
          <w:numId w:val="4"/>
        </w:numPr>
        <w:spacing w:before="0" w:beforeAutospacing="0" w:after="0" w:afterAutospacing="0" w:line="360" w:lineRule="auto"/>
        <w:jc w:val="both"/>
      </w:pPr>
      <w:r w:rsidRPr="00B534A6">
        <w:t>[ ] 25–34 years</w:t>
      </w:r>
    </w:p>
    <w:p w:rsidR="006D6291" w:rsidRPr="00B534A6" w:rsidRDefault="006D6291" w:rsidP="00B534A6">
      <w:pPr>
        <w:pStyle w:val="NormalWeb"/>
        <w:numPr>
          <w:ilvl w:val="1"/>
          <w:numId w:val="4"/>
        </w:numPr>
        <w:spacing w:before="0" w:beforeAutospacing="0" w:after="0" w:afterAutospacing="0" w:line="360" w:lineRule="auto"/>
        <w:jc w:val="both"/>
      </w:pPr>
      <w:r w:rsidRPr="00B534A6">
        <w:t>[ ] 35–44 years</w:t>
      </w:r>
    </w:p>
    <w:p w:rsidR="006D6291" w:rsidRPr="00B534A6" w:rsidRDefault="006D6291" w:rsidP="00B534A6">
      <w:pPr>
        <w:pStyle w:val="NormalWeb"/>
        <w:numPr>
          <w:ilvl w:val="1"/>
          <w:numId w:val="4"/>
        </w:numPr>
        <w:spacing w:before="0" w:beforeAutospacing="0" w:after="0" w:afterAutospacing="0" w:line="360" w:lineRule="auto"/>
        <w:jc w:val="both"/>
      </w:pPr>
      <w:r w:rsidRPr="00B534A6">
        <w:t>[ ] 45–54 years</w:t>
      </w:r>
    </w:p>
    <w:p w:rsidR="006D6291" w:rsidRPr="00B534A6" w:rsidRDefault="006D6291" w:rsidP="00B534A6">
      <w:pPr>
        <w:pStyle w:val="NormalWeb"/>
        <w:numPr>
          <w:ilvl w:val="0"/>
          <w:numId w:val="4"/>
        </w:numPr>
        <w:spacing w:before="0" w:beforeAutospacing="0" w:after="0" w:afterAutospacing="0" w:line="360" w:lineRule="auto"/>
        <w:jc w:val="both"/>
      </w:pPr>
      <w:r w:rsidRPr="00B534A6">
        <w:t>Academic Qualification:</w:t>
      </w:r>
    </w:p>
    <w:p w:rsidR="006D6291" w:rsidRPr="00B534A6" w:rsidRDefault="006D6291" w:rsidP="00B534A6">
      <w:pPr>
        <w:pStyle w:val="NormalWeb"/>
        <w:numPr>
          <w:ilvl w:val="1"/>
          <w:numId w:val="4"/>
        </w:numPr>
        <w:spacing w:before="0" w:beforeAutospacing="0" w:after="0" w:afterAutospacing="0" w:line="360" w:lineRule="auto"/>
        <w:jc w:val="both"/>
      </w:pPr>
      <w:r w:rsidRPr="00B534A6">
        <w:t>[ ] HND/BSc</w:t>
      </w:r>
    </w:p>
    <w:p w:rsidR="006D6291" w:rsidRPr="00B534A6" w:rsidRDefault="006D6291" w:rsidP="00B534A6">
      <w:pPr>
        <w:pStyle w:val="NormalWeb"/>
        <w:numPr>
          <w:ilvl w:val="1"/>
          <w:numId w:val="4"/>
        </w:numPr>
        <w:spacing w:before="0" w:beforeAutospacing="0" w:after="0" w:afterAutospacing="0" w:line="360" w:lineRule="auto"/>
        <w:jc w:val="both"/>
      </w:pPr>
      <w:r w:rsidRPr="00B534A6">
        <w:t>[ ] Postgraduate</w:t>
      </w:r>
    </w:p>
    <w:p w:rsidR="006D6291" w:rsidRPr="00B534A6" w:rsidRDefault="006D6291" w:rsidP="00B534A6">
      <w:pPr>
        <w:pStyle w:val="NormalWeb"/>
        <w:numPr>
          <w:ilvl w:val="0"/>
          <w:numId w:val="4"/>
        </w:numPr>
        <w:spacing w:before="0" w:beforeAutospacing="0" w:after="0" w:afterAutospacing="0" w:line="360" w:lineRule="auto"/>
        <w:jc w:val="both"/>
      </w:pPr>
      <w:r w:rsidRPr="00B534A6">
        <w:t>Years of Experience:</w:t>
      </w:r>
    </w:p>
    <w:p w:rsidR="006D6291" w:rsidRPr="00B534A6" w:rsidRDefault="006D6291" w:rsidP="00B534A6">
      <w:pPr>
        <w:pStyle w:val="NormalWeb"/>
        <w:numPr>
          <w:ilvl w:val="1"/>
          <w:numId w:val="4"/>
        </w:numPr>
        <w:spacing w:before="0" w:beforeAutospacing="0" w:after="0" w:afterAutospacing="0" w:line="360" w:lineRule="auto"/>
        <w:jc w:val="both"/>
      </w:pPr>
      <w:r w:rsidRPr="00B534A6">
        <w:t>[ ] 1–5 years</w:t>
      </w:r>
    </w:p>
    <w:p w:rsidR="006D6291" w:rsidRPr="00B534A6" w:rsidRDefault="006D6291" w:rsidP="00B534A6">
      <w:pPr>
        <w:pStyle w:val="NormalWeb"/>
        <w:numPr>
          <w:ilvl w:val="1"/>
          <w:numId w:val="4"/>
        </w:numPr>
        <w:spacing w:before="0" w:beforeAutospacing="0" w:after="0" w:afterAutospacing="0" w:line="360" w:lineRule="auto"/>
        <w:jc w:val="both"/>
      </w:pPr>
      <w:r w:rsidRPr="00B534A6">
        <w:t>[ ] 6–10 years</w:t>
      </w:r>
    </w:p>
    <w:p w:rsidR="006D6291" w:rsidRPr="00B534A6" w:rsidRDefault="006D6291" w:rsidP="00B534A6">
      <w:pPr>
        <w:pStyle w:val="NormalWeb"/>
        <w:numPr>
          <w:ilvl w:val="1"/>
          <w:numId w:val="4"/>
        </w:numPr>
        <w:spacing w:before="0" w:beforeAutospacing="0" w:after="0" w:afterAutospacing="0" w:line="360" w:lineRule="auto"/>
        <w:jc w:val="both"/>
      </w:pPr>
      <w:r w:rsidRPr="00B534A6">
        <w:t>[ ] Above 10 years</w:t>
      </w:r>
    </w:p>
    <w:p w:rsidR="006D6291" w:rsidRPr="00B534A6" w:rsidRDefault="00541786" w:rsidP="00541786">
      <w:pPr>
        <w:pStyle w:val="NormalWeb"/>
        <w:spacing w:before="0" w:beforeAutospacing="0" w:after="0" w:afterAutospacing="0" w:line="360" w:lineRule="auto"/>
        <w:jc w:val="center"/>
      </w:pPr>
      <w:r>
        <w:rPr>
          <w:rStyle w:val="Strong"/>
        </w:rPr>
        <w:br w:type="page"/>
      </w:r>
      <w:r w:rsidR="006D6291" w:rsidRPr="00B534A6">
        <w:rPr>
          <w:rStyle w:val="Strong"/>
        </w:rPr>
        <w:lastRenderedPageBreak/>
        <w:t>SECTION B: RESEARCH QUESTIONS</w:t>
      </w:r>
    </w:p>
    <w:p w:rsidR="006D6291" w:rsidRPr="00B534A6" w:rsidRDefault="006D6291" w:rsidP="00B534A6">
      <w:pPr>
        <w:pStyle w:val="NormalWeb"/>
        <w:spacing w:before="0" w:beforeAutospacing="0" w:after="0" w:afterAutospacing="0" w:line="360" w:lineRule="auto"/>
        <w:jc w:val="both"/>
      </w:pPr>
      <w:r w:rsidRPr="00B534A6">
        <w:t>Use the scale: SA = Strongly Agree, A = Agree, D = Disagree, SD = Strongly Disagree.</w:t>
      </w:r>
    </w:p>
    <w:p w:rsidR="006D6291" w:rsidRPr="00B534A6" w:rsidRDefault="006D6291" w:rsidP="00B534A6">
      <w:pPr>
        <w:pStyle w:val="NormalWeb"/>
        <w:numPr>
          <w:ilvl w:val="1"/>
          <w:numId w:val="5"/>
        </w:numPr>
        <w:spacing w:before="0" w:beforeAutospacing="0" w:after="0" w:afterAutospacing="0" w:line="360" w:lineRule="auto"/>
        <w:jc w:val="both"/>
      </w:pPr>
      <w:r w:rsidRPr="00B534A6">
        <w:t>Does sustainability reporting impact corporate performance at Tuyil?</w:t>
      </w:r>
      <w:r w:rsidR="00C2390F" w:rsidRPr="00B534A6">
        <w:t xml:space="preserve"> </w:t>
      </w:r>
      <w:r w:rsidRPr="00B534A6">
        <w:t>[ ] SA [ ] A [ ] D [ ] SD</w:t>
      </w:r>
    </w:p>
    <w:p w:rsidR="006D6291" w:rsidRPr="00B534A6" w:rsidRDefault="006D6291" w:rsidP="00B534A6">
      <w:pPr>
        <w:pStyle w:val="NormalWeb"/>
        <w:numPr>
          <w:ilvl w:val="1"/>
          <w:numId w:val="5"/>
        </w:numPr>
        <w:spacing w:before="0" w:beforeAutospacing="0" w:after="0" w:afterAutospacing="0" w:line="360" w:lineRule="auto"/>
        <w:jc w:val="both"/>
      </w:pPr>
      <w:r w:rsidRPr="00B534A6">
        <w:t>Does reporting enhance Tuyil’s competitiveness?</w:t>
      </w:r>
      <w:r w:rsidR="00C2390F" w:rsidRPr="00B534A6">
        <w:t xml:space="preserve"> </w:t>
      </w:r>
      <w:r w:rsidRPr="00B534A6">
        <w:t>[ ] SA [ ] A [ ] D [ ] SD</w:t>
      </w:r>
    </w:p>
    <w:p w:rsidR="006D6291" w:rsidRPr="00B534A6" w:rsidRDefault="006D6291" w:rsidP="00B534A6">
      <w:pPr>
        <w:pStyle w:val="NormalWeb"/>
        <w:numPr>
          <w:ilvl w:val="1"/>
          <w:numId w:val="5"/>
        </w:numPr>
        <w:spacing w:before="0" w:beforeAutospacing="0" w:after="0" w:afterAutospacing="0" w:line="360" w:lineRule="auto"/>
        <w:jc w:val="both"/>
      </w:pPr>
      <w:r w:rsidRPr="00B534A6">
        <w:t>Does reporting improve stakeholder trust?</w:t>
      </w:r>
      <w:r w:rsidR="00C2390F" w:rsidRPr="00B534A6">
        <w:t xml:space="preserve"> </w:t>
      </w:r>
      <w:r w:rsidRPr="00B534A6">
        <w:t>[ ] SA [ ] A [ ] D [ ] SD</w:t>
      </w:r>
    </w:p>
    <w:p w:rsidR="006D6291" w:rsidRPr="00B534A6" w:rsidRDefault="006D6291" w:rsidP="00B534A6">
      <w:pPr>
        <w:pStyle w:val="NormalWeb"/>
        <w:numPr>
          <w:ilvl w:val="1"/>
          <w:numId w:val="5"/>
        </w:numPr>
        <w:spacing w:before="0" w:beforeAutospacing="0" w:after="0" w:afterAutospacing="0" w:line="360" w:lineRule="auto"/>
        <w:jc w:val="both"/>
      </w:pPr>
      <w:r w:rsidRPr="00B534A6">
        <w:t>Are there significant challenges in implementing reporting at Tuyil?</w:t>
      </w:r>
      <w:r w:rsidR="00C2390F" w:rsidRPr="00B534A6">
        <w:t xml:space="preserve"> </w:t>
      </w:r>
      <w:r w:rsidRPr="00B534A6">
        <w:t>[ ] SA [ ] A [ ] D [ ] SD</w:t>
      </w:r>
    </w:p>
    <w:p w:rsidR="006D6291" w:rsidRPr="00B534A6" w:rsidRDefault="006D6291" w:rsidP="00B534A6">
      <w:pPr>
        <w:pStyle w:val="NormalWeb"/>
        <w:numPr>
          <w:ilvl w:val="1"/>
          <w:numId w:val="5"/>
        </w:numPr>
        <w:spacing w:before="0" w:beforeAutospacing="0" w:after="0" w:afterAutospacing="0" w:line="360" w:lineRule="auto"/>
        <w:jc w:val="both"/>
      </w:pPr>
      <w:r w:rsidRPr="00B534A6">
        <w:t>Do high reporting costs deter performance?</w:t>
      </w:r>
      <w:r w:rsidR="00C2390F" w:rsidRPr="00B534A6">
        <w:t xml:space="preserve"> </w:t>
      </w:r>
      <w:r w:rsidRPr="00B534A6">
        <w:t>[ ] SA [ ] A [ ] D [ ] SD</w:t>
      </w:r>
    </w:p>
    <w:p w:rsidR="006D6291" w:rsidRPr="00B534A6" w:rsidRDefault="006D6291" w:rsidP="00B534A6">
      <w:pPr>
        <w:pStyle w:val="NormalWeb"/>
        <w:numPr>
          <w:ilvl w:val="1"/>
          <w:numId w:val="5"/>
        </w:numPr>
        <w:spacing w:before="0" w:beforeAutospacing="0" w:after="0" w:afterAutospacing="0" w:line="360" w:lineRule="auto"/>
        <w:jc w:val="both"/>
      </w:pPr>
      <w:r w:rsidRPr="00B534A6">
        <w:t>Is there limited expertise in reporting?</w:t>
      </w:r>
      <w:r w:rsidR="00C2390F" w:rsidRPr="00B534A6">
        <w:t xml:space="preserve"> </w:t>
      </w:r>
      <w:r w:rsidRPr="00B534A6">
        <w:t>[ ] SA [ ] A [ ] D [ ] SD</w:t>
      </w:r>
    </w:p>
    <w:p w:rsidR="006D6291" w:rsidRPr="00B534A6" w:rsidRDefault="006D6291" w:rsidP="00B534A6">
      <w:pPr>
        <w:pStyle w:val="NormalWeb"/>
        <w:numPr>
          <w:ilvl w:val="1"/>
          <w:numId w:val="5"/>
        </w:numPr>
        <w:spacing w:before="0" w:beforeAutospacing="0" w:after="0" w:afterAutospacing="0" w:line="360" w:lineRule="auto"/>
        <w:jc w:val="both"/>
      </w:pPr>
      <w:r w:rsidRPr="00B534A6">
        <w:t>Does report quality increase ROA and ROE?</w:t>
      </w:r>
      <w:r w:rsidR="00C2390F" w:rsidRPr="00B534A6">
        <w:t xml:space="preserve"> </w:t>
      </w:r>
      <w:r w:rsidRPr="00B534A6">
        <w:t>[ ] SA [ ] A [ ] D [ ] SD</w:t>
      </w:r>
    </w:p>
    <w:p w:rsidR="006D6291" w:rsidRPr="00B534A6" w:rsidRDefault="006D6291" w:rsidP="00B534A6">
      <w:pPr>
        <w:pStyle w:val="NormalWeb"/>
        <w:numPr>
          <w:ilvl w:val="1"/>
          <w:numId w:val="5"/>
        </w:numPr>
        <w:spacing w:before="0" w:beforeAutospacing="0" w:after="0" w:afterAutospacing="0" w:line="360" w:lineRule="auto"/>
        <w:jc w:val="both"/>
      </w:pPr>
      <w:r w:rsidRPr="00B534A6">
        <w:t>Does stakeholder engagement enhance performance?</w:t>
      </w:r>
      <w:r w:rsidR="00C2390F" w:rsidRPr="00B534A6">
        <w:t xml:space="preserve"> </w:t>
      </w:r>
      <w:r w:rsidRPr="00B534A6">
        <w:t>[ ] SA [ ] A [ ] D [ ] SD</w:t>
      </w:r>
    </w:p>
    <w:p w:rsidR="006D6291" w:rsidRPr="00B534A6" w:rsidRDefault="006D6291" w:rsidP="00B534A6">
      <w:pPr>
        <w:spacing w:after="0" w:line="360" w:lineRule="auto"/>
        <w:jc w:val="both"/>
        <w:rPr>
          <w:rFonts w:ascii="Times New Roman" w:hAnsi="Times New Roman"/>
          <w:sz w:val="24"/>
          <w:szCs w:val="24"/>
        </w:rPr>
      </w:pPr>
    </w:p>
    <w:sectPr w:rsidR="006D6291" w:rsidRPr="00B534A6" w:rsidSect="00171711">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FE0" w:rsidRDefault="00F83FE0" w:rsidP="00324BBB">
      <w:pPr>
        <w:spacing w:after="0" w:line="240" w:lineRule="auto"/>
      </w:pPr>
      <w:r>
        <w:separator/>
      </w:r>
    </w:p>
  </w:endnote>
  <w:endnote w:type="continuationSeparator" w:id="1">
    <w:p w:rsidR="00F83FE0" w:rsidRDefault="00F83FE0" w:rsidP="00324B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62545"/>
      <w:docPartObj>
        <w:docPartGallery w:val="Page Numbers (Bottom of Page)"/>
        <w:docPartUnique/>
      </w:docPartObj>
    </w:sdtPr>
    <w:sdtContent>
      <w:p w:rsidR="00324BBB" w:rsidRDefault="007B534E">
        <w:pPr>
          <w:pStyle w:val="Footer"/>
          <w:jc w:val="center"/>
        </w:pPr>
        <w:fldSimple w:instr=" PAGE   \* MERGEFORMAT ">
          <w:r w:rsidR="00217F90">
            <w:rPr>
              <w:noProof/>
            </w:rPr>
            <w:t>ii</w:t>
          </w:r>
        </w:fldSimple>
      </w:p>
    </w:sdtContent>
  </w:sdt>
  <w:p w:rsidR="00324BBB" w:rsidRDefault="00324B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FE0" w:rsidRDefault="00F83FE0" w:rsidP="00324BBB">
      <w:pPr>
        <w:spacing w:after="0" w:line="240" w:lineRule="auto"/>
      </w:pPr>
      <w:r>
        <w:separator/>
      </w:r>
    </w:p>
  </w:footnote>
  <w:footnote w:type="continuationSeparator" w:id="1">
    <w:p w:rsidR="00F83FE0" w:rsidRDefault="00F83FE0" w:rsidP="00324B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F3BF4"/>
    <w:multiLevelType w:val="multilevel"/>
    <w:tmpl w:val="6A9C5B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185479"/>
    <w:multiLevelType w:val="multilevel"/>
    <w:tmpl w:val="E2043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5019CE"/>
    <w:multiLevelType w:val="multilevel"/>
    <w:tmpl w:val="3D1492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94605C"/>
    <w:multiLevelType w:val="multilevel"/>
    <w:tmpl w:val="B142D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D80984"/>
    <w:multiLevelType w:val="hybridMultilevel"/>
    <w:tmpl w:val="785A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3441B5"/>
    <w:multiLevelType w:val="hybridMultilevel"/>
    <w:tmpl w:val="FF1E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CC409A"/>
    <w:multiLevelType w:val="multilevel"/>
    <w:tmpl w:val="1AB2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0733C7"/>
    <w:multiLevelType w:val="multilevel"/>
    <w:tmpl w:val="2FE6E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0"/>
  </w:num>
  <w:num w:numId="5">
    <w:abstractNumId w:val="3"/>
  </w:num>
  <w:num w:numId="6">
    <w:abstractNumId w:val="7"/>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307F"/>
    <w:rsid w:val="000705D4"/>
    <w:rsid w:val="00092146"/>
    <w:rsid w:val="00092940"/>
    <w:rsid w:val="000B0292"/>
    <w:rsid w:val="000C72BF"/>
    <w:rsid w:val="001004DA"/>
    <w:rsid w:val="00125857"/>
    <w:rsid w:val="00131863"/>
    <w:rsid w:val="00171711"/>
    <w:rsid w:val="001D23B0"/>
    <w:rsid w:val="0021202E"/>
    <w:rsid w:val="00217F90"/>
    <w:rsid w:val="00240F9A"/>
    <w:rsid w:val="00241B22"/>
    <w:rsid w:val="002824B6"/>
    <w:rsid w:val="002853ED"/>
    <w:rsid w:val="002B5718"/>
    <w:rsid w:val="002B79B6"/>
    <w:rsid w:val="002C0D95"/>
    <w:rsid w:val="002C1EEA"/>
    <w:rsid w:val="00312F18"/>
    <w:rsid w:val="00322DD3"/>
    <w:rsid w:val="00324BBB"/>
    <w:rsid w:val="00332ACC"/>
    <w:rsid w:val="00373C74"/>
    <w:rsid w:val="00377ADD"/>
    <w:rsid w:val="003F70CA"/>
    <w:rsid w:val="00405D10"/>
    <w:rsid w:val="004249D3"/>
    <w:rsid w:val="00451823"/>
    <w:rsid w:val="004C465A"/>
    <w:rsid w:val="00541786"/>
    <w:rsid w:val="005618C9"/>
    <w:rsid w:val="00565955"/>
    <w:rsid w:val="00566EE0"/>
    <w:rsid w:val="005962FA"/>
    <w:rsid w:val="005C1F16"/>
    <w:rsid w:val="005D0F5A"/>
    <w:rsid w:val="00617FB9"/>
    <w:rsid w:val="00625D77"/>
    <w:rsid w:val="00670C75"/>
    <w:rsid w:val="00672D00"/>
    <w:rsid w:val="006B6393"/>
    <w:rsid w:val="006D6291"/>
    <w:rsid w:val="006E4BC4"/>
    <w:rsid w:val="00711186"/>
    <w:rsid w:val="00761C44"/>
    <w:rsid w:val="00767525"/>
    <w:rsid w:val="00770DA8"/>
    <w:rsid w:val="007A0902"/>
    <w:rsid w:val="007B534E"/>
    <w:rsid w:val="00854D16"/>
    <w:rsid w:val="00856288"/>
    <w:rsid w:val="00876CBE"/>
    <w:rsid w:val="00886483"/>
    <w:rsid w:val="008C3102"/>
    <w:rsid w:val="008D1489"/>
    <w:rsid w:val="00900B20"/>
    <w:rsid w:val="00936828"/>
    <w:rsid w:val="0095290A"/>
    <w:rsid w:val="00964803"/>
    <w:rsid w:val="00966A2A"/>
    <w:rsid w:val="009A47BA"/>
    <w:rsid w:val="009D40E8"/>
    <w:rsid w:val="00A009E3"/>
    <w:rsid w:val="00A2694C"/>
    <w:rsid w:val="00A319CF"/>
    <w:rsid w:val="00A378AA"/>
    <w:rsid w:val="00A52472"/>
    <w:rsid w:val="00A8027D"/>
    <w:rsid w:val="00AE30FD"/>
    <w:rsid w:val="00B1012D"/>
    <w:rsid w:val="00B534A6"/>
    <w:rsid w:val="00B64555"/>
    <w:rsid w:val="00B74203"/>
    <w:rsid w:val="00B85531"/>
    <w:rsid w:val="00B97170"/>
    <w:rsid w:val="00BB2715"/>
    <w:rsid w:val="00C14A02"/>
    <w:rsid w:val="00C2390F"/>
    <w:rsid w:val="00C42BA5"/>
    <w:rsid w:val="00C81357"/>
    <w:rsid w:val="00CE3825"/>
    <w:rsid w:val="00CE715D"/>
    <w:rsid w:val="00D261DE"/>
    <w:rsid w:val="00D65E0D"/>
    <w:rsid w:val="00D754F4"/>
    <w:rsid w:val="00D76E32"/>
    <w:rsid w:val="00D83730"/>
    <w:rsid w:val="00D916F0"/>
    <w:rsid w:val="00D93BD6"/>
    <w:rsid w:val="00D946DA"/>
    <w:rsid w:val="00DA042A"/>
    <w:rsid w:val="00DA393D"/>
    <w:rsid w:val="00DF678D"/>
    <w:rsid w:val="00E020BD"/>
    <w:rsid w:val="00E1589D"/>
    <w:rsid w:val="00E641EF"/>
    <w:rsid w:val="00EA61D1"/>
    <w:rsid w:val="00EC78A3"/>
    <w:rsid w:val="00EF721C"/>
    <w:rsid w:val="00F12C1B"/>
    <w:rsid w:val="00F13672"/>
    <w:rsid w:val="00F24A6F"/>
    <w:rsid w:val="00F42A7B"/>
    <w:rsid w:val="00F4307F"/>
    <w:rsid w:val="00F83FE0"/>
    <w:rsid w:val="00F869EF"/>
    <w:rsid w:val="00FD3A05"/>
    <w:rsid w:val="00FD7A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7F"/>
    <w:pPr>
      <w:spacing w:after="200" w:line="276" w:lineRule="auto"/>
    </w:pPr>
    <w:rPr>
      <w:sz w:val="22"/>
      <w:szCs w:val="22"/>
    </w:rPr>
  </w:style>
  <w:style w:type="paragraph" w:styleId="Heading2">
    <w:name w:val="heading 2"/>
    <w:basedOn w:val="Normal"/>
    <w:link w:val="Heading2Char"/>
    <w:uiPriority w:val="9"/>
    <w:qFormat/>
    <w:rsid w:val="00672D00"/>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next w:val="Normal"/>
    <w:link w:val="Heading3Char"/>
    <w:uiPriority w:val="9"/>
    <w:semiHidden/>
    <w:unhideWhenUsed/>
    <w:qFormat/>
    <w:rsid w:val="006D629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D62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4B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4BBB"/>
    <w:rPr>
      <w:sz w:val="22"/>
      <w:szCs w:val="22"/>
    </w:rPr>
  </w:style>
  <w:style w:type="paragraph" w:styleId="Footer">
    <w:name w:val="footer"/>
    <w:basedOn w:val="Normal"/>
    <w:link w:val="FooterChar"/>
    <w:uiPriority w:val="99"/>
    <w:unhideWhenUsed/>
    <w:rsid w:val="00324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BBB"/>
    <w:rPr>
      <w:sz w:val="22"/>
      <w:szCs w:val="22"/>
    </w:rPr>
  </w:style>
  <w:style w:type="character" w:customStyle="1" w:styleId="Heading2Char">
    <w:name w:val="Heading 2 Char"/>
    <w:basedOn w:val="DefaultParagraphFont"/>
    <w:link w:val="Heading2"/>
    <w:uiPriority w:val="9"/>
    <w:rsid w:val="00672D00"/>
    <w:rPr>
      <w:rFonts w:ascii="Times New Roman" w:eastAsia="Times New Roman" w:hAnsi="Times New Roman"/>
      <w:b/>
      <w:bCs/>
      <w:sz w:val="36"/>
      <w:szCs w:val="36"/>
      <w:lang w:eastAsia="en-US"/>
    </w:rPr>
  </w:style>
  <w:style w:type="paragraph" w:styleId="NormalWeb">
    <w:name w:val="Normal (Web)"/>
    <w:basedOn w:val="Normal"/>
    <w:uiPriority w:val="99"/>
    <w:unhideWhenUsed/>
    <w:rsid w:val="00672D00"/>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3Char">
    <w:name w:val="Heading 3 Char"/>
    <w:basedOn w:val="DefaultParagraphFont"/>
    <w:link w:val="Heading3"/>
    <w:uiPriority w:val="9"/>
    <w:semiHidden/>
    <w:rsid w:val="006D6291"/>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6D6291"/>
    <w:rPr>
      <w:rFonts w:asciiTheme="majorHAnsi" w:eastAsiaTheme="majorEastAsia" w:hAnsiTheme="majorHAnsi" w:cstheme="majorBidi"/>
      <w:b/>
      <w:bCs/>
      <w:i/>
      <w:iCs/>
      <w:color w:val="4F81BD" w:themeColor="accent1"/>
      <w:sz w:val="22"/>
      <w:szCs w:val="22"/>
    </w:rPr>
  </w:style>
  <w:style w:type="character" w:styleId="Strong">
    <w:name w:val="Strong"/>
    <w:basedOn w:val="DefaultParagraphFont"/>
    <w:uiPriority w:val="22"/>
    <w:qFormat/>
    <w:rsid w:val="006D6291"/>
    <w:rPr>
      <w:b/>
      <w:bCs/>
    </w:rPr>
  </w:style>
  <w:style w:type="character" w:styleId="Emphasis">
    <w:name w:val="Emphasis"/>
    <w:basedOn w:val="DefaultParagraphFont"/>
    <w:uiPriority w:val="20"/>
    <w:qFormat/>
    <w:rsid w:val="006D6291"/>
    <w:rPr>
      <w:i/>
      <w:iCs/>
    </w:rPr>
  </w:style>
  <w:style w:type="paragraph" w:styleId="BodyTextIndent3">
    <w:name w:val="Body Text Indent 3"/>
    <w:basedOn w:val="Normal"/>
    <w:link w:val="BodyTextIndent3Char"/>
    <w:uiPriority w:val="99"/>
    <w:semiHidden/>
    <w:unhideWhenUsed/>
    <w:rsid w:val="00171711"/>
    <w:pPr>
      <w:spacing w:after="120"/>
      <w:ind w:left="360"/>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uiPriority w:val="99"/>
    <w:semiHidden/>
    <w:rsid w:val="00171711"/>
    <w:rPr>
      <w:rFonts w:asciiTheme="minorHAnsi" w:eastAsiaTheme="minorHAnsi" w:hAnsiTheme="minorHAnsi" w:cstheme="minorBidi"/>
      <w:sz w:val="16"/>
      <w:szCs w:val="16"/>
      <w:lang w:eastAsia="en-US"/>
    </w:rPr>
  </w:style>
</w:styles>
</file>

<file path=word/webSettings.xml><?xml version="1.0" encoding="utf-8"?>
<w:webSettings xmlns:r="http://schemas.openxmlformats.org/officeDocument/2006/relationships" xmlns:w="http://schemas.openxmlformats.org/wordprocessingml/2006/main">
  <w:divs>
    <w:div w:id="784813370">
      <w:bodyDiv w:val="1"/>
      <w:marLeft w:val="0"/>
      <w:marRight w:val="0"/>
      <w:marTop w:val="0"/>
      <w:marBottom w:val="0"/>
      <w:divBdr>
        <w:top w:val="none" w:sz="0" w:space="0" w:color="auto"/>
        <w:left w:val="none" w:sz="0" w:space="0" w:color="auto"/>
        <w:bottom w:val="none" w:sz="0" w:space="0" w:color="auto"/>
        <w:right w:val="none" w:sz="0" w:space="0" w:color="auto"/>
      </w:divBdr>
    </w:div>
    <w:div w:id="1625186845">
      <w:bodyDiv w:val="1"/>
      <w:marLeft w:val="0"/>
      <w:marRight w:val="0"/>
      <w:marTop w:val="0"/>
      <w:marBottom w:val="0"/>
      <w:divBdr>
        <w:top w:val="none" w:sz="0" w:space="0" w:color="auto"/>
        <w:left w:val="none" w:sz="0" w:space="0" w:color="auto"/>
        <w:bottom w:val="none" w:sz="0" w:space="0" w:color="auto"/>
        <w:right w:val="none" w:sz="0" w:space="0" w:color="auto"/>
      </w:divBdr>
    </w:div>
    <w:div w:id="1696806923">
      <w:bodyDiv w:val="1"/>
      <w:marLeft w:val="0"/>
      <w:marRight w:val="0"/>
      <w:marTop w:val="0"/>
      <w:marBottom w:val="0"/>
      <w:divBdr>
        <w:top w:val="none" w:sz="0" w:space="0" w:color="auto"/>
        <w:left w:val="none" w:sz="0" w:space="0" w:color="auto"/>
        <w:bottom w:val="none" w:sz="0" w:space="0" w:color="auto"/>
        <w:right w:val="none" w:sz="0" w:space="0" w:color="auto"/>
      </w:divBdr>
    </w:div>
    <w:div w:id="2006666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46</Pages>
  <Words>10520</Words>
  <Characters>59966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V2120</dc:creator>
  <cp:lastModifiedBy>USER</cp:lastModifiedBy>
  <cp:revision>100</cp:revision>
  <cp:lastPrinted>2025-05-20T10:56:00Z</cp:lastPrinted>
  <dcterms:created xsi:type="dcterms:W3CDTF">2025-05-07T11:19:00Z</dcterms:created>
  <dcterms:modified xsi:type="dcterms:W3CDTF">2025-05-20T11:00:00Z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694a846e776642eb9d5a5fd79448f338</vt:lpwstr>
  </property>
</Properties>
</file>