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HAMMED KAFILAT APEKE</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1042</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HAMMED KAFILAT APEKE </w:t>
      </w:r>
      <w:r>
        <w:rPr>
          <w:rFonts w:ascii="Times New Roman" w:hAnsi="Times New Roman"/>
          <w:sz w:val="24"/>
          <w:szCs w:val="24"/>
        </w:rPr>
        <w:t>with Matric Number HND/23/SLT/FT/</w:t>
      </w:r>
      <w:r>
        <w:rPr>
          <w:rFonts w:ascii="Times New Roman" w:hAnsi="Times New Roman"/>
          <w:sz w:val="24"/>
          <w:szCs w:val="24"/>
          <w:lang w:val="en-US"/>
        </w:rPr>
        <w:t>1042</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 xml:space="preserve">This project report is dedicated to the Almighty </w:t>
      </w:r>
      <w:r>
        <w:rPr>
          <w:rFonts w:ascii="Times New Roman" w:hAnsi="Times New Roman"/>
          <w:bCs/>
          <w:sz w:val="24"/>
          <w:szCs w:val="24"/>
          <w:lang w:val="en-US"/>
        </w:rPr>
        <w:t>Allah,</w:t>
      </w:r>
      <w:r>
        <w:rPr>
          <w:rFonts w:ascii="Times New Roman" w:hAnsi="Times New Roman"/>
          <w:bCs/>
          <w:sz w:val="24"/>
          <w:szCs w:val="24"/>
        </w:rPr>
        <w:t xml:space="preserve"> The king of kings and the </w:t>
      </w:r>
      <w:r>
        <w:rPr>
          <w:rFonts w:ascii="Times New Roman" w:hAnsi="Times New Roman"/>
          <w:bCs/>
          <w:sz w:val="24"/>
          <w:szCs w:val="24"/>
          <w:lang w:val="en-US"/>
        </w:rPr>
        <w:t xml:space="preserve">merciful God </w:t>
      </w:r>
      <w:r>
        <w:rPr>
          <w:rFonts w:ascii="Times New Roman" w:hAnsi="Times New Roman"/>
          <w:bCs/>
          <w:sz w:val="24"/>
          <w:szCs w:val="24"/>
        </w:rPr>
        <w:t>for his Grace, mercy and enablement throughout this project research. May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My first and foremost appreciation Goes to the Almighty </w:t>
      </w:r>
      <w:r>
        <w:rPr>
          <w:rFonts w:ascii="Times New Roman" w:hAnsi="Times New Roman"/>
          <w:sz w:val="28"/>
          <w:szCs w:val="28"/>
          <w:lang w:val="en-US"/>
        </w:rPr>
        <w:t>Allah</w:t>
      </w:r>
      <w:r>
        <w:rPr>
          <w:rFonts w:ascii="Times New Roman" w:hAnsi="Times New Roman"/>
          <w:sz w:val="28"/>
          <w:szCs w:val="28"/>
        </w:rPr>
        <w:t>,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Special thanks to my ever loving parents</w:t>
      </w:r>
      <w:r>
        <w:rPr>
          <w:rFonts w:ascii="Times New Roman" w:hAnsi="Times New Roman"/>
          <w:b/>
          <w:bCs/>
          <w:sz w:val="28"/>
          <w:szCs w:val="28"/>
        </w:rPr>
        <w:t xml:space="preserve"> MR</w:t>
      </w:r>
      <w:r>
        <w:rPr>
          <w:rFonts w:ascii="Times New Roman" w:hAnsi="Times New Roman"/>
          <w:b/>
          <w:bCs/>
          <w:sz w:val="28"/>
          <w:szCs w:val="28"/>
          <w:lang w:val="en-US"/>
        </w:rPr>
        <w:t>. AND MRS. HAMMED</w:t>
      </w:r>
      <w:r>
        <w:rPr>
          <w:rFonts w:ascii="Times New Roman" w:hAnsi="Times New Roman"/>
          <w:b/>
          <w:bCs/>
          <w:sz w:val="28"/>
          <w:szCs w:val="28"/>
        </w:rPr>
        <w:t xml:space="preserve"> </w:t>
      </w:r>
      <w:r>
        <w:rPr>
          <w:rFonts w:ascii="Times New Roman" w:hAnsi="Times New Roman"/>
          <w:sz w:val="28"/>
          <w:szCs w:val="28"/>
        </w:rPr>
        <w:t xml:space="preserve">for their help and support both financially and  through constant prayers. </w:t>
      </w:r>
    </w:p>
    <w:p>
      <w:pPr>
        <w:pStyle w:val="style0"/>
        <w:spacing w:after="0" w:lineRule="auto" w:line="360"/>
        <w:ind w:right="4"/>
        <w:jc w:val="both"/>
        <w:rPr>
          <w:rFonts w:ascii="Times New Roman" w:hAnsi="Times New Roman"/>
          <w:b w:val="false"/>
          <w:bCs w:val="false"/>
          <w:sz w:val="28"/>
          <w:szCs w:val="28"/>
        </w:rPr>
      </w:pPr>
      <w:r>
        <w:rPr>
          <w:rFonts w:ascii="Times New Roman" w:hAnsi="Times New Roman"/>
          <w:sz w:val="28"/>
          <w:szCs w:val="28"/>
          <w:lang w:val="en-US"/>
        </w:rPr>
        <w:t xml:space="preserve">        And to my siblings </w:t>
      </w:r>
      <w:r>
        <w:rPr>
          <w:rFonts w:ascii="Times New Roman" w:hAnsi="Times New Roman"/>
          <w:b/>
          <w:bCs/>
          <w:sz w:val="28"/>
          <w:szCs w:val="28"/>
          <w:lang w:val="en-US"/>
        </w:rPr>
        <w:t>HAMMED SODIK, HAMMED TOLIAT, ALIY, ABDUL, BASHEET AND AISHAT,</w:t>
      </w:r>
      <w:r>
        <w:rPr>
          <w:rFonts w:ascii="Times New Roman" w:hAnsi="Times New Roman"/>
          <w:b w:val="false"/>
          <w:bCs w:val="false"/>
          <w:sz w:val="28"/>
          <w:szCs w:val="28"/>
          <w:lang w:val="en-US"/>
        </w:rPr>
        <w:t xml:space="preserve"> thanks</w:t>
      </w:r>
      <w:r>
        <w:rPr>
          <w:rFonts w:ascii="Times New Roman" w:hAnsi="Times New Roman"/>
          <w:b/>
          <w:bCs/>
          <w:sz w:val="28"/>
          <w:szCs w:val="28"/>
          <w:lang w:val="en-US"/>
        </w:rPr>
        <w:t xml:space="preserve"> </w:t>
      </w:r>
      <w:r>
        <w:rPr>
          <w:rFonts w:ascii="Times New Roman" w:hAnsi="Times New Roman"/>
          <w:b w:val="false"/>
          <w:bCs w:val="false"/>
          <w:sz w:val="28"/>
          <w:szCs w:val="28"/>
          <w:lang w:val="en-US"/>
        </w:rPr>
        <w:t xml:space="preserve">for your Love and support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To</w:t>
      </w:r>
      <w:r>
        <w:rPr>
          <w:rFonts w:ascii="Times New Roman" w:hAnsi="Times New Roman"/>
          <w:sz w:val="28"/>
          <w:szCs w:val="28"/>
        </w:rPr>
        <w:t xml:space="preserve"> my Honourably </w:t>
      </w:r>
      <w:r>
        <w:rPr>
          <w:rFonts w:ascii="Times New Roman" w:hAnsi="Times New Roman"/>
          <w:sz w:val="28"/>
          <w:szCs w:val="28"/>
          <w:lang w:val="en-US"/>
        </w:rPr>
        <w:t xml:space="preserve">and supportive </w:t>
      </w:r>
      <w:r>
        <w:rPr>
          <w:rFonts w:ascii="Times New Roman" w:hAnsi="Times New Roman"/>
          <w:sz w:val="28"/>
          <w:szCs w:val="28"/>
        </w:rPr>
        <w:t>friends and loved ones and everyone who supported me directly or indirectly, I say a big thank you for your constant prayers, support  and motivation. May God bless you all.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7271</Words>
  <Pages>62</Pages>
  <Characters>41921</Characters>
  <Application>WPS Office</Application>
  <DocSecurity>0</DocSecurity>
  <Paragraphs>476</Paragraphs>
  <ScaleCrop>false</ScaleCrop>
  <LinksUpToDate>false</LinksUpToDate>
  <CharactersWithSpaces>49658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2025-07-05T17:45:09Z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53bc9eb5f585464bb2c4ea6a5d46e1ef</vt:lpwstr>
  </property>
</Properties>
</file>