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CHAPTER ONE</w:t>
      </w:r>
    </w:p>
    <w:p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w:t>
      </w:r>
      <w:proofErr w:type="spellStart"/>
      <w:r w:rsidR="00304E18" w:rsidRPr="007F4066">
        <w:rPr>
          <w:rFonts w:ascii="Times New Roman" w:eastAsia="Times New Roman" w:hAnsi="Times New Roman" w:cs="Times New Roman"/>
          <w:sz w:val="28"/>
          <w:szCs w:val="28"/>
        </w:rPr>
        <w:t>Zygomycota</w:t>
      </w:r>
      <w:proofErr w:type="spellEnd"/>
      <w:r w:rsidR="00304E18" w:rsidRPr="007F4066">
        <w:rPr>
          <w:rFonts w:ascii="Times New Roman" w:eastAsia="Times New Roman" w:hAnsi="Times New Roman" w:cs="Times New Roman"/>
          <w:sz w:val="28"/>
          <w:szCs w:val="28"/>
        </w:rPr>
        <w:t xml:space="preserve">.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w:t>
      </w:r>
      <w:proofErr w:type="spellStart"/>
      <w:r w:rsidR="001C6DC8" w:rsidRPr="007F4066">
        <w:rPr>
          <w:rFonts w:ascii="Times New Roman" w:eastAsia="Times New Roman" w:hAnsi="Times New Roman" w:cs="Times New Roman"/>
          <w:sz w:val="28"/>
          <w:szCs w:val="28"/>
        </w:rPr>
        <w:t>mycotoxins</w:t>
      </w:r>
      <w:proofErr w:type="spellEnd"/>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secondary metabolites that can be harmful to both humans and animals. These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are toxic compounds produced by certain molds, including species of </w:t>
      </w:r>
      <w:proofErr w:type="spellStart"/>
      <w:r w:rsidR="00304E18" w:rsidRPr="007F4066">
        <w:rPr>
          <w:rFonts w:ascii="Times New Roman" w:eastAsia="Times New Roman" w:hAnsi="Times New Roman" w:cs="Times New Roman"/>
          <w:sz w:val="28"/>
          <w:szCs w:val="28"/>
        </w:rPr>
        <w:t>Rhizopus</w:t>
      </w:r>
      <w:proofErr w:type="spellEnd"/>
      <w:r w:rsidR="00304E18" w:rsidRPr="007F4066">
        <w:rPr>
          <w:rFonts w:ascii="Times New Roman" w:eastAsia="Times New Roman" w:hAnsi="Times New Roman" w:cs="Times New Roman"/>
          <w:sz w:val="28"/>
          <w:szCs w:val="28"/>
        </w:rPr>
        <w:t xml:space="preserve">, under specific environmental conditions. These toxins can contaminate food and feed, leading to acute or chronic health effects upon ingestion. The severity of </w:t>
      </w:r>
      <w:proofErr w:type="spellStart"/>
      <w:r w:rsidR="00304E18" w:rsidRPr="007F4066">
        <w:rPr>
          <w:rFonts w:ascii="Times New Roman" w:eastAsia="Times New Roman" w:hAnsi="Times New Roman" w:cs="Times New Roman"/>
          <w:sz w:val="28"/>
          <w:szCs w:val="28"/>
        </w:rPr>
        <w:t>mycotoxin</w:t>
      </w:r>
      <w:proofErr w:type="spellEnd"/>
      <w:r w:rsidR="00304E18" w:rsidRPr="007F4066">
        <w:rPr>
          <w:rFonts w:ascii="Times New Roman" w:eastAsia="Times New Roman" w:hAnsi="Times New Roman" w:cs="Times New Roman"/>
          <w:sz w:val="28"/>
          <w:szCs w:val="28"/>
        </w:rPr>
        <w:t xml:space="preserve">-induced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w:t>
      </w:r>
      <w:r w:rsidR="00304E18" w:rsidRPr="007F4066">
        <w:rPr>
          <w:rFonts w:ascii="Times New Roman" w:eastAsia="Times New Roman" w:hAnsi="Times New Roman" w:cs="Times New Roman"/>
          <w:sz w:val="28"/>
          <w:szCs w:val="28"/>
        </w:rPr>
        <w:lastRenderedPageBreak/>
        <w:t xml:space="preserve">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w:t>
      </w:r>
      <w:proofErr w:type="spellStart"/>
      <w:r w:rsidR="00304E18" w:rsidRPr="007F4066">
        <w:rPr>
          <w:rFonts w:ascii="Times New Roman" w:eastAsia="Times New Roman" w:hAnsi="Times New Roman" w:cs="Times New Roman"/>
          <w:sz w:val="28"/>
          <w:szCs w:val="28"/>
        </w:rPr>
        <w:t>mycotoxins</w:t>
      </w:r>
      <w:proofErr w:type="spellEnd"/>
      <w:r w:rsidR="00304E18" w:rsidRPr="007F4066">
        <w:rPr>
          <w:rFonts w:ascii="Times New Roman" w:eastAsia="Times New Roman" w:hAnsi="Times New Roman" w:cs="Times New Roman"/>
          <w:sz w:val="28"/>
          <w:szCs w:val="28"/>
        </w:rPr>
        <w:t xml:space="preserve">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proofErr w:type="spellStart"/>
      <w:r w:rsidRPr="007F4066">
        <w:rPr>
          <w:rFonts w:ascii="Times New Roman" w:eastAsia="Times New Roman" w:hAnsi="Times New Roman" w:cs="Times New Roman"/>
          <w:i/>
          <w:sz w:val="28"/>
          <w:szCs w:val="28"/>
        </w:rPr>
        <w:t>Rattus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norvegicus</w:t>
      </w:r>
      <w:proofErr w:type="spellEnd"/>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This information is crucial for establishing regulatory standards and guidelines for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for </w:t>
      </w:r>
      <w:r w:rsidRPr="007F4066">
        <w:rPr>
          <w:rFonts w:ascii="Times New Roman" w:eastAsia="Times New Roman" w:hAnsi="Times New Roman" w:cs="Times New Roman"/>
          <w:sz w:val="28"/>
          <w:szCs w:val="28"/>
        </w:rPr>
        <w:lastRenderedPageBreak/>
        <w:t xml:space="preserve">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w:t>
      </w:r>
      <w:proofErr w:type="spellStart"/>
      <w:r w:rsidRPr="007F4066">
        <w:rPr>
          <w:rFonts w:ascii="Times New Roman" w:eastAsia="Times New Roman" w:hAnsi="Times New Roman" w:cs="Times New Roman"/>
          <w:sz w:val="28"/>
          <w:szCs w:val="28"/>
        </w:rPr>
        <w:t>zearalenone</w:t>
      </w:r>
      <w:proofErr w:type="spellEnd"/>
      <w:r w:rsidRPr="007F4066">
        <w:rPr>
          <w:rFonts w:ascii="Times New Roman" w:eastAsia="Times New Roman" w:hAnsi="Times New Roman" w:cs="Times New Roman"/>
          <w:sz w:val="28"/>
          <w:szCs w:val="28"/>
        </w:rPr>
        <w:t xml:space="preserve">, and </w:t>
      </w:r>
      <w:proofErr w:type="spellStart"/>
      <w:r w:rsidRPr="007F4066">
        <w:rPr>
          <w:rFonts w:ascii="Times New Roman" w:eastAsia="Times New Roman" w:hAnsi="Times New Roman" w:cs="Times New Roman"/>
          <w:sz w:val="28"/>
          <w:szCs w:val="28"/>
        </w:rPr>
        <w:t>patulin</w:t>
      </w:r>
      <w:proofErr w:type="spellEnd"/>
      <w:r w:rsidRPr="007F4066">
        <w:rPr>
          <w:rFonts w:ascii="Times New Roman" w:eastAsia="Times New Roman" w:hAnsi="Times New Roman" w:cs="Times New Roman"/>
          <w:sz w:val="28"/>
          <w:szCs w:val="28"/>
        </w:rPr>
        <w:t xml:space="preserve">. These toxins have been associated with various toxic effects in animals and humans. For example,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is known to cause kidney damage and has been classified as a possible human carcinogen. </w:t>
      </w:r>
      <w:proofErr w:type="spellStart"/>
      <w:r w:rsidRPr="007F4066">
        <w:rPr>
          <w:rFonts w:ascii="Times New Roman" w:eastAsia="Times New Roman" w:hAnsi="Times New Roman" w:cs="Times New Roman"/>
          <w:sz w:val="28"/>
          <w:szCs w:val="28"/>
        </w:rPr>
        <w:t>Zearalenone</w:t>
      </w:r>
      <w:proofErr w:type="spellEnd"/>
      <w:r w:rsidRPr="007F4066">
        <w:rPr>
          <w:rFonts w:ascii="Times New Roman" w:eastAsia="Times New Roman" w:hAnsi="Times New Roman" w:cs="Times New Roman"/>
          <w:sz w:val="28"/>
          <w:szCs w:val="28"/>
        </w:rPr>
        <w:t xml:space="preserve"> exhibits estrogenic activity, leading to reproductive disorders, while </w:t>
      </w:r>
      <w:proofErr w:type="spellStart"/>
      <w:r w:rsidRPr="007F4066">
        <w:rPr>
          <w:rFonts w:ascii="Times New Roman" w:eastAsia="Times New Roman" w:hAnsi="Times New Roman" w:cs="Times New Roman"/>
          <w:sz w:val="28"/>
          <w:szCs w:val="28"/>
        </w:rPr>
        <w:t>patulin</w:t>
      </w:r>
      <w:proofErr w:type="spellEnd"/>
      <w:r w:rsidRPr="007F4066">
        <w:rPr>
          <w:rFonts w:ascii="Times New Roman" w:eastAsia="Times New Roman" w:hAnsi="Times New Roman" w:cs="Times New Roman"/>
          <w:sz w:val="28"/>
          <w:szCs w:val="28"/>
        </w:rPr>
        <w:t xml:space="preserve"> is associated with </w:t>
      </w:r>
      <w:proofErr w:type="spellStart"/>
      <w:r w:rsidRPr="007F4066">
        <w:rPr>
          <w:rFonts w:ascii="Times New Roman" w:eastAsia="Times New Roman" w:hAnsi="Times New Roman" w:cs="Times New Roman"/>
          <w:sz w:val="28"/>
          <w:szCs w:val="28"/>
        </w:rPr>
        <w:t>immunotoxicity</w:t>
      </w:r>
      <w:proofErr w:type="spellEnd"/>
      <w:r w:rsidRPr="007F4066">
        <w:rPr>
          <w:rFonts w:ascii="Times New Roman" w:eastAsia="Times New Roman" w:hAnsi="Times New Roman" w:cs="Times New Roman"/>
          <w:sz w:val="28"/>
          <w:szCs w:val="28"/>
        </w:rPr>
        <w:t xml:space="preserve">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w:t>
      </w:r>
      <w:proofErr w:type="spellStart"/>
      <w:r w:rsidRPr="007F4066">
        <w:rPr>
          <w:rFonts w:ascii="Times New Roman" w:eastAsia="Times New Roman" w:hAnsi="Times New Roman" w:cs="Times New Roman"/>
          <w:sz w:val="28"/>
          <w:szCs w:val="28"/>
        </w:rPr>
        <w:t>intraperitoneal</w:t>
      </w:r>
      <w:proofErr w:type="spellEnd"/>
      <w:r w:rsidRPr="007F4066">
        <w:rPr>
          <w:rFonts w:ascii="Times New Roman" w:eastAsia="Times New Roman" w:hAnsi="Times New Roman" w:cs="Times New Roman"/>
          <w:sz w:val="28"/>
          <w:szCs w:val="28"/>
        </w:rPr>
        <w:t xml:space="preserve">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mold contamination and the </w:t>
      </w:r>
      <w:r w:rsidRPr="007F4066">
        <w:rPr>
          <w:rFonts w:ascii="Times New Roman" w:eastAsia="Times New Roman" w:hAnsi="Times New Roman" w:cs="Times New Roman"/>
          <w:sz w:val="28"/>
          <w:szCs w:val="28"/>
        </w:rPr>
        <w:lastRenderedPageBreak/>
        <w:t>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examining the molecular and cellular pathways affected by these toxins, researchers can gain insights into their modes of toxicity. This knowledge can contribute to the development of therapeutic interventions and antidotes for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poisoning. Additionally, it can aid in the identification of biomarkers for early detection of exposure, facilitating prompt medical responses. Understanding the mechanisms of toxicity also has broader implications for toxicology and pharmacology, as it can reveal novel targets for drug development and contribute to the field of risk </w:t>
      </w:r>
      <w:r w:rsidRPr="007F4066">
        <w:rPr>
          <w:rFonts w:ascii="Times New Roman" w:eastAsia="Times New Roman" w:hAnsi="Times New Roman" w:cs="Times New Roman"/>
          <w:sz w:val="28"/>
          <w:szCs w:val="28"/>
        </w:rPr>
        <w:lastRenderedPageBreak/>
        <w:t>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-producing fungi, enhancing our overall understanding of fungal toxicology. This comparative approach can identify common pathways of toxicity and potential cross-</w:t>
      </w:r>
      <w:proofErr w:type="spellStart"/>
      <w:r w:rsidRPr="007F4066">
        <w:rPr>
          <w:rFonts w:ascii="Times New Roman" w:eastAsia="Times New Roman" w:hAnsi="Times New Roman" w:cs="Times New Roman"/>
          <w:sz w:val="28"/>
          <w:szCs w:val="28"/>
        </w:rPr>
        <w:t>reactivities</w:t>
      </w:r>
      <w:proofErr w:type="spellEnd"/>
      <w:r w:rsidRPr="007F4066">
        <w:rPr>
          <w:rFonts w:ascii="Times New Roman" w:eastAsia="Times New Roman" w:hAnsi="Times New Roman" w:cs="Times New Roman"/>
          <w:sz w:val="28"/>
          <w:szCs w:val="28"/>
        </w:rPr>
        <w:t>,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It also underscores the importance of interdisciplinary collaboration, integrating mycology, toxicology, pathology, and public health to address the complex challenges posed by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broader scientific understanding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and their impacts on biological systems. Continued </w:t>
      </w:r>
      <w:r w:rsidRPr="007F4066">
        <w:rPr>
          <w:rFonts w:ascii="Times New Roman" w:eastAsia="Times New Roman" w:hAnsi="Times New Roman" w:cs="Times New Roman"/>
          <w:sz w:val="28"/>
          <w:szCs w:val="28"/>
        </w:rPr>
        <w:lastRenderedPageBreak/>
        <w:t>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w:t>
      </w:r>
      <w:r w:rsidRPr="007F4066">
        <w:rPr>
          <w:rFonts w:ascii="Times New Roman" w:eastAsia="Times New Roman" w:hAnsi="Times New Roman" w:cs="Times New Roman"/>
          <w:sz w:val="28"/>
          <w:szCs w:val="28"/>
        </w:rPr>
        <w:lastRenderedPageBreak/>
        <w:t xml:space="preserve">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contamination in food and feed. Their review discusses the use of microorganisms, such as bacteria and non-toxigenic fungi, to degrade or adsorb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for its potential in biodegradation processes, its role as a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w:t>
      </w:r>
      <w:r w:rsidRPr="007F4066">
        <w:rPr>
          <w:rFonts w:ascii="Times New Roman" w:eastAsia="Times New Roman" w:hAnsi="Times New Roman" w:cs="Times New Roman"/>
          <w:sz w:val="28"/>
          <w:szCs w:val="28"/>
        </w:rPr>
        <w:lastRenderedPageBreak/>
        <w:t xml:space="preserve">it contributes to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degradation is crucial for assessing its safety and potential applications in food safety interventions.  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w:t>
      </w:r>
      <w:proofErr w:type="spellStart"/>
      <w:r w:rsidRPr="007F4066">
        <w:rPr>
          <w:rFonts w:ascii="Times New Roman" w:eastAsia="Times New Roman" w:hAnsi="Times New Roman" w:cs="Times New Roman"/>
          <w:sz w:val="28"/>
          <w:szCs w:val="28"/>
        </w:rPr>
        <w:t>antidiabetic</w:t>
      </w:r>
      <w:proofErr w:type="spellEnd"/>
      <w:r w:rsidRPr="007F4066">
        <w:rPr>
          <w:rFonts w:ascii="Times New Roman" w:eastAsia="Times New Roman" w:hAnsi="Times New Roman" w:cs="Times New Roman"/>
          <w:sz w:val="28"/>
          <w:szCs w:val="28"/>
        </w:rPr>
        <w:t xml:space="preserve"> effects. The research involved administering </w:t>
      </w:r>
      <w:proofErr w:type="spellStart"/>
      <w:r w:rsidRPr="007F4066">
        <w:rPr>
          <w:rFonts w:ascii="Times New Roman" w:eastAsia="Times New Roman" w:hAnsi="Times New Roman" w:cs="Times New Roman"/>
          <w:sz w:val="28"/>
          <w:szCs w:val="28"/>
        </w:rPr>
        <w:t>ethanolic</w:t>
      </w:r>
      <w:proofErr w:type="spellEnd"/>
      <w:r w:rsidRPr="007F4066">
        <w:rPr>
          <w:rFonts w:ascii="Times New Roman" w:eastAsia="Times New Roman" w:hAnsi="Times New Roman" w:cs="Times New Roman"/>
          <w:sz w:val="28"/>
          <w:szCs w:val="28"/>
        </w:rPr>
        <w:t xml:space="preserve">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rsidR="002D55FC" w:rsidRPr="007F4066" w:rsidRDefault="002D55FC" w:rsidP="007F4066">
      <w:pPr>
        <w:spacing w:line="480" w:lineRule="auto"/>
        <w:jc w:val="both"/>
        <w:rPr>
          <w:rFonts w:ascii="Times New Roman" w:hAnsi="Times New Roman" w:cs="Times New Roman"/>
          <w:sz w:val="28"/>
          <w:szCs w:val="28"/>
        </w:rPr>
      </w:pPr>
    </w:p>
    <w:p w:rsidR="002D55FC" w:rsidRPr="007F4066" w:rsidRDefault="002D55FC" w:rsidP="007F4066">
      <w:pPr>
        <w:spacing w:line="480" w:lineRule="auto"/>
        <w:jc w:val="both"/>
        <w:rPr>
          <w:rFonts w:ascii="Times New Roman" w:eastAsia="Times New Roman" w:hAnsi="Times New Roman" w:cs="Times New Roman"/>
          <w:b/>
          <w:bCs/>
          <w:sz w:val="28"/>
          <w:szCs w:val="28"/>
        </w:rPr>
      </w:pP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JUSTIFICATION OF THE STUDY</w:t>
      </w:r>
    </w:p>
    <w:p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w:t>
      </w:r>
      <w:proofErr w:type="spellStart"/>
      <w:r w:rsidRPr="00EB6950">
        <w:rPr>
          <w:rFonts w:ascii="Times New Roman" w:hAnsi="Times New Roman" w:cs="Times New Roman"/>
          <w:sz w:val="28"/>
          <w:szCs w:val="28"/>
        </w:rPr>
        <w:t>Kovac’s</w:t>
      </w:r>
      <w:proofErr w:type="spellEnd"/>
      <w:r w:rsidRPr="00EB6950">
        <w:rPr>
          <w:rFonts w:ascii="Times New Roman" w:hAnsi="Times New Roman" w:cs="Times New Roman"/>
          <w:sz w:val="28"/>
          <w:szCs w:val="28"/>
        </w:rPr>
        <w:t xml:space="preserve">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w:t>
      </w:r>
      <w:proofErr w:type="spellStart"/>
      <w:r w:rsidRPr="00EB6950">
        <w:rPr>
          <w:rFonts w:ascii="Times New Roman" w:hAnsi="Times New Roman" w:cs="Times New Roman"/>
          <w:sz w:val="28"/>
          <w:szCs w:val="28"/>
        </w:rPr>
        <w:t>lactophenol</w:t>
      </w:r>
      <w:proofErr w:type="spellEnd"/>
      <w:r w:rsidRPr="00EB6950">
        <w:rPr>
          <w:rFonts w:ascii="Times New Roman" w:hAnsi="Times New Roman" w:cs="Times New Roman"/>
          <w:sz w:val="28"/>
          <w:szCs w:val="28"/>
        </w:rPr>
        <w:t xml:space="preserve"> cotton blue stain, Bread, Peptone water, cover slip, microscope, Syringe, incubator, Spectrophotometer and needle</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rsidR="00EB6950" w:rsidRDefault="00EB6950" w:rsidP="00EB6950">
      <w:pPr>
        <w:spacing w:after="200" w:line="480" w:lineRule="auto"/>
        <w:jc w:val="both"/>
        <w:rPr>
          <w:rFonts w:ascii="Times New Roman" w:hAnsi="Times New Roman" w:cs="Times New Roman"/>
          <w:sz w:val="28"/>
          <w:szCs w:val="28"/>
        </w:rPr>
      </w:pPr>
    </w:p>
    <w:p w:rsidR="00EB6950" w:rsidRPr="00EB6950" w:rsidRDefault="00EB6950" w:rsidP="00EB6950">
      <w:pPr>
        <w:spacing w:after="200" w:line="480" w:lineRule="auto"/>
        <w:jc w:val="both"/>
        <w:rPr>
          <w:rFonts w:ascii="Times New Roman" w:hAnsi="Times New Roman" w:cs="Times New Roman"/>
          <w:sz w:val="28"/>
          <w:szCs w:val="28"/>
        </w:rPr>
      </w:pP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2.4.1 PREPARATION OF POTATO DEXTROSE AGAR (PDA)</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and for </w:t>
      </w:r>
      <w:r w:rsidRPr="007F4066">
        <w:rPr>
          <w:rFonts w:ascii="Times New Roman" w:eastAsia="Times New Roman" w:hAnsi="Times New Roman" w:cs="Times New Roman"/>
          <w:sz w:val="28"/>
          <w:szCs w:val="28"/>
        </w:rPr>
        <w:lastRenderedPageBreak/>
        <w:t>the extraction of fungal metabolites, including toxins, by allowing the fungus to grow under stationary conditions for several days.</w:t>
      </w: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w:t>
      </w:r>
      <w:proofErr w:type="spellStart"/>
      <w:r w:rsidRPr="007F4066">
        <w:rPr>
          <w:rFonts w:ascii="Times New Roman" w:eastAsia="Times New Roman" w:hAnsi="Times New Roman" w:cs="Times New Roman"/>
          <w:sz w:val="28"/>
          <w:szCs w:val="28"/>
        </w:rPr>
        <w:t>lactophenol</w:t>
      </w:r>
      <w:proofErr w:type="spellEnd"/>
      <w:r w:rsidRPr="007F4066">
        <w:rPr>
          <w:rFonts w:ascii="Times New Roman" w:eastAsia="Times New Roman" w:hAnsi="Times New Roman" w:cs="Times New Roman"/>
          <w:sz w:val="28"/>
          <w:szCs w:val="28"/>
        </w:rPr>
        <w:t xml:space="preserve"> cotton blue mounts and observing under a microscope. Features such as </w:t>
      </w:r>
      <w:proofErr w:type="spellStart"/>
      <w:r w:rsidRPr="007F4066">
        <w:rPr>
          <w:rFonts w:ascii="Times New Roman" w:eastAsia="Times New Roman" w:hAnsi="Times New Roman" w:cs="Times New Roman"/>
          <w:sz w:val="28"/>
          <w:szCs w:val="28"/>
        </w:rPr>
        <w:t>macroconidia</w:t>
      </w:r>
      <w:proofErr w:type="spellEnd"/>
      <w:r w:rsidRPr="007F4066">
        <w:rPr>
          <w:rFonts w:ascii="Times New Roman" w:eastAsia="Times New Roman" w:hAnsi="Times New Roman" w:cs="Times New Roman"/>
          <w:sz w:val="28"/>
          <w:szCs w:val="28"/>
        </w:rPr>
        <w:t xml:space="preserve"> shape, number of septa, and </w:t>
      </w:r>
      <w:proofErr w:type="spellStart"/>
      <w:r w:rsidRPr="007F4066">
        <w:rPr>
          <w:rFonts w:ascii="Times New Roman" w:eastAsia="Times New Roman" w:hAnsi="Times New Roman" w:cs="Times New Roman"/>
          <w:sz w:val="28"/>
          <w:szCs w:val="28"/>
        </w:rPr>
        <w:t>hyphal</w:t>
      </w:r>
      <w:proofErr w:type="spellEnd"/>
      <w:r w:rsidRPr="007F4066">
        <w:rPr>
          <w:rFonts w:ascii="Times New Roman" w:eastAsia="Times New Roman" w:hAnsi="Times New Roman" w:cs="Times New Roman"/>
          <w:sz w:val="28"/>
          <w:szCs w:val="28"/>
        </w:rPr>
        <w:t xml:space="preserve">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rsidR="00871091" w:rsidRPr="007F4066" w:rsidRDefault="00871091" w:rsidP="007F4066">
      <w:pPr>
        <w:spacing w:line="480" w:lineRule="auto"/>
        <w:jc w:val="both"/>
        <w:rPr>
          <w:rFonts w:ascii="Times New Roman" w:hAnsi="Times New Roman" w:cs="Times New Roman"/>
          <w:sz w:val="28"/>
          <w:szCs w:val="28"/>
        </w:rPr>
      </w:pPr>
    </w:p>
    <w:p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2.8 </w:t>
      </w:r>
      <w:r w:rsidRPr="007F4066">
        <w:rPr>
          <w:rFonts w:ascii="Times New Roman" w:hAnsi="Times New Roman" w:cs="Times New Roman"/>
          <w:b/>
          <w:sz w:val="28"/>
          <w:szCs w:val="28"/>
        </w:rPr>
        <w:t>ADMINISTRATION AND EVALUATION OF THE POTENCY OF THE TOXIN IN WHITE RATS</w:t>
      </w:r>
    </w:p>
    <w:p w:rsidR="006F4717" w:rsidRPr="007F4066" w:rsidRDefault="002D55FC" w:rsidP="007F4066">
      <w:pPr>
        <w:spacing w:line="480" w:lineRule="auto"/>
        <w:jc w:val="both"/>
        <w:rPr>
          <w:rFonts w:ascii="Times New Roman" w:hAnsi="Times New Roman" w:cs="Times New Roman"/>
          <w:sz w:val="28"/>
          <w:szCs w:val="28"/>
        </w:rPr>
        <w:sectPr w:rsidR="006F4717" w:rsidRPr="007F4066">
          <w:footerReference w:type="default" r:id="rId7"/>
          <w:pgSz w:w="12240" w:h="15840"/>
          <w:pgMar w:top="1440" w:right="1440" w:bottom="1440" w:left="1440" w:header="708" w:footer="708" w:gutter="0"/>
          <w:cols w:space="708"/>
          <w:docGrid w:linePitch="360"/>
        </w:sectPr>
      </w:pPr>
      <w:r w:rsidRPr="007F4066">
        <w:rPr>
          <w:rFonts w:ascii="Times New Roman" w:hAnsi="Times New Roman" w:cs="Times New Roman"/>
          <w:sz w:val="28"/>
          <w:szCs w:val="28"/>
        </w:rPr>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098"/>
        <w:gridCol w:w="5262"/>
      </w:tblGrid>
      <w:tr w:rsidR="00E233CD" w:rsidRPr="004C6431"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w:t>
            </w:r>
            <w:proofErr w:type="spellStart"/>
            <w:r w:rsidRPr="004C6431">
              <w:rPr>
                <w:rFonts w:ascii="Times New Roman" w:eastAsia="Times New Roman" w:hAnsi="Times New Roman" w:cs="Times New Roman"/>
                <w:sz w:val="28"/>
                <w:szCs w:val="28"/>
              </w:rPr>
              <w:t>septate</w:t>
            </w:r>
            <w:proofErr w:type="spellEnd"/>
            <w:r w:rsidRPr="004C6431">
              <w:rPr>
                <w:rFonts w:ascii="Times New Roman" w:eastAsia="Times New Roman" w:hAnsi="Times New Roman" w:cs="Times New Roman"/>
                <w:sz w:val="28"/>
                <w:szCs w:val="28"/>
              </w:rPr>
              <w:t xml:space="preserve"> hyphae with large, spherical sporangia containing numerous spores.</w:t>
            </w:r>
          </w:p>
        </w:tc>
      </w:tr>
      <w:tr w:rsidR="00E233CD" w:rsidRPr="004C6431"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Rhizoids (root-like structures) present beneath the </w:t>
            </w: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anchoring the mycelium.</w:t>
            </w:r>
          </w:p>
        </w:tc>
      </w:tr>
      <w:tr w:rsidR="00E233CD" w:rsidRPr="004C6431"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Sporangia are dark-colored when mature, containing </w:t>
            </w:r>
            <w:proofErr w:type="spellStart"/>
            <w:r w:rsidRPr="004C6431">
              <w:rPr>
                <w:rFonts w:ascii="Times New Roman" w:eastAsia="Times New Roman" w:hAnsi="Times New Roman" w:cs="Times New Roman"/>
                <w:sz w:val="28"/>
                <w:szCs w:val="28"/>
              </w:rPr>
              <w:t>sporangiospores</w:t>
            </w:r>
            <w:proofErr w:type="spellEnd"/>
            <w:r w:rsidRPr="004C6431">
              <w:rPr>
                <w:rFonts w:ascii="Times New Roman" w:eastAsia="Times New Roman" w:hAnsi="Times New Roman" w:cs="Times New Roman"/>
                <w:sz w:val="28"/>
                <w:szCs w:val="28"/>
              </w:rPr>
              <w:t>.</w:t>
            </w:r>
          </w:p>
        </w:tc>
      </w:tr>
    </w:tbl>
    <w:p w:rsidR="000332CE" w:rsidRPr="004C6431" w:rsidRDefault="000332CE" w:rsidP="004C6431">
      <w:pPr>
        <w:spacing w:line="480" w:lineRule="auto"/>
        <w:rPr>
          <w:rFonts w:ascii="Times New Roman" w:hAnsi="Times New Roman" w:cs="Times New Roman"/>
          <w:b/>
          <w:sz w:val="28"/>
          <w:szCs w:val="28"/>
        </w:rPr>
      </w:pPr>
    </w:p>
    <w:p w:rsidR="001E62E6" w:rsidRDefault="001E62E6" w:rsidP="000332CE">
      <w:pPr>
        <w:spacing w:line="480" w:lineRule="auto"/>
        <w:rPr>
          <w:rFonts w:ascii="Times New Roman" w:hAnsi="Times New Roman" w:cs="Times New Roman"/>
          <w:b/>
          <w:sz w:val="28"/>
          <w:szCs w:val="28"/>
        </w:rPr>
      </w:pPr>
    </w:p>
    <w:p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Fig. </w:t>
      </w:r>
      <w:proofErr w:type="gramStart"/>
      <w:r>
        <w:rPr>
          <w:rFonts w:ascii="Times New Roman" w:hAnsi="Times New Roman" w:cs="Times New Roman"/>
          <w:b/>
          <w:sz w:val="28"/>
          <w:szCs w:val="28"/>
        </w:rPr>
        <w:t>A</w:t>
      </w:r>
      <w:proofErr w:type="gramEnd"/>
      <w:r>
        <w:rPr>
          <w:rFonts w:ascii="Times New Roman" w:hAnsi="Times New Roman" w:cs="Times New Roman"/>
          <w:b/>
          <w:sz w:val="28"/>
          <w:szCs w:val="28"/>
        </w:rPr>
        <w:t xml:space="preserve">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drawing>
          <wp:inline distT="0" distB="0" distL="0" distR="0" wp14:anchorId="77F2B065" wp14:editId="346601BC">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74E34916" wp14:editId="4E77CE32">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rsidR="004C6431" w:rsidRDefault="004C6431" w:rsidP="000332CE">
      <w:pPr>
        <w:spacing w:line="480" w:lineRule="auto"/>
        <w:rPr>
          <w:rFonts w:ascii="Times New Roman" w:hAnsi="Times New Roman" w:cs="Times New Roman"/>
          <w:b/>
          <w:sz w:val="28"/>
          <w:szCs w:val="28"/>
        </w:rPr>
      </w:pPr>
    </w:p>
    <w:p w:rsidR="000527E8" w:rsidRDefault="000527E8" w:rsidP="001E62E6">
      <w:pPr>
        <w:spacing w:line="480" w:lineRule="auto"/>
        <w:rPr>
          <w:rFonts w:ascii="Times New Roman" w:hAnsi="Times New Roman" w:cs="Times New Roman"/>
          <w:b/>
          <w:sz w:val="28"/>
          <w:szCs w:val="28"/>
        </w:rPr>
      </w:pPr>
    </w:p>
    <w:p w:rsidR="000527E8" w:rsidRDefault="000527E8" w:rsidP="001E62E6">
      <w:pPr>
        <w:spacing w:line="480" w:lineRule="auto"/>
        <w:rPr>
          <w:rFonts w:ascii="Times New Roman" w:hAnsi="Times New Roman" w:cs="Times New Roman"/>
          <w:b/>
          <w:sz w:val="28"/>
          <w:szCs w:val="28"/>
        </w:rPr>
      </w:pPr>
    </w:p>
    <w:p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rsidR="001E62E6" w:rsidRDefault="001E62E6" w:rsidP="001E62E6">
      <w:pPr>
        <w:spacing w:line="480" w:lineRule="auto"/>
        <w:rPr>
          <w:rFonts w:ascii="Times New Roman" w:hAnsi="Times New Roman" w:cs="Times New Roman"/>
          <w:b/>
          <w:sz w:val="28"/>
          <w:szCs w:val="28"/>
        </w:rPr>
      </w:pPr>
    </w:p>
    <w:p w:rsidR="000332CE" w:rsidRPr="007F4066" w:rsidRDefault="000332CE" w:rsidP="000332CE">
      <w:pPr>
        <w:spacing w:line="480" w:lineRule="auto"/>
        <w:rPr>
          <w:rFonts w:ascii="Times New Roman" w:hAnsi="Times New Roman" w:cs="Times New Roman"/>
          <w:b/>
          <w:sz w:val="28"/>
          <w:szCs w:val="28"/>
        </w:rPr>
      </w:pPr>
    </w:p>
    <w:p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rsidTr="001E62E6">
        <w:trPr>
          <w:cantSplit/>
          <w:trHeight w:val="836"/>
          <w:jc w:val="center"/>
        </w:trPr>
        <w:tc>
          <w:tcPr>
            <w:tcW w:w="135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rsidR="002C70C9" w:rsidRPr="007F4066" w:rsidRDefault="002C70C9" w:rsidP="002C70C9">
            <w:pPr>
              <w:rPr>
                <w:rFonts w:ascii="Times New Roman" w:hAnsi="Times New Roman" w:cs="Times New Roman"/>
                <w:b/>
                <w:sz w:val="26"/>
                <w:szCs w:val="26"/>
              </w:rPr>
            </w:pPr>
          </w:p>
        </w:tc>
        <w:tc>
          <w:tcPr>
            <w:tcW w:w="1710" w:type="dxa"/>
          </w:tcPr>
          <w:p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trHeight w:val="206"/>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494"/>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620"/>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trHeight w:val="521"/>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cantSplit/>
          <w:trHeight w:val="341"/>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rsidR="002C70C9" w:rsidRPr="007F4066" w:rsidRDefault="002C70C9" w:rsidP="002C70C9">
            <w:pPr>
              <w:rPr>
                <w:rFonts w:ascii="Times New Roman" w:hAnsi="Times New Roman" w:cs="Times New Roman"/>
                <w:sz w:val="26"/>
                <w:szCs w:val="26"/>
              </w:rPr>
            </w:pPr>
          </w:p>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val="restart"/>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r w:rsidR="002C70C9" w:rsidRPr="007F4066" w:rsidTr="001E62E6">
        <w:trPr>
          <w:jc w:val="center"/>
        </w:trPr>
        <w:tc>
          <w:tcPr>
            <w:tcW w:w="1350" w:type="dxa"/>
          </w:tcPr>
          <w:p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rsidR="002C70C9" w:rsidRPr="007F4066" w:rsidRDefault="002C70C9" w:rsidP="002C70C9">
            <w:pPr>
              <w:rPr>
                <w:rFonts w:ascii="Times New Roman" w:hAnsi="Times New Roman" w:cs="Times New Roman"/>
                <w:sz w:val="26"/>
                <w:szCs w:val="26"/>
              </w:rPr>
            </w:pPr>
          </w:p>
        </w:tc>
        <w:tc>
          <w:tcPr>
            <w:tcW w:w="1890" w:type="dxa"/>
            <w:vMerge/>
          </w:tcPr>
          <w:p w:rsidR="002C70C9" w:rsidRPr="007F4066" w:rsidRDefault="002C70C9" w:rsidP="002C70C9">
            <w:pPr>
              <w:rPr>
                <w:rFonts w:ascii="Times New Roman" w:hAnsi="Times New Roman" w:cs="Times New Roman"/>
                <w:sz w:val="26"/>
                <w:szCs w:val="26"/>
              </w:rPr>
            </w:pPr>
          </w:p>
        </w:tc>
        <w:tc>
          <w:tcPr>
            <w:tcW w:w="1530" w:type="dxa"/>
            <w:vMerge/>
          </w:tcPr>
          <w:p w:rsidR="002C70C9" w:rsidRPr="007F4066" w:rsidRDefault="002C70C9" w:rsidP="002C70C9">
            <w:pPr>
              <w:rPr>
                <w:rFonts w:ascii="Times New Roman" w:hAnsi="Times New Roman" w:cs="Times New Roman"/>
                <w:sz w:val="26"/>
                <w:szCs w:val="26"/>
              </w:rPr>
            </w:pPr>
          </w:p>
        </w:tc>
        <w:tc>
          <w:tcPr>
            <w:tcW w:w="1440" w:type="dxa"/>
            <w:vMerge/>
          </w:tcPr>
          <w:p w:rsidR="002C70C9" w:rsidRPr="007F4066" w:rsidRDefault="002C70C9" w:rsidP="002C70C9">
            <w:pPr>
              <w:rPr>
                <w:rFonts w:ascii="Times New Roman" w:hAnsi="Times New Roman" w:cs="Times New Roman"/>
                <w:sz w:val="26"/>
                <w:szCs w:val="26"/>
              </w:rPr>
            </w:pPr>
          </w:p>
        </w:tc>
        <w:tc>
          <w:tcPr>
            <w:tcW w:w="1710" w:type="dxa"/>
            <w:vMerge/>
          </w:tcPr>
          <w:p w:rsidR="002C70C9" w:rsidRPr="007F4066" w:rsidRDefault="002C70C9" w:rsidP="002C70C9">
            <w:pPr>
              <w:rPr>
                <w:rFonts w:ascii="Times New Roman" w:hAnsi="Times New Roman" w:cs="Times New Roman"/>
                <w:sz w:val="26"/>
                <w:szCs w:val="26"/>
              </w:rPr>
            </w:pPr>
          </w:p>
        </w:tc>
        <w:tc>
          <w:tcPr>
            <w:tcW w:w="1625" w:type="dxa"/>
            <w:vMerge/>
          </w:tcPr>
          <w:p w:rsidR="002C70C9" w:rsidRPr="007F4066" w:rsidRDefault="002C70C9" w:rsidP="002C70C9">
            <w:pPr>
              <w:rPr>
                <w:rFonts w:ascii="Times New Roman" w:hAnsi="Times New Roman" w:cs="Times New Roman"/>
                <w:sz w:val="26"/>
                <w:szCs w:val="26"/>
              </w:rPr>
            </w:pPr>
          </w:p>
        </w:tc>
      </w:tr>
    </w:tbl>
    <w:p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1979"/>
        <w:gridCol w:w="2094"/>
        <w:gridCol w:w="1651"/>
        <w:gridCol w:w="2367"/>
      </w:tblGrid>
      <w:tr w:rsidR="007F4066" w:rsidRPr="001E62E6" w:rsidTr="007F4066">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lastRenderedPageBreak/>
              <w:t>Organ</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w:t>
            </w:r>
            <w:proofErr w:type="spellStart"/>
            <w:r w:rsidRPr="001E62E6">
              <w:rPr>
                <w:rFonts w:ascii="Times New Roman" w:eastAsia="Times New Roman" w:hAnsi="Times New Roman" w:cs="Times New Roman"/>
                <w:sz w:val="28"/>
                <w:szCs w:val="28"/>
              </w:rPr>
              <w:t>vs</w:t>
            </w:r>
            <w:proofErr w:type="spellEnd"/>
            <w:r w:rsidRPr="001E62E6">
              <w:rPr>
                <w:rFonts w:ascii="Times New Roman" w:eastAsia="Times New Roman" w:hAnsi="Times New Roman" w:cs="Times New Roman"/>
                <w:sz w:val="28"/>
                <w:szCs w:val="28"/>
              </w:rPr>
              <w:t xml:space="preserve"> control)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rsidTr="007F4066">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w:t>
      </w:r>
      <w:proofErr w:type="spellStart"/>
      <w:r w:rsidR="007F4066" w:rsidRPr="007F4066">
        <w:rPr>
          <w:rFonts w:ascii="Times New Roman" w:eastAsia="Times New Roman" w:hAnsi="Times New Roman" w:cs="Times New Roman"/>
          <w:sz w:val="28"/>
          <w:szCs w:val="28"/>
        </w:rPr>
        <w:t>vs</w:t>
      </w:r>
      <w:proofErr w:type="spellEnd"/>
      <w:r w:rsidR="007F4066" w:rsidRPr="007F4066">
        <w:rPr>
          <w:rFonts w:ascii="Times New Roman" w:eastAsia="Times New Roman" w:hAnsi="Times New Roman" w:cs="Times New Roman"/>
          <w:sz w:val="28"/>
          <w:szCs w:val="28"/>
        </w:rPr>
        <w:t xml:space="preserve"> = versus</w:t>
      </w:r>
    </w:p>
    <w:p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rsidR="00EB6950" w:rsidRDefault="00EB6950" w:rsidP="007F4066">
      <w:pPr>
        <w:spacing w:line="480" w:lineRule="auto"/>
        <w:rPr>
          <w:rFonts w:ascii="Times New Roman" w:eastAsia="Times New Roman" w:hAnsi="Times New Roman" w:cs="Times New Roman"/>
          <w:sz w:val="28"/>
          <w:szCs w:val="28"/>
        </w:rPr>
      </w:pPr>
    </w:p>
    <w:p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r w:rsidR="004C77BE">
        <w:rPr>
          <w:rFonts w:ascii="Times New Roman" w:eastAsia="Times New Roman" w:hAnsi="Times New Roman" w:cs="Times New Roman"/>
          <w:sz w:val="28"/>
          <w:szCs w:val="28"/>
        </w:rPr>
        <w:t>(</w:t>
      </w:r>
      <w:proofErr w:type="gramStart"/>
      <w:r w:rsidR="004C77BE">
        <w:rPr>
          <w:rFonts w:ascii="Times New Roman" w:eastAsia="Times New Roman" w:hAnsi="Times New Roman" w:cs="Times New Roman"/>
          <w:sz w:val="28"/>
          <w:szCs w:val="28"/>
        </w:rPr>
        <w:t>b</w:t>
      </w:r>
      <w:proofErr w:type="gramEnd"/>
      <w:r w:rsidR="004C77BE">
        <w:rPr>
          <w:rFonts w:ascii="Times New Roman" w:eastAsia="Times New Roman" w:hAnsi="Times New Roman" w:cs="Times New Roman"/>
          <w:sz w:val="28"/>
          <w:szCs w:val="28"/>
        </w:rPr>
        <w:t xml:space="preserve">) </w:t>
      </w:r>
    </w:p>
    <w:p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r w:rsidR="004C77BE">
        <w:rPr>
          <w:rFonts w:ascii="Times New Roman" w:eastAsia="Times New Roman" w:hAnsi="Times New Roman" w:cs="Times New Roman"/>
          <w:sz w:val="28"/>
          <w:szCs w:val="28"/>
        </w:rPr>
        <w:t>Dissected Experimental Rat (Control)</w:t>
      </w:r>
    </w:p>
    <w:p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1524ACBA" wp14:editId="3B0305AE">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5C3D844A" wp14:editId="3F08FE6C">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rsidR="00F602E8" w:rsidRDefault="00F602E8" w:rsidP="007F4066">
      <w:pPr>
        <w:spacing w:line="480" w:lineRule="auto"/>
        <w:rPr>
          <w:rFonts w:ascii="Times New Roman" w:eastAsia="Times New Roman" w:hAnsi="Times New Roman" w:cs="Times New Roman"/>
          <w:sz w:val="28"/>
          <w:szCs w:val="28"/>
        </w:rPr>
      </w:pPr>
    </w:p>
    <w:p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EB6950" w:rsidRDefault="00EB6950" w:rsidP="007F4066">
      <w:pPr>
        <w:spacing w:line="480" w:lineRule="auto"/>
        <w:rPr>
          <w:rFonts w:ascii="Times New Roman" w:eastAsia="Times New Roman" w:hAnsi="Times New Roman" w:cs="Times New Roman"/>
          <w:sz w:val="28"/>
          <w:szCs w:val="28"/>
        </w:rPr>
      </w:pPr>
    </w:p>
    <w:p w:rsidR="00EB6950" w:rsidRPr="007F4066" w:rsidRDefault="00EB6950" w:rsidP="007F4066">
      <w:pPr>
        <w:spacing w:line="480" w:lineRule="auto"/>
        <w:rPr>
          <w:rFonts w:ascii="Times New Roman" w:eastAsia="Times New Roman" w:hAnsi="Times New Roman" w:cs="Times New Roman"/>
          <w:sz w:val="28"/>
          <w:szCs w:val="28"/>
        </w:rPr>
      </w:pPr>
    </w:p>
    <w:p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The characterization and identi</w:t>
      </w:r>
      <w:bookmarkStart w:id="0" w:name="_GoBack"/>
      <w:bookmarkEnd w:id="0"/>
      <w:r w:rsidRPr="004C6431">
        <w:rPr>
          <w:rFonts w:ascii="Times New Roman" w:eastAsia="Times New Roman" w:hAnsi="Times New Roman" w:cs="Times New Roman"/>
          <w:sz w:val="28"/>
          <w:szCs w:val="28"/>
        </w:rPr>
        <w:t xml:space="preserve">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w:t>
      </w: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further supported the identification. Microscopically, non-</w:t>
      </w:r>
      <w:proofErr w:type="spellStart"/>
      <w:r w:rsidRPr="004C6431">
        <w:rPr>
          <w:rFonts w:ascii="Times New Roman" w:eastAsia="Times New Roman" w:hAnsi="Times New Roman" w:cs="Times New Roman"/>
          <w:sz w:val="28"/>
          <w:szCs w:val="28"/>
        </w:rPr>
        <w:t>septate</w:t>
      </w:r>
      <w:proofErr w:type="spellEnd"/>
      <w:r w:rsidRPr="004C6431">
        <w:rPr>
          <w:rFonts w:ascii="Times New Roman" w:eastAsia="Times New Roman" w:hAnsi="Times New Roman" w:cs="Times New Roman"/>
          <w:sz w:val="28"/>
          <w:szCs w:val="28"/>
        </w:rPr>
        <w:t xml:space="preserve"> hyphae and large spherical sporangia filled with </w:t>
      </w:r>
      <w:proofErr w:type="spellStart"/>
      <w:r w:rsidRPr="004C6431">
        <w:rPr>
          <w:rFonts w:ascii="Times New Roman" w:eastAsia="Times New Roman" w:hAnsi="Times New Roman" w:cs="Times New Roman"/>
          <w:sz w:val="28"/>
          <w:szCs w:val="28"/>
        </w:rPr>
        <w:t>sporangiospores</w:t>
      </w:r>
      <w:proofErr w:type="spellEnd"/>
      <w:r w:rsidRPr="004C6431">
        <w:rPr>
          <w:rFonts w:ascii="Times New Roman" w:eastAsia="Times New Roman" w:hAnsi="Times New Roman" w:cs="Times New Roman"/>
          <w:sz w:val="28"/>
          <w:szCs w:val="28"/>
        </w:rPr>
        <w:t xml:space="preserve">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w:t>
      </w:r>
      <w:proofErr w:type="spellStart"/>
      <w:r w:rsidRPr="004C6431">
        <w:rPr>
          <w:rFonts w:ascii="Times New Roman" w:eastAsia="Times New Roman" w:hAnsi="Times New Roman" w:cs="Times New Roman"/>
          <w:sz w:val="28"/>
          <w:szCs w:val="28"/>
        </w:rPr>
        <w:t>zygomycete</w:t>
      </w:r>
      <w:proofErr w:type="spellEnd"/>
      <w:r w:rsidRPr="004C6431">
        <w:rPr>
          <w:rFonts w:ascii="Times New Roman" w:eastAsia="Times New Roman" w:hAnsi="Times New Roman" w:cs="Times New Roman"/>
          <w:sz w:val="28"/>
          <w:szCs w:val="28"/>
        </w:rPr>
        <w:t xml:space="preserve"> with prominent aerial and submerged hyphae (Singh et al., 2021). Figures 1 and 2 visually confirm both the microscopic and cultural appearance of the isolate, supporting the identification.</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w:t>
      </w:r>
      <w:r w:rsidRPr="004C6431">
        <w:rPr>
          <w:rFonts w:ascii="Times New Roman" w:eastAsia="Times New Roman" w:hAnsi="Times New Roman" w:cs="Times New Roman"/>
          <w:sz w:val="28"/>
          <w:szCs w:val="28"/>
        </w:rPr>
        <w:lastRenderedPageBreak/>
        <w:t xml:space="preserve">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w:t>
      </w:r>
      <w:proofErr w:type="spellStart"/>
      <w:r w:rsidRPr="004C6431">
        <w:rPr>
          <w:rFonts w:ascii="Times New Roman" w:eastAsia="Times New Roman" w:hAnsi="Times New Roman" w:cs="Times New Roman"/>
          <w:sz w:val="28"/>
          <w:szCs w:val="28"/>
        </w:rPr>
        <w:t>toxicosis</w:t>
      </w:r>
      <w:proofErr w:type="spellEnd"/>
      <w:r w:rsidRPr="004C6431">
        <w:rPr>
          <w:rFonts w:ascii="Times New Roman" w:eastAsia="Times New Roman" w:hAnsi="Times New Roman" w:cs="Times New Roman"/>
          <w:sz w:val="28"/>
          <w:szCs w:val="28"/>
        </w:rPr>
        <w:t xml:space="preserve">, especially from </w:t>
      </w:r>
      <w:proofErr w:type="spellStart"/>
      <w:r w:rsidRPr="004C6431">
        <w:rPr>
          <w:rFonts w:ascii="Times New Roman" w:eastAsia="Times New Roman" w:hAnsi="Times New Roman" w:cs="Times New Roman"/>
          <w:sz w:val="28"/>
          <w:szCs w:val="28"/>
        </w:rPr>
        <w:t>mycotoxins</w:t>
      </w:r>
      <w:proofErr w:type="spellEnd"/>
      <w:r w:rsidRPr="004C6431">
        <w:rPr>
          <w:rFonts w:ascii="Times New Roman" w:eastAsia="Times New Roman" w:hAnsi="Times New Roman" w:cs="Times New Roman"/>
          <w:sz w:val="28"/>
          <w:szCs w:val="28"/>
        </w:rPr>
        <w:t xml:space="preserve"> known to be produced by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spp., which may affect metabolic and neurological functions (Jain &amp; Agrawal, 2020).</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w:t>
      </w:r>
      <w:proofErr w:type="spellStart"/>
      <w:r w:rsidRPr="004C6431">
        <w:rPr>
          <w:rFonts w:ascii="Times New Roman" w:eastAsia="Times New Roman" w:hAnsi="Times New Roman" w:cs="Times New Roman"/>
          <w:sz w:val="28"/>
          <w:szCs w:val="28"/>
        </w:rPr>
        <w:t>depigmented</w:t>
      </w:r>
      <w:proofErr w:type="spellEnd"/>
      <w:r w:rsidRPr="004C6431">
        <w:rPr>
          <w:rFonts w:ascii="Times New Roman" w:eastAsia="Times New Roman" w:hAnsi="Times New Roman" w:cs="Times New Roman"/>
          <w:sz w:val="28"/>
          <w:szCs w:val="28"/>
        </w:rPr>
        <w:t xml:space="preserve">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w:t>
      </w:r>
      <w:proofErr w:type="spellStart"/>
      <w:r w:rsidRPr="004C6431">
        <w:rPr>
          <w:rFonts w:ascii="Times New Roman" w:eastAsia="Times New Roman" w:hAnsi="Times New Roman" w:cs="Times New Roman"/>
          <w:sz w:val="28"/>
          <w:szCs w:val="28"/>
        </w:rPr>
        <w:t>mycotoxin</w:t>
      </w:r>
      <w:proofErr w:type="spellEnd"/>
      <w:r w:rsidRPr="004C6431">
        <w:rPr>
          <w:rFonts w:ascii="Times New Roman" w:eastAsia="Times New Roman" w:hAnsi="Times New Roman" w:cs="Times New Roman"/>
          <w:sz w:val="28"/>
          <w:szCs w:val="28"/>
        </w:rPr>
        <w:t xml:space="preserve"> accumulation and damage, potentially implicating secondary metabolites like </w:t>
      </w:r>
      <w:proofErr w:type="spellStart"/>
      <w:r w:rsidRPr="004C6431">
        <w:rPr>
          <w:rFonts w:ascii="Times New Roman" w:eastAsia="Times New Roman" w:hAnsi="Times New Roman" w:cs="Times New Roman"/>
          <w:sz w:val="28"/>
          <w:szCs w:val="28"/>
        </w:rPr>
        <w:t>rhizoxin</w:t>
      </w:r>
      <w:proofErr w:type="spellEnd"/>
      <w:r w:rsidRPr="004C6431">
        <w:rPr>
          <w:rFonts w:ascii="Times New Roman" w:eastAsia="Times New Roman" w:hAnsi="Times New Roman" w:cs="Times New Roman"/>
          <w:sz w:val="28"/>
          <w:szCs w:val="28"/>
        </w:rPr>
        <w:t xml:space="preserve"> and furan compounds previously reported in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species (Papp et al., 2020).</w:t>
      </w:r>
    </w:p>
    <w:p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lastRenderedPageBreak/>
        <w:t xml:space="preserve">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w:t>
      </w:r>
      <w:proofErr w:type="spellStart"/>
      <w:r w:rsidRPr="004C6431">
        <w:rPr>
          <w:rFonts w:ascii="Times New Roman" w:eastAsia="Times New Roman" w:hAnsi="Times New Roman" w:cs="Times New Roman"/>
          <w:sz w:val="28"/>
          <w:szCs w:val="28"/>
        </w:rPr>
        <w:t>histopathological</w:t>
      </w:r>
      <w:proofErr w:type="spellEnd"/>
      <w:r w:rsidRPr="004C6431">
        <w:rPr>
          <w:rFonts w:ascii="Times New Roman" w:eastAsia="Times New Roman" w:hAnsi="Times New Roman" w:cs="Times New Roman"/>
          <w:sz w:val="28"/>
          <w:szCs w:val="28"/>
        </w:rPr>
        <w:t xml:space="preserve"> alterations reported in rats exposed to fungal metabolites in previous toxicological studies (</w:t>
      </w:r>
      <w:proofErr w:type="spellStart"/>
      <w:r w:rsidRPr="004C6431">
        <w:rPr>
          <w:rFonts w:ascii="Times New Roman" w:eastAsia="Times New Roman" w:hAnsi="Times New Roman" w:cs="Times New Roman"/>
          <w:sz w:val="28"/>
          <w:szCs w:val="28"/>
        </w:rPr>
        <w:t>Oluwafemi</w:t>
      </w:r>
      <w:proofErr w:type="spellEnd"/>
      <w:r w:rsidRPr="004C6431">
        <w:rPr>
          <w:rFonts w:ascii="Times New Roman" w:eastAsia="Times New Roman" w:hAnsi="Times New Roman" w:cs="Times New Roman"/>
          <w:sz w:val="28"/>
          <w:szCs w:val="28"/>
        </w:rPr>
        <w:t xml:space="preserve"> et al., 2020).</w:t>
      </w:r>
    </w:p>
    <w:p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sz w:val="28"/>
          <w:szCs w:val="28"/>
        </w:rPr>
        <w:t xml:space="preserve"> species are prevalent.</w:t>
      </w:r>
    </w:p>
    <w:p w:rsidR="007F4066" w:rsidRPr="007F4066" w:rsidRDefault="007F4066" w:rsidP="007F4066">
      <w:pPr>
        <w:spacing w:line="480" w:lineRule="auto"/>
        <w:jc w:val="both"/>
        <w:rPr>
          <w:rFonts w:ascii="Times New Roman" w:eastAsia="Times New Roman" w:hAnsi="Times New Roman" w:cs="Times New Roman"/>
          <w:sz w:val="28"/>
          <w:szCs w:val="28"/>
        </w:rPr>
      </w:pPr>
    </w:p>
    <w:p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exposure.</w:t>
      </w:r>
    </w:p>
    <w:p w:rsidR="007F4066" w:rsidRPr="007F4066" w:rsidRDefault="007F4066" w:rsidP="007F4066">
      <w:pPr>
        <w:spacing w:line="480" w:lineRule="auto"/>
        <w:jc w:val="both"/>
        <w:rPr>
          <w:rFonts w:ascii="Times New Roman" w:eastAsia="Times New Roman" w:hAnsi="Times New Roman" w:cs="Times New Roman"/>
          <w:sz w:val="28"/>
          <w:szCs w:val="28"/>
        </w:rPr>
      </w:pPr>
    </w:p>
    <w:p w:rsidR="008D5597" w:rsidRPr="007F4066" w:rsidRDefault="008D5597" w:rsidP="007F4066">
      <w:pPr>
        <w:spacing w:line="480" w:lineRule="auto"/>
        <w:jc w:val="both"/>
        <w:rPr>
          <w:rFonts w:ascii="Times New Roman" w:eastAsia="Times New Roman" w:hAnsi="Times New Roman" w:cs="Times New Roman"/>
          <w:b/>
          <w:sz w:val="28"/>
          <w:szCs w:val="28"/>
        </w:rPr>
      </w:pPr>
    </w:p>
    <w:p w:rsidR="006F4717" w:rsidRPr="007F4066" w:rsidRDefault="006F4717" w:rsidP="007F4066">
      <w:pPr>
        <w:spacing w:line="480" w:lineRule="auto"/>
        <w:jc w:val="both"/>
        <w:rPr>
          <w:rFonts w:ascii="Times New Roman" w:eastAsia="Times New Roman" w:hAnsi="Times New Roman" w:cs="Times New Roman"/>
          <w:sz w:val="28"/>
          <w:szCs w:val="28"/>
        </w:rPr>
      </w:pPr>
    </w:p>
    <w:p w:rsidR="00871091" w:rsidRPr="007F4066" w:rsidRDefault="00871091" w:rsidP="007F4066">
      <w:pPr>
        <w:spacing w:line="480" w:lineRule="auto"/>
        <w:jc w:val="both"/>
        <w:rPr>
          <w:rFonts w:ascii="Times New Roman" w:hAnsi="Times New Roman" w:cs="Times New Roman"/>
          <w:sz w:val="28"/>
          <w:szCs w:val="28"/>
        </w:rPr>
      </w:pPr>
    </w:p>
    <w:p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w:t>
      </w:r>
      <w:proofErr w:type="spellStart"/>
      <w:r w:rsidRPr="00C3778D">
        <w:rPr>
          <w:rFonts w:ascii="Times New Roman" w:eastAsia="Times New Roman" w:hAnsi="Times New Roman" w:cs="Times New Roman"/>
          <w:sz w:val="28"/>
          <w:szCs w:val="28"/>
        </w:rPr>
        <w:t>Khalifa</w:t>
      </w:r>
      <w:proofErr w:type="spellEnd"/>
      <w:r w:rsidRPr="00C3778D">
        <w:rPr>
          <w:rFonts w:ascii="Times New Roman" w:eastAsia="Times New Roman" w:hAnsi="Times New Roman" w:cs="Times New Roman"/>
          <w:sz w:val="28"/>
          <w:szCs w:val="28"/>
        </w:rPr>
        <w:t xml:space="preserve">,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proofErr w:type="gramStart"/>
      <w:r w:rsidRPr="00C3778D">
        <w:rPr>
          <w:sz w:val="28"/>
          <w:szCs w:val="28"/>
        </w:rPr>
        <w:t>niger</w:t>
      </w:r>
      <w:proofErr w:type="spellEnd"/>
      <w:proofErr w:type="gram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w:t>
      </w:r>
      <w:proofErr w:type="spellStart"/>
      <w:r w:rsidRPr="00C3778D">
        <w:rPr>
          <w:rFonts w:ascii="Times New Roman" w:eastAsia="Times New Roman" w:hAnsi="Times New Roman" w:cs="Times New Roman"/>
          <w:sz w:val="28"/>
          <w:szCs w:val="28"/>
        </w:rPr>
        <w:t>Pharmacognosy</w:t>
      </w:r>
      <w:proofErr w:type="spellEnd"/>
      <w:r w:rsidRPr="00C3778D">
        <w:rPr>
          <w:rFonts w:ascii="Times New Roman" w:eastAsia="Times New Roman" w:hAnsi="Times New Roman" w:cs="Times New Roman"/>
          <w:sz w:val="28"/>
          <w:szCs w:val="28"/>
        </w:rPr>
        <w:t xml:space="preserve">,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2"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3" w:tgtFrame="_blank" w:history="1">
        <w:r w:rsidRPr="00C3778D">
          <w:rPr>
            <w:rFonts w:ascii="Times New Roman" w:eastAsia="Times New Roman" w:hAnsi="Times New Roman" w:cs="Times New Roman"/>
            <w:color w:val="0000FF"/>
            <w:sz w:val="28"/>
            <w:szCs w:val="28"/>
            <w:u w:val="single"/>
          </w:rPr>
          <w:t>jpsdm.journals.ekb.eg</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w:t>
      </w:r>
      <w:proofErr w:type="spellStart"/>
      <w:r w:rsidRPr="00C3778D">
        <w:rPr>
          <w:rFonts w:ascii="Times New Roman" w:eastAsia="Times New Roman" w:hAnsi="Times New Roman" w:cs="Times New Roman"/>
          <w:sz w:val="28"/>
          <w:szCs w:val="28"/>
        </w:rPr>
        <w:t>mycotoxins</w:t>
      </w:r>
      <w:proofErr w:type="spellEnd"/>
      <w:r w:rsidRPr="00C3778D">
        <w:rPr>
          <w:rFonts w:ascii="Times New Roman" w:eastAsia="Times New Roman" w:hAnsi="Times New Roman" w:cs="Times New Roman"/>
          <w:sz w:val="28"/>
          <w:szCs w:val="28"/>
        </w:rPr>
        <w:t xml:space="preserve">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4" w:tgtFrame="_new" w:history="1">
        <w:r w:rsidRPr="00C3778D">
          <w:rPr>
            <w:rFonts w:ascii="Times New Roman" w:eastAsia="Times New Roman" w:hAnsi="Times New Roman" w:cs="Times New Roman"/>
            <w:color w:val="0000FF"/>
            <w:sz w:val="28"/>
            <w:szCs w:val="28"/>
            <w:u w:val="single"/>
          </w:rPr>
          <w:t>https://doi.org/10.3390/toxins13110822</w:t>
        </w:r>
      </w:hyperlink>
      <w:hyperlink r:id="rId15" w:tgtFrame="_blank" w:history="1">
        <w:r w:rsidRPr="00C3778D">
          <w:rPr>
            <w:rFonts w:ascii="Times New Roman" w:eastAsia="Times New Roman" w:hAnsi="Times New Roman" w:cs="Times New Roman"/>
            <w:color w:val="0000FF"/>
            <w:sz w:val="28"/>
            <w:szCs w:val="28"/>
            <w:u w:val="single"/>
          </w:rPr>
          <w:t>PMC</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proofErr w:type="gramStart"/>
      <w:r w:rsidRPr="00C3778D">
        <w:rPr>
          <w:rFonts w:ascii="Times New Roman" w:eastAsia="Times New Roman" w:hAnsi="Times New Roman" w:cs="Times New Roman"/>
          <w:sz w:val="28"/>
          <w:szCs w:val="28"/>
        </w:rPr>
        <w:t>niger</w:t>
      </w:r>
      <w:proofErr w:type="spellEnd"/>
      <w:proofErr w:type="gram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6" w:tgtFrame="_new" w:history="1">
        <w:r w:rsidRPr="00C3778D">
          <w:rPr>
            <w:rFonts w:ascii="Times New Roman" w:eastAsia="Times New Roman" w:hAnsi="Times New Roman" w:cs="Times New Roman"/>
            <w:color w:val="0000FF"/>
            <w:sz w:val="28"/>
            <w:szCs w:val="28"/>
            <w:u w:val="single"/>
          </w:rPr>
          <w:t>https://doi.org/10.1111/j.1365-2672.2004.02280.x</w:t>
        </w:r>
      </w:hyperlink>
      <w:hyperlink r:id="rId17" w:tgtFrame="_blank" w:history="1">
        <w:r w:rsidRPr="00C3778D">
          <w:rPr>
            <w:rFonts w:ascii="Times New Roman" w:eastAsia="Times New Roman" w:hAnsi="Times New Roman" w:cs="Times New Roman"/>
            <w:color w:val="0000FF"/>
            <w:sz w:val="28"/>
            <w:szCs w:val="28"/>
            <w:u w:val="single"/>
          </w:rPr>
          <w:t>Environmental Microbiology</w:t>
        </w:r>
      </w:hyperlink>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w:t>
      </w:r>
      <w:proofErr w:type="spellStart"/>
      <w:r w:rsidRPr="00C3778D">
        <w:rPr>
          <w:rFonts w:ascii="Times New Roman" w:eastAsia="Times New Roman" w:hAnsi="Times New Roman" w:cs="Times New Roman"/>
          <w:sz w:val="28"/>
          <w:szCs w:val="28"/>
        </w:rPr>
        <w:t>mycotoxins</w:t>
      </w:r>
      <w:proofErr w:type="spellEnd"/>
      <w:r w:rsidRPr="00C3778D">
        <w:rPr>
          <w:rFonts w:ascii="Times New Roman" w:eastAsia="Times New Roman" w:hAnsi="Times New Roman" w:cs="Times New Roman"/>
          <w:sz w:val="28"/>
          <w:szCs w:val="28"/>
        </w:rPr>
        <w:t xml:space="preserve">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18" w:tgtFrame="_new" w:history="1">
        <w:r w:rsidRPr="00C3778D">
          <w:rPr>
            <w:rFonts w:ascii="Times New Roman" w:eastAsia="Times New Roman" w:hAnsi="Times New Roman" w:cs="Times New Roman"/>
            <w:color w:val="0000FF"/>
            <w:sz w:val="28"/>
            <w:szCs w:val="28"/>
            <w:u w:val="single"/>
          </w:rPr>
          <w:t>https://doi.org/10.3390/toxins13030198</w:t>
        </w:r>
      </w:hyperlink>
      <w:hyperlink r:id="rId19" w:tgtFrame="_blank" w:history="1">
        <w:r w:rsidRPr="00C3778D">
          <w:rPr>
            <w:rFonts w:ascii="Times New Roman" w:eastAsia="Times New Roman" w:hAnsi="Times New Roman" w:cs="Times New Roman"/>
            <w:color w:val="0000FF"/>
            <w:sz w:val="28"/>
            <w:szCs w:val="28"/>
            <w:u w:val="single"/>
          </w:rPr>
          <w:t>NCBI</w:t>
        </w:r>
      </w:hyperlink>
    </w:p>
    <w:p w:rsidR="00C3778D" w:rsidRPr="00C3778D" w:rsidRDefault="00C3778D" w:rsidP="00C3778D">
      <w:pPr>
        <w:pStyle w:val="NormalWeb"/>
        <w:spacing w:line="480" w:lineRule="auto"/>
        <w:ind w:left="720" w:hanging="720"/>
        <w:rPr>
          <w:sz w:val="28"/>
          <w:szCs w:val="28"/>
        </w:rPr>
      </w:pPr>
      <w:proofErr w:type="spellStart"/>
      <w:r w:rsidRPr="00C3778D">
        <w:rPr>
          <w:sz w:val="28"/>
          <w:szCs w:val="28"/>
        </w:rPr>
        <w:t>Oluwafemi</w:t>
      </w:r>
      <w:proofErr w:type="spellEnd"/>
      <w:r w:rsidRPr="00C3778D">
        <w:rPr>
          <w:sz w:val="28"/>
          <w:szCs w:val="28"/>
        </w:rPr>
        <w:t xml:space="preserve">,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w:t>
      </w:r>
      <w:proofErr w:type="spellStart"/>
      <w:r w:rsidRPr="00C3778D">
        <w:rPr>
          <w:sz w:val="28"/>
          <w:szCs w:val="28"/>
        </w:rPr>
        <w:t>histopathological</w:t>
      </w:r>
      <w:proofErr w:type="spellEnd"/>
      <w:r w:rsidRPr="00C3778D">
        <w:rPr>
          <w:sz w:val="28"/>
          <w:szCs w:val="28"/>
        </w:rPr>
        <w:t xml:space="preserve">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proofErr w:type="spellStart"/>
      <w:r w:rsidRPr="00C3778D">
        <w:rPr>
          <w:rStyle w:val="Emphasis"/>
          <w:sz w:val="28"/>
          <w:szCs w:val="28"/>
        </w:rPr>
        <w:t>Rhizopus</w:t>
      </w:r>
      <w:proofErr w:type="spellEnd"/>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w:t>
      </w:r>
      <w:proofErr w:type="spellStart"/>
      <w:r w:rsidRPr="00C3778D">
        <w:rPr>
          <w:rFonts w:ascii="Times New Roman" w:eastAsia="Times New Roman" w:hAnsi="Times New Roman" w:cs="Times New Roman"/>
          <w:sz w:val="28"/>
          <w:szCs w:val="28"/>
        </w:rPr>
        <w:t>Fernandes</w:t>
      </w:r>
      <w:proofErr w:type="spellEnd"/>
      <w:r w:rsidRPr="00C3778D">
        <w:rPr>
          <w:rFonts w:ascii="Times New Roman" w:eastAsia="Times New Roman" w:hAnsi="Times New Roman" w:cs="Times New Roman"/>
          <w:sz w:val="28"/>
          <w:szCs w:val="28"/>
        </w:rPr>
        <w:t xml:space="preserve">,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w:t>
      </w:r>
      <w:proofErr w:type="spellStart"/>
      <w:r w:rsidRPr="00C3778D">
        <w:rPr>
          <w:rFonts w:ascii="Times New Roman" w:eastAsia="Times New Roman" w:hAnsi="Times New Roman" w:cs="Times New Roman"/>
          <w:sz w:val="28"/>
          <w:szCs w:val="28"/>
        </w:rPr>
        <w:t>Effiong</w:t>
      </w:r>
      <w:proofErr w:type="spellEnd"/>
      <w:r w:rsidRPr="00C3778D">
        <w:rPr>
          <w:rFonts w:ascii="Times New Roman" w:eastAsia="Times New Roman" w:hAnsi="Times New Roman" w:cs="Times New Roman"/>
          <w:sz w:val="28"/>
          <w:szCs w:val="28"/>
        </w:rPr>
        <w:t xml:space="preserve">,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w:t>
      </w:r>
      <w:proofErr w:type="spellStart"/>
      <w:r w:rsidRPr="00C3778D">
        <w:rPr>
          <w:rFonts w:ascii="Times New Roman" w:eastAsia="Times New Roman" w:hAnsi="Times New Roman" w:cs="Times New Roman"/>
          <w:sz w:val="28"/>
          <w:szCs w:val="28"/>
        </w:rPr>
        <w:t>Ji</w:t>
      </w:r>
      <w:proofErr w:type="spellEnd"/>
      <w:r w:rsidRPr="00C3778D">
        <w:rPr>
          <w:rFonts w:ascii="Times New Roman" w:eastAsia="Times New Roman" w:hAnsi="Times New Roman" w:cs="Times New Roman"/>
          <w:sz w:val="28"/>
          <w:szCs w:val="28"/>
        </w:rPr>
        <w:t xml:space="preserve">, N., </w:t>
      </w:r>
      <w:proofErr w:type="spellStart"/>
      <w:r w:rsidRPr="00C3778D">
        <w:rPr>
          <w:rFonts w:ascii="Times New Roman" w:eastAsia="Times New Roman" w:hAnsi="Times New Roman" w:cs="Times New Roman"/>
          <w:sz w:val="28"/>
          <w:szCs w:val="28"/>
        </w:rPr>
        <w:t>Zou</w:t>
      </w:r>
      <w:proofErr w:type="spellEnd"/>
      <w:r w:rsidRPr="00C3778D">
        <w:rPr>
          <w:rFonts w:ascii="Times New Roman" w:eastAsia="Times New Roman" w:hAnsi="Times New Roman" w:cs="Times New Roman"/>
          <w:sz w:val="28"/>
          <w:szCs w:val="28"/>
        </w:rPr>
        <w:t>, Y</w:t>
      </w:r>
      <w:proofErr w:type="gramStart"/>
      <w:r w:rsidRPr="00C3778D">
        <w:rPr>
          <w:rFonts w:ascii="Times New Roman" w:eastAsia="Times New Roman" w:hAnsi="Times New Roman" w:cs="Times New Roman"/>
          <w:sz w:val="28"/>
          <w:szCs w:val="28"/>
        </w:rPr>
        <w:t>., ...</w:t>
      </w:r>
      <w:proofErr w:type="gramEnd"/>
      <w:r w:rsidRPr="00C3778D">
        <w:rPr>
          <w:rFonts w:ascii="Times New Roman" w:eastAsia="Times New Roman" w:hAnsi="Times New Roman" w:cs="Times New Roman"/>
          <w:sz w:val="28"/>
          <w:szCs w:val="28"/>
        </w:rPr>
        <w:t xml:space="preserve"> &amp; </w:t>
      </w:r>
      <w:proofErr w:type="spellStart"/>
      <w:r w:rsidRPr="00C3778D">
        <w:rPr>
          <w:rFonts w:ascii="Times New Roman" w:eastAsia="Times New Roman" w:hAnsi="Times New Roman" w:cs="Times New Roman"/>
          <w:sz w:val="28"/>
          <w:szCs w:val="28"/>
        </w:rPr>
        <w:t>Gao</w:t>
      </w:r>
      <w:proofErr w:type="spellEnd"/>
      <w:r w:rsidRPr="00C3778D">
        <w:rPr>
          <w:rFonts w:ascii="Times New Roman" w:eastAsia="Times New Roman" w:hAnsi="Times New Roman" w:cs="Times New Roman"/>
          <w:sz w:val="28"/>
          <w:szCs w:val="28"/>
        </w:rPr>
        <w:t xml:space="preserve">,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w:t>
      </w:r>
      <w:proofErr w:type="spellStart"/>
      <w:r w:rsidRPr="00C3778D">
        <w:rPr>
          <w:rFonts w:ascii="Times New Roman" w:eastAsia="Times New Roman" w:hAnsi="Times New Roman" w:cs="Times New Roman"/>
          <w:sz w:val="28"/>
          <w:szCs w:val="28"/>
        </w:rPr>
        <w:t>Tuite</w:t>
      </w:r>
      <w:proofErr w:type="spellEnd"/>
      <w:r w:rsidRPr="00C3778D">
        <w:rPr>
          <w:rFonts w:ascii="Times New Roman" w:eastAsia="Times New Roman" w:hAnsi="Times New Roman" w:cs="Times New Roman"/>
          <w:sz w:val="28"/>
          <w:szCs w:val="28"/>
        </w:rPr>
        <w:t xml:space="preserve">, J. (1978). </w:t>
      </w:r>
      <w:proofErr w:type="spellStart"/>
      <w:r w:rsidRPr="00C3778D">
        <w:rPr>
          <w:rFonts w:ascii="Times New Roman" w:eastAsia="Times New Roman" w:hAnsi="Times New Roman" w:cs="Times New Roman"/>
          <w:sz w:val="28"/>
          <w:szCs w:val="28"/>
        </w:rPr>
        <w:t>Mycotoxicosis</w:t>
      </w:r>
      <w:proofErr w:type="spellEnd"/>
      <w:r w:rsidRPr="00C3778D">
        <w:rPr>
          <w:rFonts w:ascii="Times New Roman" w:eastAsia="Times New Roman" w:hAnsi="Times New Roman" w:cs="Times New Roman"/>
          <w:sz w:val="28"/>
          <w:szCs w:val="28"/>
        </w:rPr>
        <w:t xml:space="preserve">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0" w:tgtFrame="_new" w:history="1">
        <w:r w:rsidRPr="00C3778D">
          <w:rPr>
            <w:rFonts w:ascii="Times New Roman" w:eastAsia="Times New Roman" w:hAnsi="Times New Roman" w:cs="Times New Roman"/>
            <w:color w:val="0000FF"/>
            <w:sz w:val="28"/>
            <w:szCs w:val="28"/>
            <w:u w:val="single"/>
          </w:rPr>
          <w:t>https://doi.org/10.1016/S0015-6264(78)80303-4</w:t>
        </w:r>
      </w:hyperlink>
      <w:hyperlink r:id="rId21" w:tgtFrame="_blank" w:history="1">
        <w:r w:rsidRPr="00C3778D">
          <w:rPr>
            <w:rFonts w:ascii="Times New Roman" w:eastAsia="Times New Roman" w:hAnsi="Times New Roman" w:cs="Times New Roman"/>
            <w:color w:val="0000FF"/>
            <w:sz w:val="28"/>
            <w:szCs w:val="28"/>
            <w:u w:val="single"/>
          </w:rPr>
          <w:t>PMC</w:t>
        </w:r>
      </w:hyperlink>
    </w:p>
    <w:p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875" w:rsidRDefault="00675875" w:rsidP="007F4066">
      <w:pPr>
        <w:spacing w:after="0" w:line="240" w:lineRule="auto"/>
      </w:pPr>
      <w:r>
        <w:separator/>
      </w:r>
    </w:p>
  </w:endnote>
  <w:endnote w:type="continuationSeparator" w:id="0">
    <w:p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052708"/>
      <w:docPartObj>
        <w:docPartGallery w:val="Page Numbers (Bottom of Page)"/>
        <w:docPartUnique/>
      </w:docPartObj>
    </w:sdtPr>
    <w:sdtEndPr>
      <w:rPr>
        <w:noProof/>
      </w:rPr>
    </w:sdtEndPr>
    <w:sdtContent>
      <w:p w:rsidR="00EA344B" w:rsidRDefault="00EA344B">
        <w:pPr>
          <w:pStyle w:val="Footer"/>
          <w:jc w:val="center"/>
        </w:pPr>
        <w:r>
          <w:fldChar w:fldCharType="begin"/>
        </w:r>
        <w:r>
          <w:instrText xml:space="preserve"> PAGE   \* MERGEFORMAT </w:instrText>
        </w:r>
        <w:r>
          <w:fldChar w:fldCharType="separate"/>
        </w:r>
        <w:r w:rsidR="004C77BE">
          <w:rPr>
            <w:noProof/>
          </w:rPr>
          <w:t>22</w:t>
        </w:r>
        <w:r>
          <w:rPr>
            <w:noProof/>
          </w:rPr>
          <w:fldChar w:fldCharType="end"/>
        </w:r>
      </w:p>
    </w:sdtContent>
  </w:sdt>
  <w:p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875" w:rsidRDefault="00675875" w:rsidP="007F4066">
      <w:pPr>
        <w:spacing w:after="0" w:line="240" w:lineRule="auto"/>
      </w:pPr>
      <w:r>
        <w:separator/>
      </w:r>
    </w:p>
  </w:footnote>
  <w:footnote w:type="continuationSeparator" w:id="0">
    <w:p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C6431"/>
    <w:rsid w:val="004C77BE"/>
    <w:rsid w:val="004D7DC1"/>
    <w:rsid w:val="004E5498"/>
    <w:rsid w:val="005044B3"/>
    <w:rsid w:val="00540A49"/>
    <w:rsid w:val="005E26F9"/>
    <w:rsid w:val="00645FF4"/>
    <w:rsid w:val="00667F15"/>
    <w:rsid w:val="00675875"/>
    <w:rsid w:val="006A334A"/>
    <w:rsid w:val="006B50E9"/>
    <w:rsid w:val="006F06DB"/>
    <w:rsid w:val="006F4717"/>
    <w:rsid w:val="0078606D"/>
    <w:rsid w:val="007A5C16"/>
    <w:rsid w:val="007D2A78"/>
    <w:rsid w:val="007F4066"/>
    <w:rsid w:val="008520E1"/>
    <w:rsid w:val="00871091"/>
    <w:rsid w:val="008A4321"/>
    <w:rsid w:val="008D5597"/>
    <w:rsid w:val="008E05E5"/>
    <w:rsid w:val="0094255A"/>
    <w:rsid w:val="0098466D"/>
    <w:rsid w:val="00986AAE"/>
    <w:rsid w:val="00A45125"/>
    <w:rsid w:val="00A636AB"/>
    <w:rsid w:val="00AE2B8E"/>
    <w:rsid w:val="00B52347"/>
    <w:rsid w:val="00B63A4F"/>
    <w:rsid w:val="00BE3C21"/>
    <w:rsid w:val="00C3778D"/>
    <w:rsid w:val="00C77AD7"/>
    <w:rsid w:val="00CC4042"/>
    <w:rsid w:val="00D13221"/>
    <w:rsid w:val="00D415F8"/>
    <w:rsid w:val="00DA0F41"/>
    <w:rsid w:val="00E233CD"/>
    <w:rsid w:val="00E23B83"/>
    <w:rsid w:val="00E71726"/>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2BBBE-D502-4B1F-A553-E680C59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psdm.journals.ekb.eg/article_347758.html?utm_source=chatgpt.com" TargetMode="External"/><Relationship Id="rId18" Type="http://schemas.openxmlformats.org/officeDocument/2006/relationships/hyperlink" Target="https://doi.org/10.3390/toxins13030198" TargetMode="External"/><Relationship Id="rId3" Type="http://schemas.openxmlformats.org/officeDocument/2006/relationships/settings" Target="settings.xml"/><Relationship Id="rId21" Type="http://schemas.openxmlformats.org/officeDocument/2006/relationships/hyperlink" Target="https://pmc.ncbi.nlm.nih.gov/articles/PMC7130234/?utm_source=chatgpt.com" TargetMode="External"/><Relationship Id="rId7" Type="http://schemas.openxmlformats.org/officeDocument/2006/relationships/footer" Target="footer1.xml"/><Relationship Id="rId12" Type="http://schemas.openxmlformats.org/officeDocument/2006/relationships/hyperlink" Target="https://jpsdm.journals.ekb.eg/article_347758.html" TargetMode="External"/><Relationship Id="rId17" Type="http://schemas.openxmlformats.org/officeDocument/2006/relationships/hyperlink" Target="https://enviromicro-journals.onlinelibrary.wiley.com/doi/10.1111/j.1365-2672.2004.02280.x?utm_source=chatgpt.com" TargetMode="External"/><Relationship Id="rId2" Type="http://schemas.openxmlformats.org/officeDocument/2006/relationships/styles" Target="styles.xml"/><Relationship Id="rId16" Type="http://schemas.openxmlformats.org/officeDocument/2006/relationships/hyperlink" Target="https://doi.org/10.1111/j.1365-2672.2004.02280.x" TargetMode="External"/><Relationship Id="rId20" Type="http://schemas.openxmlformats.org/officeDocument/2006/relationships/hyperlink" Target="https://doi.org/10.1016/S0015-6264(78)8030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pmc.ncbi.nlm.nih.gov/articles/PMC8622594/?utm_source=chatgpt.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ncbi.nlm.nih.gov/pmc/articles/PMC8001018/?utm_source=chatgpt.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3390/toxins1311082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444</TotalTime>
  <Pages>29</Pages>
  <Words>4888</Words>
  <Characters>27868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16</cp:revision>
  <dcterms:created xsi:type="dcterms:W3CDTF">2025-05-11T12:59:00Z</dcterms:created>
  <dcterms:modified xsi:type="dcterms:W3CDTF">2025-06-27T10:31:00Z</dcterms:modified>
</cp:coreProperties>
</file>