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sidR="003D49D1">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rsidR="00AB2CD7" w:rsidRDefault="00AB2CD7" w:rsidP="00AB2CD7">
      <w:pPr>
        <w:spacing w:after="0" w:line="360" w:lineRule="auto"/>
        <w:jc w:val="center"/>
        <w:rPr>
          <w:rFonts w:ascii="Times New Roman" w:hAnsi="Times New Roman" w:cs="Times New Roman"/>
          <w:b/>
          <w:sz w:val="28"/>
          <w:szCs w:val="28"/>
        </w:rPr>
      </w:pPr>
    </w:p>
    <w:p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6A21FC" w:rsidRPr="006A21FC" w:rsidRDefault="006A21FC" w:rsidP="008B7C5E">
      <w:pPr>
        <w:spacing w:line="240" w:lineRule="auto"/>
        <w:rPr>
          <w:rFonts w:ascii="Arial Black" w:hAnsi="Arial Black" w:cs="Times New Roman"/>
          <w:sz w:val="28"/>
          <w:szCs w:val="28"/>
        </w:rPr>
      </w:pPr>
    </w:p>
    <w:p w:rsidR="00395E82" w:rsidRPr="00395E82" w:rsidRDefault="00395E82" w:rsidP="00395E82">
      <w:pPr>
        <w:spacing w:line="480" w:lineRule="auto"/>
        <w:jc w:val="center"/>
        <w:rPr>
          <w:rFonts w:ascii="Times New Roman" w:hAnsi="Times New Roman" w:cs="Times New Roman"/>
          <w:b/>
          <w:sz w:val="28"/>
          <w:szCs w:val="28"/>
        </w:rPr>
      </w:pPr>
      <w:r w:rsidRPr="00395E82">
        <w:rPr>
          <w:rFonts w:ascii="Times New Roman" w:hAnsi="Times New Roman" w:cs="Times New Roman"/>
          <w:b/>
          <w:sz w:val="28"/>
          <w:szCs w:val="28"/>
        </w:rPr>
        <w:t>ADENIRAN MISTURAH ENIOLA</w:t>
      </w:r>
    </w:p>
    <w:p w:rsidR="00395E82" w:rsidRPr="00395E82" w:rsidRDefault="00F24261" w:rsidP="00395E82">
      <w:pPr>
        <w:spacing w:line="480" w:lineRule="auto"/>
        <w:jc w:val="center"/>
        <w:rPr>
          <w:rFonts w:ascii="Times New Roman" w:hAnsi="Times New Roman" w:cs="Times New Roman"/>
          <w:b/>
          <w:sz w:val="28"/>
          <w:szCs w:val="28"/>
        </w:rPr>
      </w:pPr>
      <w:r>
        <w:rPr>
          <w:rFonts w:ascii="Times New Roman" w:hAnsi="Times New Roman" w:cs="Times New Roman"/>
          <w:b/>
          <w:sz w:val="28"/>
          <w:szCs w:val="28"/>
        </w:rPr>
        <w:t>HND/23/SLT/FT/</w:t>
      </w:r>
      <w:r w:rsidR="00395E82" w:rsidRPr="00395E82">
        <w:rPr>
          <w:rFonts w:ascii="Times New Roman" w:hAnsi="Times New Roman" w:cs="Times New Roman"/>
          <w:b/>
          <w:sz w:val="28"/>
          <w:szCs w:val="28"/>
        </w:rPr>
        <w:t>0</w:t>
      </w:r>
      <w:r w:rsidR="00A86A1C">
        <w:rPr>
          <w:rFonts w:ascii="Times New Roman" w:hAnsi="Times New Roman" w:cs="Times New Roman"/>
          <w:b/>
          <w:sz w:val="28"/>
          <w:szCs w:val="28"/>
        </w:rPr>
        <w:t>1</w:t>
      </w:r>
      <w:r w:rsidR="00395E82" w:rsidRPr="00395E82">
        <w:rPr>
          <w:rFonts w:ascii="Times New Roman" w:hAnsi="Times New Roman" w:cs="Times New Roman"/>
          <w:b/>
          <w:sz w:val="28"/>
          <w:szCs w:val="28"/>
        </w:rPr>
        <w:t>78</w:t>
      </w:r>
    </w:p>
    <w:p w:rsidR="008B7C5E" w:rsidRDefault="008B7C5E" w:rsidP="008B7C5E">
      <w:pPr>
        <w:spacing w:line="240" w:lineRule="auto"/>
        <w:jc w:val="center"/>
        <w:rPr>
          <w:rFonts w:ascii="Arial Black" w:hAnsi="Arial Black" w:cs="Times New Roman"/>
          <w:sz w:val="28"/>
          <w:szCs w:val="28"/>
        </w:rPr>
      </w:pP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rsidR="006A21FC" w:rsidRDefault="006A21FC" w:rsidP="00AB2CD7">
      <w:pPr>
        <w:spacing w:after="0" w:line="360" w:lineRule="auto"/>
        <w:jc w:val="center"/>
        <w:rPr>
          <w:rFonts w:ascii="Times New Roman" w:hAnsi="Times New Roman" w:cs="Times New Roman"/>
          <w:b/>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8B7C5E" w:rsidRDefault="008B7C5E" w:rsidP="009629DD">
      <w:pPr>
        <w:spacing w:after="0" w:line="240" w:lineRule="auto"/>
        <w:jc w:val="center"/>
        <w:rPr>
          <w:rFonts w:ascii="Times New Roman" w:hAnsi="Times New Roman" w:cs="Times New Roman"/>
          <w:noProof/>
          <w:sz w:val="28"/>
          <w:szCs w:val="28"/>
        </w:rPr>
      </w:pPr>
    </w:p>
    <w:p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CERTIFICATION</w:t>
      </w:r>
    </w:p>
    <w:p w:rsidR="009629DD" w:rsidRDefault="009629DD" w:rsidP="009629DD">
      <w:pPr>
        <w:spacing w:after="0" w:line="240" w:lineRule="auto"/>
        <w:jc w:val="center"/>
        <w:rPr>
          <w:rFonts w:ascii="Times New Roman" w:hAnsi="Times New Roman" w:cs="Times New Roman"/>
          <w:sz w:val="28"/>
          <w:szCs w:val="28"/>
        </w:rPr>
      </w:pPr>
    </w:p>
    <w:p w:rsidR="008B7C5E" w:rsidRDefault="008B7C5E" w:rsidP="008B7C5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395E82">
        <w:rPr>
          <w:rFonts w:ascii="Times New Roman" w:hAnsi="Times New Roman" w:cs="Times New Roman"/>
          <w:sz w:val="28"/>
          <w:szCs w:val="28"/>
        </w:rPr>
        <w:t>ADENIRAN</w:t>
      </w:r>
      <w:r>
        <w:rPr>
          <w:rFonts w:ascii="Times New Roman" w:hAnsi="Times New Roman" w:cs="Times New Roman"/>
          <w:sz w:val="28"/>
          <w:szCs w:val="28"/>
        </w:rPr>
        <w:t xml:space="preserve"> </w:t>
      </w:r>
      <w:r w:rsidR="00395E82">
        <w:rPr>
          <w:rFonts w:ascii="Times New Roman" w:hAnsi="Times New Roman" w:cs="Times New Roman"/>
          <w:sz w:val="28"/>
          <w:szCs w:val="28"/>
        </w:rPr>
        <w:t>MISTURAH ENIOLA</w:t>
      </w:r>
      <w:r>
        <w:rPr>
          <w:rFonts w:ascii="Times New Roman" w:hAnsi="Times New Roman" w:cs="Times New Roman"/>
          <w:sz w:val="28"/>
          <w:szCs w:val="28"/>
        </w:rPr>
        <w:t xml:space="preserve"> with matric number </w:t>
      </w:r>
      <w:r w:rsidR="00F24261">
        <w:rPr>
          <w:rFonts w:ascii="Times New Roman" w:hAnsi="Times New Roman" w:cs="Times New Roman"/>
          <w:sz w:val="28"/>
          <w:szCs w:val="28"/>
        </w:rPr>
        <w:t>HND/23/SLT/FT/</w:t>
      </w:r>
      <w:r w:rsidR="00395E82">
        <w:rPr>
          <w:rFonts w:ascii="Times New Roman" w:hAnsi="Times New Roman" w:cs="Times New Roman"/>
          <w:sz w:val="28"/>
          <w:szCs w:val="28"/>
        </w:rPr>
        <w:t>0</w:t>
      </w:r>
      <w:r w:rsidR="00A86A1C">
        <w:rPr>
          <w:rFonts w:ascii="Times New Roman" w:hAnsi="Times New Roman" w:cs="Times New Roman"/>
          <w:sz w:val="28"/>
          <w:szCs w:val="28"/>
        </w:rPr>
        <w:t>1</w:t>
      </w:r>
      <w:bookmarkStart w:id="0" w:name="_GoBack"/>
      <w:bookmarkEnd w:id="0"/>
      <w:r w:rsidR="00395E82">
        <w:rPr>
          <w:rFonts w:ascii="Times New Roman" w:hAnsi="Times New Roman" w:cs="Times New Roman"/>
          <w:sz w:val="28"/>
          <w:szCs w:val="28"/>
        </w:rPr>
        <w:t>78</w:t>
      </w:r>
      <w:r>
        <w:rPr>
          <w:rFonts w:ascii="Times New Roman" w:hAnsi="Times New Roman" w:cs="Times New Roman"/>
          <w:sz w:val="28"/>
          <w:szCs w:val="28"/>
        </w:rPr>
        <w:t xml:space="preserve"> carried out in the Microbiology Unit of the Department of Science Laboratory Technology, Institute of Applied Sciences, Kwara State Polytechnic, Ilorin. The project is a true reflection of the student`s input.</w:t>
      </w:r>
    </w:p>
    <w:p w:rsidR="009629DD" w:rsidRDefault="009629DD" w:rsidP="009629DD">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rsidR="009629DD" w:rsidRDefault="009629DD" w:rsidP="009629DD">
      <w:pPr>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rsidR="009629DD" w:rsidRDefault="009629DD" w:rsidP="009629DD">
      <w:pPr>
        <w:spacing w:after="0"/>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rsidR="009629DD" w:rsidRDefault="009629DD" w:rsidP="009629DD">
      <w:pPr>
        <w:jc w:val="both"/>
        <w:rPr>
          <w:rFonts w:ascii="Times New Roman" w:hAnsi="Times New Roman" w:cs="Times New Roman"/>
          <w:sz w:val="28"/>
          <w:szCs w:val="28"/>
        </w:rPr>
      </w:pPr>
    </w:p>
    <w:p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ind w:left="2160" w:firstLine="720"/>
        <w:jc w:val="both"/>
        <w:rPr>
          <w:rFonts w:ascii="Times New Roman" w:hAnsi="Times New Roman" w:cs="Times New Roman"/>
          <w:b/>
          <w:bCs/>
          <w:sz w:val="28"/>
          <w:szCs w:val="28"/>
        </w:rPr>
      </w:pPr>
    </w:p>
    <w:p w:rsidR="008B7C5E" w:rsidRDefault="008B7C5E" w:rsidP="00AC4A5F">
      <w:pPr>
        <w:spacing w:line="480" w:lineRule="auto"/>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rsidR="00395E82" w:rsidRDefault="00395E82" w:rsidP="00395E8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research project is dedicated to Almighty Allah, the beginning and the end, the Author and finisher of my faith for sparing my life till this moment, glory be to his incomparable name. I also dedicate this project to my wonderful parents MR and </w:t>
      </w:r>
      <w:r w:rsidRPr="00395E82">
        <w:rPr>
          <w:rFonts w:ascii="Times New Roman" w:hAnsi="Times New Roman" w:cs="Times New Roman"/>
          <w:sz w:val="28"/>
          <w:szCs w:val="28"/>
        </w:rPr>
        <w:t xml:space="preserve">MRS ADENIRAN </w:t>
      </w:r>
      <w:r>
        <w:rPr>
          <w:rFonts w:ascii="Times New Roman" w:hAnsi="Times New Roman" w:cs="Times New Roman"/>
          <w:sz w:val="28"/>
          <w:szCs w:val="28"/>
        </w:rPr>
        <w:t>for their love, advice, parental care and support financially and spirituality.</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p>
    <w:p w:rsidR="00AC4A5F" w:rsidRDefault="00AC4A5F" w:rsidP="00AC4A5F">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395E82" w:rsidRDefault="00395E82" w:rsidP="00395E82">
      <w:pPr>
        <w:spacing w:line="480" w:lineRule="auto"/>
        <w:jc w:val="both"/>
        <w:rPr>
          <w:rFonts w:ascii="Times New Roman" w:hAnsi="Times New Roman" w:cs="Times New Roman"/>
          <w:sz w:val="28"/>
          <w:szCs w:val="28"/>
        </w:rPr>
      </w:pPr>
      <w:r>
        <w:rPr>
          <w:rFonts w:ascii="Times New Roman" w:hAnsi="Times New Roman" w:cs="Times New Roman"/>
          <w:sz w:val="28"/>
          <w:szCs w:val="28"/>
        </w:rPr>
        <w:t>All thanks to Almighty Allah for his protection, guidance, love, favor and grace upon me to see me through my HND program from the beginning to the end. My profound gratitude goes to my parents MR and MRS ADENIRAN for their care, support, financial help and shelter. I pray that you will live to reap the fruits of your labor. Amen. My sincere appreciation goes to my project supervisor MR OLARONGBE G.O for his constructive criticism, corrections and useful information. I pray that Almighty Allah continue to bless him and his family. Amen. Also to all my lecturers for the impactful teachings, God will reward you all. Finally, I say big thanks to all my family and friends and to the rest of my colleagues for their friendly help and support and also to everyone whom in one way or the other contributed to my success in life.</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423150" w:rsidRDefault="00423150" w:rsidP="00B00E9B">
      <w:pPr>
        <w:tabs>
          <w:tab w:val="left" w:pos="3340"/>
        </w:tabs>
        <w:spacing w:line="360" w:lineRule="auto"/>
        <w:rPr>
          <w:rFonts w:ascii="Times New Roman" w:hAnsi="Times New Roman" w:cs="Times New Roman"/>
          <w:b/>
          <w:bCs/>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p>
    <w:p w:rsidR="00AC4A5F" w:rsidRDefault="00AC4A5F" w:rsidP="00AC4A5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i</w:t>
      </w:r>
      <w:r>
        <w:rPr>
          <w:rFonts w:ascii="Times New Roman" w:hAnsi="Times New Roman" w:cs="Times New Roman"/>
          <w:sz w:val="28"/>
          <w:szCs w:val="28"/>
        </w:rPr>
        <w:t>v</w:t>
      </w:r>
      <w:r>
        <w:rPr>
          <w:rFonts w:ascii="Times New Roman" w:hAnsi="Times New Roman" w:cs="Times New Roman"/>
          <w:sz w:val="28"/>
          <w:szCs w:val="28"/>
        </w:rPr>
        <w:tab/>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viii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i</w:t>
      </w:r>
      <w:r>
        <w:rPr>
          <w:rFonts w:ascii="Times New Roman" w:hAnsi="Times New Roman" w:cs="Times New Roman"/>
          <w:sz w:val="28"/>
          <w:szCs w:val="28"/>
        </w:rPr>
        <w:t>x</w:t>
      </w:r>
    </w:p>
    <w:p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0608D4">
        <w:rPr>
          <w:rFonts w:ascii="Times New Roman" w:hAnsi="Times New Roman" w:cs="Times New Roman"/>
          <w:sz w:val="28"/>
          <w:szCs w:val="28"/>
        </w:rPr>
        <w:t>Literature review</w:t>
      </w:r>
      <w:r w:rsidR="000608D4">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13</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0D708B">
        <w:rPr>
          <w:rFonts w:ascii="Times New Roman" w:hAnsi="Times New Roman" w:cs="Times New Roman"/>
          <w:sz w:val="28"/>
          <w:szCs w:val="28"/>
        </w:rPr>
        <w:t>Problem statement</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21</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0608D4">
        <w:rPr>
          <w:rFonts w:ascii="Times New Roman" w:hAnsi="Times New Roman" w:cs="Times New Roman"/>
          <w:sz w:val="28"/>
          <w:szCs w:val="28"/>
        </w:rPr>
        <w:t>Justification of study</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22</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23</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w:t>
      </w:r>
      <w:r w:rsidR="00AC4A5F">
        <w:rPr>
          <w:rFonts w:ascii="Times New Roman" w:hAnsi="Times New Roman" w:cs="Times New Roman"/>
          <w:sz w:val="28"/>
          <w:szCs w:val="28"/>
        </w:rPr>
        <w:t>amples</w:t>
      </w:r>
      <w:r w:rsidR="007361AB">
        <w:rPr>
          <w:rFonts w:ascii="Times New Roman" w:hAnsi="Times New Roman" w:cs="Times New Roman"/>
          <w:sz w:val="28"/>
          <w:szCs w:val="28"/>
        </w:rPr>
        <w:t xml:space="preserve"> Collection</w:t>
      </w:r>
      <w:r w:rsidR="000608D4">
        <w:rPr>
          <w:rFonts w:ascii="Times New Roman" w:hAnsi="Times New Roman" w:cs="Times New Roman"/>
          <w:sz w:val="28"/>
          <w:szCs w:val="28"/>
        </w:rPr>
        <w:t xml:space="preserve"> and Location</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24</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7361AB">
        <w:rPr>
          <w:rFonts w:ascii="Times New Roman" w:hAnsi="Times New Roman" w:cs="Times New Roman"/>
          <w:sz w:val="28"/>
          <w:szCs w:val="28"/>
        </w:rPr>
        <w:t>Equipment and Environment</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3E656B">
        <w:rPr>
          <w:rFonts w:ascii="Times New Roman" w:hAnsi="Times New Roman" w:cs="Times New Roman"/>
          <w:sz w:val="28"/>
          <w:szCs w:val="28"/>
        </w:rPr>
        <w:tab/>
      </w:r>
      <w:r w:rsidR="007361AB">
        <w:rPr>
          <w:rFonts w:ascii="Times New Roman" w:hAnsi="Times New Roman" w:cs="Times New Roman"/>
          <w:sz w:val="28"/>
          <w:szCs w:val="28"/>
        </w:rPr>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3E656B">
        <w:rPr>
          <w:rFonts w:ascii="Times New Roman" w:hAnsi="Times New Roman" w:cs="Times New Roman"/>
          <w:sz w:val="28"/>
          <w:szCs w:val="28"/>
        </w:rPr>
        <w:tab/>
      </w:r>
      <w:r w:rsidR="007361AB">
        <w:rPr>
          <w:rFonts w:ascii="Times New Roman" w:hAnsi="Times New Roman" w:cs="Times New Roman"/>
          <w:sz w:val="28"/>
          <w:szCs w:val="28"/>
        </w:rPr>
        <w:t>Serial Dilution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25</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7361AB">
        <w:rPr>
          <w:rFonts w:ascii="Times New Roman" w:hAnsi="Times New Roman" w:cs="Times New Roman"/>
          <w:sz w:val="28"/>
          <w:szCs w:val="28"/>
        </w:rPr>
        <w:tab/>
        <w:t>Inoculation</w:t>
      </w:r>
      <w:r>
        <w:rPr>
          <w:rFonts w:ascii="Times New Roman" w:hAnsi="Times New Roman" w:cs="Times New Roman"/>
          <w:sz w:val="28"/>
          <w:szCs w:val="28"/>
        </w:rPr>
        <w:t xml:space="preserve">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3E656B">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26</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Sub</w:t>
      </w:r>
      <w:r w:rsidR="007361AB">
        <w:rPr>
          <w:rFonts w:ascii="Times New Roman" w:hAnsi="Times New Roman" w:cs="Times New Roman"/>
          <w:sz w:val="28"/>
          <w:szCs w:val="28"/>
        </w:rPr>
        <w:t>culturing</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28</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E656B">
        <w:rPr>
          <w:rFonts w:ascii="Times New Roman" w:hAnsi="Times New Roman" w:cs="Times New Roman"/>
          <w:sz w:val="28"/>
          <w:szCs w:val="28"/>
        </w:rPr>
        <w:tab/>
        <w:t>Toxin Extraction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29</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0608D4">
        <w:rPr>
          <w:rFonts w:ascii="Times New Roman" w:hAnsi="Times New Roman" w:cs="Times New Roman"/>
          <w:sz w:val="28"/>
          <w:szCs w:val="28"/>
        </w:rPr>
        <w:t>.9</w:t>
      </w:r>
      <w:r>
        <w:rPr>
          <w:rFonts w:ascii="Times New Roman" w:hAnsi="Times New Roman" w:cs="Times New Roman"/>
          <w:sz w:val="28"/>
          <w:szCs w:val="28"/>
        </w:rPr>
        <w:tab/>
        <w:t>Separation of Biomass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29</w:t>
      </w:r>
    </w:p>
    <w:p w:rsidR="000608D4"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E656B" w:rsidRDefault="007361AB"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3E656B">
        <w:rPr>
          <w:rFonts w:ascii="Times New Roman" w:hAnsi="Times New Roman" w:cs="Times New Roman"/>
          <w:sz w:val="28"/>
          <w:szCs w:val="28"/>
        </w:rPr>
        <w:tab/>
      </w:r>
      <w:r>
        <w:rPr>
          <w:rFonts w:ascii="Times New Roman" w:hAnsi="Times New Roman" w:cs="Times New Roman"/>
          <w:sz w:val="28"/>
          <w:szCs w:val="28"/>
        </w:rPr>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608D4">
        <w:rPr>
          <w:rFonts w:ascii="Times New Roman" w:hAnsi="Times New Roman" w:cs="Times New Roman"/>
          <w:sz w:val="28"/>
          <w:szCs w:val="28"/>
        </w:rPr>
        <w:t>30</w:t>
      </w:r>
    </w:p>
    <w:p w:rsidR="003E656B" w:rsidRDefault="003E656B"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0608D4">
        <w:rPr>
          <w:rFonts w:ascii="Times New Roman" w:hAnsi="Times New Roman" w:cs="Times New Roman"/>
          <w:sz w:val="28"/>
          <w:szCs w:val="28"/>
        </w:rPr>
        <w:t>31</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31</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lastRenderedPageBreak/>
        <w:t>3.0</w:t>
      </w:r>
      <w:r>
        <w:rPr>
          <w:rFonts w:ascii="Times New Roman" w:hAnsi="Times New Roman" w:cs="Times New Roman"/>
          <w:bCs/>
          <w:sz w:val="28"/>
          <w:szCs w:val="28"/>
        </w:rPr>
        <w:tab/>
      </w:r>
      <w:r w:rsidR="009842A0">
        <w:rPr>
          <w:rFonts w:ascii="Times New Roman" w:hAnsi="Times New Roman" w:cs="Times New Roman"/>
          <w:sz w:val="28"/>
          <w:szCs w:val="28"/>
        </w:rPr>
        <w:t>Results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323CB9">
        <w:rPr>
          <w:rFonts w:ascii="Times New Roman" w:hAnsi="Times New Roman" w:cs="Times New Roman"/>
          <w:sz w:val="28"/>
          <w:szCs w:val="28"/>
        </w:rPr>
        <w:t>Growth observation</w:t>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rsidR="00AC4A5F" w:rsidRPr="00323CB9"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23CB9">
        <w:rPr>
          <w:rFonts w:ascii="Times New Roman" w:hAnsi="Times New Roman" w:cs="Times New Roman"/>
          <w:sz w:val="28"/>
          <w:szCs w:val="28"/>
        </w:rPr>
        <w:t xml:space="preserve">Morphological and Biochemical identification of </w:t>
      </w:r>
      <w:r w:rsidR="00323CB9" w:rsidRPr="00D47597">
        <w:rPr>
          <w:rFonts w:ascii="Times New Roman" w:hAnsi="Times New Roman" w:cs="Times New Roman"/>
          <w:i/>
          <w:iCs/>
          <w:sz w:val="28"/>
          <w:szCs w:val="28"/>
        </w:rPr>
        <w:t>Bacillus</w:t>
      </w:r>
      <w:r w:rsidR="00323CB9">
        <w:rPr>
          <w:rFonts w:ascii="Times New Roman" w:hAnsi="Times New Roman" w:cs="Times New Roman"/>
          <w:sz w:val="28"/>
          <w:szCs w:val="28"/>
        </w:rPr>
        <w:t xml:space="preserve"> </w:t>
      </w:r>
      <w:r w:rsidR="00323CB9" w:rsidRPr="00D47597">
        <w:rPr>
          <w:rFonts w:ascii="Times New Roman" w:hAnsi="Times New Roman" w:cs="Times New Roman"/>
          <w:i/>
          <w:iCs/>
          <w:sz w:val="28"/>
          <w:szCs w:val="28"/>
        </w:rPr>
        <w:t>cereus</w:t>
      </w:r>
      <w:r w:rsidR="00323CB9">
        <w:rPr>
          <w:rFonts w:ascii="Times New Roman" w:hAnsi="Times New Roman" w:cs="Times New Roman"/>
          <w:sz w:val="28"/>
          <w:szCs w:val="28"/>
        </w:rPr>
        <w:tab/>
        <w:t>32</w:t>
      </w:r>
      <w:r w:rsidR="00AC4A5F">
        <w:rPr>
          <w:rFonts w:ascii="Times New Roman" w:hAnsi="Times New Roman" w:cs="Times New Roman"/>
          <w:sz w:val="28"/>
          <w:szCs w:val="28"/>
        </w:rPr>
        <w:t xml:space="preserve">                     </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sidR="000056F8">
        <w:rPr>
          <w:rFonts w:ascii="Times New Roman" w:hAnsi="Times New Roman" w:cs="Times New Roman"/>
          <w:sz w:val="28"/>
          <w:szCs w:val="28"/>
        </w:rPr>
        <w:tab/>
        <w:t>Animal Gr</w:t>
      </w:r>
      <w:r w:rsidR="009842A0">
        <w:rPr>
          <w:rFonts w:ascii="Times New Roman" w:hAnsi="Times New Roman" w:cs="Times New Roman"/>
          <w:sz w:val="28"/>
          <w:szCs w:val="28"/>
        </w:rPr>
        <w:t>ouping and Identification</w:t>
      </w:r>
      <w:r>
        <w:rPr>
          <w:rFonts w:ascii="Times New Roman" w:hAnsi="Times New Roman" w:cs="Times New Roman"/>
          <w:sz w:val="28"/>
          <w:szCs w:val="28"/>
        </w:rPr>
        <w:t xml:space="preserve"> with Toxin Concentration</w:t>
      </w:r>
      <w:r>
        <w:rPr>
          <w:rFonts w:ascii="Times New Roman" w:hAnsi="Times New Roman" w:cs="Times New Roman"/>
          <w:sz w:val="28"/>
          <w:szCs w:val="28"/>
        </w:rPr>
        <w:tab/>
      </w:r>
      <w:r>
        <w:rPr>
          <w:rFonts w:ascii="Times New Roman" w:hAnsi="Times New Roman" w:cs="Times New Roman"/>
          <w:sz w:val="28"/>
          <w:szCs w:val="28"/>
        </w:rPr>
        <w:tab/>
        <w:t>32</w:t>
      </w:r>
    </w:p>
    <w:p w:rsidR="000056F8"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323CB9" w:rsidRDefault="00323CB9" w:rsidP="00AC4A5F">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9842A0">
        <w:rPr>
          <w:rFonts w:ascii="Times New Roman" w:hAnsi="Times New Roman" w:cs="Times New Roman"/>
          <w:sz w:val="28"/>
          <w:szCs w:val="28"/>
        </w:rPr>
        <w:t>oss Pathological Findings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Pr>
          <w:rFonts w:ascii="Times New Roman" w:hAnsi="Times New Roman" w:cs="Times New Roman"/>
          <w:sz w:val="28"/>
          <w:szCs w:val="28"/>
        </w:rPr>
        <w:t>36</w:t>
      </w:r>
      <w:r w:rsidR="00AC4A5F">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9842A0">
        <w:rPr>
          <w:rFonts w:ascii="Times New Roman" w:hAnsi="Times New Roman" w:cs="Times New Roman"/>
          <w:sz w:val="28"/>
          <w:szCs w:val="28"/>
        </w:rPr>
        <w:t>iscussion and 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37</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37</w:t>
      </w:r>
      <w:r w:rsidR="00AC4A5F">
        <w:rPr>
          <w:rFonts w:ascii="Times New Roman" w:hAnsi="Times New Roman" w:cs="Times New Roman"/>
          <w:sz w:val="28"/>
          <w:szCs w:val="28"/>
        </w:rPr>
        <w:tab/>
        <w:t xml:space="preserve">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9842A0">
        <w:rPr>
          <w:rFonts w:ascii="Times New Roman" w:hAnsi="Times New Roman" w:cs="Times New Roman"/>
          <w:sz w:val="28"/>
          <w:szCs w:val="28"/>
        </w:rPr>
        <w:t>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42</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43</w:t>
      </w:r>
    </w:p>
    <w:p w:rsidR="00AC4A5F" w:rsidRDefault="00AC4A5F" w:rsidP="000C5DCC">
      <w:pPr>
        <w:tabs>
          <w:tab w:val="left" w:pos="3780"/>
        </w:tabs>
        <w:spacing w:line="480" w:lineRule="auto"/>
        <w:jc w:val="both"/>
        <w:rPr>
          <w:rFonts w:ascii="Times New Roman" w:hAnsi="Times New Roman" w:cs="Times New Roman"/>
          <w:sz w:val="28"/>
          <w:szCs w:val="28"/>
        </w:rPr>
      </w:pPr>
    </w:p>
    <w:p w:rsidR="00903995" w:rsidRDefault="00903995" w:rsidP="00AC4A5F">
      <w:pPr>
        <w:spacing w:line="480" w:lineRule="auto"/>
        <w:jc w:val="both"/>
        <w:rPr>
          <w:rFonts w:ascii="Times New Roman" w:hAnsi="Times New Roman" w:cs="Times New Roman"/>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045508" w:rsidRPr="00323CB9"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sz w:val="28"/>
          <w:szCs w:val="28"/>
        </w:rPr>
      </w:pPr>
    </w:p>
    <w:p w:rsidR="00903995" w:rsidRDefault="00903995" w:rsidP="00045508">
      <w:pPr>
        <w:spacing w:line="480" w:lineRule="auto"/>
        <w:rPr>
          <w:rFonts w:ascii="Times New Roman" w:hAnsi="Times New Roman" w:cs="Times New Roman"/>
          <w:sz w:val="28"/>
          <w:szCs w:val="28"/>
        </w:rPr>
      </w:pPr>
    </w:p>
    <w:p w:rsidR="00DD378D" w:rsidRDefault="00DD378D" w:rsidP="00045508">
      <w:pPr>
        <w:spacing w:line="480" w:lineRule="auto"/>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rsidR="00DD378D" w:rsidRPr="00041CD4" w:rsidRDefault="00DD378D" w:rsidP="00DD378D">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 xml:space="preserve">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nhe, hbl, and cytK, with varying levels of toxin expression. Rats exposed to higher toxin concentrations exhibited weight loss, reduced locomotion, and marked histological </w:t>
      </w:r>
      <w:r w:rsidRPr="00041CD4">
        <w:rPr>
          <w:rFonts w:ascii="Times New Roman" w:hAnsi="Times New Roman" w:cs="Times New Roman"/>
          <w:sz w:val="28"/>
          <w:szCs w:val="28"/>
        </w:rPr>
        <w:lastRenderedPageBreak/>
        <w:t>damage in the liver, kidneys, and intestines. Lower concentrations caused mild to moderate tissue alterations.</w:t>
      </w:r>
    </w:p>
    <w:p w:rsidR="00B00E9B" w:rsidRDefault="00B00E9B"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rsidR="00B00E9B" w:rsidRDefault="00DD378D"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Bacillus cereus, enterotoxin, toxin potency, soil isolate</w:t>
      </w:r>
      <w:r w:rsidR="00B00E9B">
        <w:rPr>
          <w:rFonts w:ascii="Times New Roman" w:hAnsi="Times New Roman" w:cs="Times New Roman"/>
          <w:sz w:val="28"/>
          <w:szCs w:val="28"/>
        </w:rPr>
        <w:t>, Rats</w:t>
      </w:r>
    </w:p>
    <w:p w:rsidR="00F24261" w:rsidRDefault="00F24261" w:rsidP="00B00E9B">
      <w:pPr>
        <w:spacing w:line="480" w:lineRule="auto"/>
        <w:jc w:val="both"/>
        <w:rPr>
          <w:rFonts w:ascii="Times New Roman" w:hAnsi="Times New Roman" w:cs="Times New Roman"/>
          <w:sz w:val="28"/>
          <w:szCs w:val="28"/>
        </w:rPr>
      </w:pPr>
    </w:p>
    <w:p w:rsidR="00F24261" w:rsidRDefault="00F24261" w:rsidP="00B00E9B">
      <w:pPr>
        <w:spacing w:line="480" w:lineRule="auto"/>
        <w:jc w:val="both"/>
        <w:rPr>
          <w:rFonts w:ascii="Times New Roman" w:hAnsi="Times New Roman" w:cs="Times New Roman"/>
          <w:sz w:val="28"/>
          <w:szCs w:val="28"/>
        </w:rPr>
      </w:pPr>
    </w:p>
    <w:p w:rsidR="00F24261" w:rsidRDefault="00F24261" w:rsidP="00B00E9B">
      <w:pPr>
        <w:spacing w:line="480" w:lineRule="auto"/>
        <w:jc w:val="both"/>
        <w:rPr>
          <w:rFonts w:ascii="Times New Roman" w:hAnsi="Times New Roman" w:cs="Times New Roman"/>
          <w:sz w:val="28"/>
          <w:szCs w:val="28"/>
        </w:rPr>
      </w:pPr>
    </w:p>
    <w:p w:rsidR="00F24261" w:rsidRDefault="00F24261" w:rsidP="00B00E9B">
      <w:pPr>
        <w:spacing w:line="480" w:lineRule="auto"/>
        <w:jc w:val="both"/>
        <w:rPr>
          <w:rFonts w:ascii="Times New Roman" w:hAnsi="Times New Roman" w:cs="Times New Roman"/>
          <w:sz w:val="28"/>
          <w:szCs w:val="28"/>
        </w:rPr>
      </w:pPr>
    </w:p>
    <w:p w:rsidR="00F24261" w:rsidRDefault="00F24261" w:rsidP="00B00E9B">
      <w:pPr>
        <w:spacing w:line="480" w:lineRule="auto"/>
        <w:jc w:val="both"/>
        <w:rPr>
          <w:rFonts w:ascii="Times New Roman" w:hAnsi="Times New Roman" w:cs="Times New Roman"/>
          <w:sz w:val="28"/>
          <w:szCs w:val="28"/>
        </w:rPr>
      </w:pPr>
    </w:p>
    <w:p w:rsidR="00F24261" w:rsidRDefault="00F24261" w:rsidP="00B00E9B">
      <w:pPr>
        <w:spacing w:line="480" w:lineRule="auto"/>
        <w:jc w:val="both"/>
        <w:rPr>
          <w:rFonts w:ascii="Times New Roman" w:hAnsi="Times New Roman" w:cs="Times New Roman"/>
          <w:sz w:val="28"/>
          <w:szCs w:val="28"/>
        </w:rPr>
      </w:pPr>
    </w:p>
    <w:p w:rsidR="00F24261" w:rsidRDefault="00F24261" w:rsidP="00B00E9B">
      <w:pPr>
        <w:spacing w:line="480" w:lineRule="auto"/>
        <w:jc w:val="both"/>
        <w:rPr>
          <w:rFonts w:ascii="Times New Roman" w:hAnsi="Times New Roman" w:cs="Times New Roman"/>
          <w:sz w:val="28"/>
          <w:szCs w:val="28"/>
        </w:rPr>
      </w:pPr>
    </w:p>
    <w:p w:rsidR="00F24261" w:rsidRDefault="00F24261" w:rsidP="00B00E9B">
      <w:pPr>
        <w:spacing w:line="480" w:lineRule="auto"/>
        <w:jc w:val="both"/>
        <w:rPr>
          <w:rFonts w:ascii="Times New Roman" w:hAnsi="Times New Roman" w:cs="Times New Roman"/>
          <w:sz w:val="28"/>
          <w:szCs w:val="28"/>
        </w:rPr>
      </w:pPr>
    </w:p>
    <w:p w:rsidR="00F24261" w:rsidRDefault="00F24261" w:rsidP="00B00E9B">
      <w:pPr>
        <w:spacing w:line="480" w:lineRule="auto"/>
        <w:jc w:val="both"/>
        <w:rPr>
          <w:rFonts w:ascii="Times New Roman" w:hAnsi="Times New Roman" w:cs="Times New Roman"/>
          <w:sz w:val="28"/>
          <w:szCs w:val="28"/>
        </w:rPr>
      </w:pPr>
    </w:p>
    <w:p w:rsidR="00F24261" w:rsidRDefault="00F24261" w:rsidP="00B00E9B">
      <w:pPr>
        <w:spacing w:line="480" w:lineRule="auto"/>
        <w:jc w:val="both"/>
        <w:rPr>
          <w:rFonts w:ascii="Times New Roman" w:hAnsi="Times New Roman" w:cs="Times New Roman"/>
          <w:sz w:val="28"/>
          <w:szCs w:val="28"/>
        </w:rPr>
      </w:pPr>
    </w:p>
    <w:p w:rsidR="00F24261" w:rsidRDefault="00F24261" w:rsidP="00B00E9B">
      <w:pPr>
        <w:spacing w:line="480" w:lineRule="auto"/>
        <w:jc w:val="both"/>
        <w:rPr>
          <w:rFonts w:ascii="Times New Roman" w:hAnsi="Times New Roman" w:cs="Times New Roman"/>
          <w:sz w:val="28"/>
          <w:szCs w:val="28"/>
        </w:rPr>
      </w:pPr>
    </w:p>
    <w:p w:rsidR="00F24261" w:rsidRDefault="00F24261" w:rsidP="00B00E9B">
      <w:pPr>
        <w:spacing w:line="480" w:lineRule="auto"/>
        <w:jc w:val="both"/>
        <w:rPr>
          <w:rFonts w:ascii="Times New Roman" w:hAnsi="Times New Roman" w:cs="Times New Roman"/>
          <w:sz w:val="28"/>
          <w:szCs w:val="28"/>
        </w:rPr>
      </w:pPr>
    </w:p>
    <w:p w:rsidR="00F24261" w:rsidRPr="00AB3921" w:rsidRDefault="00F24261" w:rsidP="00F24261">
      <w:pPr>
        <w:spacing w:line="480" w:lineRule="auto"/>
        <w:jc w:val="center"/>
        <w:rPr>
          <w:rFonts w:ascii="Times New Roman" w:hAnsi="Times New Roman" w:cs="Times New Roman"/>
          <w:sz w:val="28"/>
          <w:szCs w:val="28"/>
        </w:rPr>
      </w:pPr>
      <w:r w:rsidRPr="00AB3921">
        <w:rPr>
          <w:rFonts w:ascii="Times New Roman" w:hAnsi="Times New Roman" w:cs="Times New Roman"/>
          <w:sz w:val="28"/>
          <w:szCs w:val="28"/>
        </w:rPr>
        <w:lastRenderedPageBreak/>
        <w:t>CHAPTER ONE</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Pr="00AB3921">
        <w:rPr>
          <w:rFonts w:ascii="Times New Roman" w:hAnsi="Times New Roman" w:cs="Times New Roman"/>
          <w:sz w:val="28"/>
          <w:szCs w:val="28"/>
        </w:rPr>
        <w:t xml:space="preserve">INTRODUCTION </w:t>
      </w:r>
    </w:p>
    <w:p w:rsidR="00F24261" w:rsidRPr="00370CC3"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sidRPr="00101485">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Vos, 2022). Within this genus, </w:t>
      </w:r>
      <w:r w:rsidRPr="00101485">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sidRPr="00101485">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immunocompromised individuals (Ceuppens et al., 2019). Its resilience is enhanced by its ability to form spores and secrete bioactive compounds, making it a focus of public health and microbiological research. The capacity of soil-borne </w:t>
      </w:r>
      <w:r w:rsidRPr="00B02EBB">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necessitates further investigation into its toxicological profile and ecological behavior.</w:t>
      </w:r>
    </w:p>
    <w:p w:rsidR="00F24261" w:rsidRPr="00AB3921" w:rsidRDefault="00F24261" w:rsidP="00F24261">
      <w:pPr>
        <w:spacing w:line="480" w:lineRule="auto"/>
        <w:jc w:val="both"/>
        <w:rPr>
          <w:rFonts w:ascii="Times New Roman" w:hAnsi="Times New Roman" w:cs="Times New Roman"/>
          <w:sz w:val="28"/>
          <w:szCs w:val="28"/>
        </w:rPr>
      </w:pPr>
      <w:r w:rsidRPr="00064674">
        <w:rPr>
          <w:rFonts w:ascii="Times New Roman" w:hAnsi="Times New Roman" w:cs="Times New Roman"/>
          <w:i/>
          <w:iCs/>
          <w:sz w:val="28"/>
          <w:szCs w:val="28"/>
        </w:rPr>
        <w:lastRenderedPageBreak/>
        <w:t>Bacillus cereus</w:t>
      </w:r>
      <w:r w:rsidRPr="00AB3921">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(Gdoura-Ben Amor et al., 2019). It is a member of the </w:t>
      </w:r>
      <w:r w:rsidRPr="00B02EBB">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group, a genetically close cluster of bacteria notable species such as </w:t>
      </w:r>
      <w:r w:rsidRPr="00B02EBB">
        <w:rPr>
          <w:rFonts w:ascii="Times New Roman" w:hAnsi="Times New Roman" w:cs="Times New Roman"/>
          <w:i/>
          <w:iCs/>
          <w:sz w:val="28"/>
          <w:szCs w:val="28"/>
        </w:rPr>
        <w:t>Bacillus anthracis</w:t>
      </w:r>
      <w:r w:rsidRPr="00AB3921">
        <w:rPr>
          <w:rFonts w:ascii="Times New Roman" w:hAnsi="Times New Roman" w:cs="Times New Roman"/>
          <w:sz w:val="28"/>
          <w:szCs w:val="28"/>
        </w:rPr>
        <w:t xml:space="preserve"> and </w:t>
      </w:r>
      <w:r w:rsidRPr="00B02EBB">
        <w:rPr>
          <w:rFonts w:ascii="Times New Roman" w:hAnsi="Times New Roman" w:cs="Times New Roman"/>
          <w:i/>
          <w:iCs/>
          <w:sz w:val="28"/>
          <w:szCs w:val="28"/>
        </w:rPr>
        <w:t>Bacillus thuringiensis</w:t>
      </w:r>
      <w:r w:rsidRPr="00AB3921">
        <w:rPr>
          <w:rFonts w:ascii="Times New Roman" w:hAnsi="Times New Roman" w:cs="Times New Roman"/>
          <w:sz w:val="28"/>
          <w:szCs w:val="28"/>
        </w:rPr>
        <w:t xml:space="preserve">. These organisms, while genetically similar, vary significantly in their ecological niches, pathogenic potential, and toxin production profiles. </w:t>
      </w:r>
      <w:r w:rsidRPr="00456266">
        <w:rPr>
          <w:rFonts w:ascii="Times New Roman" w:hAnsi="Times New Roman" w:cs="Times New Roman"/>
          <w:i/>
          <w:iCs/>
          <w:sz w:val="28"/>
          <w:szCs w:val="28"/>
        </w:rPr>
        <w:t>B. cereus</w:t>
      </w:r>
      <w:r w:rsidRPr="00AB3921">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cereulide, a heat-stable, ring-structured depsipeptide that resists proteolytic degradation and gastric acid. The diarrheal syndrome results from enterotoxins such as hemolysin BL (Hbl), non-hemolytic enterotoxin (Nhe), and cytotoxin K (CytK), all of which disrupt cellular integrity and stimulate inflammatory responses in the intestinal epithelium (Buehner et al., 2020). While traditionally classified as a cause of self-limiting food poisoning,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endophthalmitis, bacteremia, pneumonia, and meningitis (Li et al., 2020). The taxonomic classification of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has evolved with the advent of molecular tools. </w:t>
      </w:r>
      <w:r w:rsidRPr="00AB3921">
        <w:rPr>
          <w:rFonts w:ascii="Times New Roman" w:hAnsi="Times New Roman" w:cs="Times New Roman"/>
          <w:sz w:val="28"/>
          <w:szCs w:val="28"/>
        </w:rPr>
        <w:lastRenderedPageBreak/>
        <w:t xml:space="preserve">Phylogenomic analyses based on conserved housekeeping genes and whole-genome sequencing have elucidated the close evolutionary relationship among </w:t>
      </w:r>
      <w:r w:rsidRPr="00902AFB">
        <w:rPr>
          <w:rFonts w:ascii="Times New Roman" w:hAnsi="Times New Roman" w:cs="Times New Roman"/>
          <w:i/>
          <w:iCs/>
          <w:sz w:val="28"/>
          <w:szCs w:val="28"/>
        </w:rPr>
        <w:t>B. cereus, B. anthracis</w:t>
      </w:r>
      <w:r w:rsidRPr="00AB3921">
        <w:rPr>
          <w:rFonts w:ascii="Times New Roman" w:hAnsi="Times New Roman" w:cs="Times New Roman"/>
          <w:sz w:val="28"/>
          <w:szCs w:val="28"/>
        </w:rPr>
        <w:t xml:space="preserve">, and </w:t>
      </w:r>
      <w:r w:rsidRPr="00902AFB">
        <w:rPr>
          <w:rFonts w:ascii="Times New Roman" w:hAnsi="Times New Roman" w:cs="Times New Roman"/>
          <w:i/>
          <w:iCs/>
          <w:sz w:val="28"/>
          <w:szCs w:val="28"/>
        </w:rPr>
        <w:t>B. thuringiensi</w:t>
      </w:r>
      <w:r w:rsidRPr="00AB3921">
        <w:rPr>
          <w:rFonts w:ascii="Times New Roman" w:hAnsi="Times New Roman" w:cs="Times New Roman"/>
          <w:sz w:val="28"/>
          <w:szCs w:val="28"/>
        </w:rPr>
        <w:t xml:space="preserve">s,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sidRPr="00797372">
        <w:rPr>
          <w:rFonts w:ascii="Times New Roman" w:hAnsi="Times New Roman" w:cs="Times New Roman"/>
          <w:i/>
          <w:iCs/>
          <w:sz w:val="28"/>
          <w:szCs w:val="28"/>
        </w:rPr>
        <w:t>B. cereu</w:t>
      </w:r>
      <w:r w:rsidRPr="00AB3921">
        <w:rPr>
          <w:rFonts w:ascii="Times New Roman" w:hAnsi="Times New Roman" w:cs="Times New Roman"/>
          <w:sz w:val="28"/>
          <w:szCs w:val="28"/>
        </w:rPr>
        <w:t xml:space="preserve">s, toxin gene clusters are variably distributed among strains, and their expression is influenced by environmental factors such as temperature, pH, oxygen availability, and nutrient composition (Ehling-Schulz et al., 2019). The enterotoxins are secreted proteins that act through pore formation, enzymatic degradation, and immune modulation, leading to cytotoxicity and inflammation. Cereulide, on the other hand, is synthesized non-ribosomally by a modular peptide synthetase and acts as a potassium ionophore that disrupts mitochondrial membrane potential, leading to hepatotoxicity and mitochondrial dysfunction (Ducrest et al., 2019). The ecology of </w:t>
      </w:r>
      <w:r w:rsidRPr="000D5963">
        <w:rPr>
          <w:rFonts w:ascii="Times New Roman" w:hAnsi="Times New Roman" w:cs="Times New Roman"/>
          <w:i/>
          <w:iCs/>
          <w:sz w:val="28"/>
          <w:szCs w:val="28"/>
        </w:rPr>
        <w:t>B. cereus</w:t>
      </w:r>
      <w:r w:rsidRPr="00AB3921">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sidRPr="000D5963">
        <w:rPr>
          <w:rFonts w:ascii="Times New Roman" w:hAnsi="Times New Roman" w:cs="Times New Roman"/>
          <w:i/>
          <w:iCs/>
          <w:sz w:val="28"/>
          <w:szCs w:val="28"/>
        </w:rPr>
        <w:t xml:space="preserve"> B. cereus</w:t>
      </w:r>
      <w:r w:rsidRPr="00AB3921">
        <w:rPr>
          <w:rFonts w:ascii="Times New Roman" w:hAnsi="Times New Roman" w:cs="Times New Roman"/>
          <w:sz w:val="28"/>
          <w:szCs w:val="28"/>
        </w:rPr>
        <w:t xml:space="preserve"> is known to form </w:t>
      </w:r>
      <w:r w:rsidRPr="00AB3921">
        <w:rPr>
          <w:rFonts w:ascii="Times New Roman" w:hAnsi="Times New Roman" w:cs="Times New Roman"/>
          <w:sz w:val="28"/>
          <w:szCs w:val="28"/>
        </w:rPr>
        <w:lastRenderedPageBreak/>
        <w:t xml:space="preserve">biofilms on surfaces such as stainless steel and plastic, posing significant challenges in healthcare and food industries (Carvalho et al., 2020). Its presence in foods such as rice, pasta, milk, spices, and vegetables makes it a persistent threat to food safety. Several outbreaks of foodborne illness have been linked to the consumption of improperly stored or reheated foods contaminated with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especially those with high carbohydrate content that supports rapid bacterial growth and cereulide production (Bartoszewicz et al., 2019). Despite its notoriety in food microbiology,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(Kovac et al., 2020). Thus, the use of animal models, particularly rats, has become indispensable for elucidating the systemic effects of these toxins. Rats are commonly used in toxicological research due to their well-characterized physiology, manageable size, and the availability of </w:t>
      </w:r>
      <w:r w:rsidRPr="00AB3921">
        <w:rPr>
          <w:rFonts w:ascii="Times New Roman" w:hAnsi="Times New Roman" w:cs="Times New Roman"/>
          <w:sz w:val="28"/>
          <w:szCs w:val="28"/>
        </w:rPr>
        <w:lastRenderedPageBreak/>
        <w:t xml:space="preserve">standardized protocols for histopathology, blood chemistry, and behavioral studies. Experimental exposure to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w:t>
      </w:r>
      <w:r>
        <w:rPr>
          <w:rFonts w:ascii="Times New Roman" w:hAnsi="Times New Roman" w:cs="Times New Roman"/>
          <w:sz w:val="28"/>
          <w:szCs w:val="28"/>
        </w:rPr>
        <w:t xml:space="preserve">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rsidR="00F24261" w:rsidRPr="00AB3921" w:rsidRDefault="00F24261" w:rsidP="00F2426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widespread distribution and environmental resilience of </w:t>
      </w:r>
      <w:r w:rsidRPr="0084041F">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contribute significantly to its role in toxin-related illnesses and outbreaks. As a facultative anaerobe,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(Osimani et al., 2018). Its presence in processed foods, dairy products, and cooked meals underscores the need for rigorous hygiene and monitoring protocols. The emetic toxin cereulide, in particular, poses a major public health concern because of its thermostability and resistance to enzymatic digestion, allowing it to remain active even after conventional cooking. This trait distinguishes cereulide from the enterotoxins and </w:t>
      </w:r>
      <w:r w:rsidRPr="00AB3921">
        <w:rPr>
          <w:rFonts w:ascii="Times New Roman" w:hAnsi="Times New Roman" w:cs="Times New Roman"/>
          <w:sz w:val="28"/>
          <w:szCs w:val="28"/>
        </w:rPr>
        <w:lastRenderedPageBreak/>
        <w:t>has been associated with severe poisoning cases involving liver failure, mitochondrial toxicity, and encephalopathy (Messelhäußer &amp; Ehling-Schulz, 2018).</w:t>
      </w:r>
      <w:r>
        <w:rPr>
          <w:rFonts w:ascii="Times New Roman" w:hAnsi="Times New Roman" w:cs="Times New Roman"/>
          <w:sz w:val="28"/>
          <w:szCs w:val="28"/>
        </w:rPr>
        <w:t xml:space="preserve"> </w:t>
      </w:r>
      <w:r w:rsidRPr="00AB3921">
        <w:rPr>
          <w:rFonts w:ascii="Times New Roman" w:hAnsi="Times New Roman" w:cs="Times New Roman"/>
          <w:sz w:val="28"/>
          <w:szCs w:val="28"/>
        </w:rPr>
        <w:t xml:space="preserve">Understanding the molecular genetics of toxin biosynthesis in </w:t>
      </w:r>
      <w:r w:rsidRPr="00E77B3C">
        <w:rPr>
          <w:rFonts w:ascii="Times New Roman" w:hAnsi="Times New Roman" w:cs="Times New Roman"/>
          <w:i/>
          <w:iCs/>
          <w:sz w:val="28"/>
          <w:szCs w:val="28"/>
        </w:rPr>
        <w:t>B. cereus</w:t>
      </w:r>
      <w:r w:rsidRPr="00AB3921">
        <w:rPr>
          <w:rFonts w:ascii="Times New Roman" w:hAnsi="Times New Roman" w:cs="Times New Roman"/>
          <w:sz w:val="28"/>
          <w:szCs w:val="28"/>
        </w:rPr>
        <w:t xml:space="preserve"> is critical to comprehending its virulence. The genes responsible for enterotoxin production, such as nhe, hbl, and cytK, are often found on chromosomal loci, and their expression is regulated by complex transcriptional regulators including PlcR, a pleiotropic regulator that coordinates the expression of virulence-associated genes (Celandroni et al., 2020). Meanwhile, the ces gene cluster, responsible for cereulide biosynthesis, is located on plasmids mobile genetic elements capable of horizontal transfer between strains. This plasmid-encoded nature contributes to the dissemination of emetic traits across diverse </w:t>
      </w:r>
      <w:r w:rsidRPr="007E431A">
        <w:rPr>
          <w:rFonts w:ascii="Times New Roman" w:hAnsi="Times New Roman" w:cs="Times New Roman"/>
          <w:i/>
          <w:iCs/>
          <w:sz w:val="28"/>
          <w:szCs w:val="28"/>
        </w:rPr>
        <w:t>B. cereus</w:t>
      </w:r>
      <w:r w:rsidRPr="00AB3921">
        <w:rPr>
          <w:rFonts w:ascii="Times New Roman" w:hAnsi="Times New Roman" w:cs="Times New Roman"/>
          <w:sz w:val="28"/>
          <w:szCs w:val="28"/>
        </w:rPr>
        <w:t xml:space="preserve"> populations. Notably, only a minority of strains carry the ces genes, yet their public health relevance is disproportionately high due to the severity of emetic outbreaks (Rouzeau-Szynalski et al., 2020). In microbiological practice, the identification of </w:t>
      </w:r>
      <w:r w:rsidRPr="007741C8">
        <w:rPr>
          <w:rFonts w:ascii="Times New Roman" w:hAnsi="Times New Roman" w:cs="Times New Roman"/>
          <w:i/>
          <w:iCs/>
          <w:sz w:val="28"/>
          <w:szCs w:val="28"/>
        </w:rPr>
        <w:t>B. cereus</w:t>
      </w:r>
      <w:r w:rsidRPr="00AB3921">
        <w:rPr>
          <w:rFonts w:ascii="Times New Roman" w:hAnsi="Times New Roman" w:cs="Times New Roman"/>
          <w:sz w:val="28"/>
          <w:szCs w:val="28"/>
        </w:rPr>
        <w:t xml:space="preserve"> typically involves culture on selective media such as Mannitol Egg Yolk Polymyxin (MYP) agar, where its characteristic lecithinase-positive, mannitol-negative colonies can be distinguished. However, traditional phenotypic methods often fall short in differentiating </w:t>
      </w:r>
      <w:r w:rsidRPr="007741C8">
        <w:rPr>
          <w:rFonts w:ascii="Times New Roman" w:hAnsi="Times New Roman" w:cs="Times New Roman"/>
          <w:i/>
          <w:iCs/>
          <w:sz w:val="28"/>
          <w:szCs w:val="28"/>
        </w:rPr>
        <w:t xml:space="preserve">B. cereus </w:t>
      </w:r>
      <w:r w:rsidRPr="00AB3921">
        <w:rPr>
          <w:rFonts w:ascii="Times New Roman" w:hAnsi="Times New Roman" w:cs="Times New Roman"/>
          <w:sz w:val="28"/>
          <w:szCs w:val="28"/>
        </w:rPr>
        <w:t xml:space="preserve">from closely related species, necessitating the use of molecular tools. Polymerase chain reaction (PCR), real-time quantitative PCR (qPCR), and sequencing of 16S rRNA, gyrB, and panC genes are commonly employed to ensure accurate </w:t>
      </w:r>
      <w:r w:rsidRPr="00AB3921">
        <w:rPr>
          <w:rFonts w:ascii="Times New Roman" w:hAnsi="Times New Roman" w:cs="Times New Roman"/>
          <w:sz w:val="28"/>
          <w:szCs w:val="28"/>
        </w:rPr>
        <w:lastRenderedPageBreak/>
        <w:t xml:space="preserve">identification and strain typing (Hoton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 Importantly, </w:t>
      </w:r>
      <w:r w:rsidRPr="007741C8">
        <w:rPr>
          <w:rFonts w:ascii="Times New Roman" w:hAnsi="Times New Roman" w:cs="Times New Roman"/>
          <w:i/>
          <w:iCs/>
          <w:sz w:val="28"/>
          <w:szCs w:val="28"/>
        </w:rPr>
        <w:t>B. cereus’s</w:t>
      </w:r>
      <w:r w:rsidRPr="00AB3921">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cereulide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rsidR="00F24261" w:rsidRPr="00AB3921" w:rsidRDefault="00F24261" w:rsidP="00F2426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toxicological evaluation of </w:t>
      </w:r>
      <w:r w:rsidRPr="00BA729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are crucial for understanding toxin pathogenicity. Previous studies using rat models have demonstrated that exposure to cereulide leads to mitochondrial swelling, hepatic </w:t>
      </w:r>
      <w:r w:rsidRPr="00AB3921">
        <w:rPr>
          <w:rFonts w:ascii="Times New Roman" w:hAnsi="Times New Roman" w:cs="Times New Roman"/>
          <w:sz w:val="28"/>
          <w:szCs w:val="28"/>
        </w:rPr>
        <w:lastRenderedPageBreak/>
        <w:t xml:space="preserve">necrosis, and inflammatory infiltration in various tissues, mimicking severe outcomes observed in human cases (Vangoitsenhoven et al., 2019). Furthermore, enterotoxin exposure in rats has been associated with disruption of intestinal barrier function, leukocyte infiltration, and altered cytokine expression, providing evidence for their proinflammatory and cytolytic roles. These insights are instrumental in validating the health risks posed by toxin-producing strains, especially in scenarios where vulnerable populations may be at heightened risk. Aside from clinical significance,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have also been explored for their biochemical properties and potential applications. For instance, cereulide’s ionophoric action has been studied in the context of mitochondrial research and its structural analogues have been considered as biochemical probes (Marxen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colony-forming units (CFU) per gram. </w:t>
      </w:r>
      <w:r>
        <w:rPr>
          <w:rFonts w:ascii="Times New Roman" w:hAnsi="Times New Roman" w:cs="Times New Roman"/>
          <w:sz w:val="28"/>
          <w:szCs w:val="28"/>
        </w:rPr>
        <w:t>The European Food Safety Authority (EFSA) recommends that Bacillus cereus levels in ready-to-eat foods should be below 10³ CFU/g, as levels above this may pose a health risk (EFSA BIOHAZ Panel, 2020).</w:t>
      </w:r>
      <w:r w:rsidRPr="00AB3921">
        <w:rPr>
          <w:rFonts w:ascii="Times New Roman" w:hAnsi="Times New Roman" w:cs="Times New Roman"/>
          <w:sz w:val="28"/>
          <w:szCs w:val="28"/>
        </w:rPr>
        <w:t xml:space="preserve"> Still, outbreaks continue to occur, often due to lapses in storage, improper heating, </w:t>
      </w:r>
      <w:r w:rsidRPr="00AB3921">
        <w:rPr>
          <w:rFonts w:ascii="Times New Roman" w:hAnsi="Times New Roman" w:cs="Times New Roman"/>
          <w:sz w:val="28"/>
          <w:szCs w:val="28"/>
        </w:rPr>
        <w:lastRenderedPageBreak/>
        <w:t xml:space="preserve">and insufficient detection protocols. The importance of a robust experimental design to assess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toxicity cannot be overstated. This research aims to isolate and identify native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(López et al., 2022). Additionally, this research could contribute to the refinement of diagnostic tools and the formulation of intervention strategies aimed at reducing foodborne illnesses caused by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w:t>
      </w:r>
    </w:p>
    <w:p w:rsidR="00F24261" w:rsidRPr="00AB3921" w:rsidRDefault="00F24261" w:rsidP="00F2426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use of animal models, especially rats, offers a critical platform for assessing the systemic toxicity of </w:t>
      </w:r>
      <w:r w:rsidRPr="00D76B83">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dose-dependent effects and pathological consequences. Investigations have shown that cereulide, the emetic toxin, causes mitochondrial dysfunction by forming cation-selective pores in </w:t>
      </w:r>
      <w:r w:rsidRPr="00AB3921">
        <w:rPr>
          <w:rFonts w:ascii="Times New Roman" w:hAnsi="Times New Roman" w:cs="Times New Roman"/>
          <w:sz w:val="28"/>
          <w:szCs w:val="28"/>
        </w:rPr>
        <w:lastRenderedPageBreak/>
        <w:t xml:space="preserve">membranes, disrupting ATP synthesis, and initiating apoptosis in hepatocytes and other vital cells (Vangoitsenhoven et al., 2019). When administered to rats, cereulide induces liver damage, brain edema, and gastrointestinal inflammation mirroring severe clinical symptoms in humans. Similarly, enterotoxins such as Hbl and Nhe have been implicated in epithelial disruption and immune responses in rodent models, revealing their cytotoxic and enteropathogenic potential (Ceuppens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(López et al., 2022). </w:t>
      </w:r>
    </w:p>
    <w:p w:rsidR="00F24261" w:rsidRDefault="00F24261" w:rsidP="00F2426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study of </w:t>
      </w:r>
      <w:r w:rsidRPr="00651AA6">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toxicity also holds growing significance in the context of food safety and biosecurity. As a spore-forming bacterium,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can withstand environmental stressors such as heat, desiccation, and chemical disinfectants, making it a persistent threat in food processing and hospital </w:t>
      </w:r>
      <w:r w:rsidRPr="00AB3921">
        <w:rPr>
          <w:rFonts w:ascii="Times New Roman" w:hAnsi="Times New Roman" w:cs="Times New Roman"/>
          <w:sz w:val="28"/>
          <w:szCs w:val="28"/>
        </w:rPr>
        <w:lastRenderedPageBreak/>
        <w:t xml:space="preserve">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(Tallent et al., 2016). Additionally,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has been identified in hospital-acquired infections, where its spores resist standard disinfection protocols, posing risks to immunocompromised patients (Celandroni et al., 2020). The public health burden of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 In this light, the current research aims not only to confirm the presence and toxicity of B. cereus isolates but also to support the development of risk models and intervention strategies. By utilizing rat models to simulate toxin exposure, the study bridges the </w:t>
      </w:r>
      <w:r w:rsidRPr="00AB3921">
        <w:rPr>
          <w:rFonts w:ascii="Times New Roman" w:hAnsi="Times New Roman" w:cs="Times New Roman"/>
          <w:sz w:val="28"/>
          <w:szCs w:val="28"/>
        </w:rPr>
        <w:lastRenderedPageBreak/>
        <w:t>gap between laboratory findings and real-world health implications, reinforcing the necessity for multidisciplinary approaches in managing foodborne pathogens.</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sidRPr="006020B1">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(Fricker et al., 2020). PCR allows for rapid screening of genes encoding cereulide synthetase (ces), non-hemolytic enterotoxin (nhe), hemolysin BL (hbl), and cytotoxin K (cytK), offering precise genetic identification. ELISA assays complement this by detecting the actual toxin proteins, while LC-MS provides quantitative and structural data, especially for cereulide. Together, these tools facilitate the confirmation of toxigenic </w:t>
      </w:r>
      <w:r w:rsidRPr="008B400B">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 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to genetic diversity, horizontal gene transfer, or selective pressures (Guinebretière et al., 2017). This has reinforced the call for localized studies that not only identify toxigenic strains but also assess their actual </w:t>
      </w:r>
      <w:r>
        <w:rPr>
          <w:rFonts w:ascii="Times New Roman" w:hAnsi="Times New Roman" w:cs="Times New Roman"/>
          <w:sz w:val="28"/>
          <w:szCs w:val="28"/>
        </w:rPr>
        <w:lastRenderedPageBreak/>
        <w:t xml:space="preserve">pathogenic potential under real-life exposure scenarios. This study, therefore, integrates classical microbiological methods with modern molecular diagnostics and animal modeling to provide a comprehensive evaluation of </w:t>
      </w:r>
      <w:r w:rsidRPr="0020432C">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xml:space="preserve">, particularly strains isolated from soil environments, possess potent toxigenic potential. Research has consistently shown that these environmental strains are capable of producing a wide array of toxins, including non-hemolytic enterotoxin (Nhe), hemolysin BL (Hbl), and cytotoxin K (CytK), which contribute significantly to their pathogenicity (Messelhäußer &amp; Ehling-Schulz, 2018). In one foundational experiment, Chen et al. (2024)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gene. Using PCR-based gene detection followed by ELISA quantification, their study showed that the presence of these genes strongly correlated with actual toxin production under laboratory conditions. In another soil-based study, Chaves et al. (2019) evaluated the </w:t>
      </w:r>
      <w:r>
        <w:rPr>
          <w:rFonts w:ascii="Times New Roman" w:hAnsi="Times New Roman" w:cs="Times New Roman"/>
          <w:sz w:val="28"/>
          <w:szCs w:val="28"/>
        </w:rPr>
        <w:lastRenderedPageBreak/>
        <w:t xml:space="preserve">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nhe and hbl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(2023)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conditions mimicking foodborne transmission scenarios. Nearly 60% of strains demonstrated high expression levels of nheA and hblD genes, indicating a strong potential for toxin production even outside food matrices.</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(2023) conducted an in vivo study using Wistar rats to evaluate the systemic 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w:t>
      </w:r>
      <w:r>
        <w:rPr>
          <w:rFonts w:ascii="Times New Roman" w:hAnsi="Times New Roman" w:cs="Times New Roman"/>
          <w:sz w:val="28"/>
          <w:szCs w:val="28"/>
        </w:rPr>
        <w:lastRenderedPageBreak/>
        <w:t xml:space="preserve">integrity. Serum analysis also showed elevated levels of ALT and AST enzymes, suggesting liver stress induced by toxin exposure. Similar findings were reported by Elhariry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Nhe and CytK through immunoblot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confirmed elevated cytokine levels (IL-6, TNF-α), indicating systemic inflammatory responses. Beyond rodent models, experimental infection using insect larvae such as Galleria mellonella and mosquito larvae has also been utilized. Although the focus of this research project is on rat models, these insect assays provide additional confirmation of toxin </w:t>
      </w:r>
      <w:r>
        <w:rPr>
          <w:rFonts w:ascii="Times New Roman" w:hAnsi="Times New Roman" w:cs="Times New Roman"/>
          <w:sz w:val="28"/>
          <w:szCs w:val="28"/>
        </w:rPr>
        <w:lastRenderedPageBreak/>
        <w:t>potency. In a study by Okshevsky et al. (2023),</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hbl and nhe.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Abolghait &amp; El-Gazzar (2023)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Altayar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w:t>
      </w:r>
      <w:r>
        <w:rPr>
          <w:rFonts w:ascii="Times New Roman" w:hAnsi="Times New Roman" w:cs="Times New Roman"/>
          <w:sz w:val="28"/>
          <w:szCs w:val="28"/>
        </w:rPr>
        <w:lastRenderedPageBreak/>
        <w:t xml:space="preserve">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nhe and cytK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toxigenicity, particularly from soil-origin isolates, several crucial gaps remain in understanding its full pathogenic 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w:t>
      </w:r>
      <w:r>
        <w:rPr>
          <w:rFonts w:ascii="Times New Roman" w:hAnsi="Times New Roman" w:cs="Times New Roman"/>
          <w:sz w:val="28"/>
          <w:szCs w:val="28"/>
        </w:rPr>
        <w:lastRenderedPageBreak/>
        <w:t xml:space="preserve">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(Elhariry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Abolghait &amp; El-Gazzar (2023), have investigated how abiotic stressors influence </w:t>
      </w:r>
      <w:r>
        <w:rPr>
          <w:rFonts w:ascii="Times New Roman" w:hAnsi="Times New Roman" w:cs="Times New Roman"/>
          <w:sz w:val="28"/>
          <w:szCs w:val="28"/>
        </w:rPr>
        <w:lastRenderedPageBreak/>
        <w:t xml:space="preserve">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metagenomics and transcriptomics could offer critical insights into these interactions, especially in live animal models (Liu et al., 2021).</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(Ehling-Schulz et al., 2019). The dichotomy primarily stems from 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B. thuringiensis</w:t>
      </w:r>
      <w:r>
        <w:rPr>
          <w:rFonts w:ascii="Times New Roman" w:hAnsi="Times New Roman" w:cs="Times New Roman"/>
          <w:sz w:val="28"/>
          <w:szCs w:val="28"/>
        </w:rPr>
        <w:t xml:space="preserve">, a widely used biopesticide known for its crystal protein toxicity against insects. Some scholars, like Lindbäck et al. </w:t>
      </w:r>
      <w:r>
        <w:rPr>
          <w:rFonts w:ascii="Times New Roman" w:hAnsi="Times New Roman" w:cs="Times New Roman"/>
          <w:sz w:val="28"/>
          <w:szCs w:val="28"/>
        </w:rPr>
        <w:lastRenderedPageBreak/>
        <w:t xml:space="preserve">(2024),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Hbl (hemolysin BL), Nhe (non-hemolytic enterotoxin), and CytK (cytotoxin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enterotoxigenic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w:t>
      </w:r>
      <w:r>
        <w:rPr>
          <w:rFonts w:ascii="Times New Roman" w:hAnsi="Times New Roman" w:cs="Times New Roman"/>
          <w:sz w:val="28"/>
          <w:szCs w:val="28"/>
        </w:rPr>
        <w:lastRenderedPageBreak/>
        <w:t xml:space="preserve">of B. cereus counts in food and feed. While the European Union maintains a stringent threshold of &lt;10^3 CFU/g in ready-to-eat foods, some regulatory agencies accept higher counts under the assumption that not all strains are toxigenic (EFSA, 2020).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1.2 PROBLEM STATEMENT</w:t>
      </w:r>
    </w:p>
    <w:p w:rsidR="00F24261" w:rsidRPr="006A4CD1" w:rsidRDefault="00F24261" w:rsidP="00F2426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Existing research predominantly focuses on foodborne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strains, while environmental soil-derived strains remain poorly characterized regarding their toxin production and pathogenic potential.</w:t>
      </w:r>
    </w:p>
    <w:p w:rsidR="00F24261" w:rsidRPr="006A4CD1" w:rsidRDefault="00F24261" w:rsidP="00F2426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There is insufficient data linking the concentration levels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in soil-derived isolates to actual biological effects in mammalian models such as rats.</w:t>
      </w:r>
    </w:p>
    <w:p w:rsidR="00F24261" w:rsidRPr="006A4CD1" w:rsidRDefault="00F24261" w:rsidP="00F2426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lastRenderedPageBreak/>
        <w:t xml:space="preserve">Standardized methods for isolating, quantifying, and evaluating the potency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from agricultural soils are lacking, resulting in inconsistent findings across studies.</w:t>
      </w:r>
    </w:p>
    <w:p w:rsidR="00F24261" w:rsidRPr="006A4CD1" w:rsidRDefault="00F24261" w:rsidP="00F2426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 dose-response relationship between different concentrations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and their toxic effects in live animal models is not well established, making risk assessment difficult.</w:t>
      </w:r>
    </w:p>
    <w:p w:rsidR="00F24261" w:rsidRPr="006A4CD1" w:rsidRDefault="00F24261" w:rsidP="00F2426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risk</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1.3 JUSTIFICATION OF THE STUDY</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sidRPr="004122CF">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Despite its prevalence in various foods, the toxigenicity of local strains remains 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sidRPr="004122CF">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1.4 AIM AND OBJECTIVES </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sidRPr="00DC2710">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 are:</w:t>
      </w:r>
    </w:p>
    <w:p w:rsidR="00F24261" w:rsidRPr="00CE69D0" w:rsidRDefault="00F24261" w:rsidP="00F24261">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isolate and identify </w:t>
      </w:r>
      <w:r w:rsidRPr="00AC1DEF">
        <w:rPr>
          <w:rFonts w:ascii="Times New Roman" w:hAnsi="Times New Roman" w:cs="Times New Roman"/>
          <w:i/>
          <w:iCs/>
          <w:sz w:val="28"/>
          <w:szCs w:val="28"/>
        </w:rPr>
        <w:t xml:space="preserve">Bacillus cereus </w:t>
      </w:r>
      <w:r w:rsidRPr="00CE69D0">
        <w:rPr>
          <w:rFonts w:ascii="Times New Roman" w:hAnsi="Times New Roman" w:cs="Times New Roman"/>
          <w:sz w:val="28"/>
          <w:szCs w:val="28"/>
        </w:rPr>
        <w:t>from agricultural field soil samples.</w:t>
      </w:r>
    </w:p>
    <w:p w:rsidR="00F24261" w:rsidRPr="00CE69D0" w:rsidRDefault="00F24261" w:rsidP="00F24261">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To determine if the isolated strains produce enterotoxins through qualitative and quantitative analysis.</w:t>
      </w:r>
    </w:p>
    <w:p w:rsidR="00F24261" w:rsidRPr="00CE69D0" w:rsidRDefault="00F24261" w:rsidP="00F24261">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evaluate the toxicity of the </w:t>
      </w:r>
      <w:r w:rsidRPr="00AC1DEF">
        <w:rPr>
          <w:rFonts w:ascii="Times New Roman" w:hAnsi="Times New Roman" w:cs="Times New Roman"/>
          <w:i/>
          <w:iCs/>
          <w:sz w:val="28"/>
          <w:szCs w:val="28"/>
        </w:rPr>
        <w:t>B. cereus</w:t>
      </w:r>
      <w:r w:rsidRPr="00CE69D0">
        <w:rPr>
          <w:rFonts w:ascii="Times New Roman" w:hAnsi="Times New Roman" w:cs="Times New Roman"/>
          <w:sz w:val="28"/>
          <w:szCs w:val="28"/>
        </w:rPr>
        <w:t xml:space="preserve"> toxin </w:t>
      </w:r>
      <w:r>
        <w:rPr>
          <w:rFonts w:ascii="Times New Roman" w:hAnsi="Times New Roman" w:cs="Times New Roman"/>
          <w:sz w:val="28"/>
          <w:szCs w:val="28"/>
        </w:rPr>
        <w:t xml:space="preserve">concentration </w:t>
      </w:r>
      <w:r w:rsidRPr="00CE69D0">
        <w:rPr>
          <w:rFonts w:ascii="Times New Roman" w:hAnsi="Times New Roman" w:cs="Times New Roman"/>
          <w:sz w:val="28"/>
          <w:szCs w:val="28"/>
        </w:rPr>
        <w:t>by testing its effects on rats.</w:t>
      </w: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and Methods </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Sample Collection and Location </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Soil samples were collected from three (3) different agricultural field within Kwara state polytechnic using sterile laboratory equipment such as dissecting tray and hand </w:t>
      </w:r>
      <w:r>
        <w:rPr>
          <w:rFonts w:ascii="Times New Roman" w:hAnsi="Times New Roman" w:cs="Times New Roman"/>
          <w:sz w:val="28"/>
          <w:szCs w:val="28"/>
        </w:rPr>
        <w:lastRenderedPageBreak/>
        <w:t>shovel, while wearing protective gear like laboratory coat, sterile glove and face mask in order to ensure safety during sample collection and handling. The soil samples were collected by digging 5cm below the soil surface and place in a sterile polythene bag with label of each location then transported into the laboratory under control condition so as to avoid contamination. The location where the soil samples were collected are: A vegetable field at àgbède area, cereal field around kwarapoly secondary school, and the Agric. Tech agricultural field/ farm. The samples were labelled as vegetable field, cereal field 1 and cereal field 2</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2.2 Sterilization of Equipment and Environment </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(Apha, 2017; Cheesbrough, 2018).</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2.3 Media Preparation</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The media used namely Nutrient Agar (NA) and Nutrient Broth (NB) were prepared according to the manufacturer instructions and sterilized by autoclaving at 121°C for fifteen minutes (Madigan et al., 2021). Upon cooling, 1 mL of streptomycin was aseptically added to prevent bacterial contamination, and approximately 250 mL of the medium was poured into petri dishes and left to solidify (Rao et al., 2020).</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2.4 Serial Dilution </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Test tubes used for serial dilution were sterilized along side the media prepared. For serial dilution, 1g of each soil sample was weigh and dispense in separate conical flask that contain 10ml of distilled water each, this was done to get the INITIAL SUSPENSION of the soil sample (Willey et al., 2022). Then three (3) test tube racks was place on the working bench, and each rack was labelled with the names of the soil sample collected. Six (6) sterile test tubes were inserts into each rack and labelled 10-¹ to 10-⁶ (the opening of the stock solution was covered with foil paper).</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9ml of distilled water was measured into each of the test tube on each test tube rack, using separate syringe (1 syringe for 1 soil sample). After that has been carried out carefully, 1ml of the initial suspense of each soil sample was measured and transferred into the same labelled serial dilution 10-¹ to 10-⁶. By measuring 1ml of suspense soil sample A, into the same serial dilution 10-¹ and from 10-¹, 1ml to 10-² from 10-², 1m to 10-³ from 10-³, 1ml to 10-4 from 10-⁴, 1ml to 10-⁵ from 10-⁵, 1ml to 10-⁶ same goes with other soil sample respectfully. After that each syringe was places besides each test tube rack to avoid contamination (Ghosh et al., 2020).</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Inoculation of the sample </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two plate each was labelled with the names of the corresponding soil sample collected and indicate with serial dilution (10-⁵), one plate </w:t>
      </w:r>
      <w:r>
        <w:rPr>
          <w:rFonts w:ascii="Times New Roman" w:hAnsi="Times New Roman" w:cs="Times New Roman"/>
          <w:sz w:val="28"/>
          <w:szCs w:val="28"/>
        </w:rPr>
        <w:lastRenderedPageBreak/>
        <w:t>for the original and the second one for duplicate.  0.1 ml were taken from each serial dilution (10-⁵) and inoculated on corresponding labelled agar plates. The plates was then placed invertedly and wrapped with foil paper and incubated at 30⁰c for 24-48 hours (Logan &amp; Vos, 2021).</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2.6 Characterization and identification </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24 hours the plates was brought out for examination and it is only the plate tagged cereal field 1 that shows growth with just one colony, it was leave for another 24hors. After 48hours of incubation multiple colony were observed. Afterward microscopic examination and biochemical test was carried out to identify the isolate </w:t>
      </w:r>
    </w:p>
    <w:p w:rsidR="00F24261" w:rsidRDefault="00F24261" w:rsidP="00F24261">
      <w:pPr>
        <w:pStyle w:val="ListParagraph"/>
        <w:numPr>
          <w:ilvl w:val="0"/>
          <w:numId w:val="2"/>
        </w:numPr>
        <w:spacing w:line="480" w:lineRule="auto"/>
        <w:jc w:val="both"/>
        <w:rPr>
          <w:rFonts w:ascii="Times New Roman" w:hAnsi="Times New Roman" w:cs="Times New Roman"/>
          <w:sz w:val="28"/>
          <w:szCs w:val="28"/>
        </w:rPr>
      </w:pPr>
      <w:r w:rsidRPr="00D86687">
        <w:rPr>
          <w:rFonts w:ascii="Times New Roman" w:hAnsi="Times New Roman" w:cs="Times New Roman"/>
          <w:sz w:val="28"/>
          <w:szCs w:val="28"/>
        </w:rPr>
        <w:t>Gram stainin</w:t>
      </w:r>
      <w:r>
        <w:rPr>
          <w:rFonts w:ascii="Times New Roman" w:hAnsi="Times New Roman" w:cs="Times New Roman"/>
          <w:sz w:val="28"/>
          <w:szCs w:val="28"/>
        </w:rPr>
        <w:t>g</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rsidR="00F24261" w:rsidRPr="0039041D"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A clean microscope slide was placed on a plate rack and a drop of distilled water was place on the center of the slide using a sterile inoculating loop, then a small amount of colony was aseptically picked and mixed into the drop to create a thin smear and the smear was allow to air-dry completely, after it has air-dry th</w:t>
      </w:r>
      <w:r w:rsidRPr="002C09C3">
        <w:rPr>
          <w:rFonts w:ascii="Times New Roman" w:hAnsi="Times New Roman" w:cs="Times New Roman"/>
          <w:sz w:val="28"/>
          <w:szCs w:val="28"/>
        </w:rPr>
        <w:t>e slide</w:t>
      </w:r>
      <w:r>
        <w:rPr>
          <w:rFonts w:ascii="Times New Roman" w:hAnsi="Times New Roman" w:cs="Times New Roman"/>
          <w:sz w:val="28"/>
          <w:szCs w:val="28"/>
        </w:rPr>
        <w:t xml:space="preserve"> was then pass </w:t>
      </w:r>
      <w:r w:rsidRPr="002C09C3">
        <w:rPr>
          <w:rFonts w:ascii="Times New Roman" w:hAnsi="Times New Roman" w:cs="Times New Roman"/>
          <w:sz w:val="28"/>
          <w:szCs w:val="28"/>
        </w:rPr>
        <w:t>quickly through a flame 3–4 times to heat-fix the smear (smear side up).</w:t>
      </w:r>
      <w:r>
        <w:rPr>
          <w:rFonts w:ascii="Times New Roman" w:hAnsi="Times New Roman" w:cs="Times New Roman"/>
          <w:sz w:val="28"/>
          <w:szCs w:val="28"/>
        </w:rPr>
        <w:t xml:space="preserve"> After heat-fixing, the smear was flood with crystal violet and allowed to sit for 1minute then gently rinse with distilled water. The slide was flood again with mordant (iodine solution) and allowed to sit for 1minute then rinse gently with </w:t>
      </w:r>
      <w:r>
        <w:rPr>
          <w:rFonts w:ascii="Times New Roman" w:hAnsi="Times New Roman" w:cs="Times New Roman"/>
          <w:sz w:val="28"/>
          <w:szCs w:val="28"/>
        </w:rPr>
        <w:lastRenderedPageBreak/>
        <w:t>distilled water. For decolorization 95% ethanol was gently apply to the slide for 10seconds until runoff is cleared and rinse immediately with distilled water. Then safranin was applied to counterstain for 30seconds and rinse with distilled water. The slide was then blot dry and observed under X100 objective lens oil immersion microscope (Willey et al., 2022)</w:t>
      </w:r>
    </w:p>
    <w:p w:rsidR="00F24261" w:rsidRDefault="00F24261" w:rsidP="00F2426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rsidR="00F24261" w:rsidRPr="009730BA"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A clean glass slide was placed on the working surface and a sterile inoculating loop was used to pick and transferred small amount of bacteria colony onto the slide, then a drop of 3% hydrogen peroxide was added directly onto the smear and observe immediate for bubbling (Singh et al., 2021).</w:t>
      </w:r>
    </w:p>
    <w:p w:rsidR="00F24261" w:rsidRPr="009B633B" w:rsidRDefault="00F24261" w:rsidP="00F2426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of colony was aseptically picked and mixed into the drop to create a thin smear and the smear was allow to air-dry completely, once it dry, the slide was then pass quickly through a flame (3–4 times) with the smear side up (this heat-fixation </w:t>
      </w:r>
      <w:r>
        <w:rPr>
          <w:rFonts w:ascii="Times New Roman" w:hAnsi="Times New Roman" w:cs="Times New Roman"/>
          <w:sz w:val="28"/>
          <w:szCs w:val="28"/>
        </w:rPr>
        <w:lastRenderedPageBreak/>
        <w:t>step kills the bacteria and helps them adhere to the slide). After heat-fixing, the smear was covered with a paper towel with malachite green stain and the slide was heat g</w:t>
      </w:r>
      <w:r w:rsidRPr="008224F8">
        <w:rPr>
          <w:rFonts w:ascii="Times New Roman" w:hAnsi="Times New Roman" w:cs="Times New Roman"/>
          <w:sz w:val="28"/>
          <w:szCs w:val="28"/>
        </w:rPr>
        <w:t xml:space="preserve">ently </w:t>
      </w:r>
      <w:r>
        <w:rPr>
          <w:rFonts w:ascii="Times New Roman" w:hAnsi="Times New Roman" w:cs="Times New Roman"/>
          <w:sz w:val="28"/>
          <w:szCs w:val="28"/>
        </w:rPr>
        <w:t>by</w:t>
      </w:r>
      <w:r w:rsidRPr="008224F8">
        <w:rPr>
          <w:rFonts w:ascii="Times New Roman" w:hAnsi="Times New Roman" w:cs="Times New Roman"/>
          <w:sz w:val="28"/>
          <w:szCs w:val="28"/>
        </w:rPr>
        <w:t xml:space="preserve"> placing it over steaming water</w:t>
      </w:r>
      <w:r>
        <w:rPr>
          <w:rFonts w:ascii="Times New Roman" w:hAnsi="Times New Roman" w:cs="Times New Roman"/>
          <w:sz w:val="28"/>
          <w:szCs w:val="28"/>
        </w:rPr>
        <w:t xml:space="preserve"> for 3-5 minutes to keep</w:t>
      </w:r>
      <w:r w:rsidRPr="008224F8">
        <w:rPr>
          <w:rFonts w:ascii="Times New Roman" w:hAnsi="Times New Roman" w:cs="Times New Roman"/>
          <w:sz w:val="28"/>
          <w:szCs w:val="28"/>
        </w:rPr>
        <w:t xml:space="preserve"> it moist</w:t>
      </w:r>
      <w:r>
        <w:rPr>
          <w:rFonts w:ascii="Times New Roman" w:hAnsi="Times New Roman" w:cs="Times New Roman"/>
          <w:sz w:val="28"/>
          <w:szCs w:val="28"/>
        </w:rPr>
        <w:t xml:space="preserve">. </w:t>
      </w:r>
      <w:r w:rsidRPr="001169F3">
        <w:rPr>
          <w:rFonts w:ascii="Times New Roman" w:hAnsi="Times New Roman" w:cs="Times New Roman"/>
          <w:sz w:val="28"/>
          <w:szCs w:val="28"/>
        </w:rPr>
        <w:t xml:space="preserve">After heating, </w:t>
      </w:r>
      <w:r>
        <w:rPr>
          <w:rFonts w:ascii="Times New Roman" w:hAnsi="Times New Roman" w:cs="Times New Roman"/>
          <w:sz w:val="28"/>
          <w:szCs w:val="28"/>
        </w:rPr>
        <w:t xml:space="preserve">the slide was allowed </w:t>
      </w:r>
      <w:r w:rsidRPr="001169F3">
        <w:rPr>
          <w:rFonts w:ascii="Times New Roman" w:hAnsi="Times New Roman" w:cs="Times New Roman"/>
          <w:sz w:val="28"/>
          <w:szCs w:val="28"/>
        </w:rPr>
        <w:t>to cool for 1–2 minutes</w:t>
      </w:r>
      <w:r>
        <w:rPr>
          <w:rFonts w:ascii="Times New Roman" w:hAnsi="Times New Roman" w:cs="Times New Roman"/>
          <w:sz w:val="28"/>
          <w:szCs w:val="28"/>
        </w:rPr>
        <w:t xml:space="preserve"> and r</w:t>
      </w:r>
      <w:r w:rsidRPr="007340C9">
        <w:rPr>
          <w:rFonts w:ascii="Times New Roman" w:hAnsi="Times New Roman" w:cs="Times New Roman"/>
          <w:sz w:val="28"/>
          <w:szCs w:val="28"/>
        </w:rPr>
        <w:t>inse gently with distilled water to remove excess stain.</w:t>
      </w:r>
      <w:r>
        <w:rPr>
          <w:rFonts w:ascii="Times New Roman" w:hAnsi="Times New Roman" w:cs="Times New Roman"/>
          <w:sz w:val="28"/>
          <w:szCs w:val="28"/>
        </w:rPr>
        <w:t xml:space="preserve"> Then the slide was c</w:t>
      </w:r>
      <w:r w:rsidRPr="001C76DF">
        <w:rPr>
          <w:rFonts w:ascii="Times New Roman" w:hAnsi="Times New Roman" w:cs="Times New Roman"/>
          <w:sz w:val="28"/>
          <w:szCs w:val="28"/>
        </w:rPr>
        <w:t>ounterstain with safranin for 30 seconds</w:t>
      </w:r>
      <w:r>
        <w:rPr>
          <w:rFonts w:ascii="Times New Roman" w:hAnsi="Times New Roman" w:cs="Times New Roman"/>
          <w:sz w:val="28"/>
          <w:szCs w:val="28"/>
        </w:rPr>
        <w:t>, and rinse</w:t>
      </w:r>
      <w:r w:rsidRPr="001038AA">
        <w:rPr>
          <w:rFonts w:ascii="Times New Roman" w:hAnsi="Times New Roman" w:cs="Times New Roman"/>
          <w:sz w:val="28"/>
          <w:szCs w:val="28"/>
        </w:rPr>
        <w:t xml:space="preserve"> again with water</w:t>
      </w:r>
      <w:r>
        <w:rPr>
          <w:rFonts w:ascii="Times New Roman" w:hAnsi="Times New Roman" w:cs="Times New Roman"/>
          <w:sz w:val="28"/>
          <w:szCs w:val="28"/>
        </w:rPr>
        <w:t xml:space="preserve">, the slide was then allow to </w:t>
      </w:r>
      <w:r w:rsidRPr="001038AA">
        <w:rPr>
          <w:rFonts w:ascii="Times New Roman" w:hAnsi="Times New Roman" w:cs="Times New Roman"/>
          <w:sz w:val="28"/>
          <w:szCs w:val="28"/>
        </w:rPr>
        <w:t xml:space="preserve">air dry </w:t>
      </w:r>
      <w:r>
        <w:rPr>
          <w:rFonts w:ascii="Times New Roman" w:hAnsi="Times New Roman" w:cs="Times New Roman"/>
          <w:sz w:val="28"/>
          <w:szCs w:val="28"/>
        </w:rPr>
        <w:t>before examining under oil immersion lense microscope (Willey et al., 2022)</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2.7 Subculturing </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Emerging bacteria colonies were subcultured onto fresh NA plates to obtain pure isolates. These were incubated under the same conditions for 4days (Madigan et al., 2021; Willey et al., 2022).</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2.8 Toxin Extraction </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Pure bacteria isolates grown on Nutrient agar (NA) were transferred into NB in sterile flasks, placed on a rotary shaker for 3 days to stimulate mycelial growth and secondary metabolite production, then left undisturbed for 5 more days at room temperature to complete patulin biosynthesis (Chakraborty et al., 2023).</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Separation of Biomass </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culture was gently swirled and aliquoted into test tubes filled to three-quarters capacity, then centrifuged at 4000–6000 rpm for 10–15 minutes. The supernatant, containing the crude toxin, was collected, while the pellet (bacteria biomass) was discarded.</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Preparation of Bacillus cereus toxin concentration </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sidRPr="001A7E09">
        <w:rPr>
          <w:rFonts w:ascii="Times New Roman" w:hAnsi="Times New Roman" w:cs="Times New Roman"/>
          <w:i/>
          <w:iCs/>
          <w:sz w:val="28"/>
          <w:szCs w:val="28"/>
        </w:rPr>
        <w:t>B. Cereus</w:t>
      </w:r>
      <w:r>
        <w:rPr>
          <w:rFonts w:ascii="Times New Roman" w:hAnsi="Times New Roman" w:cs="Times New Roman"/>
          <w:sz w:val="28"/>
          <w:szCs w:val="28"/>
        </w:rPr>
        <w:t xml:space="preserve"> toxin. Each prepared concentration was measured into a sterile test tube as follows:</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filtrate mixed with 1 mL of sterile distilled water.</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filtrate mixed with 2.5 mL of sterile distilled water. Each mixture were thoroughly homogenized and stored in labeled test tubes for subsequent experimental use.</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2.11 Identification and Grouping of Experimental Rats</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uniform age but varying weights were selected and housed under hygienic conditions for a 3-day acclimatization period. They were provided with feed and water ad libitum, following animal care guidelines (National </w:t>
      </w:r>
      <w:r>
        <w:rPr>
          <w:rFonts w:ascii="Times New Roman" w:hAnsi="Times New Roman" w:cs="Times New Roman"/>
          <w:sz w:val="28"/>
          <w:szCs w:val="28"/>
        </w:rPr>
        <w:lastRenderedPageBreak/>
        <w:t xml:space="preserve">Research Council [NRC], 2018). To ensure proper identification and monitoring, each rat was marked with a distinct, non-toxic color corresponding to its treatment group. The rats were grouped based on the concentration of </w:t>
      </w:r>
      <w:r>
        <w:rPr>
          <w:rFonts w:ascii="Times New Roman" w:hAnsi="Times New Roman" w:cs="Times New Roman"/>
          <w:i/>
          <w:iCs/>
          <w:sz w:val="28"/>
          <w:szCs w:val="28"/>
        </w:rPr>
        <w:t>Bacill</w:t>
      </w:r>
      <w:r>
        <w:rPr>
          <w:rFonts w:ascii="Times New Roman" w:hAnsi="Times New Roman" w:cs="Times New Roman"/>
          <w:sz w:val="28"/>
          <w:szCs w:val="28"/>
        </w:rPr>
        <w:t>us cereus toxin they received as follows:</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Black – 80% concentration</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Blue – 50% concentration. The color marking was maintained throughout the experiment for accurate tracking and observation</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Toxin Administration</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2.13 Dissection and Post-Mortem Examination</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At the end of the experiment, rats were euthanized, and post-mortem analysis was performed. Organs (liver, kidney, intestine, and heart) were examined </w:t>
      </w:r>
      <w:r>
        <w:rPr>
          <w:rFonts w:ascii="Times New Roman" w:hAnsi="Times New Roman" w:cs="Times New Roman"/>
          <w:sz w:val="28"/>
          <w:szCs w:val="28"/>
        </w:rPr>
        <w:lastRenderedPageBreak/>
        <w:t>macroscopically for abnormalities such as discoloration, swelling, and enlargement, in line with pathological evaluation protocols (Chinwe et al., 2021).</w:t>
      </w:r>
    </w:p>
    <w:p w:rsidR="00F24261" w:rsidRPr="000515D3" w:rsidRDefault="00F24261" w:rsidP="00F24261">
      <w:pPr>
        <w:spacing w:line="480" w:lineRule="auto"/>
        <w:jc w:val="center"/>
        <w:rPr>
          <w:rFonts w:ascii="Times New Roman" w:hAnsi="Times New Roman" w:cs="Times New Roman"/>
          <w:b/>
          <w:sz w:val="28"/>
          <w:szCs w:val="28"/>
        </w:rPr>
      </w:pPr>
      <w:r w:rsidRPr="000515D3">
        <w:rPr>
          <w:rFonts w:ascii="Times New Roman" w:hAnsi="Times New Roman" w:cs="Times New Roman"/>
          <w:b/>
          <w:sz w:val="28"/>
          <w:szCs w:val="28"/>
        </w:rPr>
        <w:t>CHAPTER THREE</w:t>
      </w:r>
    </w:p>
    <w:p w:rsidR="00F24261" w:rsidRPr="000515D3" w:rsidRDefault="00F24261" w:rsidP="00F24261">
      <w:pPr>
        <w:pStyle w:val="ListParagraph"/>
        <w:numPr>
          <w:ilvl w:val="1"/>
          <w:numId w:val="1"/>
        </w:numPr>
        <w:spacing w:line="480" w:lineRule="auto"/>
        <w:jc w:val="both"/>
        <w:rPr>
          <w:rFonts w:ascii="Times New Roman" w:hAnsi="Times New Roman" w:cs="Times New Roman"/>
          <w:b/>
          <w:sz w:val="28"/>
          <w:szCs w:val="28"/>
        </w:rPr>
      </w:pPr>
      <w:r w:rsidRPr="000515D3">
        <w:rPr>
          <w:rFonts w:ascii="Times New Roman" w:hAnsi="Times New Roman" w:cs="Times New Roman"/>
          <w:b/>
          <w:sz w:val="28"/>
          <w:szCs w:val="28"/>
        </w:rPr>
        <w:t xml:space="preserve">RESULTS </w:t>
      </w:r>
    </w:p>
    <w:p w:rsidR="00F24261" w:rsidRPr="00705B5F" w:rsidRDefault="00F24261" w:rsidP="00F24261">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F24261" w:rsidTr="002145BE">
        <w:trPr>
          <w:trHeight w:val="620"/>
        </w:trPr>
        <w:tc>
          <w:tcPr>
            <w:tcW w:w="3011" w:type="dxa"/>
            <w:tcBorders>
              <w:bottom w:val="single" w:sz="4" w:space="0" w:color="auto"/>
            </w:tcBorders>
          </w:tcPr>
          <w:p w:rsidR="00F24261" w:rsidRDefault="00F24261" w:rsidP="002145BE">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rsidR="00F24261" w:rsidRDefault="00F24261" w:rsidP="002145BE">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rsidR="00F24261" w:rsidRDefault="00F24261" w:rsidP="002145BE">
            <w:pPr>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F24261" w:rsidTr="002145BE">
        <w:trPr>
          <w:trHeight w:val="458"/>
        </w:trPr>
        <w:tc>
          <w:tcPr>
            <w:tcW w:w="3011" w:type="dxa"/>
            <w:tcBorders>
              <w:top w:val="single" w:sz="4" w:space="0" w:color="auto"/>
            </w:tcBorders>
          </w:tcPr>
          <w:p w:rsidR="00F24261" w:rsidRDefault="00F24261" w:rsidP="002145BE">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rsidR="00F24261" w:rsidRDefault="00F24261" w:rsidP="002145BE">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rsidR="00F24261" w:rsidRDefault="00F24261" w:rsidP="002145BE">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F24261" w:rsidTr="002145BE">
        <w:trPr>
          <w:trHeight w:val="458"/>
        </w:trPr>
        <w:tc>
          <w:tcPr>
            <w:tcW w:w="3011" w:type="dxa"/>
          </w:tcPr>
          <w:p w:rsidR="00F24261" w:rsidRDefault="00F24261" w:rsidP="002145BE">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rsidR="00F24261" w:rsidRDefault="00F24261" w:rsidP="002145BE">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rsidR="00F24261" w:rsidRDefault="00F24261" w:rsidP="002145BE">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F24261" w:rsidTr="002145BE">
        <w:trPr>
          <w:trHeight w:val="458"/>
        </w:trPr>
        <w:tc>
          <w:tcPr>
            <w:tcW w:w="3011" w:type="dxa"/>
          </w:tcPr>
          <w:p w:rsidR="00F24261" w:rsidRDefault="00F24261" w:rsidP="002145BE">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rsidR="00F24261" w:rsidRDefault="00F24261" w:rsidP="002145BE">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rsidR="00F24261" w:rsidRDefault="00F24261" w:rsidP="002145BE">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rsidR="00F24261" w:rsidRDefault="00F24261" w:rsidP="00F24261">
      <w:pPr>
        <w:spacing w:line="480" w:lineRule="auto"/>
        <w:jc w:val="both"/>
        <w:rPr>
          <w:rFonts w:ascii="Times New Roman" w:hAnsi="Times New Roman" w:cs="Times New Roman"/>
          <w:sz w:val="28"/>
          <w:szCs w:val="28"/>
        </w:rPr>
      </w:pPr>
    </w:p>
    <w:p w:rsidR="00F24261" w:rsidRPr="002B6CF9" w:rsidRDefault="00F24261" w:rsidP="00F24261">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F24261" w:rsidTr="002145BE">
        <w:trPr>
          <w:trHeight w:val="533"/>
        </w:trPr>
        <w:tc>
          <w:tcPr>
            <w:tcW w:w="2502" w:type="dxa"/>
            <w:tcBorders>
              <w:top w:val="single" w:sz="4" w:space="0" w:color="auto"/>
              <w:bottom w:val="single" w:sz="8" w:space="0" w:color="auto"/>
            </w:tcBorders>
          </w:tcPr>
          <w:p w:rsidR="00F24261" w:rsidRDefault="00F24261" w:rsidP="002145BE">
            <w:pPr>
              <w:spacing w:line="276" w:lineRule="auto"/>
              <w:rPr>
                <w:rFonts w:ascii="Times New Roman" w:hAnsi="Times New Roman" w:cs="Times New Roman"/>
                <w:sz w:val="28"/>
                <w:szCs w:val="28"/>
              </w:rPr>
            </w:pPr>
            <w:r>
              <w:rPr>
                <w:rFonts w:ascii="Times New Roman" w:hAnsi="Times New Roman" w:cs="Times New Roman"/>
                <w:sz w:val="28"/>
                <w:szCs w:val="28"/>
              </w:rPr>
              <w:t xml:space="preserve">Test/characteristics </w:t>
            </w:r>
          </w:p>
        </w:tc>
        <w:tc>
          <w:tcPr>
            <w:tcW w:w="3777" w:type="dxa"/>
            <w:tcBorders>
              <w:top w:val="single" w:sz="4" w:space="0" w:color="auto"/>
              <w:bottom w:val="single" w:sz="8" w:space="0" w:color="auto"/>
            </w:tcBorders>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Interpretation</w:t>
            </w:r>
          </w:p>
        </w:tc>
      </w:tr>
      <w:tr w:rsidR="00F24261" w:rsidTr="002145BE">
        <w:trPr>
          <w:trHeight w:val="267"/>
        </w:trPr>
        <w:tc>
          <w:tcPr>
            <w:tcW w:w="2502" w:type="dxa"/>
            <w:tcBorders>
              <w:top w:val="single" w:sz="8" w:space="0" w:color="auto"/>
              <w:bottom w:val="nil"/>
            </w:tcBorders>
          </w:tcPr>
          <w:p w:rsidR="00F24261" w:rsidRDefault="00F24261" w:rsidP="002145B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Large, rough, dry and irregular</w:t>
            </w:r>
          </w:p>
        </w:tc>
        <w:tc>
          <w:tcPr>
            <w:tcW w:w="5075" w:type="dxa"/>
            <w:tcBorders>
              <w:top w:val="single" w:sz="8" w:space="0" w:color="auto"/>
              <w:bottom w:val="nil"/>
            </w:tcBorders>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Suggest</w:t>
            </w:r>
            <w:r w:rsidRPr="00FB7B3E">
              <w:rPr>
                <w:rFonts w:ascii="Times New Roman" w:hAnsi="Times New Roman" w:cs="Times New Roman"/>
                <w:i/>
                <w:iCs/>
                <w:sz w:val="28"/>
                <w:szCs w:val="28"/>
              </w:rPr>
              <w:t xml:space="preserve"> Bacillus spp</w:t>
            </w:r>
            <w:r>
              <w:rPr>
                <w:rFonts w:ascii="Times New Roman" w:hAnsi="Times New Roman" w:cs="Times New Roman"/>
                <w:i/>
                <w:iCs/>
                <w:sz w:val="28"/>
                <w:szCs w:val="28"/>
              </w:rPr>
              <w:t>.</w:t>
            </w:r>
          </w:p>
        </w:tc>
      </w:tr>
      <w:tr w:rsidR="00F24261" w:rsidTr="002145BE">
        <w:trPr>
          <w:trHeight w:val="59"/>
        </w:trPr>
        <w:tc>
          <w:tcPr>
            <w:tcW w:w="2502" w:type="dxa"/>
            <w:tcBorders>
              <w:top w:val="nil"/>
            </w:tcBorders>
          </w:tcPr>
          <w:p w:rsidR="00F24261" w:rsidRDefault="00F24261" w:rsidP="002145B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rsidR="00F24261" w:rsidRPr="00992658" w:rsidRDefault="00F24261" w:rsidP="002145BE">
            <w:pPr>
              <w:spacing w:line="276" w:lineRule="auto"/>
              <w:jc w:val="center"/>
              <w:rPr>
                <w:rFonts w:ascii="Times New Roman" w:hAnsi="Times New Roman" w:cs="Times New Roman"/>
                <w:i/>
                <w:iCs/>
                <w:sz w:val="28"/>
                <w:szCs w:val="28"/>
              </w:rPr>
            </w:pPr>
            <w:r w:rsidRPr="00992658">
              <w:rPr>
                <w:rFonts w:ascii="Times New Roman" w:hAnsi="Times New Roman" w:cs="Times New Roman"/>
                <w:sz w:val="28"/>
                <w:szCs w:val="28"/>
              </w:rPr>
              <w:t xml:space="preserve">Consistent with </w:t>
            </w:r>
            <w:r w:rsidRPr="00992658">
              <w:rPr>
                <w:rFonts w:ascii="Times New Roman" w:hAnsi="Times New Roman" w:cs="Times New Roman"/>
                <w:i/>
                <w:iCs/>
                <w:sz w:val="28"/>
                <w:szCs w:val="28"/>
              </w:rPr>
              <w:t>Bacillus cereus</w:t>
            </w:r>
          </w:p>
        </w:tc>
      </w:tr>
      <w:tr w:rsidR="00F24261" w:rsidTr="002145BE">
        <w:trPr>
          <w:trHeight w:val="59"/>
        </w:trPr>
        <w:tc>
          <w:tcPr>
            <w:tcW w:w="2502" w:type="dxa"/>
          </w:tcPr>
          <w:p w:rsidR="00F24261" w:rsidRDefault="00F24261" w:rsidP="002145BE">
            <w:pPr>
              <w:spacing w:line="276" w:lineRule="auto"/>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rsidR="00F24261" w:rsidRPr="009F670B" w:rsidRDefault="00F24261" w:rsidP="002145BE">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F24261" w:rsidTr="002145BE">
        <w:trPr>
          <w:trHeight w:val="59"/>
        </w:trPr>
        <w:tc>
          <w:tcPr>
            <w:tcW w:w="2502" w:type="dxa"/>
          </w:tcPr>
          <w:p w:rsidR="00F24261" w:rsidRDefault="00F24261" w:rsidP="002145B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rsidR="00F24261" w:rsidRPr="009F670B" w:rsidRDefault="00F24261" w:rsidP="002145BE">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 xml:space="preserve">B. cereus </w:t>
            </w:r>
            <w:r>
              <w:rPr>
                <w:rFonts w:ascii="Times New Roman" w:hAnsi="Times New Roman" w:cs="Times New Roman"/>
                <w:sz w:val="28"/>
                <w:szCs w:val="28"/>
              </w:rPr>
              <w:t>colonies</w:t>
            </w:r>
          </w:p>
        </w:tc>
      </w:tr>
      <w:tr w:rsidR="00F24261" w:rsidTr="002145BE">
        <w:trPr>
          <w:trHeight w:val="59"/>
        </w:trPr>
        <w:tc>
          <w:tcPr>
            <w:tcW w:w="2502" w:type="dxa"/>
          </w:tcPr>
          <w:p w:rsidR="00F24261" w:rsidRDefault="00F24261" w:rsidP="002145B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Purple rod shaped cells</w:t>
            </w:r>
          </w:p>
        </w:tc>
        <w:tc>
          <w:tcPr>
            <w:tcW w:w="5075" w:type="dxa"/>
          </w:tcPr>
          <w:p w:rsidR="00F24261" w:rsidRPr="0094218F" w:rsidRDefault="00F24261" w:rsidP="002145BE">
            <w:pPr>
              <w:spacing w:line="276" w:lineRule="auto"/>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Pr>
                <w:rFonts w:ascii="Times New Roman" w:hAnsi="Times New Roman" w:cs="Times New Roman"/>
                <w:i/>
                <w:iCs/>
                <w:sz w:val="28"/>
                <w:szCs w:val="28"/>
              </w:rPr>
              <w:t xml:space="preserve">Bacillus </w:t>
            </w:r>
            <w:r w:rsidRPr="00F23D75">
              <w:rPr>
                <w:rFonts w:ascii="Times New Roman" w:hAnsi="Times New Roman" w:cs="Times New Roman"/>
                <w:i/>
                <w:iCs/>
                <w:sz w:val="28"/>
                <w:szCs w:val="28"/>
              </w:rPr>
              <w:t>cereus</w:t>
            </w:r>
          </w:p>
        </w:tc>
      </w:tr>
      <w:tr w:rsidR="00F24261" w:rsidTr="002145BE">
        <w:trPr>
          <w:trHeight w:val="59"/>
        </w:trPr>
        <w:tc>
          <w:tcPr>
            <w:tcW w:w="2502" w:type="dxa"/>
          </w:tcPr>
          <w:p w:rsidR="00F24261" w:rsidRDefault="00F24261" w:rsidP="002145BE">
            <w:pPr>
              <w:spacing w:line="276" w:lineRule="auto"/>
              <w:jc w:val="both"/>
              <w:rPr>
                <w:rFonts w:ascii="Times New Roman" w:hAnsi="Times New Roman" w:cs="Times New Roman"/>
                <w:sz w:val="28"/>
                <w:szCs w:val="28"/>
              </w:rPr>
            </w:pPr>
            <w:r>
              <w:rPr>
                <w:rFonts w:ascii="Times New Roman" w:hAnsi="Times New Roman" w:cs="Times New Roman"/>
                <w:sz w:val="28"/>
                <w:szCs w:val="28"/>
              </w:rPr>
              <w:t>Catalase test</w:t>
            </w:r>
          </w:p>
        </w:tc>
        <w:tc>
          <w:tcPr>
            <w:tcW w:w="3777" w:type="dxa"/>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F24261" w:rsidTr="002145BE">
        <w:trPr>
          <w:trHeight w:val="59"/>
        </w:trPr>
        <w:tc>
          <w:tcPr>
            <w:tcW w:w="2502" w:type="dxa"/>
            <w:tcBorders>
              <w:bottom w:val="single" w:sz="4" w:space="0" w:color="auto"/>
            </w:tcBorders>
          </w:tcPr>
          <w:p w:rsidR="00F24261" w:rsidRDefault="00F24261" w:rsidP="002145B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tc>
        <w:tc>
          <w:tcPr>
            <w:tcW w:w="3777" w:type="dxa"/>
            <w:tcBorders>
              <w:bottom w:val="single" w:sz="4" w:space="0" w:color="auto"/>
            </w:tcBorders>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Green endospores, vegetable pink cells</w:t>
            </w:r>
          </w:p>
        </w:tc>
        <w:tc>
          <w:tcPr>
            <w:tcW w:w="5075" w:type="dxa"/>
            <w:tcBorders>
              <w:bottom w:val="single" w:sz="4" w:space="0" w:color="auto"/>
            </w:tcBorders>
          </w:tcPr>
          <w:p w:rsidR="00F24261" w:rsidRPr="00F23D75" w:rsidRDefault="00F24261" w:rsidP="002145BE">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Pr="002B6CF9" w:rsidRDefault="00F24261" w:rsidP="00F24261">
      <w:pPr>
        <w:spacing w:line="480" w:lineRule="auto"/>
        <w:jc w:val="both"/>
        <w:rPr>
          <w:rFonts w:ascii="Times New Roman" w:hAnsi="Times New Roman" w:cs="Times New Roman"/>
          <w:sz w:val="28"/>
          <w:szCs w:val="28"/>
        </w:rPr>
      </w:pPr>
    </w:p>
    <w:p w:rsidR="00F24261" w:rsidRPr="00620A70" w:rsidRDefault="00F24261" w:rsidP="00F24261">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Animal Grouping 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F24261" w:rsidTr="002145BE">
        <w:trPr>
          <w:trHeight w:val="558"/>
        </w:trPr>
        <w:tc>
          <w:tcPr>
            <w:tcW w:w="3084" w:type="dxa"/>
            <w:tcBorders>
              <w:top w:val="single" w:sz="4" w:space="0" w:color="auto"/>
              <w:bottom w:val="single" w:sz="8" w:space="0" w:color="auto"/>
            </w:tcBorders>
          </w:tcPr>
          <w:p w:rsidR="00F24261" w:rsidRDefault="00F24261" w:rsidP="002145BE">
            <w:pPr>
              <w:spacing w:line="276" w:lineRule="auto"/>
              <w:rPr>
                <w:rFonts w:ascii="Times New Roman" w:hAnsi="Times New Roman" w:cs="Times New Roman"/>
                <w:sz w:val="28"/>
                <w:szCs w:val="28"/>
              </w:rPr>
            </w:pPr>
            <w:r>
              <w:rPr>
                <w:rFonts w:ascii="Times New Roman" w:hAnsi="Times New Roman" w:cs="Times New Roman"/>
                <w:sz w:val="28"/>
                <w:szCs w:val="28"/>
              </w:rPr>
              <w:t xml:space="preserve">Rat Number </w:t>
            </w:r>
          </w:p>
        </w:tc>
        <w:tc>
          <w:tcPr>
            <w:tcW w:w="2690" w:type="dxa"/>
            <w:tcBorders>
              <w:top w:val="single" w:sz="4" w:space="0" w:color="auto"/>
              <w:bottom w:val="single" w:sz="8" w:space="0" w:color="auto"/>
            </w:tcBorders>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Administered Toxin Concentration (%)</w:t>
            </w:r>
          </w:p>
        </w:tc>
      </w:tr>
      <w:tr w:rsidR="00F24261" w:rsidTr="002145BE">
        <w:trPr>
          <w:trHeight w:val="366"/>
        </w:trPr>
        <w:tc>
          <w:tcPr>
            <w:tcW w:w="3084" w:type="dxa"/>
            <w:tcBorders>
              <w:top w:val="single" w:sz="8" w:space="0" w:color="auto"/>
              <w:bottom w:val="nil"/>
            </w:tcBorders>
          </w:tcPr>
          <w:p w:rsidR="00F24261" w:rsidRDefault="00F24261" w:rsidP="002145BE">
            <w:pPr>
              <w:spacing w:line="276" w:lineRule="auto"/>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F24261" w:rsidTr="002145BE">
        <w:trPr>
          <w:trHeight w:val="355"/>
        </w:trPr>
        <w:tc>
          <w:tcPr>
            <w:tcW w:w="3084" w:type="dxa"/>
            <w:tcBorders>
              <w:top w:val="nil"/>
            </w:tcBorders>
          </w:tcPr>
          <w:p w:rsidR="00F24261" w:rsidRDefault="00F24261" w:rsidP="002145BE">
            <w:pPr>
              <w:spacing w:line="276" w:lineRule="auto"/>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F24261" w:rsidTr="002145BE">
        <w:trPr>
          <w:trHeight w:val="366"/>
        </w:trPr>
        <w:tc>
          <w:tcPr>
            <w:tcW w:w="3084" w:type="dxa"/>
          </w:tcPr>
          <w:p w:rsidR="00F24261" w:rsidRDefault="00F24261" w:rsidP="002145BE">
            <w:pPr>
              <w:spacing w:line="276" w:lineRule="auto"/>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F24261" w:rsidTr="002145BE">
        <w:trPr>
          <w:trHeight w:val="366"/>
        </w:trPr>
        <w:tc>
          <w:tcPr>
            <w:tcW w:w="3084" w:type="dxa"/>
            <w:tcBorders>
              <w:bottom w:val="single" w:sz="4" w:space="0" w:color="auto"/>
            </w:tcBorders>
          </w:tcPr>
          <w:p w:rsidR="00F24261" w:rsidRDefault="00F24261" w:rsidP="002145BE">
            <w:pPr>
              <w:spacing w:line="276" w:lineRule="auto"/>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rsidR="00F24261" w:rsidRDefault="00F24261" w:rsidP="002145BE">
            <w:pPr>
              <w:spacing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bl>
    <w:p w:rsidR="00F24261" w:rsidRPr="00620A70" w:rsidRDefault="00F24261" w:rsidP="00F24261">
      <w:pPr>
        <w:spacing w:line="480" w:lineRule="auto"/>
        <w:jc w:val="both"/>
        <w:rPr>
          <w:rFonts w:ascii="Times New Roman" w:hAnsi="Times New Roman" w:cs="Times New Roman"/>
          <w:sz w:val="28"/>
          <w:szCs w:val="28"/>
        </w:rPr>
      </w:pPr>
    </w:p>
    <w:p w:rsidR="00F24261" w:rsidRDefault="00F24261" w:rsidP="00F24261">
      <w:pPr>
        <w:spacing w:line="240" w:lineRule="auto"/>
        <w:jc w:val="both"/>
        <w:rPr>
          <w:rFonts w:ascii="Times New Roman" w:hAnsi="Times New Roman" w:cs="Times New Roman"/>
          <w:sz w:val="28"/>
          <w:szCs w:val="28"/>
        </w:rPr>
      </w:pPr>
      <w:r>
        <w:rPr>
          <w:rFonts w:ascii="Times New Roman" w:hAnsi="Times New Roman" w:cs="Times New Roman"/>
          <w:iCs/>
          <w:sz w:val="28"/>
          <w:szCs w:val="28"/>
        </w:rPr>
        <w:t>3.4 Daily Observation for100% conc. Toxin Administration in Rats</w:t>
      </w:r>
      <w:r>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39"/>
        <w:gridCol w:w="1589"/>
        <w:gridCol w:w="1311"/>
        <w:gridCol w:w="1441"/>
        <w:gridCol w:w="1251"/>
        <w:gridCol w:w="1467"/>
        <w:gridCol w:w="972"/>
        <w:gridCol w:w="1240"/>
        <w:gridCol w:w="1199"/>
      </w:tblGrid>
      <w:tr w:rsidR="00F24261" w:rsidTr="002145BE">
        <w:trPr>
          <w:trHeight w:val="754"/>
        </w:trPr>
        <w:tc>
          <w:tcPr>
            <w:tcW w:w="214" w:type="pct"/>
            <w:tcBorders>
              <w:top w:val="single" w:sz="4" w:space="0" w:color="auto"/>
              <w:left w:val="nil"/>
              <w:bottom w:val="single" w:sz="8" w:space="0" w:color="auto"/>
              <w:right w:val="nil"/>
            </w:tcBorders>
            <w:hideMark/>
          </w:tcPr>
          <w:p w:rsidR="00F24261" w:rsidRDefault="00F24261" w:rsidP="002145BE">
            <w:pPr>
              <w:spacing w:line="276" w:lineRule="auto"/>
            </w:pPr>
            <w:r>
              <w:t>Day</w:t>
            </w:r>
          </w:p>
        </w:tc>
        <w:tc>
          <w:tcPr>
            <w:tcW w:w="395" w:type="pct"/>
            <w:tcBorders>
              <w:top w:val="single" w:sz="4" w:space="0" w:color="auto"/>
              <w:left w:val="nil"/>
              <w:bottom w:val="single" w:sz="8" w:space="0" w:color="auto"/>
              <w:right w:val="nil"/>
            </w:tcBorders>
            <w:hideMark/>
          </w:tcPr>
          <w:p w:rsidR="00F24261" w:rsidRDefault="00F24261" w:rsidP="002145BE">
            <w:pPr>
              <w:spacing w:line="276" w:lineRule="auto"/>
              <w:jc w:val="center"/>
            </w:pPr>
            <w:r>
              <w:t>Weight</w:t>
            </w:r>
          </w:p>
        </w:tc>
        <w:tc>
          <w:tcPr>
            <w:tcW w:w="666" w:type="pct"/>
            <w:tcBorders>
              <w:top w:val="single" w:sz="4" w:space="0" w:color="auto"/>
              <w:left w:val="nil"/>
              <w:bottom w:val="single" w:sz="8" w:space="0" w:color="auto"/>
              <w:right w:val="nil"/>
            </w:tcBorders>
            <w:hideMark/>
          </w:tcPr>
          <w:p w:rsidR="00F24261" w:rsidRDefault="00F24261" w:rsidP="002145BE">
            <w:pPr>
              <w:spacing w:line="276" w:lineRule="auto"/>
              <w:jc w:val="center"/>
            </w:pPr>
            <w:r>
              <w:t>Physical appearances</w:t>
            </w:r>
          </w:p>
        </w:tc>
        <w:tc>
          <w:tcPr>
            <w:tcW w:w="550" w:type="pct"/>
            <w:tcBorders>
              <w:top w:val="single" w:sz="4" w:space="0" w:color="auto"/>
              <w:left w:val="nil"/>
              <w:bottom w:val="single" w:sz="8" w:space="0" w:color="auto"/>
              <w:right w:val="nil"/>
            </w:tcBorders>
            <w:hideMark/>
          </w:tcPr>
          <w:p w:rsidR="00F24261" w:rsidRDefault="00F24261" w:rsidP="002145BE">
            <w:pPr>
              <w:spacing w:line="276" w:lineRule="auto"/>
              <w:jc w:val="center"/>
            </w:pPr>
            <w:r>
              <w:t>Behavior</w:t>
            </w:r>
          </w:p>
        </w:tc>
        <w:tc>
          <w:tcPr>
            <w:tcW w:w="604" w:type="pct"/>
            <w:tcBorders>
              <w:top w:val="single" w:sz="4" w:space="0" w:color="auto"/>
              <w:left w:val="nil"/>
              <w:bottom w:val="single" w:sz="8" w:space="0" w:color="auto"/>
              <w:right w:val="nil"/>
            </w:tcBorders>
          </w:tcPr>
          <w:p w:rsidR="00F24261" w:rsidRDefault="00F24261" w:rsidP="002145BE">
            <w:pPr>
              <w:spacing w:line="276" w:lineRule="auto"/>
              <w:jc w:val="center"/>
            </w:pPr>
            <w:r>
              <w:t>Locomotion</w:t>
            </w:r>
          </w:p>
        </w:tc>
        <w:tc>
          <w:tcPr>
            <w:tcW w:w="525" w:type="pct"/>
            <w:tcBorders>
              <w:top w:val="single" w:sz="4" w:space="0" w:color="auto"/>
              <w:left w:val="nil"/>
              <w:bottom w:val="single" w:sz="8" w:space="0" w:color="auto"/>
              <w:right w:val="nil"/>
            </w:tcBorders>
            <w:hideMark/>
          </w:tcPr>
          <w:p w:rsidR="00F24261" w:rsidRDefault="00F24261" w:rsidP="002145BE">
            <w:pPr>
              <w:spacing w:line="276" w:lineRule="auto"/>
              <w:jc w:val="center"/>
            </w:pPr>
            <w:r>
              <w:t>Feeding and drinking</w:t>
            </w:r>
          </w:p>
        </w:tc>
        <w:tc>
          <w:tcPr>
            <w:tcW w:w="615" w:type="pct"/>
            <w:tcBorders>
              <w:top w:val="single" w:sz="4" w:space="0" w:color="auto"/>
              <w:left w:val="nil"/>
              <w:bottom w:val="single" w:sz="8" w:space="0" w:color="auto"/>
              <w:right w:val="nil"/>
            </w:tcBorders>
          </w:tcPr>
          <w:p w:rsidR="00F24261" w:rsidRDefault="00F24261" w:rsidP="002145BE">
            <w:pPr>
              <w:spacing w:line="276" w:lineRule="auto"/>
              <w:jc w:val="center"/>
            </w:pPr>
            <w:r>
              <w:t>Respiratory</w:t>
            </w:r>
          </w:p>
        </w:tc>
        <w:tc>
          <w:tcPr>
            <w:tcW w:w="408" w:type="pct"/>
            <w:tcBorders>
              <w:top w:val="single" w:sz="4" w:space="0" w:color="auto"/>
              <w:left w:val="nil"/>
              <w:bottom w:val="single" w:sz="8" w:space="0" w:color="auto"/>
              <w:right w:val="nil"/>
            </w:tcBorders>
            <w:hideMark/>
          </w:tcPr>
          <w:p w:rsidR="00F24261" w:rsidRDefault="00F24261" w:rsidP="002145BE">
            <w:pPr>
              <w:spacing w:line="276" w:lineRule="auto"/>
              <w:jc w:val="center"/>
            </w:pPr>
            <w:r>
              <w:t>Eye &amp; Nose</w:t>
            </w:r>
          </w:p>
        </w:tc>
        <w:tc>
          <w:tcPr>
            <w:tcW w:w="520" w:type="pct"/>
            <w:tcBorders>
              <w:top w:val="single" w:sz="4" w:space="0" w:color="auto"/>
              <w:left w:val="nil"/>
              <w:bottom w:val="single" w:sz="8" w:space="0" w:color="auto"/>
              <w:right w:val="nil"/>
            </w:tcBorders>
            <w:hideMark/>
          </w:tcPr>
          <w:p w:rsidR="00F24261" w:rsidRDefault="00F24261" w:rsidP="002145BE">
            <w:pPr>
              <w:spacing w:line="276" w:lineRule="auto"/>
              <w:jc w:val="center"/>
            </w:pPr>
            <w:r>
              <w:t>Skin</w:t>
            </w:r>
          </w:p>
        </w:tc>
        <w:tc>
          <w:tcPr>
            <w:tcW w:w="503" w:type="pct"/>
            <w:tcBorders>
              <w:top w:val="single" w:sz="4" w:space="0" w:color="auto"/>
              <w:left w:val="nil"/>
              <w:bottom w:val="single" w:sz="8" w:space="0" w:color="auto"/>
              <w:right w:val="nil"/>
            </w:tcBorders>
          </w:tcPr>
          <w:p w:rsidR="00F24261" w:rsidRDefault="00F24261" w:rsidP="002145BE">
            <w:pPr>
              <w:spacing w:line="276" w:lineRule="auto"/>
              <w:jc w:val="both"/>
            </w:pPr>
            <w:r>
              <w:t>Excretion</w:t>
            </w:r>
          </w:p>
        </w:tc>
      </w:tr>
      <w:tr w:rsidR="00F24261" w:rsidTr="002145BE">
        <w:trPr>
          <w:trHeight w:val="311"/>
        </w:trPr>
        <w:tc>
          <w:tcPr>
            <w:tcW w:w="214" w:type="pct"/>
            <w:tcBorders>
              <w:top w:val="single" w:sz="8" w:space="0" w:color="auto"/>
              <w:left w:val="nil"/>
              <w:bottom w:val="nil"/>
              <w:right w:val="nil"/>
            </w:tcBorders>
            <w:hideMark/>
          </w:tcPr>
          <w:p w:rsidR="00F24261" w:rsidRDefault="00F24261" w:rsidP="002145BE">
            <w:pPr>
              <w:spacing w:line="360" w:lineRule="auto"/>
            </w:pPr>
            <w:r>
              <w:t>1</w:t>
            </w:r>
          </w:p>
        </w:tc>
        <w:tc>
          <w:tcPr>
            <w:tcW w:w="395" w:type="pct"/>
            <w:tcBorders>
              <w:top w:val="single" w:sz="8" w:space="0" w:color="auto"/>
              <w:left w:val="nil"/>
              <w:bottom w:val="nil"/>
              <w:right w:val="nil"/>
            </w:tcBorders>
            <w:hideMark/>
          </w:tcPr>
          <w:p w:rsidR="00F24261" w:rsidRDefault="00F24261" w:rsidP="002145BE">
            <w:pPr>
              <w:spacing w:line="360" w:lineRule="auto"/>
              <w:jc w:val="center"/>
            </w:pPr>
            <w:r>
              <w:t>120kg</w:t>
            </w:r>
          </w:p>
        </w:tc>
        <w:tc>
          <w:tcPr>
            <w:tcW w:w="666" w:type="pct"/>
            <w:tcBorders>
              <w:top w:val="single" w:sz="8" w:space="0" w:color="auto"/>
              <w:left w:val="nil"/>
              <w:bottom w:val="nil"/>
              <w:right w:val="nil"/>
            </w:tcBorders>
            <w:hideMark/>
          </w:tcPr>
          <w:p w:rsidR="00F24261" w:rsidRDefault="00F24261" w:rsidP="002145BE">
            <w:pPr>
              <w:spacing w:line="360" w:lineRule="auto"/>
              <w:jc w:val="center"/>
            </w:pPr>
            <w:r>
              <w:t>Normal</w:t>
            </w:r>
          </w:p>
        </w:tc>
        <w:tc>
          <w:tcPr>
            <w:tcW w:w="550" w:type="pct"/>
            <w:tcBorders>
              <w:top w:val="single" w:sz="8" w:space="0" w:color="auto"/>
              <w:left w:val="nil"/>
              <w:bottom w:val="nil"/>
              <w:right w:val="nil"/>
            </w:tcBorders>
            <w:hideMark/>
          </w:tcPr>
          <w:p w:rsidR="00F24261" w:rsidRDefault="00F24261" w:rsidP="002145BE">
            <w:pPr>
              <w:spacing w:line="360" w:lineRule="auto"/>
              <w:jc w:val="center"/>
            </w:pPr>
            <w:r>
              <w:t>Active</w:t>
            </w:r>
          </w:p>
        </w:tc>
        <w:tc>
          <w:tcPr>
            <w:tcW w:w="604" w:type="pct"/>
            <w:tcBorders>
              <w:top w:val="single" w:sz="8" w:space="0" w:color="auto"/>
              <w:left w:val="nil"/>
              <w:bottom w:val="nil"/>
              <w:right w:val="nil"/>
            </w:tcBorders>
          </w:tcPr>
          <w:p w:rsidR="00F24261" w:rsidRDefault="00F24261" w:rsidP="002145BE">
            <w:pPr>
              <w:spacing w:line="360" w:lineRule="auto"/>
              <w:jc w:val="center"/>
            </w:pPr>
            <w:r>
              <w:t>Active</w:t>
            </w:r>
          </w:p>
        </w:tc>
        <w:tc>
          <w:tcPr>
            <w:tcW w:w="525" w:type="pct"/>
            <w:tcBorders>
              <w:top w:val="single" w:sz="8" w:space="0" w:color="auto"/>
              <w:left w:val="nil"/>
              <w:bottom w:val="nil"/>
              <w:right w:val="nil"/>
            </w:tcBorders>
            <w:hideMark/>
          </w:tcPr>
          <w:p w:rsidR="00F24261" w:rsidRDefault="00F24261" w:rsidP="002145BE">
            <w:pPr>
              <w:spacing w:line="360" w:lineRule="auto"/>
              <w:jc w:val="center"/>
            </w:pPr>
            <w:r>
              <w:t>Normal</w:t>
            </w:r>
          </w:p>
        </w:tc>
        <w:tc>
          <w:tcPr>
            <w:tcW w:w="615" w:type="pct"/>
            <w:tcBorders>
              <w:top w:val="single" w:sz="8" w:space="0" w:color="auto"/>
              <w:left w:val="nil"/>
              <w:bottom w:val="nil"/>
              <w:right w:val="nil"/>
            </w:tcBorders>
          </w:tcPr>
          <w:p w:rsidR="00F24261" w:rsidRDefault="00F24261" w:rsidP="002145BE">
            <w:pPr>
              <w:spacing w:line="360" w:lineRule="auto"/>
              <w:jc w:val="center"/>
            </w:pPr>
            <w:r>
              <w:t>Nil</w:t>
            </w:r>
          </w:p>
        </w:tc>
        <w:tc>
          <w:tcPr>
            <w:tcW w:w="408" w:type="pct"/>
            <w:tcBorders>
              <w:top w:val="single" w:sz="8" w:space="0" w:color="auto"/>
              <w:left w:val="nil"/>
              <w:bottom w:val="nil"/>
              <w:right w:val="nil"/>
            </w:tcBorders>
            <w:hideMark/>
          </w:tcPr>
          <w:p w:rsidR="00F24261" w:rsidRDefault="00F24261" w:rsidP="002145BE">
            <w:pPr>
              <w:spacing w:line="360" w:lineRule="auto"/>
              <w:jc w:val="center"/>
            </w:pPr>
            <w:r>
              <w:t>Nil</w:t>
            </w:r>
          </w:p>
        </w:tc>
        <w:tc>
          <w:tcPr>
            <w:tcW w:w="520" w:type="pct"/>
            <w:tcBorders>
              <w:top w:val="single" w:sz="8" w:space="0" w:color="auto"/>
              <w:left w:val="nil"/>
              <w:bottom w:val="nil"/>
              <w:right w:val="nil"/>
            </w:tcBorders>
            <w:hideMark/>
          </w:tcPr>
          <w:p w:rsidR="00F24261" w:rsidRDefault="00F24261" w:rsidP="002145BE">
            <w:pPr>
              <w:spacing w:line="360" w:lineRule="auto"/>
              <w:jc w:val="center"/>
            </w:pPr>
            <w:r>
              <w:t>Normal</w:t>
            </w:r>
          </w:p>
        </w:tc>
        <w:tc>
          <w:tcPr>
            <w:tcW w:w="503" w:type="pct"/>
            <w:tcBorders>
              <w:top w:val="single" w:sz="8" w:space="0" w:color="auto"/>
              <w:left w:val="nil"/>
              <w:bottom w:val="nil"/>
              <w:right w:val="nil"/>
            </w:tcBorders>
          </w:tcPr>
          <w:p w:rsidR="00F24261" w:rsidRDefault="00F24261" w:rsidP="002145BE">
            <w:pPr>
              <w:spacing w:line="360" w:lineRule="auto"/>
              <w:jc w:val="both"/>
            </w:pPr>
            <w:r>
              <w:t>Normal</w:t>
            </w:r>
          </w:p>
        </w:tc>
      </w:tr>
      <w:tr w:rsidR="00F24261" w:rsidTr="002145BE">
        <w:trPr>
          <w:trHeight w:val="311"/>
        </w:trPr>
        <w:tc>
          <w:tcPr>
            <w:tcW w:w="214" w:type="pct"/>
            <w:tcBorders>
              <w:top w:val="nil"/>
              <w:left w:val="nil"/>
              <w:bottom w:val="nil"/>
              <w:right w:val="nil"/>
            </w:tcBorders>
            <w:hideMark/>
          </w:tcPr>
          <w:p w:rsidR="00F24261" w:rsidRDefault="00F24261" w:rsidP="002145BE">
            <w:pPr>
              <w:spacing w:line="360" w:lineRule="auto"/>
            </w:pPr>
            <w:r>
              <w:t>2</w:t>
            </w:r>
          </w:p>
        </w:tc>
        <w:tc>
          <w:tcPr>
            <w:tcW w:w="395" w:type="pct"/>
            <w:tcBorders>
              <w:top w:val="nil"/>
              <w:left w:val="nil"/>
              <w:bottom w:val="nil"/>
              <w:right w:val="nil"/>
            </w:tcBorders>
            <w:hideMark/>
          </w:tcPr>
          <w:p w:rsidR="00F24261" w:rsidRDefault="00F24261" w:rsidP="002145BE">
            <w:pPr>
              <w:spacing w:line="360" w:lineRule="auto"/>
              <w:jc w:val="center"/>
            </w:pPr>
            <w:r>
              <w:t>115kg</w:t>
            </w:r>
          </w:p>
        </w:tc>
        <w:tc>
          <w:tcPr>
            <w:tcW w:w="666" w:type="pct"/>
            <w:tcBorders>
              <w:top w:val="nil"/>
              <w:left w:val="nil"/>
              <w:bottom w:val="nil"/>
              <w:right w:val="nil"/>
            </w:tcBorders>
            <w:hideMark/>
          </w:tcPr>
          <w:p w:rsidR="00F24261" w:rsidRDefault="00F24261" w:rsidP="002145BE">
            <w:pPr>
              <w:spacing w:line="360" w:lineRule="auto"/>
              <w:jc w:val="center"/>
            </w:pPr>
            <w:r>
              <w:t>Normal</w:t>
            </w:r>
          </w:p>
        </w:tc>
        <w:tc>
          <w:tcPr>
            <w:tcW w:w="550" w:type="pct"/>
            <w:tcBorders>
              <w:top w:val="nil"/>
              <w:left w:val="nil"/>
              <w:bottom w:val="nil"/>
              <w:right w:val="nil"/>
            </w:tcBorders>
            <w:hideMark/>
          </w:tcPr>
          <w:p w:rsidR="00F24261" w:rsidRDefault="00F24261" w:rsidP="002145BE">
            <w:pPr>
              <w:spacing w:line="360" w:lineRule="auto"/>
              <w:jc w:val="center"/>
            </w:pPr>
            <w:r>
              <w:t>itchy</w:t>
            </w:r>
          </w:p>
        </w:tc>
        <w:tc>
          <w:tcPr>
            <w:tcW w:w="604" w:type="pct"/>
            <w:tcBorders>
              <w:top w:val="nil"/>
              <w:left w:val="nil"/>
              <w:bottom w:val="nil"/>
              <w:right w:val="nil"/>
            </w:tcBorders>
          </w:tcPr>
          <w:p w:rsidR="00F24261" w:rsidRDefault="00F24261" w:rsidP="002145BE">
            <w:pPr>
              <w:spacing w:line="360" w:lineRule="auto"/>
              <w:jc w:val="center"/>
            </w:pPr>
            <w:r>
              <w:t>Active</w:t>
            </w:r>
          </w:p>
        </w:tc>
        <w:tc>
          <w:tcPr>
            <w:tcW w:w="525" w:type="pct"/>
            <w:tcBorders>
              <w:top w:val="nil"/>
              <w:left w:val="nil"/>
              <w:bottom w:val="nil"/>
              <w:right w:val="nil"/>
            </w:tcBorders>
            <w:hideMark/>
          </w:tcPr>
          <w:p w:rsidR="00F24261" w:rsidRDefault="00F24261" w:rsidP="002145BE">
            <w:pPr>
              <w:spacing w:line="360" w:lineRule="auto"/>
              <w:jc w:val="center"/>
            </w:pPr>
            <w:r>
              <w:t>Increased</w:t>
            </w:r>
          </w:p>
        </w:tc>
        <w:tc>
          <w:tcPr>
            <w:tcW w:w="615" w:type="pct"/>
            <w:tcBorders>
              <w:top w:val="nil"/>
              <w:left w:val="nil"/>
              <w:bottom w:val="nil"/>
              <w:right w:val="nil"/>
            </w:tcBorders>
          </w:tcPr>
          <w:p w:rsidR="00F24261" w:rsidRDefault="00F24261" w:rsidP="002145BE">
            <w:pPr>
              <w:spacing w:line="360" w:lineRule="auto"/>
              <w:jc w:val="center"/>
            </w:pPr>
            <w:r>
              <w:t>Nil</w:t>
            </w:r>
          </w:p>
        </w:tc>
        <w:tc>
          <w:tcPr>
            <w:tcW w:w="408" w:type="pct"/>
            <w:tcBorders>
              <w:top w:val="nil"/>
              <w:left w:val="nil"/>
              <w:bottom w:val="nil"/>
              <w:right w:val="nil"/>
            </w:tcBorders>
            <w:hideMark/>
          </w:tcPr>
          <w:p w:rsidR="00F24261" w:rsidRDefault="00F24261" w:rsidP="002145BE">
            <w:pPr>
              <w:spacing w:line="360" w:lineRule="auto"/>
              <w:jc w:val="center"/>
            </w:pPr>
            <w:r>
              <w:t>Nil</w:t>
            </w:r>
          </w:p>
        </w:tc>
        <w:tc>
          <w:tcPr>
            <w:tcW w:w="520" w:type="pct"/>
            <w:tcBorders>
              <w:top w:val="nil"/>
              <w:left w:val="nil"/>
              <w:bottom w:val="nil"/>
              <w:right w:val="nil"/>
            </w:tcBorders>
            <w:hideMark/>
          </w:tcPr>
          <w:p w:rsidR="00F24261" w:rsidRDefault="00F24261" w:rsidP="002145BE">
            <w:pPr>
              <w:spacing w:line="360" w:lineRule="auto"/>
              <w:jc w:val="center"/>
            </w:pPr>
            <w:r>
              <w:t xml:space="preserve"> rough</w:t>
            </w:r>
          </w:p>
        </w:tc>
        <w:tc>
          <w:tcPr>
            <w:tcW w:w="503" w:type="pct"/>
            <w:tcBorders>
              <w:top w:val="nil"/>
              <w:left w:val="nil"/>
              <w:bottom w:val="nil"/>
              <w:right w:val="nil"/>
            </w:tcBorders>
          </w:tcPr>
          <w:p w:rsidR="00F24261" w:rsidRDefault="00F24261" w:rsidP="002145BE">
            <w:pPr>
              <w:spacing w:line="360" w:lineRule="auto"/>
              <w:jc w:val="both"/>
            </w:pPr>
            <w:r>
              <w:t xml:space="preserve">Normal </w:t>
            </w:r>
          </w:p>
        </w:tc>
      </w:tr>
      <w:tr w:rsidR="00F24261" w:rsidTr="002145BE">
        <w:trPr>
          <w:trHeight w:val="311"/>
        </w:trPr>
        <w:tc>
          <w:tcPr>
            <w:tcW w:w="214" w:type="pct"/>
            <w:tcBorders>
              <w:top w:val="nil"/>
              <w:left w:val="nil"/>
              <w:bottom w:val="nil"/>
              <w:right w:val="nil"/>
            </w:tcBorders>
            <w:hideMark/>
          </w:tcPr>
          <w:p w:rsidR="00F24261" w:rsidRDefault="00F24261" w:rsidP="002145BE">
            <w:pPr>
              <w:spacing w:line="360" w:lineRule="auto"/>
            </w:pPr>
            <w:r>
              <w:t>3</w:t>
            </w:r>
          </w:p>
        </w:tc>
        <w:tc>
          <w:tcPr>
            <w:tcW w:w="395" w:type="pct"/>
            <w:tcBorders>
              <w:top w:val="nil"/>
              <w:left w:val="nil"/>
              <w:bottom w:val="nil"/>
              <w:right w:val="nil"/>
            </w:tcBorders>
            <w:hideMark/>
          </w:tcPr>
          <w:p w:rsidR="00F24261" w:rsidRDefault="00F24261" w:rsidP="002145BE">
            <w:pPr>
              <w:spacing w:line="360" w:lineRule="auto"/>
              <w:jc w:val="center"/>
            </w:pPr>
            <w:r>
              <w:t>110kg</w:t>
            </w:r>
          </w:p>
        </w:tc>
        <w:tc>
          <w:tcPr>
            <w:tcW w:w="666" w:type="pct"/>
            <w:tcBorders>
              <w:top w:val="nil"/>
              <w:left w:val="nil"/>
              <w:bottom w:val="nil"/>
              <w:right w:val="nil"/>
            </w:tcBorders>
            <w:hideMark/>
          </w:tcPr>
          <w:p w:rsidR="00F24261" w:rsidRDefault="00F24261" w:rsidP="002145BE">
            <w:pPr>
              <w:spacing w:line="360" w:lineRule="auto"/>
              <w:jc w:val="center"/>
            </w:pPr>
            <w:r>
              <w:t>Barbering</w:t>
            </w:r>
          </w:p>
        </w:tc>
        <w:tc>
          <w:tcPr>
            <w:tcW w:w="550" w:type="pct"/>
            <w:tcBorders>
              <w:top w:val="nil"/>
              <w:left w:val="nil"/>
              <w:bottom w:val="nil"/>
              <w:right w:val="nil"/>
            </w:tcBorders>
            <w:hideMark/>
          </w:tcPr>
          <w:p w:rsidR="00F24261" w:rsidRDefault="00F24261" w:rsidP="002145BE">
            <w:pPr>
              <w:spacing w:line="360" w:lineRule="auto"/>
              <w:jc w:val="center"/>
            </w:pPr>
            <w:r>
              <w:t>Lessactive</w:t>
            </w:r>
          </w:p>
        </w:tc>
        <w:tc>
          <w:tcPr>
            <w:tcW w:w="604" w:type="pct"/>
            <w:tcBorders>
              <w:top w:val="nil"/>
              <w:left w:val="nil"/>
              <w:bottom w:val="nil"/>
              <w:right w:val="nil"/>
            </w:tcBorders>
          </w:tcPr>
          <w:p w:rsidR="00F24261" w:rsidRDefault="00F24261" w:rsidP="002145BE">
            <w:pPr>
              <w:spacing w:line="360" w:lineRule="auto"/>
              <w:jc w:val="center"/>
            </w:pPr>
            <w:r>
              <w:t>Sedentary</w:t>
            </w:r>
          </w:p>
        </w:tc>
        <w:tc>
          <w:tcPr>
            <w:tcW w:w="525" w:type="pct"/>
            <w:tcBorders>
              <w:top w:val="nil"/>
              <w:left w:val="nil"/>
              <w:bottom w:val="nil"/>
              <w:right w:val="nil"/>
            </w:tcBorders>
            <w:hideMark/>
          </w:tcPr>
          <w:p w:rsidR="00F24261" w:rsidRDefault="00F24261" w:rsidP="002145BE">
            <w:pPr>
              <w:spacing w:line="360" w:lineRule="auto"/>
              <w:jc w:val="center"/>
            </w:pPr>
            <w:r>
              <w:t>Reduced</w:t>
            </w:r>
          </w:p>
        </w:tc>
        <w:tc>
          <w:tcPr>
            <w:tcW w:w="615" w:type="pct"/>
            <w:tcBorders>
              <w:top w:val="nil"/>
              <w:left w:val="nil"/>
              <w:bottom w:val="nil"/>
              <w:right w:val="nil"/>
            </w:tcBorders>
          </w:tcPr>
          <w:p w:rsidR="00F24261" w:rsidRDefault="00F24261" w:rsidP="002145BE">
            <w:pPr>
              <w:spacing w:line="360" w:lineRule="auto"/>
              <w:jc w:val="center"/>
            </w:pPr>
            <w:r>
              <w:t>Tachypnea</w:t>
            </w:r>
          </w:p>
        </w:tc>
        <w:tc>
          <w:tcPr>
            <w:tcW w:w="408" w:type="pct"/>
            <w:tcBorders>
              <w:top w:val="nil"/>
              <w:left w:val="nil"/>
              <w:bottom w:val="nil"/>
              <w:right w:val="nil"/>
            </w:tcBorders>
            <w:hideMark/>
          </w:tcPr>
          <w:p w:rsidR="00F24261" w:rsidRDefault="00F24261" w:rsidP="002145BE">
            <w:pPr>
              <w:spacing w:line="360" w:lineRule="auto"/>
              <w:jc w:val="center"/>
            </w:pPr>
            <w:r>
              <w:t>Normal</w:t>
            </w:r>
          </w:p>
        </w:tc>
        <w:tc>
          <w:tcPr>
            <w:tcW w:w="520" w:type="pct"/>
            <w:tcBorders>
              <w:top w:val="nil"/>
              <w:left w:val="nil"/>
              <w:bottom w:val="nil"/>
              <w:right w:val="nil"/>
            </w:tcBorders>
            <w:hideMark/>
          </w:tcPr>
          <w:p w:rsidR="00F24261" w:rsidRDefault="00F24261" w:rsidP="002145BE">
            <w:pPr>
              <w:spacing w:line="360" w:lineRule="auto"/>
              <w:jc w:val="center"/>
            </w:pPr>
            <w:r>
              <w:t>Barbering</w:t>
            </w:r>
          </w:p>
        </w:tc>
        <w:tc>
          <w:tcPr>
            <w:tcW w:w="503" w:type="pct"/>
            <w:tcBorders>
              <w:top w:val="nil"/>
              <w:left w:val="nil"/>
              <w:bottom w:val="nil"/>
              <w:right w:val="nil"/>
            </w:tcBorders>
          </w:tcPr>
          <w:p w:rsidR="00F24261" w:rsidRDefault="00F24261" w:rsidP="002145BE">
            <w:pPr>
              <w:spacing w:line="360" w:lineRule="auto"/>
              <w:jc w:val="both"/>
            </w:pPr>
            <w:r>
              <w:t>Normal</w:t>
            </w:r>
          </w:p>
        </w:tc>
      </w:tr>
      <w:tr w:rsidR="00F24261" w:rsidTr="002145BE">
        <w:trPr>
          <w:trHeight w:val="311"/>
        </w:trPr>
        <w:tc>
          <w:tcPr>
            <w:tcW w:w="214" w:type="pct"/>
            <w:tcBorders>
              <w:top w:val="nil"/>
              <w:left w:val="nil"/>
              <w:bottom w:val="nil"/>
              <w:right w:val="nil"/>
            </w:tcBorders>
            <w:hideMark/>
          </w:tcPr>
          <w:p w:rsidR="00F24261" w:rsidRDefault="00F24261" w:rsidP="002145BE">
            <w:pPr>
              <w:spacing w:line="360" w:lineRule="auto"/>
            </w:pPr>
            <w:r>
              <w:t>4</w:t>
            </w:r>
          </w:p>
        </w:tc>
        <w:tc>
          <w:tcPr>
            <w:tcW w:w="395" w:type="pct"/>
            <w:tcBorders>
              <w:top w:val="nil"/>
              <w:left w:val="nil"/>
              <w:bottom w:val="nil"/>
              <w:right w:val="nil"/>
            </w:tcBorders>
            <w:hideMark/>
          </w:tcPr>
          <w:p w:rsidR="00F24261" w:rsidRDefault="00F24261" w:rsidP="002145BE">
            <w:pPr>
              <w:spacing w:line="360" w:lineRule="auto"/>
              <w:jc w:val="center"/>
            </w:pPr>
            <w:r>
              <w:t>115kg</w:t>
            </w:r>
          </w:p>
        </w:tc>
        <w:tc>
          <w:tcPr>
            <w:tcW w:w="666" w:type="pct"/>
            <w:tcBorders>
              <w:top w:val="nil"/>
              <w:left w:val="nil"/>
              <w:bottom w:val="nil"/>
              <w:right w:val="nil"/>
            </w:tcBorders>
            <w:hideMark/>
          </w:tcPr>
          <w:p w:rsidR="00F24261" w:rsidRDefault="00F24261" w:rsidP="002145BE">
            <w:pPr>
              <w:spacing w:line="360" w:lineRule="auto"/>
              <w:jc w:val="center"/>
            </w:pPr>
            <w:r>
              <w:t>Less active</w:t>
            </w:r>
          </w:p>
        </w:tc>
        <w:tc>
          <w:tcPr>
            <w:tcW w:w="550" w:type="pct"/>
            <w:tcBorders>
              <w:top w:val="nil"/>
              <w:left w:val="nil"/>
              <w:bottom w:val="nil"/>
              <w:right w:val="nil"/>
            </w:tcBorders>
            <w:hideMark/>
          </w:tcPr>
          <w:p w:rsidR="00F24261" w:rsidRDefault="00F24261" w:rsidP="002145BE">
            <w:pPr>
              <w:spacing w:line="360" w:lineRule="auto"/>
              <w:jc w:val="center"/>
            </w:pPr>
            <w:r>
              <w:t>Weak</w:t>
            </w:r>
          </w:p>
        </w:tc>
        <w:tc>
          <w:tcPr>
            <w:tcW w:w="604" w:type="pct"/>
            <w:tcBorders>
              <w:top w:val="nil"/>
              <w:left w:val="nil"/>
              <w:bottom w:val="nil"/>
              <w:right w:val="nil"/>
            </w:tcBorders>
          </w:tcPr>
          <w:p w:rsidR="00F24261" w:rsidRDefault="00F24261" w:rsidP="002145BE">
            <w:pPr>
              <w:spacing w:line="360" w:lineRule="auto"/>
              <w:jc w:val="center"/>
            </w:pPr>
            <w:r>
              <w:t>Slow</w:t>
            </w:r>
          </w:p>
        </w:tc>
        <w:tc>
          <w:tcPr>
            <w:tcW w:w="525" w:type="pct"/>
            <w:tcBorders>
              <w:top w:val="nil"/>
              <w:left w:val="nil"/>
              <w:bottom w:val="nil"/>
              <w:right w:val="nil"/>
            </w:tcBorders>
            <w:hideMark/>
          </w:tcPr>
          <w:p w:rsidR="00F24261" w:rsidRDefault="00F24261" w:rsidP="002145BE">
            <w:pPr>
              <w:spacing w:line="360" w:lineRule="auto"/>
              <w:jc w:val="center"/>
            </w:pPr>
            <w:r>
              <w:t>Reduced</w:t>
            </w:r>
          </w:p>
        </w:tc>
        <w:tc>
          <w:tcPr>
            <w:tcW w:w="615" w:type="pct"/>
            <w:tcBorders>
              <w:top w:val="nil"/>
              <w:left w:val="nil"/>
              <w:bottom w:val="nil"/>
              <w:right w:val="nil"/>
            </w:tcBorders>
          </w:tcPr>
          <w:p w:rsidR="00F24261" w:rsidRDefault="00F24261" w:rsidP="002145BE">
            <w:pPr>
              <w:spacing w:line="360" w:lineRule="auto"/>
              <w:jc w:val="center"/>
            </w:pPr>
            <w:r>
              <w:t>Tachypnea</w:t>
            </w:r>
          </w:p>
        </w:tc>
        <w:tc>
          <w:tcPr>
            <w:tcW w:w="408" w:type="pct"/>
            <w:tcBorders>
              <w:top w:val="nil"/>
              <w:left w:val="nil"/>
              <w:bottom w:val="nil"/>
              <w:right w:val="nil"/>
            </w:tcBorders>
            <w:hideMark/>
          </w:tcPr>
          <w:p w:rsidR="00F24261" w:rsidRDefault="00F24261" w:rsidP="002145BE">
            <w:pPr>
              <w:spacing w:line="360" w:lineRule="auto"/>
              <w:jc w:val="center"/>
            </w:pPr>
            <w:r>
              <w:t>Red</w:t>
            </w:r>
          </w:p>
        </w:tc>
        <w:tc>
          <w:tcPr>
            <w:tcW w:w="520" w:type="pct"/>
            <w:tcBorders>
              <w:top w:val="nil"/>
              <w:left w:val="nil"/>
              <w:bottom w:val="nil"/>
              <w:right w:val="nil"/>
            </w:tcBorders>
            <w:hideMark/>
          </w:tcPr>
          <w:p w:rsidR="00F24261" w:rsidRDefault="00F24261" w:rsidP="002145BE">
            <w:pPr>
              <w:spacing w:line="360" w:lineRule="auto"/>
              <w:jc w:val="center"/>
            </w:pPr>
            <w:r>
              <w:t>Itchy</w:t>
            </w:r>
          </w:p>
        </w:tc>
        <w:tc>
          <w:tcPr>
            <w:tcW w:w="503" w:type="pct"/>
            <w:tcBorders>
              <w:top w:val="nil"/>
              <w:left w:val="nil"/>
              <w:bottom w:val="nil"/>
              <w:right w:val="nil"/>
            </w:tcBorders>
          </w:tcPr>
          <w:p w:rsidR="00F24261" w:rsidRDefault="00F24261" w:rsidP="002145BE">
            <w:pPr>
              <w:spacing w:line="360" w:lineRule="auto"/>
              <w:jc w:val="both"/>
            </w:pPr>
            <w:r>
              <w:t xml:space="preserve">Watery </w:t>
            </w:r>
          </w:p>
        </w:tc>
      </w:tr>
      <w:tr w:rsidR="00F24261" w:rsidTr="002145BE">
        <w:trPr>
          <w:trHeight w:val="311"/>
        </w:trPr>
        <w:tc>
          <w:tcPr>
            <w:tcW w:w="214" w:type="pct"/>
            <w:tcBorders>
              <w:top w:val="nil"/>
              <w:left w:val="nil"/>
              <w:bottom w:val="single" w:sz="4" w:space="0" w:color="auto"/>
              <w:right w:val="nil"/>
            </w:tcBorders>
            <w:hideMark/>
          </w:tcPr>
          <w:p w:rsidR="00F24261" w:rsidRDefault="00F24261" w:rsidP="002145BE">
            <w:pPr>
              <w:spacing w:line="360" w:lineRule="auto"/>
            </w:pPr>
            <w:r>
              <w:t>5</w:t>
            </w:r>
          </w:p>
        </w:tc>
        <w:tc>
          <w:tcPr>
            <w:tcW w:w="395" w:type="pct"/>
            <w:tcBorders>
              <w:top w:val="nil"/>
              <w:left w:val="nil"/>
              <w:bottom w:val="single" w:sz="4" w:space="0" w:color="auto"/>
              <w:right w:val="nil"/>
            </w:tcBorders>
            <w:hideMark/>
          </w:tcPr>
          <w:p w:rsidR="00F24261" w:rsidRDefault="00F24261" w:rsidP="002145BE">
            <w:pPr>
              <w:spacing w:line="360" w:lineRule="auto"/>
              <w:jc w:val="center"/>
            </w:pPr>
            <w:r>
              <w:t>105kg</w:t>
            </w:r>
          </w:p>
        </w:tc>
        <w:tc>
          <w:tcPr>
            <w:tcW w:w="666" w:type="pct"/>
            <w:tcBorders>
              <w:top w:val="nil"/>
              <w:left w:val="nil"/>
              <w:bottom w:val="single" w:sz="4" w:space="0" w:color="auto"/>
              <w:right w:val="nil"/>
            </w:tcBorders>
            <w:hideMark/>
          </w:tcPr>
          <w:p w:rsidR="00F24261" w:rsidRDefault="00F24261" w:rsidP="002145BE">
            <w:pPr>
              <w:spacing w:line="360" w:lineRule="auto"/>
              <w:jc w:val="center"/>
            </w:pPr>
            <w:r>
              <w:t>Barbering</w:t>
            </w:r>
          </w:p>
        </w:tc>
        <w:tc>
          <w:tcPr>
            <w:tcW w:w="550" w:type="pct"/>
            <w:tcBorders>
              <w:top w:val="nil"/>
              <w:left w:val="nil"/>
              <w:bottom w:val="single" w:sz="4" w:space="0" w:color="auto"/>
              <w:right w:val="nil"/>
            </w:tcBorders>
            <w:hideMark/>
          </w:tcPr>
          <w:p w:rsidR="00F24261" w:rsidRDefault="00F24261" w:rsidP="002145BE">
            <w:pPr>
              <w:spacing w:line="360" w:lineRule="auto"/>
              <w:jc w:val="center"/>
            </w:pPr>
            <w:r>
              <w:t>Weak</w:t>
            </w:r>
          </w:p>
        </w:tc>
        <w:tc>
          <w:tcPr>
            <w:tcW w:w="604" w:type="pct"/>
            <w:tcBorders>
              <w:top w:val="nil"/>
              <w:left w:val="nil"/>
              <w:bottom w:val="single" w:sz="4" w:space="0" w:color="auto"/>
              <w:right w:val="nil"/>
            </w:tcBorders>
          </w:tcPr>
          <w:p w:rsidR="00F24261" w:rsidRDefault="00F24261" w:rsidP="002145BE">
            <w:pPr>
              <w:spacing w:line="360" w:lineRule="auto"/>
              <w:jc w:val="center"/>
            </w:pPr>
            <w:r>
              <w:t>Slow</w:t>
            </w:r>
          </w:p>
        </w:tc>
        <w:tc>
          <w:tcPr>
            <w:tcW w:w="525" w:type="pct"/>
            <w:tcBorders>
              <w:top w:val="nil"/>
              <w:left w:val="nil"/>
              <w:bottom w:val="single" w:sz="4" w:space="0" w:color="auto"/>
              <w:right w:val="nil"/>
            </w:tcBorders>
            <w:hideMark/>
          </w:tcPr>
          <w:p w:rsidR="00F24261" w:rsidRDefault="00F24261" w:rsidP="002145BE">
            <w:pPr>
              <w:spacing w:line="360" w:lineRule="auto"/>
              <w:jc w:val="center"/>
            </w:pPr>
            <w:r>
              <w:t>Low</w:t>
            </w:r>
          </w:p>
        </w:tc>
        <w:tc>
          <w:tcPr>
            <w:tcW w:w="615" w:type="pct"/>
            <w:tcBorders>
              <w:top w:val="nil"/>
              <w:left w:val="nil"/>
              <w:bottom w:val="single" w:sz="4" w:space="0" w:color="auto"/>
              <w:right w:val="nil"/>
            </w:tcBorders>
          </w:tcPr>
          <w:p w:rsidR="00F24261" w:rsidRDefault="00F24261" w:rsidP="002145BE">
            <w:pPr>
              <w:spacing w:line="360" w:lineRule="auto"/>
              <w:jc w:val="center"/>
            </w:pPr>
            <w:r>
              <w:t>Palpitation</w:t>
            </w:r>
          </w:p>
        </w:tc>
        <w:tc>
          <w:tcPr>
            <w:tcW w:w="408" w:type="pct"/>
            <w:tcBorders>
              <w:top w:val="nil"/>
              <w:left w:val="nil"/>
              <w:bottom w:val="single" w:sz="4" w:space="0" w:color="auto"/>
              <w:right w:val="nil"/>
            </w:tcBorders>
            <w:hideMark/>
          </w:tcPr>
          <w:p w:rsidR="00F24261" w:rsidRDefault="00F24261" w:rsidP="002145BE">
            <w:pPr>
              <w:spacing w:line="360" w:lineRule="auto"/>
              <w:jc w:val="center"/>
            </w:pPr>
            <w:r>
              <w:t xml:space="preserve">Red </w:t>
            </w:r>
          </w:p>
        </w:tc>
        <w:tc>
          <w:tcPr>
            <w:tcW w:w="520" w:type="pct"/>
            <w:tcBorders>
              <w:top w:val="nil"/>
              <w:left w:val="nil"/>
              <w:bottom w:val="single" w:sz="4" w:space="0" w:color="auto"/>
              <w:right w:val="nil"/>
            </w:tcBorders>
            <w:hideMark/>
          </w:tcPr>
          <w:p w:rsidR="00F24261" w:rsidRDefault="00F24261" w:rsidP="002145BE">
            <w:pPr>
              <w:spacing w:line="360" w:lineRule="auto"/>
              <w:jc w:val="center"/>
            </w:pPr>
            <w:r>
              <w:t>itchy</w:t>
            </w:r>
          </w:p>
        </w:tc>
        <w:tc>
          <w:tcPr>
            <w:tcW w:w="503" w:type="pct"/>
            <w:tcBorders>
              <w:top w:val="nil"/>
              <w:left w:val="nil"/>
              <w:bottom w:val="single" w:sz="4" w:space="0" w:color="auto"/>
              <w:right w:val="nil"/>
            </w:tcBorders>
          </w:tcPr>
          <w:p w:rsidR="00F24261" w:rsidRDefault="00F24261" w:rsidP="002145BE">
            <w:pPr>
              <w:spacing w:line="360" w:lineRule="auto"/>
              <w:jc w:val="both"/>
            </w:pPr>
            <w:r>
              <w:t xml:space="preserve">Watery </w:t>
            </w:r>
          </w:p>
        </w:tc>
      </w:tr>
    </w:tbl>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240" w:lineRule="auto"/>
        <w:jc w:val="both"/>
        <w:rPr>
          <w:rFonts w:ascii="Times New Roman" w:hAnsi="Times New Roman" w:cs="Times New Roman"/>
          <w:sz w:val="28"/>
          <w:szCs w:val="28"/>
        </w:rPr>
      </w:pPr>
      <w:r>
        <w:rPr>
          <w:rFonts w:ascii="Times New Roman" w:hAnsi="Times New Roman" w:cs="Times New Roman"/>
          <w:iCs/>
          <w:sz w:val="28"/>
          <w:szCs w:val="28"/>
        </w:rPr>
        <w:t>3.5 Daily Observation for80% conc. Toxin Administration in Rats</w:t>
      </w:r>
      <w:r>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13"/>
        <w:gridCol w:w="1495"/>
        <w:gridCol w:w="1094"/>
        <w:gridCol w:w="1375"/>
        <w:gridCol w:w="1191"/>
        <w:gridCol w:w="1350"/>
        <w:gridCol w:w="985"/>
        <w:gridCol w:w="1178"/>
        <w:gridCol w:w="1144"/>
      </w:tblGrid>
      <w:tr w:rsidR="00F24261" w:rsidTr="002145BE">
        <w:trPr>
          <w:trHeight w:val="769"/>
        </w:trPr>
        <w:tc>
          <w:tcPr>
            <w:tcW w:w="273" w:type="pct"/>
            <w:tcBorders>
              <w:top w:val="single" w:sz="4" w:space="0" w:color="auto"/>
              <w:left w:val="nil"/>
              <w:bottom w:val="single" w:sz="8" w:space="0" w:color="auto"/>
              <w:right w:val="nil"/>
            </w:tcBorders>
            <w:hideMark/>
          </w:tcPr>
          <w:p w:rsidR="00F24261" w:rsidRDefault="00F24261" w:rsidP="002145BE">
            <w:r>
              <w:t>Day</w:t>
            </w:r>
          </w:p>
        </w:tc>
        <w:tc>
          <w:tcPr>
            <w:tcW w:w="400" w:type="pct"/>
            <w:tcBorders>
              <w:top w:val="single" w:sz="4" w:space="0" w:color="auto"/>
              <w:left w:val="nil"/>
              <w:bottom w:val="single" w:sz="8" w:space="0" w:color="auto"/>
              <w:right w:val="nil"/>
            </w:tcBorders>
            <w:hideMark/>
          </w:tcPr>
          <w:p w:rsidR="00F24261" w:rsidRDefault="00F24261" w:rsidP="002145BE">
            <w:pPr>
              <w:jc w:val="center"/>
            </w:pPr>
            <w:r>
              <w:t>Weight</w:t>
            </w:r>
          </w:p>
        </w:tc>
        <w:tc>
          <w:tcPr>
            <w:tcW w:w="660" w:type="pct"/>
            <w:tcBorders>
              <w:top w:val="single" w:sz="4" w:space="0" w:color="auto"/>
              <w:left w:val="nil"/>
              <w:bottom w:val="single" w:sz="8" w:space="0" w:color="auto"/>
              <w:right w:val="nil"/>
            </w:tcBorders>
            <w:hideMark/>
          </w:tcPr>
          <w:p w:rsidR="00F24261" w:rsidRDefault="00F24261" w:rsidP="002145BE">
            <w:pPr>
              <w:jc w:val="center"/>
            </w:pPr>
            <w:r>
              <w:t>Physical appearances</w:t>
            </w:r>
          </w:p>
        </w:tc>
        <w:tc>
          <w:tcPr>
            <w:tcW w:w="483" w:type="pct"/>
            <w:tcBorders>
              <w:top w:val="single" w:sz="4" w:space="0" w:color="auto"/>
              <w:left w:val="nil"/>
              <w:bottom w:val="single" w:sz="8" w:space="0" w:color="auto"/>
              <w:right w:val="nil"/>
            </w:tcBorders>
            <w:hideMark/>
          </w:tcPr>
          <w:p w:rsidR="00F24261" w:rsidRDefault="00F24261" w:rsidP="002145BE">
            <w:pPr>
              <w:jc w:val="center"/>
            </w:pPr>
            <w:r>
              <w:t>Behavior</w:t>
            </w:r>
          </w:p>
        </w:tc>
        <w:tc>
          <w:tcPr>
            <w:tcW w:w="601" w:type="pct"/>
            <w:tcBorders>
              <w:top w:val="single" w:sz="4" w:space="0" w:color="auto"/>
              <w:left w:val="nil"/>
              <w:bottom w:val="single" w:sz="8" w:space="0" w:color="auto"/>
              <w:right w:val="nil"/>
            </w:tcBorders>
            <w:hideMark/>
          </w:tcPr>
          <w:p w:rsidR="00F24261" w:rsidRDefault="00F24261" w:rsidP="002145BE">
            <w:pPr>
              <w:jc w:val="center"/>
            </w:pPr>
            <w:r>
              <w:t>Locomotion</w:t>
            </w:r>
          </w:p>
        </w:tc>
        <w:tc>
          <w:tcPr>
            <w:tcW w:w="526" w:type="pct"/>
            <w:tcBorders>
              <w:top w:val="single" w:sz="4" w:space="0" w:color="auto"/>
              <w:left w:val="nil"/>
              <w:bottom w:val="single" w:sz="8" w:space="0" w:color="auto"/>
              <w:right w:val="nil"/>
            </w:tcBorders>
            <w:hideMark/>
          </w:tcPr>
          <w:p w:rsidR="00F24261" w:rsidRDefault="00F24261" w:rsidP="002145BE">
            <w:pPr>
              <w:jc w:val="center"/>
            </w:pPr>
            <w:r>
              <w:t>Feeding and drinking</w:t>
            </w:r>
          </w:p>
        </w:tc>
        <w:tc>
          <w:tcPr>
            <w:tcW w:w="596" w:type="pct"/>
            <w:tcBorders>
              <w:top w:val="single" w:sz="4" w:space="0" w:color="auto"/>
              <w:left w:val="nil"/>
              <w:bottom w:val="single" w:sz="8" w:space="0" w:color="auto"/>
              <w:right w:val="nil"/>
            </w:tcBorders>
            <w:hideMark/>
          </w:tcPr>
          <w:p w:rsidR="00F24261" w:rsidRDefault="00F24261" w:rsidP="002145BE">
            <w:pPr>
              <w:jc w:val="center"/>
            </w:pPr>
            <w:r>
              <w:t>Respiratory</w:t>
            </w:r>
          </w:p>
        </w:tc>
        <w:tc>
          <w:tcPr>
            <w:tcW w:w="435" w:type="pct"/>
            <w:tcBorders>
              <w:top w:val="single" w:sz="4" w:space="0" w:color="auto"/>
              <w:left w:val="nil"/>
              <w:bottom w:val="single" w:sz="8" w:space="0" w:color="auto"/>
              <w:right w:val="nil"/>
            </w:tcBorders>
            <w:hideMark/>
          </w:tcPr>
          <w:p w:rsidR="00F24261" w:rsidRDefault="00F24261" w:rsidP="002145BE">
            <w:pPr>
              <w:jc w:val="center"/>
            </w:pPr>
            <w:r>
              <w:t>Eye &amp; Nose</w:t>
            </w:r>
          </w:p>
        </w:tc>
        <w:tc>
          <w:tcPr>
            <w:tcW w:w="520" w:type="pct"/>
            <w:tcBorders>
              <w:top w:val="single" w:sz="4" w:space="0" w:color="auto"/>
              <w:left w:val="nil"/>
              <w:bottom w:val="single" w:sz="8" w:space="0" w:color="auto"/>
              <w:right w:val="nil"/>
            </w:tcBorders>
            <w:hideMark/>
          </w:tcPr>
          <w:p w:rsidR="00F24261" w:rsidRDefault="00F24261" w:rsidP="002145BE">
            <w:pPr>
              <w:jc w:val="center"/>
            </w:pPr>
            <w:r>
              <w:t>Skin</w:t>
            </w:r>
          </w:p>
        </w:tc>
        <w:tc>
          <w:tcPr>
            <w:tcW w:w="505" w:type="pct"/>
            <w:tcBorders>
              <w:top w:val="single" w:sz="4" w:space="0" w:color="auto"/>
              <w:left w:val="nil"/>
              <w:bottom w:val="single" w:sz="8" w:space="0" w:color="auto"/>
              <w:right w:val="nil"/>
            </w:tcBorders>
            <w:hideMark/>
          </w:tcPr>
          <w:p w:rsidR="00F24261" w:rsidRDefault="00F24261" w:rsidP="002145BE">
            <w:pPr>
              <w:jc w:val="center"/>
            </w:pPr>
            <w:r>
              <w:t>Excretion</w:t>
            </w:r>
          </w:p>
        </w:tc>
      </w:tr>
      <w:tr w:rsidR="00F24261" w:rsidTr="002145BE">
        <w:trPr>
          <w:trHeight w:val="317"/>
        </w:trPr>
        <w:tc>
          <w:tcPr>
            <w:tcW w:w="273" w:type="pct"/>
            <w:tcBorders>
              <w:top w:val="single" w:sz="8" w:space="0" w:color="auto"/>
              <w:left w:val="nil"/>
              <w:bottom w:val="nil"/>
              <w:right w:val="nil"/>
            </w:tcBorders>
            <w:hideMark/>
          </w:tcPr>
          <w:p w:rsidR="00F24261" w:rsidRDefault="00F24261" w:rsidP="002145BE">
            <w:pPr>
              <w:spacing w:line="360" w:lineRule="auto"/>
            </w:pPr>
            <w:r>
              <w:t>1</w:t>
            </w:r>
          </w:p>
        </w:tc>
        <w:tc>
          <w:tcPr>
            <w:tcW w:w="400" w:type="pct"/>
            <w:tcBorders>
              <w:top w:val="single" w:sz="8" w:space="0" w:color="auto"/>
              <w:left w:val="nil"/>
              <w:bottom w:val="nil"/>
              <w:right w:val="nil"/>
            </w:tcBorders>
            <w:hideMark/>
          </w:tcPr>
          <w:p w:rsidR="00F24261" w:rsidRDefault="00F24261" w:rsidP="002145BE">
            <w:pPr>
              <w:spacing w:line="360" w:lineRule="auto"/>
              <w:jc w:val="center"/>
            </w:pPr>
            <w:r>
              <w:t>117kg</w:t>
            </w:r>
          </w:p>
        </w:tc>
        <w:tc>
          <w:tcPr>
            <w:tcW w:w="660" w:type="pct"/>
            <w:tcBorders>
              <w:top w:val="single" w:sz="8" w:space="0" w:color="auto"/>
              <w:left w:val="nil"/>
              <w:bottom w:val="nil"/>
              <w:right w:val="nil"/>
            </w:tcBorders>
            <w:hideMark/>
          </w:tcPr>
          <w:p w:rsidR="00F24261" w:rsidRDefault="00F24261" w:rsidP="002145BE">
            <w:pPr>
              <w:spacing w:line="360" w:lineRule="auto"/>
              <w:jc w:val="center"/>
            </w:pPr>
            <w:r>
              <w:t>Normal</w:t>
            </w:r>
          </w:p>
        </w:tc>
        <w:tc>
          <w:tcPr>
            <w:tcW w:w="483" w:type="pct"/>
            <w:tcBorders>
              <w:top w:val="single" w:sz="8" w:space="0" w:color="auto"/>
              <w:left w:val="nil"/>
              <w:bottom w:val="nil"/>
              <w:right w:val="nil"/>
            </w:tcBorders>
            <w:hideMark/>
          </w:tcPr>
          <w:p w:rsidR="00F24261" w:rsidRDefault="00F24261" w:rsidP="002145BE">
            <w:pPr>
              <w:spacing w:line="360" w:lineRule="auto"/>
              <w:jc w:val="center"/>
            </w:pPr>
            <w:r>
              <w:t>Active</w:t>
            </w:r>
          </w:p>
        </w:tc>
        <w:tc>
          <w:tcPr>
            <w:tcW w:w="601" w:type="pct"/>
            <w:tcBorders>
              <w:top w:val="single" w:sz="8" w:space="0" w:color="auto"/>
              <w:left w:val="nil"/>
              <w:bottom w:val="nil"/>
              <w:right w:val="nil"/>
            </w:tcBorders>
            <w:hideMark/>
          </w:tcPr>
          <w:p w:rsidR="00F24261" w:rsidRDefault="00F24261" w:rsidP="002145BE">
            <w:pPr>
              <w:spacing w:line="360" w:lineRule="auto"/>
              <w:jc w:val="center"/>
            </w:pPr>
            <w:r>
              <w:t>Active</w:t>
            </w:r>
          </w:p>
        </w:tc>
        <w:tc>
          <w:tcPr>
            <w:tcW w:w="526" w:type="pct"/>
            <w:tcBorders>
              <w:top w:val="single" w:sz="8" w:space="0" w:color="auto"/>
              <w:left w:val="nil"/>
              <w:bottom w:val="nil"/>
              <w:right w:val="nil"/>
            </w:tcBorders>
            <w:hideMark/>
          </w:tcPr>
          <w:p w:rsidR="00F24261" w:rsidRDefault="00F24261" w:rsidP="002145BE">
            <w:pPr>
              <w:spacing w:line="360" w:lineRule="auto"/>
              <w:jc w:val="center"/>
            </w:pPr>
            <w:r>
              <w:t>Normal</w:t>
            </w:r>
          </w:p>
        </w:tc>
        <w:tc>
          <w:tcPr>
            <w:tcW w:w="596" w:type="pct"/>
            <w:tcBorders>
              <w:top w:val="single" w:sz="8" w:space="0" w:color="auto"/>
              <w:left w:val="nil"/>
              <w:bottom w:val="nil"/>
              <w:right w:val="nil"/>
            </w:tcBorders>
            <w:hideMark/>
          </w:tcPr>
          <w:p w:rsidR="00F24261" w:rsidRDefault="00F24261" w:rsidP="002145BE">
            <w:pPr>
              <w:spacing w:line="360" w:lineRule="auto"/>
              <w:jc w:val="center"/>
            </w:pPr>
            <w:r>
              <w:t>Nil</w:t>
            </w:r>
          </w:p>
        </w:tc>
        <w:tc>
          <w:tcPr>
            <w:tcW w:w="435" w:type="pct"/>
            <w:tcBorders>
              <w:top w:val="single" w:sz="8" w:space="0" w:color="auto"/>
              <w:left w:val="nil"/>
              <w:bottom w:val="nil"/>
              <w:right w:val="nil"/>
            </w:tcBorders>
            <w:hideMark/>
          </w:tcPr>
          <w:p w:rsidR="00F24261" w:rsidRDefault="00F24261" w:rsidP="002145BE">
            <w:pPr>
              <w:spacing w:line="360" w:lineRule="auto"/>
              <w:jc w:val="center"/>
            </w:pPr>
            <w:r>
              <w:t>Nil</w:t>
            </w:r>
          </w:p>
        </w:tc>
        <w:tc>
          <w:tcPr>
            <w:tcW w:w="520" w:type="pct"/>
            <w:tcBorders>
              <w:top w:val="single" w:sz="8" w:space="0" w:color="auto"/>
              <w:left w:val="nil"/>
              <w:bottom w:val="nil"/>
              <w:right w:val="nil"/>
            </w:tcBorders>
            <w:hideMark/>
          </w:tcPr>
          <w:p w:rsidR="00F24261" w:rsidRDefault="00F24261" w:rsidP="002145BE">
            <w:pPr>
              <w:spacing w:line="360" w:lineRule="auto"/>
              <w:jc w:val="center"/>
            </w:pPr>
            <w:r>
              <w:t>Normal</w:t>
            </w:r>
          </w:p>
        </w:tc>
        <w:tc>
          <w:tcPr>
            <w:tcW w:w="505" w:type="pct"/>
            <w:tcBorders>
              <w:top w:val="single" w:sz="8" w:space="0" w:color="auto"/>
              <w:left w:val="nil"/>
              <w:bottom w:val="nil"/>
              <w:right w:val="nil"/>
            </w:tcBorders>
            <w:hideMark/>
          </w:tcPr>
          <w:p w:rsidR="00F24261" w:rsidRDefault="00F24261" w:rsidP="002145BE">
            <w:pPr>
              <w:spacing w:line="360" w:lineRule="auto"/>
              <w:jc w:val="center"/>
            </w:pPr>
            <w:r>
              <w:t>Normal</w:t>
            </w:r>
          </w:p>
        </w:tc>
      </w:tr>
      <w:tr w:rsidR="00F24261" w:rsidTr="002145BE">
        <w:trPr>
          <w:trHeight w:val="317"/>
        </w:trPr>
        <w:tc>
          <w:tcPr>
            <w:tcW w:w="273" w:type="pct"/>
            <w:tcBorders>
              <w:top w:val="nil"/>
              <w:left w:val="nil"/>
              <w:bottom w:val="nil"/>
              <w:right w:val="nil"/>
            </w:tcBorders>
            <w:hideMark/>
          </w:tcPr>
          <w:p w:rsidR="00F24261" w:rsidRDefault="00F24261" w:rsidP="002145BE">
            <w:pPr>
              <w:spacing w:line="360" w:lineRule="auto"/>
            </w:pPr>
            <w:r>
              <w:t>2</w:t>
            </w:r>
          </w:p>
        </w:tc>
        <w:tc>
          <w:tcPr>
            <w:tcW w:w="400" w:type="pct"/>
            <w:tcBorders>
              <w:top w:val="nil"/>
              <w:left w:val="nil"/>
              <w:bottom w:val="nil"/>
              <w:right w:val="nil"/>
            </w:tcBorders>
            <w:hideMark/>
          </w:tcPr>
          <w:p w:rsidR="00F24261" w:rsidRDefault="00F24261" w:rsidP="002145BE">
            <w:pPr>
              <w:spacing w:line="360" w:lineRule="auto"/>
              <w:jc w:val="center"/>
            </w:pPr>
            <w:r>
              <w:t>116kg</w:t>
            </w:r>
          </w:p>
        </w:tc>
        <w:tc>
          <w:tcPr>
            <w:tcW w:w="660" w:type="pct"/>
            <w:tcBorders>
              <w:top w:val="nil"/>
              <w:left w:val="nil"/>
              <w:bottom w:val="nil"/>
              <w:right w:val="nil"/>
            </w:tcBorders>
            <w:hideMark/>
          </w:tcPr>
          <w:p w:rsidR="00F24261" w:rsidRDefault="00F24261" w:rsidP="002145BE">
            <w:pPr>
              <w:spacing w:line="360" w:lineRule="auto"/>
              <w:jc w:val="center"/>
            </w:pPr>
            <w:r>
              <w:t>Normal</w:t>
            </w:r>
          </w:p>
        </w:tc>
        <w:tc>
          <w:tcPr>
            <w:tcW w:w="483" w:type="pct"/>
            <w:tcBorders>
              <w:top w:val="nil"/>
              <w:left w:val="nil"/>
              <w:bottom w:val="nil"/>
              <w:right w:val="nil"/>
            </w:tcBorders>
            <w:hideMark/>
          </w:tcPr>
          <w:p w:rsidR="00F24261" w:rsidRDefault="00F24261" w:rsidP="002145BE">
            <w:pPr>
              <w:spacing w:line="360" w:lineRule="auto"/>
              <w:jc w:val="center"/>
            </w:pPr>
            <w:r>
              <w:t xml:space="preserve"> Active </w:t>
            </w:r>
          </w:p>
        </w:tc>
        <w:tc>
          <w:tcPr>
            <w:tcW w:w="601" w:type="pct"/>
            <w:tcBorders>
              <w:top w:val="nil"/>
              <w:left w:val="nil"/>
              <w:bottom w:val="nil"/>
              <w:right w:val="nil"/>
            </w:tcBorders>
            <w:hideMark/>
          </w:tcPr>
          <w:p w:rsidR="00F24261" w:rsidRDefault="00F24261" w:rsidP="002145BE">
            <w:pPr>
              <w:spacing w:line="360" w:lineRule="auto"/>
              <w:jc w:val="center"/>
            </w:pPr>
            <w:r>
              <w:t>Active</w:t>
            </w:r>
          </w:p>
        </w:tc>
        <w:tc>
          <w:tcPr>
            <w:tcW w:w="526" w:type="pct"/>
            <w:tcBorders>
              <w:top w:val="nil"/>
              <w:left w:val="nil"/>
              <w:bottom w:val="nil"/>
              <w:right w:val="nil"/>
            </w:tcBorders>
            <w:hideMark/>
          </w:tcPr>
          <w:p w:rsidR="00F24261" w:rsidRDefault="00F24261" w:rsidP="002145BE">
            <w:pPr>
              <w:spacing w:line="360" w:lineRule="auto"/>
              <w:jc w:val="center"/>
            </w:pPr>
            <w:r>
              <w:t>Increased</w:t>
            </w:r>
          </w:p>
        </w:tc>
        <w:tc>
          <w:tcPr>
            <w:tcW w:w="596" w:type="pct"/>
            <w:tcBorders>
              <w:top w:val="nil"/>
              <w:left w:val="nil"/>
              <w:bottom w:val="nil"/>
              <w:right w:val="nil"/>
            </w:tcBorders>
            <w:hideMark/>
          </w:tcPr>
          <w:p w:rsidR="00F24261" w:rsidRDefault="00F24261" w:rsidP="002145BE">
            <w:pPr>
              <w:spacing w:line="360" w:lineRule="auto"/>
              <w:jc w:val="center"/>
            </w:pPr>
            <w:r>
              <w:t>Nil</w:t>
            </w:r>
          </w:p>
        </w:tc>
        <w:tc>
          <w:tcPr>
            <w:tcW w:w="435" w:type="pct"/>
            <w:tcBorders>
              <w:top w:val="nil"/>
              <w:left w:val="nil"/>
              <w:bottom w:val="nil"/>
              <w:right w:val="nil"/>
            </w:tcBorders>
            <w:hideMark/>
          </w:tcPr>
          <w:p w:rsidR="00F24261" w:rsidRDefault="00F24261" w:rsidP="002145BE">
            <w:pPr>
              <w:spacing w:line="360" w:lineRule="auto"/>
              <w:jc w:val="center"/>
            </w:pPr>
            <w:r>
              <w:t>Nil</w:t>
            </w:r>
          </w:p>
        </w:tc>
        <w:tc>
          <w:tcPr>
            <w:tcW w:w="520" w:type="pct"/>
            <w:tcBorders>
              <w:top w:val="nil"/>
              <w:left w:val="nil"/>
              <w:bottom w:val="nil"/>
              <w:right w:val="nil"/>
            </w:tcBorders>
            <w:hideMark/>
          </w:tcPr>
          <w:p w:rsidR="00F24261" w:rsidRDefault="00F24261" w:rsidP="002145BE">
            <w:pPr>
              <w:spacing w:line="360" w:lineRule="auto"/>
              <w:jc w:val="center"/>
            </w:pPr>
            <w:r>
              <w:t>Rough</w:t>
            </w:r>
          </w:p>
        </w:tc>
        <w:tc>
          <w:tcPr>
            <w:tcW w:w="505" w:type="pct"/>
            <w:tcBorders>
              <w:top w:val="nil"/>
              <w:left w:val="nil"/>
              <w:bottom w:val="nil"/>
              <w:right w:val="nil"/>
            </w:tcBorders>
            <w:hideMark/>
          </w:tcPr>
          <w:p w:rsidR="00F24261" w:rsidRDefault="00F24261" w:rsidP="002145BE">
            <w:pPr>
              <w:spacing w:line="360" w:lineRule="auto"/>
              <w:jc w:val="center"/>
            </w:pPr>
            <w:r>
              <w:t>Normal</w:t>
            </w:r>
          </w:p>
        </w:tc>
      </w:tr>
      <w:tr w:rsidR="00F24261" w:rsidTr="002145BE">
        <w:trPr>
          <w:trHeight w:val="317"/>
        </w:trPr>
        <w:tc>
          <w:tcPr>
            <w:tcW w:w="273" w:type="pct"/>
            <w:tcBorders>
              <w:top w:val="nil"/>
              <w:left w:val="nil"/>
              <w:bottom w:val="nil"/>
              <w:right w:val="nil"/>
            </w:tcBorders>
            <w:hideMark/>
          </w:tcPr>
          <w:p w:rsidR="00F24261" w:rsidRDefault="00F24261" w:rsidP="002145BE">
            <w:pPr>
              <w:spacing w:line="360" w:lineRule="auto"/>
            </w:pPr>
            <w:r>
              <w:t>3</w:t>
            </w:r>
          </w:p>
        </w:tc>
        <w:tc>
          <w:tcPr>
            <w:tcW w:w="400" w:type="pct"/>
            <w:tcBorders>
              <w:top w:val="nil"/>
              <w:left w:val="nil"/>
              <w:bottom w:val="nil"/>
              <w:right w:val="nil"/>
            </w:tcBorders>
            <w:hideMark/>
          </w:tcPr>
          <w:p w:rsidR="00F24261" w:rsidRDefault="00F24261" w:rsidP="002145BE">
            <w:pPr>
              <w:spacing w:line="360" w:lineRule="auto"/>
              <w:jc w:val="center"/>
            </w:pPr>
            <w:r>
              <w:t>116kg</w:t>
            </w:r>
          </w:p>
        </w:tc>
        <w:tc>
          <w:tcPr>
            <w:tcW w:w="660" w:type="pct"/>
            <w:tcBorders>
              <w:top w:val="nil"/>
              <w:left w:val="nil"/>
              <w:bottom w:val="nil"/>
              <w:right w:val="nil"/>
            </w:tcBorders>
            <w:hideMark/>
          </w:tcPr>
          <w:p w:rsidR="00F24261" w:rsidRDefault="00F24261" w:rsidP="002145BE">
            <w:pPr>
              <w:spacing w:line="360" w:lineRule="auto"/>
              <w:jc w:val="center"/>
            </w:pPr>
            <w:r>
              <w:t>Barbering</w:t>
            </w:r>
          </w:p>
        </w:tc>
        <w:tc>
          <w:tcPr>
            <w:tcW w:w="483" w:type="pct"/>
            <w:tcBorders>
              <w:top w:val="nil"/>
              <w:left w:val="nil"/>
              <w:bottom w:val="nil"/>
              <w:right w:val="nil"/>
            </w:tcBorders>
            <w:hideMark/>
          </w:tcPr>
          <w:p w:rsidR="00F24261" w:rsidRDefault="00F24261" w:rsidP="002145BE">
            <w:pPr>
              <w:spacing w:line="360" w:lineRule="auto"/>
              <w:jc w:val="center"/>
            </w:pPr>
            <w:r>
              <w:t>Slow</w:t>
            </w:r>
          </w:p>
        </w:tc>
        <w:tc>
          <w:tcPr>
            <w:tcW w:w="601" w:type="pct"/>
            <w:tcBorders>
              <w:top w:val="nil"/>
              <w:left w:val="nil"/>
              <w:bottom w:val="nil"/>
              <w:right w:val="nil"/>
            </w:tcBorders>
            <w:hideMark/>
          </w:tcPr>
          <w:p w:rsidR="00F24261" w:rsidRDefault="00F24261" w:rsidP="002145BE">
            <w:pPr>
              <w:spacing w:line="360" w:lineRule="auto"/>
              <w:jc w:val="center"/>
            </w:pPr>
            <w:r>
              <w:t>Normal</w:t>
            </w:r>
          </w:p>
        </w:tc>
        <w:tc>
          <w:tcPr>
            <w:tcW w:w="526" w:type="pct"/>
            <w:tcBorders>
              <w:top w:val="nil"/>
              <w:left w:val="nil"/>
              <w:bottom w:val="nil"/>
              <w:right w:val="nil"/>
            </w:tcBorders>
            <w:hideMark/>
          </w:tcPr>
          <w:p w:rsidR="00F24261" w:rsidRDefault="00F24261" w:rsidP="002145BE">
            <w:pPr>
              <w:spacing w:line="360" w:lineRule="auto"/>
              <w:jc w:val="center"/>
            </w:pPr>
            <w:r>
              <w:t>Normal</w:t>
            </w:r>
          </w:p>
        </w:tc>
        <w:tc>
          <w:tcPr>
            <w:tcW w:w="596" w:type="pct"/>
            <w:tcBorders>
              <w:top w:val="nil"/>
              <w:left w:val="nil"/>
              <w:bottom w:val="nil"/>
              <w:right w:val="nil"/>
            </w:tcBorders>
            <w:hideMark/>
          </w:tcPr>
          <w:p w:rsidR="00F24261" w:rsidRDefault="00F24261" w:rsidP="002145BE">
            <w:pPr>
              <w:spacing w:line="360" w:lineRule="auto"/>
              <w:jc w:val="center"/>
            </w:pPr>
            <w:r>
              <w:t>Normal</w:t>
            </w:r>
          </w:p>
        </w:tc>
        <w:tc>
          <w:tcPr>
            <w:tcW w:w="435" w:type="pct"/>
            <w:tcBorders>
              <w:top w:val="nil"/>
              <w:left w:val="nil"/>
              <w:bottom w:val="nil"/>
              <w:right w:val="nil"/>
            </w:tcBorders>
            <w:hideMark/>
          </w:tcPr>
          <w:p w:rsidR="00F24261" w:rsidRDefault="00F24261" w:rsidP="002145BE">
            <w:pPr>
              <w:spacing w:line="360" w:lineRule="auto"/>
              <w:jc w:val="center"/>
            </w:pPr>
            <w:r>
              <w:t>Normal</w:t>
            </w:r>
          </w:p>
        </w:tc>
        <w:tc>
          <w:tcPr>
            <w:tcW w:w="520" w:type="pct"/>
            <w:tcBorders>
              <w:top w:val="nil"/>
              <w:left w:val="nil"/>
              <w:bottom w:val="nil"/>
              <w:right w:val="nil"/>
            </w:tcBorders>
            <w:hideMark/>
          </w:tcPr>
          <w:p w:rsidR="00F24261" w:rsidRDefault="00F24261" w:rsidP="002145BE">
            <w:pPr>
              <w:spacing w:line="360" w:lineRule="auto"/>
              <w:jc w:val="center"/>
            </w:pPr>
            <w:r>
              <w:t>Barbering</w:t>
            </w:r>
          </w:p>
        </w:tc>
        <w:tc>
          <w:tcPr>
            <w:tcW w:w="505" w:type="pct"/>
            <w:tcBorders>
              <w:top w:val="nil"/>
              <w:left w:val="nil"/>
              <w:bottom w:val="nil"/>
              <w:right w:val="nil"/>
            </w:tcBorders>
            <w:hideMark/>
          </w:tcPr>
          <w:p w:rsidR="00F24261" w:rsidRDefault="00F24261" w:rsidP="002145BE">
            <w:pPr>
              <w:spacing w:line="360" w:lineRule="auto"/>
              <w:jc w:val="center"/>
            </w:pPr>
            <w:r>
              <w:t>Normal</w:t>
            </w:r>
          </w:p>
        </w:tc>
      </w:tr>
      <w:tr w:rsidR="00F24261" w:rsidTr="002145BE">
        <w:trPr>
          <w:trHeight w:val="317"/>
        </w:trPr>
        <w:tc>
          <w:tcPr>
            <w:tcW w:w="273" w:type="pct"/>
            <w:tcBorders>
              <w:top w:val="nil"/>
              <w:left w:val="nil"/>
              <w:bottom w:val="nil"/>
              <w:right w:val="nil"/>
            </w:tcBorders>
            <w:hideMark/>
          </w:tcPr>
          <w:p w:rsidR="00F24261" w:rsidRDefault="00F24261" w:rsidP="002145BE">
            <w:pPr>
              <w:spacing w:line="360" w:lineRule="auto"/>
            </w:pPr>
            <w:r>
              <w:t>4</w:t>
            </w:r>
          </w:p>
        </w:tc>
        <w:tc>
          <w:tcPr>
            <w:tcW w:w="400" w:type="pct"/>
            <w:tcBorders>
              <w:top w:val="nil"/>
              <w:left w:val="nil"/>
              <w:bottom w:val="nil"/>
              <w:right w:val="nil"/>
            </w:tcBorders>
            <w:hideMark/>
          </w:tcPr>
          <w:p w:rsidR="00F24261" w:rsidRDefault="00F24261" w:rsidP="002145BE">
            <w:pPr>
              <w:spacing w:line="360" w:lineRule="auto"/>
              <w:jc w:val="center"/>
            </w:pPr>
            <w:r>
              <w:t>116kg</w:t>
            </w:r>
          </w:p>
        </w:tc>
        <w:tc>
          <w:tcPr>
            <w:tcW w:w="660" w:type="pct"/>
            <w:tcBorders>
              <w:top w:val="nil"/>
              <w:left w:val="nil"/>
              <w:bottom w:val="nil"/>
              <w:right w:val="nil"/>
            </w:tcBorders>
            <w:hideMark/>
          </w:tcPr>
          <w:p w:rsidR="00F24261" w:rsidRDefault="00F24261" w:rsidP="002145BE">
            <w:pPr>
              <w:spacing w:line="360" w:lineRule="auto"/>
              <w:jc w:val="center"/>
            </w:pPr>
            <w:r>
              <w:t>Less active</w:t>
            </w:r>
          </w:p>
        </w:tc>
        <w:tc>
          <w:tcPr>
            <w:tcW w:w="483" w:type="pct"/>
            <w:tcBorders>
              <w:top w:val="nil"/>
              <w:left w:val="nil"/>
              <w:bottom w:val="nil"/>
              <w:right w:val="nil"/>
            </w:tcBorders>
            <w:hideMark/>
          </w:tcPr>
          <w:p w:rsidR="00F24261" w:rsidRDefault="00F24261" w:rsidP="002145BE">
            <w:pPr>
              <w:spacing w:line="360" w:lineRule="auto"/>
              <w:jc w:val="center"/>
            </w:pPr>
            <w:r>
              <w:t>Weak</w:t>
            </w:r>
          </w:p>
        </w:tc>
        <w:tc>
          <w:tcPr>
            <w:tcW w:w="601" w:type="pct"/>
            <w:tcBorders>
              <w:top w:val="nil"/>
              <w:left w:val="nil"/>
              <w:bottom w:val="nil"/>
              <w:right w:val="nil"/>
            </w:tcBorders>
            <w:hideMark/>
          </w:tcPr>
          <w:p w:rsidR="00F24261" w:rsidRDefault="00F24261" w:rsidP="002145BE">
            <w:pPr>
              <w:spacing w:line="360" w:lineRule="auto"/>
              <w:jc w:val="center"/>
            </w:pPr>
            <w:r>
              <w:t>Slow</w:t>
            </w:r>
          </w:p>
        </w:tc>
        <w:tc>
          <w:tcPr>
            <w:tcW w:w="526" w:type="pct"/>
            <w:tcBorders>
              <w:top w:val="nil"/>
              <w:left w:val="nil"/>
              <w:bottom w:val="nil"/>
              <w:right w:val="nil"/>
            </w:tcBorders>
            <w:hideMark/>
          </w:tcPr>
          <w:p w:rsidR="00F24261" w:rsidRDefault="00F24261" w:rsidP="002145BE">
            <w:pPr>
              <w:spacing w:line="360" w:lineRule="auto"/>
              <w:jc w:val="center"/>
            </w:pPr>
            <w:r>
              <w:t>Reduced</w:t>
            </w:r>
          </w:p>
        </w:tc>
        <w:tc>
          <w:tcPr>
            <w:tcW w:w="596" w:type="pct"/>
            <w:tcBorders>
              <w:top w:val="nil"/>
              <w:left w:val="nil"/>
              <w:bottom w:val="nil"/>
              <w:right w:val="nil"/>
            </w:tcBorders>
            <w:hideMark/>
          </w:tcPr>
          <w:p w:rsidR="00F24261" w:rsidRDefault="00F24261" w:rsidP="002145BE">
            <w:pPr>
              <w:spacing w:line="360" w:lineRule="auto"/>
              <w:jc w:val="center"/>
            </w:pPr>
            <w:r>
              <w:t xml:space="preserve"> Breathing</w:t>
            </w:r>
          </w:p>
        </w:tc>
        <w:tc>
          <w:tcPr>
            <w:tcW w:w="435" w:type="pct"/>
            <w:tcBorders>
              <w:top w:val="nil"/>
              <w:left w:val="nil"/>
              <w:bottom w:val="nil"/>
              <w:right w:val="nil"/>
            </w:tcBorders>
            <w:hideMark/>
          </w:tcPr>
          <w:p w:rsidR="00F24261" w:rsidRDefault="00F24261" w:rsidP="002145BE">
            <w:pPr>
              <w:spacing w:line="360" w:lineRule="auto"/>
              <w:jc w:val="center"/>
            </w:pPr>
            <w:r>
              <w:t>Normal</w:t>
            </w:r>
          </w:p>
        </w:tc>
        <w:tc>
          <w:tcPr>
            <w:tcW w:w="520" w:type="pct"/>
            <w:tcBorders>
              <w:top w:val="nil"/>
              <w:left w:val="nil"/>
              <w:bottom w:val="nil"/>
              <w:right w:val="nil"/>
            </w:tcBorders>
            <w:hideMark/>
          </w:tcPr>
          <w:p w:rsidR="00F24261" w:rsidRDefault="00F24261" w:rsidP="002145BE">
            <w:pPr>
              <w:spacing w:line="360" w:lineRule="auto"/>
              <w:jc w:val="center"/>
            </w:pPr>
            <w:r>
              <w:t>Itchy</w:t>
            </w:r>
          </w:p>
        </w:tc>
        <w:tc>
          <w:tcPr>
            <w:tcW w:w="505" w:type="pct"/>
            <w:tcBorders>
              <w:top w:val="nil"/>
              <w:left w:val="nil"/>
              <w:bottom w:val="nil"/>
              <w:right w:val="nil"/>
            </w:tcBorders>
            <w:hideMark/>
          </w:tcPr>
          <w:p w:rsidR="00F24261" w:rsidRDefault="00F24261" w:rsidP="002145BE">
            <w:pPr>
              <w:spacing w:line="360" w:lineRule="auto"/>
              <w:jc w:val="center"/>
            </w:pPr>
            <w:r>
              <w:t>Watery</w:t>
            </w:r>
          </w:p>
        </w:tc>
      </w:tr>
      <w:tr w:rsidR="00F24261" w:rsidTr="002145BE">
        <w:trPr>
          <w:trHeight w:val="317"/>
        </w:trPr>
        <w:tc>
          <w:tcPr>
            <w:tcW w:w="273" w:type="pct"/>
            <w:tcBorders>
              <w:top w:val="nil"/>
              <w:left w:val="nil"/>
              <w:bottom w:val="single" w:sz="4" w:space="0" w:color="auto"/>
              <w:right w:val="nil"/>
            </w:tcBorders>
            <w:hideMark/>
          </w:tcPr>
          <w:p w:rsidR="00F24261" w:rsidRDefault="00F24261" w:rsidP="002145BE">
            <w:pPr>
              <w:spacing w:line="360" w:lineRule="auto"/>
            </w:pPr>
            <w:r>
              <w:t>5</w:t>
            </w:r>
          </w:p>
        </w:tc>
        <w:tc>
          <w:tcPr>
            <w:tcW w:w="400" w:type="pct"/>
            <w:tcBorders>
              <w:top w:val="nil"/>
              <w:left w:val="nil"/>
              <w:bottom w:val="single" w:sz="4" w:space="0" w:color="auto"/>
              <w:right w:val="nil"/>
            </w:tcBorders>
            <w:hideMark/>
          </w:tcPr>
          <w:p w:rsidR="00F24261" w:rsidRDefault="00F24261" w:rsidP="002145BE">
            <w:pPr>
              <w:spacing w:line="360" w:lineRule="auto"/>
              <w:jc w:val="center"/>
            </w:pPr>
            <w:r>
              <w:t>116kg</w:t>
            </w:r>
          </w:p>
        </w:tc>
        <w:tc>
          <w:tcPr>
            <w:tcW w:w="660" w:type="pct"/>
            <w:tcBorders>
              <w:top w:val="nil"/>
              <w:left w:val="nil"/>
              <w:bottom w:val="single" w:sz="4" w:space="0" w:color="auto"/>
              <w:right w:val="nil"/>
            </w:tcBorders>
            <w:hideMark/>
          </w:tcPr>
          <w:p w:rsidR="00F24261" w:rsidRDefault="00F24261" w:rsidP="002145BE">
            <w:pPr>
              <w:spacing w:line="360" w:lineRule="auto"/>
              <w:jc w:val="center"/>
            </w:pPr>
            <w:r>
              <w:t xml:space="preserve"> Barbering</w:t>
            </w:r>
          </w:p>
        </w:tc>
        <w:tc>
          <w:tcPr>
            <w:tcW w:w="483" w:type="pct"/>
            <w:tcBorders>
              <w:top w:val="nil"/>
              <w:left w:val="nil"/>
              <w:bottom w:val="single" w:sz="4" w:space="0" w:color="auto"/>
              <w:right w:val="nil"/>
            </w:tcBorders>
            <w:hideMark/>
          </w:tcPr>
          <w:p w:rsidR="00F24261" w:rsidRDefault="00F24261" w:rsidP="002145BE">
            <w:pPr>
              <w:spacing w:line="360" w:lineRule="auto"/>
              <w:jc w:val="center"/>
            </w:pPr>
            <w:r>
              <w:t>Weak</w:t>
            </w:r>
          </w:p>
        </w:tc>
        <w:tc>
          <w:tcPr>
            <w:tcW w:w="601" w:type="pct"/>
            <w:tcBorders>
              <w:top w:val="nil"/>
              <w:left w:val="nil"/>
              <w:bottom w:val="single" w:sz="4" w:space="0" w:color="auto"/>
              <w:right w:val="nil"/>
            </w:tcBorders>
            <w:hideMark/>
          </w:tcPr>
          <w:p w:rsidR="00F24261" w:rsidRDefault="00F24261" w:rsidP="002145BE">
            <w:pPr>
              <w:spacing w:line="360" w:lineRule="auto"/>
              <w:jc w:val="center"/>
            </w:pPr>
            <w:r>
              <w:t>Slow</w:t>
            </w:r>
          </w:p>
        </w:tc>
        <w:tc>
          <w:tcPr>
            <w:tcW w:w="526" w:type="pct"/>
            <w:tcBorders>
              <w:top w:val="nil"/>
              <w:left w:val="nil"/>
              <w:bottom w:val="single" w:sz="4" w:space="0" w:color="auto"/>
              <w:right w:val="nil"/>
            </w:tcBorders>
            <w:hideMark/>
          </w:tcPr>
          <w:p w:rsidR="00F24261" w:rsidRDefault="00F24261" w:rsidP="002145BE">
            <w:pPr>
              <w:spacing w:line="360" w:lineRule="auto"/>
              <w:jc w:val="center"/>
            </w:pPr>
            <w:r>
              <w:t>Feeding</w:t>
            </w:r>
          </w:p>
        </w:tc>
        <w:tc>
          <w:tcPr>
            <w:tcW w:w="596" w:type="pct"/>
            <w:tcBorders>
              <w:top w:val="nil"/>
              <w:left w:val="nil"/>
              <w:bottom w:val="single" w:sz="4" w:space="0" w:color="auto"/>
              <w:right w:val="nil"/>
            </w:tcBorders>
            <w:hideMark/>
          </w:tcPr>
          <w:p w:rsidR="00F24261" w:rsidRDefault="00F24261" w:rsidP="002145BE">
            <w:pPr>
              <w:spacing w:line="360" w:lineRule="auto"/>
              <w:jc w:val="center"/>
            </w:pPr>
            <w:r>
              <w:t>Palpitation</w:t>
            </w:r>
          </w:p>
        </w:tc>
        <w:tc>
          <w:tcPr>
            <w:tcW w:w="435" w:type="pct"/>
            <w:tcBorders>
              <w:top w:val="nil"/>
              <w:left w:val="nil"/>
              <w:bottom w:val="single" w:sz="4" w:space="0" w:color="auto"/>
              <w:right w:val="nil"/>
            </w:tcBorders>
            <w:hideMark/>
          </w:tcPr>
          <w:p w:rsidR="00F24261" w:rsidRDefault="00F24261" w:rsidP="002145BE">
            <w:pPr>
              <w:spacing w:line="360" w:lineRule="auto"/>
              <w:jc w:val="center"/>
            </w:pPr>
            <w:r>
              <w:t>Redeye</w:t>
            </w:r>
          </w:p>
        </w:tc>
        <w:tc>
          <w:tcPr>
            <w:tcW w:w="520" w:type="pct"/>
            <w:tcBorders>
              <w:top w:val="nil"/>
              <w:left w:val="nil"/>
              <w:bottom w:val="single" w:sz="4" w:space="0" w:color="auto"/>
              <w:right w:val="nil"/>
            </w:tcBorders>
            <w:hideMark/>
          </w:tcPr>
          <w:p w:rsidR="00F24261" w:rsidRDefault="00F24261" w:rsidP="002145BE">
            <w:pPr>
              <w:spacing w:line="360" w:lineRule="auto"/>
              <w:jc w:val="center"/>
            </w:pPr>
            <w:r>
              <w:t>itchy</w:t>
            </w:r>
          </w:p>
        </w:tc>
        <w:tc>
          <w:tcPr>
            <w:tcW w:w="505" w:type="pct"/>
            <w:tcBorders>
              <w:top w:val="nil"/>
              <w:left w:val="nil"/>
              <w:bottom w:val="single" w:sz="4" w:space="0" w:color="auto"/>
              <w:right w:val="nil"/>
            </w:tcBorders>
            <w:hideMark/>
          </w:tcPr>
          <w:p w:rsidR="00F24261" w:rsidRDefault="00F24261" w:rsidP="002145BE">
            <w:pPr>
              <w:spacing w:line="360" w:lineRule="auto"/>
              <w:jc w:val="center"/>
            </w:pPr>
            <w:r>
              <w:t>Watery</w:t>
            </w:r>
          </w:p>
        </w:tc>
      </w:tr>
    </w:tbl>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iCs/>
          <w:sz w:val="28"/>
          <w:szCs w:val="28"/>
        </w:rPr>
      </w:pPr>
    </w:p>
    <w:p w:rsidR="00F24261" w:rsidRDefault="00F24261" w:rsidP="00F24261">
      <w:pPr>
        <w:spacing w:line="240" w:lineRule="auto"/>
        <w:jc w:val="both"/>
        <w:rPr>
          <w:rFonts w:ascii="Times New Roman" w:hAnsi="Times New Roman" w:cs="Times New Roman"/>
          <w:sz w:val="28"/>
          <w:szCs w:val="28"/>
        </w:rPr>
      </w:pPr>
      <w:r w:rsidRPr="0026729C">
        <w:rPr>
          <w:rFonts w:ascii="Times New Roman" w:hAnsi="Times New Roman" w:cs="Times New Roman"/>
          <w:b/>
          <w:iCs/>
          <w:sz w:val="28"/>
          <w:szCs w:val="28"/>
        </w:rPr>
        <w:t>3.6</w:t>
      </w:r>
      <w:r>
        <w:rPr>
          <w:rFonts w:ascii="Times New Roman" w:hAnsi="Times New Roman" w:cs="Times New Roman"/>
          <w:iCs/>
          <w:sz w:val="28"/>
          <w:szCs w:val="28"/>
        </w:rPr>
        <w:t xml:space="preserve"> Daily Observation for60% conc. Toxin Administration in Rats</w:t>
      </w:r>
      <w:r>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29"/>
        <w:gridCol w:w="1560"/>
        <w:gridCol w:w="1130"/>
        <w:gridCol w:w="1415"/>
        <w:gridCol w:w="1233"/>
        <w:gridCol w:w="1443"/>
        <w:gridCol w:w="1013"/>
        <w:gridCol w:w="1195"/>
        <w:gridCol w:w="1182"/>
      </w:tblGrid>
      <w:tr w:rsidR="00F24261" w:rsidTr="002145BE">
        <w:trPr>
          <w:trHeight w:val="818"/>
        </w:trPr>
        <w:tc>
          <w:tcPr>
            <w:tcW w:w="219" w:type="pct"/>
            <w:tcBorders>
              <w:top w:val="single" w:sz="4" w:space="0" w:color="auto"/>
              <w:left w:val="nil"/>
              <w:bottom w:val="single" w:sz="8" w:space="0" w:color="auto"/>
              <w:right w:val="nil"/>
            </w:tcBorders>
            <w:hideMark/>
          </w:tcPr>
          <w:p w:rsidR="00F24261" w:rsidRDefault="00F24261" w:rsidP="002145BE">
            <w:r>
              <w:t>Day</w:t>
            </w:r>
          </w:p>
        </w:tc>
        <w:tc>
          <w:tcPr>
            <w:tcW w:w="401" w:type="pct"/>
            <w:tcBorders>
              <w:top w:val="single" w:sz="4" w:space="0" w:color="auto"/>
              <w:left w:val="nil"/>
              <w:bottom w:val="single" w:sz="8" w:space="0" w:color="auto"/>
              <w:right w:val="nil"/>
            </w:tcBorders>
            <w:hideMark/>
          </w:tcPr>
          <w:p w:rsidR="00F24261" w:rsidRDefault="00F24261" w:rsidP="002145BE">
            <w:pPr>
              <w:jc w:val="center"/>
            </w:pPr>
            <w:r>
              <w:t>Weight</w:t>
            </w:r>
          </w:p>
        </w:tc>
        <w:tc>
          <w:tcPr>
            <w:tcW w:w="671" w:type="pct"/>
            <w:tcBorders>
              <w:top w:val="single" w:sz="4" w:space="0" w:color="auto"/>
              <w:left w:val="nil"/>
              <w:bottom w:val="single" w:sz="8" w:space="0" w:color="auto"/>
              <w:right w:val="nil"/>
            </w:tcBorders>
            <w:hideMark/>
          </w:tcPr>
          <w:p w:rsidR="00F24261" w:rsidRDefault="00F24261" w:rsidP="002145BE">
            <w:pPr>
              <w:jc w:val="center"/>
            </w:pPr>
            <w:r>
              <w:t>Physical appearances</w:t>
            </w:r>
          </w:p>
        </w:tc>
        <w:tc>
          <w:tcPr>
            <w:tcW w:w="487" w:type="pct"/>
            <w:tcBorders>
              <w:top w:val="single" w:sz="4" w:space="0" w:color="auto"/>
              <w:left w:val="nil"/>
              <w:bottom w:val="single" w:sz="8" w:space="0" w:color="auto"/>
              <w:right w:val="nil"/>
            </w:tcBorders>
            <w:hideMark/>
          </w:tcPr>
          <w:p w:rsidR="00F24261" w:rsidRDefault="00F24261" w:rsidP="002145BE">
            <w:pPr>
              <w:jc w:val="center"/>
            </w:pPr>
            <w:r>
              <w:t>Behavior</w:t>
            </w:r>
          </w:p>
        </w:tc>
        <w:tc>
          <w:tcPr>
            <w:tcW w:w="609" w:type="pct"/>
            <w:tcBorders>
              <w:top w:val="single" w:sz="4" w:space="0" w:color="auto"/>
              <w:left w:val="nil"/>
              <w:bottom w:val="single" w:sz="8" w:space="0" w:color="auto"/>
              <w:right w:val="nil"/>
            </w:tcBorders>
            <w:hideMark/>
          </w:tcPr>
          <w:p w:rsidR="00F24261" w:rsidRDefault="00F24261" w:rsidP="002145BE">
            <w:pPr>
              <w:jc w:val="center"/>
            </w:pPr>
            <w:r>
              <w:t>Locomotion</w:t>
            </w:r>
          </w:p>
        </w:tc>
        <w:tc>
          <w:tcPr>
            <w:tcW w:w="531" w:type="pct"/>
            <w:tcBorders>
              <w:top w:val="single" w:sz="4" w:space="0" w:color="auto"/>
              <w:left w:val="nil"/>
              <w:bottom w:val="single" w:sz="8" w:space="0" w:color="auto"/>
              <w:right w:val="nil"/>
            </w:tcBorders>
            <w:hideMark/>
          </w:tcPr>
          <w:p w:rsidR="00F24261" w:rsidRDefault="00F24261" w:rsidP="002145BE">
            <w:pPr>
              <w:jc w:val="center"/>
            </w:pPr>
            <w:r>
              <w:t>Feeding and drinking</w:t>
            </w:r>
          </w:p>
        </w:tc>
        <w:tc>
          <w:tcPr>
            <w:tcW w:w="621" w:type="pct"/>
            <w:tcBorders>
              <w:top w:val="single" w:sz="4" w:space="0" w:color="auto"/>
              <w:left w:val="nil"/>
              <w:bottom w:val="single" w:sz="8" w:space="0" w:color="auto"/>
              <w:right w:val="nil"/>
            </w:tcBorders>
            <w:hideMark/>
          </w:tcPr>
          <w:p w:rsidR="00F24261" w:rsidRDefault="00F24261" w:rsidP="002145BE">
            <w:pPr>
              <w:jc w:val="center"/>
            </w:pPr>
            <w:r>
              <w:t>Respiratory</w:t>
            </w:r>
          </w:p>
        </w:tc>
        <w:tc>
          <w:tcPr>
            <w:tcW w:w="437" w:type="pct"/>
            <w:tcBorders>
              <w:top w:val="single" w:sz="4" w:space="0" w:color="auto"/>
              <w:left w:val="nil"/>
              <w:bottom w:val="single" w:sz="8" w:space="0" w:color="auto"/>
              <w:right w:val="nil"/>
            </w:tcBorders>
            <w:hideMark/>
          </w:tcPr>
          <w:p w:rsidR="00F24261" w:rsidRDefault="00F24261" w:rsidP="002145BE">
            <w:pPr>
              <w:jc w:val="center"/>
            </w:pPr>
            <w:r>
              <w:t>Eye &amp; Nose</w:t>
            </w:r>
          </w:p>
        </w:tc>
        <w:tc>
          <w:tcPr>
            <w:tcW w:w="515" w:type="pct"/>
            <w:tcBorders>
              <w:top w:val="single" w:sz="4" w:space="0" w:color="auto"/>
              <w:left w:val="nil"/>
              <w:bottom w:val="single" w:sz="8" w:space="0" w:color="auto"/>
              <w:right w:val="nil"/>
            </w:tcBorders>
            <w:hideMark/>
          </w:tcPr>
          <w:p w:rsidR="00F24261" w:rsidRDefault="00F24261" w:rsidP="002145BE">
            <w:pPr>
              <w:jc w:val="center"/>
            </w:pPr>
            <w:r>
              <w:t>Skin</w:t>
            </w:r>
          </w:p>
        </w:tc>
        <w:tc>
          <w:tcPr>
            <w:tcW w:w="509" w:type="pct"/>
            <w:tcBorders>
              <w:top w:val="single" w:sz="4" w:space="0" w:color="auto"/>
              <w:left w:val="nil"/>
              <w:bottom w:val="single" w:sz="8" w:space="0" w:color="auto"/>
              <w:right w:val="nil"/>
            </w:tcBorders>
            <w:hideMark/>
          </w:tcPr>
          <w:p w:rsidR="00F24261" w:rsidRDefault="00F24261" w:rsidP="002145BE">
            <w:pPr>
              <w:jc w:val="center"/>
            </w:pPr>
            <w:r>
              <w:t>Excretion</w:t>
            </w:r>
          </w:p>
        </w:tc>
      </w:tr>
      <w:tr w:rsidR="00F24261" w:rsidTr="002145BE">
        <w:trPr>
          <w:trHeight w:val="337"/>
        </w:trPr>
        <w:tc>
          <w:tcPr>
            <w:tcW w:w="219" w:type="pct"/>
            <w:tcBorders>
              <w:top w:val="single" w:sz="8" w:space="0" w:color="auto"/>
              <w:left w:val="nil"/>
              <w:bottom w:val="nil"/>
              <w:right w:val="nil"/>
            </w:tcBorders>
            <w:hideMark/>
          </w:tcPr>
          <w:p w:rsidR="00F24261" w:rsidRDefault="00F24261" w:rsidP="002145BE">
            <w:pPr>
              <w:spacing w:line="360" w:lineRule="auto"/>
            </w:pPr>
            <w:r>
              <w:t>1</w:t>
            </w:r>
          </w:p>
        </w:tc>
        <w:tc>
          <w:tcPr>
            <w:tcW w:w="401" w:type="pct"/>
            <w:tcBorders>
              <w:top w:val="single" w:sz="8" w:space="0" w:color="auto"/>
              <w:left w:val="nil"/>
              <w:bottom w:val="nil"/>
              <w:right w:val="nil"/>
            </w:tcBorders>
            <w:hideMark/>
          </w:tcPr>
          <w:p w:rsidR="00F24261" w:rsidRDefault="00F24261" w:rsidP="002145BE">
            <w:pPr>
              <w:spacing w:line="360" w:lineRule="auto"/>
              <w:jc w:val="center"/>
            </w:pPr>
            <w:r>
              <w:t>120kg</w:t>
            </w:r>
          </w:p>
        </w:tc>
        <w:tc>
          <w:tcPr>
            <w:tcW w:w="671" w:type="pct"/>
            <w:tcBorders>
              <w:top w:val="single" w:sz="8" w:space="0" w:color="auto"/>
              <w:left w:val="nil"/>
              <w:bottom w:val="nil"/>
              <w:right w:val="nil"/>
            </w:tcBorders>
            <w:hideMark/>
          </w:tcPr>
          <w:p w:rsidR="00F24261" w:rsidRDefault="00F24261" w:rsidP="002145BE">
            <w:pPr>
              <w:spacing w:line="360" w:lineRule="auto"/>
              <w:jc w:val="center"/>
            </w:pPr>
            <w:r>
              <w:t>Normal</w:t>
            </w:r>
          </w:p>
        </w:tc>
        <w:tc>
          <w:tcPr>
            <w:tcW w:w="487" w:type="pct"/>
            <w:tcBorders>
              <w:top w:val="single" w:sz="8" w:space="0" w:color="auto"/>
              <w:left w:val="nil"/>
              <w:bottom w:val="nil"/>
              <w:right w:val="nil"/>
            </w:tcBorders>
            <w:hideMark/>
          </w:tcPr>
          <w:p w:rsidR="00F24261" w:rsidRDefault="00F24261" w:rsidP="002145BE">
            <w:pPr>
              <w:spacing w:line="360" w:lineRule="auto"/>
              <w:jc w:val="center"/>
            </w:pPr>
            <w:r>
              <w:t>Active</w:t>
            </w:r>
          </w:p>
        </w:tc>
        <w:tc>
          <w:tcPr>
            <w:tcW w:w="609" w:type="pct"/>
            <w:tcBorders>
              <w:top w:val="single" w:sz="8" w:space="0" w:color="auto"/>
              <w:left w:val="nil"/>
              <w:bottom w:val="nil"/>
              <w:right w:val="nil"/>
            </w:tcBorders>
            <w:hideMark/>
          </w:tcPr>
          <w:p w:rsidR="00F24261" w:rsidRDefault="00F24261" w:rsidP="002145BE">
            <w:pPr>
              <w:spacing w:line="360" w:lineRule="auto"/>
              <w:jc w:val="center"/>
            </w:pPr>
            <w:r>
              <w:t>Active</w:t>
            </w:r>
          </w:p>
        </w:tc>
        <w:tc>
          <w:tcPr>
            <w:tcW w:w="531" w:type="pct"/>
            <w:tcBorders>
              <w:top w:val="single" w:sz="8" w:space="0" w:color="auto"/>
              <w:left w:val="nil"/>
              <w:bottom w:val="nil"/>
              <w:right w:val="nil"/>
            </w:tcBorders>
            <w:hideMark/>
          </w:tcPr>
          <w:p w:rsidR="00F24261" w:rsidRDefault="00F24261" w:rsidP="002145BE">
            <w:pPr>
              <w:spacing w:line="360" w:lineRule="auto"/>
              <w:jc w:val="center"/>
            </w:pPr>
            <w:r>
              <w:t>Normal</w:t>
            </w:r>
          </w:p>
        </w:tc>
        <w:tc>
          <w:tcPr>
            <w:tcW w:w="621" w:type="pct"/>
            <w:tcBorders>
              <w:top w:val="single" w:sz="8" w:space="0" w:color="auto"/>
              <w:left w:val="nil"/>
              <w:bottom w:val="nil"/>
              <w:right w:val="nil"/>
            </w:tcBorders>
            <w:hideMark/>
          </w:tcPr>
          <w:p w:rsidR="00F24261" w:rsidRDefault="00F24261" w:rsidP="002145BE">
            <w:pPr>
              <w:spacing w:line="360" w:lineRule="auto"/>
              <w:jc w:val="center"/>
            </w:pPr>
            <w:r>
              <w:t>Nil</w:t>
            </w:r>
          </w:p>
        </w:tc>
        <w:tc>
          <w:tcPr>
            <w:tcW w:w="437" w:type="pct"/>
            <w:tcBorders>
              <w:top w:val="single" w:sz="8" w:space="0" w:color="auto"/>
              <w:left w:val="nil"/>
              <w:bottom w:val="nil"/>
              <w:right w:val="nil"/>
            </w:tcBorders>
            <w:hideMark/>
          </w:tcPr>
          <w:p w:rsidR="00F24261" w:rsidRDefault="00F24261" w:rsidP="002145BE">
            <w:pPr>
              <w:spacing w:line="360" w:lineRule="auto"/>
              <w:jc w:val="center"/>
            </w:pPr>
            <w:r>
              <w:t>Nil</w:t>
            </w:r>
          </w:p>
        </w:tc>
        <w:tc>
          <w:tcPr>
            <w:tcW w:w="515" w:type="pct"/>
            <w:tcBorders>
              <w:top w:val="single" w:sz="8" w:space="0" w:color="auto"/>
              <w:left w:val="nil"/>
              <w:bottom w:val="nil"/>
              <w:right w:val="nil"/>
            </w:tcBorders>
            <w:hideMark/>
          </w:tcPr>
          <w:p w:rsidR="00F24261" w:rsidRDefault="00F24261" w:rsidP="002145BE">
            <w:pPr>
              <w:spacing w:line="360" w:lineRule="auto"/>
              <w:jc w:val="center"/>
            </w:pPr>
            <w:r>
              <w:t>Normal</w:t>
            </w:r>
          </w:p>
        </w:tc>
        <w:tc>
          <w:tcPr>
            <w:tcW w:w="509" w:type="pct"/>
            <w:tcBorders>
              <w:top w:val="single" w:sz="8" w:space="0" w:color="auto"/>
              <w:left w:val="nil"/>
              <w:bottom w:val="nil"/>
              <w:right w:val="nil"/>
            </w:tcBorders>
            <w:hideMark/>
          </w:tcPr>
          <w:p w:rsidR="00F24261" w:rsidRDefault="00F24261" w:rsidP="002145BE">
            <w:pPr>
              <w:spacing w:line="360" w:lineRule="auto"/>
              <w:jc w:val="center"/>
            </w:pPr>
            <w:r>
              <w:t>Normal</w:t>
            </w:r>
          </w:p>
        </w:tc>
      </w:tr>
      <w:tr w:rsidR="00F24261" w:rsidTr="002145BE">
        <w:trPr>
          <w:trHeight w:val="337"/>
        </w:trPr>
        <w:tc>
          <w:tcPr>
            <w:tcW w:w="219" w:type="pct"/>
            <w:tcBorders>
              <w:top w:val="nil"/>
              <w:left w:val="nil"/>
              <w:bottom w:val="nil"/>
              <w:right w:val="nil"/>
            </w:tcBorders>
            <w:hideMark/>
          </w:tcPr>
          <w:p w:rsidR="00F24261" w:rsidRDefault="00F24261" w:rsidP="002145BE">
            <w:pPr>
              <w:spacing w:line="360" w:lineRule="auto"/>
            </w:pPr>
            <w:r>
              <w:t>2</w:t>
            </w:r>
          </w:p>
        </w:tc>
        <w:tc>
          <w:tcPr>
            <w:tcW w:w="401" w:type="pct"/>
            <w:tcBorders>
              <w:top w:val="nil"/>
              <w:left w:val="nil"/>
              <w:bottom w:val="nil"/>
              <w:right w:val="nil"/>
            </w:tcBorders>
            <w:hideMark/>
          </w:tcPr>
          <w:p w:rsidR="00F24261" w:rsidRDefault="00F24261" w:rsidP="002145BE">
            <w:pPr>
              <w:spacing w:line="360" w:lineRule="auto"/>
              <w:jc w:val="center"/>
            </w:pPr>
            <w:r>
              <w:t>114kg</w:t>
            </w:r>
          </w:p>
        </w:tc>
        <w:tc>
          <w:tcPr>
            <w:tcW w:w="671" w:type="pct"/>
            <w:tcBorders>
              <w:top w:val="nil"/>
              <w:left w:val="nil"/>
              <w:bottom w:val="nil"/>
              <w:right w:val="nil"/>
            </w:tcBorders>
            <w:hideMark/>
          </w:tcPr>
          <w:p w:rsidR="00F24261" w:rsidRDefault="00F24261" w:rsidP="002145BE">
            <w:pPr>
              <w:spacing w:line="360" w:lineRule="auto"/>
              <w:jc w:val="center"/>
            </w:pPr>
            <w:r>
              <w:t>Normal</w:t>
            </w:r>
          </w:p>
        </w:tc>
        <w:tc>
          <w:tcPr>
            <w:tcW w:w="487" w:type="pct"/>
            <w:tcBorders>
              <w:top w:val="nil"/>
              <w:left w:val="nil"/>
              <w:bottom w:val="nil"/>
              <w:right w:val="nil"/>
            </w:tcBorders>
            <w:hideMark/>
          </w:tcPr>
          <w:p w:rsidR="00F24261" w:rsidRDefault="00F24261" w:rsidP="002145BE">
            <w:pPr>
              <w:spacing w:line="360" w:lineRule="auto"/>
              <w:jc w:val="center"/>
            </w:pPr>
            <w:r>
              <w:t>itchy</w:t>
            </w:r>
          </w:p>
        </w:tc>
        <w:tc>
          <w:tcPr>
            <w:tcW w:w="609" w:type="pct"/>
            <w:tcBorders>
              <w:top w:val="nil"/>
              <w:left w:val="nil"/>
              <w:bottom w:val="nil"/>
              <w:right w:val="nil"/>
            </w:tcBorders>
            <w:hideMark/>
          </w:tcPr>
          <w:p w:rsidR="00F24261" w:rsidRDefault="00F24261" w:rsidP="002145BE">
            <w:pPr>
              <w:spacing w:line="360" w:lineRule="auto"/>
              <w:jc w:val="center"/>
            </w:pPr>
            <w:r>
              <w:t>Active</w:t>
            </w:r>
          </w:p>
        </w:tc>
        <w:tc>
          <w:tcPr>
            <w:tcW w:w="531" w:type="pct"/>
            <w:tcBorders>
              <w:top w:val="nil"/>
              <w:left w:val="nil"/>
              <w:bottom w:val="nil"/>
              <w:right w:val="nil"/>
            </w:tcBorders>
            <w:hideMark/>
          </w:tcPr>
          <w:p w:rsidR="00F24261" w:rsidRDefault="00F24261" w:rsidP="002145BE">
            <w:pPr>
              <w:spacing w:line="360" w:lineRule="auto"/>
              <w:jc w:val="center"/>
            </w:pPr>
            <w:r>
              <w:t>Increased</w:t>
            </w:r>
          </w:p>
        </w:tc>
        <w:tc>
          <w:tcPr>
            <w:tcW w:w="621" w:type="pct"/>
            <w:tcBorders>
              <w:top w:val="nil"/>
              <w:left w:val="nil"/>
              <w:bottom w:val="nil"/>
              <w:right w:val="nil"/>
            </w:tcBorders>
            <w:hideMark/>
          </w:tcPr>
          <w:p w:rsidR="00F24261" w:rsidRDefault="00F24261" w:rsidP="002145BE">
            <w:pPr>
              <w:spacing w:line="360" w:lineRule="auto"/>
              <w:jc w:val="center"/>
            </w:pPr>
            <w:r>
              <w:t>Nil</w:t>
            </w:r>
          </w:p>
        </w:tc>
        <w:tc>
          <w:tcPr>
            <w:tcW w:w="437" w:type="pct"/>
            <w:tcBorders>
              <w:top w:val="nil"/>
              <w:left w:val="nil"/>
              <w:bottom w:val="nil"/>
              <w:right w:val="nil"/>
            </w:tcBorders>
            <w:hideMark/>
          </w:tcPr>
          <w:p w:rsidR="00F24261" w:rsidRDefault="00F24261" w:rsidP="002145BE">
            <w:pPr>
              <w:spacing w:line="360" w:lineRule="auto"/>
              <w:jc w:val="center"/>
            </w:pPr>
            <w:r>
              <w:t>Nil</w:t>
            </w:r>
          </w:p>
        </w:tc>
        <w:tc>
          <w:tcPr>
            <w:tcW w:w="515" w:type="pct"/>
            <w:tcBorders>
              <w:top w:val="nil"/>
              <w:left w:val="nil"/>
              <w:bottom w:val="nil"/>
              <w:right w:val="nil"/>
            </w:tcBorders>
            <w:hideMark/>
          </w:tcPr>
          <w:p w:rsidR="00F24261" w:rsidRDefault="00F24261" w:rsidP="002145BE">
            <w:pPr>
              <w:spacing w:line="360" w:lineRule="auto"/>
              <w:jc w:val="center"/>
            </w:pPr>
            <w:r>
              <w:t xml:space="preserve"> Rough</w:t>
            </w:r>
          </w:p>
        </w:tc>
        <w:tc>
          <w:tcPr>
            <w:tcW w:w="509" w:type="pct"/>
            <w:tcBorders>
              <w:top w:val="nil"/>
              <w:left w:val="nil"/>
              <w:bottom w:val="nil"/>
              <w:right w:val="nil"/>
            </w:tcBorders>
            <w:hideMark/>
          </w:tcPr>
          <w:p w:rsidR="00F24261" w:rsidRDefault="00F24261" w:rsidP="002145BE">
            <w:pPr>
              <w:spacing w:line="360" w:lineRule="auto"/>
              <w:jc w:val="center"/>
            </w:pPr>
            <w:r>
              <w:t>Normal</w:t>
            </w:r>
          </w:p>
        </w:tc>
      </w:tr>
      <w:tr w:rsidR="00F24261" w:rsidTr="002145BE">
        <w:trPr>
          <w:trHeight w:val="337"/>
        </w:trPr>
        <w:tc>
          <w:tcPr>
            <w:tcW w:w="219" w:type="pct"/>
            <w:tcBorders>
              <w:top w:val="nil"/>
              <w:left w:val="nil"/>
              <w:bottom w:val="nil"/>
              <w:right w:val="nil"/>
            </w:tcBorders>
            <w:hideMark/>
          </w:tcPr>
          <w:p w:rsidR="00F24261" w:rsidRDefault="00F24261" w:rsidP="002145BE">
            <w:pPr>
              <w:spacing w:line="360" w:lineRule="auto"/>
            </w:pPr>
            <w:r>
              <w:t>3</w:t>
            </w:r>
          </w:p>
        </w:tc>
        <w:tc>
          <w:tcPr>
            <w:tcW w:w="401" w:type="pct"/>
            <w:tcBorders>
              <w:top w:val="nil"/>
              <w:left w:val="nil"/>
              <w:bottom w:val="nil"/>
              <w:right w:val="nil"/>
            </w:tcBorders>
            <w:hideMark/>
          </w:tcPr>
          <w:p w:rsidR="00F24261" w:rsidRDefault="00F24261" w:rsidP="002145BE">
            <w:pPr>
              <w:spacing w:line="360" w:lineRule="auto"/>
              <w:jc w:val="center"/>
            </w:pPr>
            <w:r>
              <w:t>114kg</w:t>
            </w:r>
          </w:p>
        </w:tc>
        <w:tc>
          <w:tcPr>
            <w:tcW w:w="671" w:type="pct"/>
            <w:tcBorders>
              <w:top w:val="nil"/>
              <w:left w:val="nil"/>
              <w:bottom w:val="nil"/>
              <w:right w:val="nil"/>
            </w:tcBorders>
            <w:hideMark/>
          </w:tcPr>
          <w:p w:rsidR="00F24261" w:rsidRDefault="00F24261" w:rsidP="002145BE">
            <w:pPr>
              <w:spacing w:line="360" w:lineRule="auto"/>
              <w:jc w:val="center"/>
            </w:pPr>
            <w:r>
              <w:t>Normal</w:t>
            </w:r>
          </w:p>
        </w:tc>
        <w:tc>
          <w:tcPr>
            <w:tcW w:w="487" w:type="pct"/>
            <w:tcBorders>
              <w:top w:val="nil"/>
              <w:left w:val="nil"/>
              <w:bottom w:val="nil"/>
              <w:right w:val="nil"/>
            </w:tcBorders>
            <w:hideMark/>
          </w:tcPr>
          <w:p w:rsidR="00F24261" w:rsidRDefault="00F24261" w:rsidP="002145BE">
            <w:pPr>
              <w:spacing w:line="360" w:lineRule="auto"/>
              <w:jc w:val="center"/>
            </w:pPr>
            <w:r>
              <w:t>Normal</w:t>
            </w:r>
          </w:p>
        </w:tc>
        <w:tc>
          <w:tcPr>
            <w:tcW w:w="609" w:type="pct"/>
            <w:tcBorders>
              <w:top w:val="nil"/>
              <w:left w:val="nil"/>
              <w:bottom w:val="nil"/>
              <w:right w:val="nil"/>
            </w:tcBorders>
            <w:hideMark/>
          </w:tcPr>
          <w:p w:rsidR="00F24261" w:rsidRDefault="00F24261" w:rsidP="002145BE">
            <w:pPr>
              <w:spacing w:line="360" w:lineRule="auto"/>
              <w:jc w:val="center"/>
            </w:pPr>
            <w:r>
              <w:t>Normal</w:t>
            </w:r>
          </w:p>
        </w:tc>
        <w:tc>
          <w:tcPr>
            <w:tcW w:w="531" w:type="pct"/>
            <w:tcBorders>
              <w:top w:val="nil"/>
              <w:left w:val="nil"/>
              <w:bottom w:val="nil"/>
              <w:right w:val="nil"/>
            </w:tcBorders>
            <w:hideMark/>
          </w:tcPr>
          <w:p w:rsidR="00F24261" w:rsidRDefault="00F24261" w:rsidP="002145BE">
            <w:pPr>
              <w:spacing w:line="360" w:lineRule="auto"/>
              <w:jc w:val="center"/>
            </w:pPr>
            <w:r>
              <w:t>Normal</w:t>
            </w:r>
          </w:p>
        </w:tc>
        <w:tc>
          <w:tcPr>
            <w:tcW w:w="621" w:type="pct"/>
            <w:tcBorders>
              <w:top w:val="nil"/>
              <w:left w:val="nil"/>
              <w:bottom w:val="nil"/>
              <w:right w:val="nil"/>
            </w:tcBorders>
            <w:hideMark/>
          </w:tcPr>
          <w:p w:rsidR="00F24261" w:rsidRDefault="00F24261" w:rsidP="002145BE">
            <w:pPr>
              <w:spacing w:line="360" w:lineRule="auto"/>
              <w:jc w:val="center"/>
            </w:pPr>
            <w:r>
              <w:t>Normal</w:t>
            </w:r>
          </w:p>
        </w:tc>
        <w:tc>
          <w:tcPr>
            <w:tcW w:w="437" w:type="pct"/>
            <w:tcBorders>
              <w:top w:val="nil"/>
              <w:left w:val="nil"/>
              <w:bottom w:val="nil"/>
              <w:right w:val="nil"/>
            </w:tcBorders>
            <w:hideMark/>
          </w:tcPr>
          <w:p w:rsidR="00F24261" w:rsidRDefault="00F24261" w:rsidP="002145BE">
            <w:pPr>
              <w:spacing w:line="360" w:lineRule="auto"/>
              <w:jc w:val="center"/>
            </w:pPr>
            <w:r>
              <w:t>Normal</w:t>
            </w:r>
          </w:p>
        </w:tc>
        <w:tc>
          <w:tcPr>
            <w:tcW w:w="515" w:type="pct"/>
            <w:tcBorders>
              <w:top w:val="nil"/>
              <w:left w:val="nil"/>
              <w:bottom w:val="nil"/>
              <w:right w:val="nil"/>
            </w:tcBorders>
            <w:hideMark/>
          </w:tcPr>
          <w:p w:rsidR="00F24261" w:rsidRDefault="00F24261" w:rsidP="002145BE">
            <w:pPr>
              <w:spacing w:line="360" w:lineRule="auto"/>
              <w:jc w:val="center"/>
            </w:pPr>
            <w:r>
              <w:t>Normal</w:t>
            </w:r>
          </w:p>
        </w:tc>
        <w:tc>
          <w:tcPr>
            <w:tcW w:w="509" w:type="pct"/>
            <w:tcBorders>
              <w:top w:val="nil"/>
              <w:left w:val="nil"/>
              <w:bottom w:val="nil"/>
              <w:right w:val="nil"/>
            </w:tcBorders>
            <w:hideMark/>
          </w:tcPr>
          <w:p w:rsidR="00F24261" w:rsidRDefault="00F24261" w:rsidP="002145BE">
            <w:pPr>
              <w:spacing w:line="360" w:lineRule="auto"/>
              <w:jc w:val="center"/>
            </w:pPr>
            <w:r>
              <w:t>Normal</w:t>
            </w:r>
          </w:p>
        </w:tc>
      </w:tr>
      <w:tr w:rsidR="00F24261" w:rsidTr="002145BE">
        <w:trPr>
          <w:trHeight w:val="337"/>
        </w:trPr>
        <w:tc>
          <w:tcPr>
            <w:tcW w:w="219" w:type="pct"/>
            <w:tcBorders>
              <w:top w:val="nil"/>
              <w:left w:val="nil"/>
              <w:bottom w:val="nil"/>
              <w:right w:val="nil"/>
            </w:tcBorders>
            <w:hideMark/>
          </w:tcPr>
          <w:p w:rsidR="00F24261" w:rsidRDefault="00F24261" w:rsidP="002145BE">
            <w:pPr>
              <w:spacing w:line="360" w:lineRule="auto"/>
            </w:pPr>
            <w:r>
              <w:t>4</w:t>
            </w:r>
          </w:p>
        </w:tc>
        <w:tc>
          <w:tcPr>
            <w:tcW w:w="401" w:type="pct"/>
            <w:tcBorders>
              <w:top w:val="nil"/>
              <w:left w:val="nil"/>
              <w:bottom w:val="nil"/>
              <w:right w:val="nil"/>
            </w:tcBorders>
            <w:hideMark/>
          </w:tcPr>
          <w:p w:rsidR="00F24261" w:rsidRDefault="00F24261" w:rsidP="002145BE">
            <w:pPr>
              <w:spacing w:line="360" w:lineRule="auto"/>
              <w:jc w:val="center"/>
            </w:pPr>
            <w:r>
              <w:t>114kg</w:t>
            </w:r>
          </w:p>
        </w:tc>
        <w:tc>
          <w:tcPr>
            <w:tcW w:w="671" w:type="pct"/>
            <w:tcBorders>
              <w:top w:val="nil"/>
              <w:left w:val="nil"/>
              <w:bottom w:val="nil"/>
              <w:right w:val="nil"/>
            </w:tcBorders>
            <w:hideMark/>
          </w:tcPr>
          <w:p w:rsidR="00F24261" w:rsidRDefault="00F24261" w:rsidP="002145BE">
            <w:pPr>
              <w:spacing w:line="360" w:lineRule="auto"/>
              <w:jc w:val="center"/>
            </w:pPr>
            <w:r>
              <w:t>Less active</w:t>
            </w:r>
          </w:p>
        </w:tc>
        <w:tc>
          <w:tcPr>
            <w:tcW w:w="487" w:type="pct"/>
            <w:tcBorders>
              <w:top w:val="nil"/>
              <w:left w:val="nil"/>
              <w:bottom w:val="nil"/>
              <w:right w:val="nil"/>
            </w:tcBorders>
            <w:hideMark/>
          </w:tcPr>
          <w:p w:rsidR="00F24261" w:rsidRDefault="00F24261" w:rsidP="002145BE">
            <w:pPr>
              <w:spacing w:line="360" w:lineRule="auto"/>
              <w:jc w:val="center"/>
            </w:pPr>
            <w:r>
              <w:t>Weak</w:t>
            </w:r>
          </w:p>
        </w:tc>
        <w:tc>
          <w:tcPr>
            <w:tcW w:w="609" w:type="pct"/>
            <w:tcBorders>
              <w:top w:val="nil"/>
              <w:left w:val="nil"/>
              <w:bottom w:val="nil"/>
              <w:right w:val="nil"/>
            </w:tcBorders>
            <w:hideMark/>
          </w:tcPr>
          <w:p w:rsidR="00F24261" w:rsidRDefault="00F24261" w:rsidP="002145BE">
            <w:pPr>
              <w:spacing w:line="360" w:lineRule="auto"/>
              <w:jc w:val="center"/>
            </w:pPr>
            <w:r>
              <w:t>Slow</w:t>
            </w:r>
          </w:p>
        </w:tc>
        <w:tc>
          <w:tcPr>
            <w:tcW w:w="531" w:type="pct"/>
            <w:tcBorders>
              <w:top w:val="nil"/>
              <w:left w:val="nil"/>
              <w:bottom w:val="nil"/>
              <w:right w:val="nil"/>
            </w:tcBorders>
            <w:hideMark/>
          </w:tcPr>
          <w:p w:rsidR="00F24261" w:rsidRDefault="00F24261" w:rsidP="002145BE">
            <w:pPr>
              <w:spacing w:line="360" w:lineRule="auto"/>
              <w:jc w:val="center"/>
            </w:pPr>
            <w:r>
              <w:t>Reduced</w:t>
            </w:r>
          </w:p>
        </w:tc>
        <w:tc>
          <w:tcPr>
            <w:tcW w:w="621" w:type="pct"/>
            <w:tcBorders>
              <w:top w:val="nil"/>
              <w:left w:val="nil"/>
              <w:bottom w:val="nil"/>
              <w:right w:val="nil"/>
            </w:tcBorders>
            <w:hideMark/>
          </w:tcPr>
          <w:p w:rsidR="00F24261" w:rsidRDefault="00F24261" w:rsidP="002145BE">
            <w:pPr>
              <w:spacing w:line="360" w:lineRule="auto"/>
              <w:jc w:val="center"/>
            </w:pPr>
            <w:r>
              <w:t>Trachypnea</w:t>
            </w:r>
          </w:p>
        </w:tc>
        <w:tc>
          <w:tcPr>
            <w:tcW w:w="437" w:type="pct"/>
            <w:tcBorders>
              <w:top w:val="nil"/>
              <w:left w:val="nil"/>
              <w:bottom w:val="nil"/>
              <w:right w:val="nil"/>
            </w:tcBorders>
            <w:hideMark/>
          </w:tcPr>
          <w:p w:rsidR="00F24261" w:rsidRDefault="00F24261" w:rsidP="002145BE">
            <w:pPr>
              <w:spacing w:line="360" w:lineRule="auto"/>
              <w:jc w:val="center"/>
            </w:pPr>
            <w:r>
              <w:t>Normal</w:t>
            </w:r>
          </w:p>
        </w:tc>
        <w:tc>
          <w:tcPr>
            <w:tcW w:w="515" w:type="pct"/>
            <w:tcBorders>
              <w:top w:val="nil"/>
              <w:left w:val="nil"/>
              <w:bottom w:val="nil"/>
              <w:right w:val="nil"/>
            </w:tcBorders>
            <w:hideMark/>
          </w:tcPr>
          <w:p w:rsidR="00F24261" w:rsidRDefault="00F24261" w:rsidP="002145BE">
            <w:pPr>
              <w:spacing w:line="360" w:lineRule="auto"/>
              <w:jc w:val="center"/>
            </w:pPr>
            <w:r>
              <w:t>Itchy</w:t>
            </w:r>
          </w:p>
        </w:tc>
        <w:tc>
          <w:tcPr>
            <w:tcW w:w="509" w:type="pct"/>
            <w:tcBorders>
              <w:top w:val="nil"/>
              <w:left w:val="nil"/>
              <w:bottom w:val="nil"/>
              <w:right w:val="nil"/>
            </w:tcBorders>
            <w:hideMark/>
          </w:tcPr>
          <w:p w:rsidR="00F24261" w:rsidRDefault="00F24261" w:rsidP="002145BE">
            <w:pPr>
              <w:spacing w:line="360" w:lineRule="auto"/>
              <w:jc w:val="center"/>
            </w:pPr>
            <w:r>
              <w:t>Watery</w:t>
            </w:r>
          </w:p>
        </w:tc>
      </w:tr>
      <w:tr w:rsidR="00F24261" w:rsidTr="002145BE">
        <w:trPr>
          <w:trHeight w:val="337"/>
        </w:trPr>
        <w:tc>
          <w:tcPr>
            <w:tcW w:w="219" w:type="pct"/>
            <w:tcBorders>
              <w:top w:val="nil"/>
              <w:left w:val="nil"/>
              <w:bottom w:val="single" w:sz="4" w:space="0" w:color="auto"/>
              <w:right w:val="nil"/>
            </w:tcBorders>
            <w:hideMark/>
          </w:tcPr>
          <w:p w:rsidR="00F24261" w:rsidRDefault="00F24261" w:rsidP="002145BE">
            <w:pPr>
              <w:spacing w:line="360" w:lineRule="auto"/>
            </w:pPr>
            <w:r>
              <w:t>5</w:t>
            </w:r>
          </w:p>
        </w:tc>
        <w:tc>
          <w:tcPr>
            <w:tcW w:w="401" w:type="pct"/>
            <w:tcBorders>
              <w:top w:val="nil"/>
              <w:left w:val="nil"/>
              <w:bottom w:val="single" w:sz="4" w:space="0" w:color="auto"/>
              <w:right w:val="nil"/>
            </w:tcBorders>
            <w:hideMark/>
          </w:tcPr>
          <w:p w:rsidR="00F24261" w:rsidRDefault="00F24261" w:rsidP="002145BE">
            <w:pPr>
              <w:spacing w:line="360" w:lineRule="auto"/>
              <w:jc w:val="center"/>
            </w:pPr>
            <w:r>
              <w:t>114kg</w:t>
            </w:r>
          </w:p>
        </w:tc>
        <w:tc>
          <w:tcPr>
            <w:tcW w:w="671" w:type="pct"/>
            <w:tcBorders>
              <w:top w:val="nil"/>
              <w:left w:val="nil"/>
              <w:bottom w:val="single" w:sz="4" w:space="0" w:color="auto"/>
              <w:right w:val="nil"/>
            </w:tcBorders>
            <w:hideMark/>
          </w:tcPr>
          <w:p w:rsidR="00F24261" w:rsidRDefault="00F24261" w:rsidP="002145BE">
            <w:pPr>
              <w:spacing w:line="360" w:lineRule="auto"/>
              <w:jc w:val="center"/>
            </w:pPr>
            <w:r>
              <w:t>Barbering</w:t>
            </w:r>
          </w:p>
        </w:tc>
        <w:tc>
          <w:tcPr>
            <w:tcW w:w="487" w:type="pct"/>
            <w:tcBorders>
              <w:top w:val="nil"/>
              <w:left w:val="nil"/>
              <w:bottom w:val="single" w:sz="4" w:space="0" w:color="auto"/>
              <w:right w:val="nil"/>
            </w:tcBorders>
            <w:hideMark/>
          </w:tcPr>
          <w:p w:rsidR="00F24261" w:rsidRDefault="00F24261" w:rsidP="002145BE">
            <w:pPr>
              <w:spacing w:line="360" w:lineRule="auto"/>
              <w:jc w:val="center"/>
            </w:pPr>
            <w:r>
              <w:t>Weak</w:t>
            </w:r>
          </w:p>
        </w:tc>
        <w:tc>
          <w:tcPr>
            <w:tcW w:w="609" w:type="pct"/>
            <w:tcBorders>
              <w:top w:val="nil"/>
              <w:left w:val="nil"/>
              <w:bottom w:val="single" w:sz="4" w:space="0" w:color="auto"/>
              <w:right w:val="nil"/>
            </w:tcBorders>
            <w:hideMark/>
          </w:tcPr>
          <w:p w:rsidR="00F24261" w:rsidRDefault="00F24261" w:rsidP="002145BE">
            <w:pPr>
              <w:spacing w:line="360" w:lineRule="auto"/>
              <w:jc w:val="center"/>
            </w:pPr>
            <w:r>
              <w:t>Slow</w:t>
            </w:r>
          </w:p>
        </w:tc>
        <w:tc>
          <w:tcPr>
            <w:tcW w:w="531" w:type="pct"/>
            <w:tcBorders>
              <w:top w:val="nil"/>
              <w:left w:val="nil"/>
              <w:bottom w:val="single" w:sz="4" w:space="0" w:color="auto"/>
              <w:right w:val="nil"/>
            </w:tcBorders>
            <w:hideMark/>
          </w:tcPr>
          <w:p w:rsidR="00F24261" w:rsidRDefault="00F24261" w:rsidP="002145BE">
            <w:pPr>
              <w:spacing w:line="360" w:lineRule="auto"/>
              <w:jc w:val="center"/>
            </w:pPr>
            <w:r>
              <w:t>Reduced</w:t>
            </w:r>
          </w:p>
        </w:tc>
        <w:tc>
          <w:tcPr>
            <w:tcW w:w="621" w:type="pct"/>
            <w:tcBorders>
              <w:top w:val="nil"/>
              <w:left w:val="nil"/>
              <w:bottom w:val="single" w:sz="4" w:space="0" w:color="auto"/>
              <w:right w:val="nil"/>
            </w:tcBorders>
            <w:hideMark/>
          </w:tcPr>
          <w:p w:rsidR="00F24261" w:rsidRDefault="00F24261" w:rsidP="002145BE">
            <w:pPr>
              <w:spacing w:line="360" w:lineRule="auto"/>
              <w:jc w:val="center"/>
            </w:pPr>
            <w:r>
              <w:t>Palpitation</w:t>
            </w:r>
          </w:p>
        </w:tc>
        <w:tc>
          <w:tcPr>
            <w:tcW w:w="437" w:type="pct"/>
            <w:tcBorders>
              <w:top w:val="nil"/>
              <w:left w:val="nil"/>
              <w:bottom w:val="single" w:sz="4" w:space="0" w:color="auto"/>
              <w:right w:val="nil"/>
            </w:tcBorders>
            <w:hideMark/>
          </w:tcPr>
          <w:p w:rsidR="00F24261" w:rsidRDefault="00F24261" w:rsidP="002145BE">
            <w:pPr>
              <w:spacing w:line="360" w:lineRule="auto"/>
              <w:jc w:val="center"/>
            </w:pPr>
            <w:r>
              <w:t>Red</w:t>
            </w:r>
          </w:p>
        </w:tc>
        <w:tc>
          <w:tcPr>
            <w:tcW w:w="515" w:type="pct"/>
            <w:tcBorders>
              <w:top w:val="nil"/>
              <w:left w:val="nil"/>
              <w:bottom w:val="single" w:sz="4" w:space="0" w:color="auto"/>
              <w:right w:val="nil"/>
            </w:tcBorders>
            <w:hideMark/>
          </w:tcPr>
          <w:p w:rsidR="00F24261" w:rsidRDefault="00F24261" w:rsidP="002145BE">
            <w:pPr>
              <w:spacing w:line="360" w:lineRule="auto"/>
              <w:jc w:val="center"/>
            </w:pPr>
            <w:r>
              <w:t>itchy</w:t>
            </w:r>
          </w:p>
        </w:tc>
        <w:tc>
          <w:tcPr>
            <w:tcW w:w="509" w:type="pct"/>
            <w:tcBorders>
              <w:top w:val="nil"/>
              <w:left w:val="nil"/>
              <w:bottom w:val="single" w:sz="4" w:space="0" w:color="auto"/>
              <w:right w:val="nil"/>
            </w:tcBorders>
            <w:hideMark/>
          </w:tcPr>
          <w:p w:rsidR="00F24261" w:rsidRDefault="00F24261" w:rsidP="002145BE">
            <w:pPr>
              <w:spacing w:line="360" w:lineRule="auto"/>
              <w:jc w:val="center"/>
            </w:pPr>
            <w:r>
              <w:t>Watery</w:t>
            </w:r>
          </w:p>
        </w:tc>
      </w:tr>
    </w:tbl>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240" w:lineRule="auto"/>
        <w:jc w:val="both"/>
        <w:rPr>
          <w:rFonts w:ascii="Times New Roman" w:hAnsi="Times New Roman" w:cs="Times New Roman"/>
          <w:sz w:val="28"/>
          <w:szCs w:val="28"/>
        </w:rPr>
      </w:pPr>
      <w:r>
        <w:rPr>
          <w:rFonts w:ascii="Times New Roman" w:hAnsi="Times New Roman" w:cs="Times New Roman"/>
          <w:iCs/>
          <w:sz w:val="28"/>
          <w:szCs w:val="28"/>
        </w:rPr>
        <w:t>3.7 Daily Observation for50% conc. Toxin Administration in Rats</w:t>
      </w:r>
      <w:r>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24"/>
        <w:gridCol w:w="1554"/>
        <w:gridCol w:w="1169"/>
        <w:gridCol w:w="1410"/>
        <w:gridCol w:w="1229"/>
        <w:gridCol w:w="222"/>
        <w:gridCol w:w="1399"/>
        <w:gridCol w:w="955"/>
        <w:gridCol w:w="1189"/>
        <w:gridCol w:w="1175"/>
      </w:tblGrid>
      <w:tr w:rsidR="00F24261" w:rsidTr="002145BE">
        <w:trPr>
          <w:trHeight w:val="787"/>
        </w:trPr>
        <w:tc>
          <w:tcPr>
            <w:tcW w:w="216" w:type="pct"/>
            <w:tcBorders>
              <w:top w:val="single" w:sz="4" w:space="0" w:color="auto"/>
              <w:left w:val="nil"/>
              <w:bottom w:val="single" w:sz="8" w:space="0" w:color="auto"/>
              <w:right w:val="nil"/>
            </w:tcBorders>
            <w:hideMark/>
          </w:tcPr>
          <w:p w:rsidR="00F24261" w:rsidRDefault="00F24261" w:rsidP="002145BE">
            <w:r>
              <w:t>Day</w:t>
            </w:r>
          </w:p>
        </w:tc>
        <w:tc>
          <w:tcPr>
            <w:tcW w:w="397" w:type="pct"/>
            <w:tcBorders>
              <w:top w:val="single" w:sz="4" w:space="0" w:color="auto"/>
              <w:left w:val="nil"/>
              <w:bottom w:val="single" w:sz="8" w:space="0" w:color="auto"/>
              <w:right w:val="nil"/>
            </w:tcBorders>
            <w:hideMark/>
          </w:tcPr>
          <w:p w:rsidR="00F24261" w:rsidRDefault="00F24261" w:rsidP="002145BE">
            <w:pPr>
              <w:jc w:val="center"/>
            </w:pPr>
            <w:r>
              <w:t>Weight</w:t>
            </w:r>
          </w:p>
        </w:tc>
        <w:tc>
          <w:tcPr>
            <w:tcW w:w="664" w:type="pct"/>
            <w:tcBorders>
              <w:top w:val="single" w:sz="4" w:space="0" w:color="auto"/>
              <w:left w:val="nil"/>
              <w:bottom w:val="single" w:sz="8" w:space="0" w:color="auto"/>
              <w:right w:val="nil"/>
            </w:tcBorders>
            <w:hideMark/>
          </w:tcPr>
          <w:p w:rsidR="00F24261" w:rsidRDefault="00F24261" w:rsidP="002145BE">
            <w:pPr>
              <w:jc w:val="center"/>
            </w:pPr>
            <w:r>
              <w:t>Physical appearances</w:t>
            </w:r>
          </w:p>
        </w:tc>
        <w:tc>
          <w:tcPr>
            <w:tcW w:w="482" w:type="pct"/>
            <w:tcBorders>
              <w:top w:val="single" w:sz="4" w:space="0" w:color="auto"/>
              <w:left w:val="nil"/>
              <w:bottom w:val="single" w:sz="8" w:space="0" w:color="auto"/>
              <w:right w:val="nil"/>
            </w:tcBorders>
            <w:hideMark/>
          </w:tcPr>
          <w:p w:rsidR="00F24261" w:rsidRDefault="00F24261" w:rsidP="002145BE">
            <w:pPr>
              <w:jc w:val="center"/>
            </w:pPr>
            <w:r>
              <w:t>Behavior</w:t>
            </w:r>
          </w:p>
        </w:tc>
        <w:tc>
          <w:tcPr>
            <w:tcW w:w="603" w:type="pct"/>
            <w:tcBorders>
              <w:top w:val="single" w:sz="4" w:space="0" w:color="auto"/>
              <w:left w:val="nil"/>
              <w:bottom w:val="single" w:sz="8" w:space="0" w:color="auto"/>
              <w:right w:val="nil"/>
            </w:tcBorders>
            <w:hideMark/>
          </w:tcPr>
          <w:p w:rsidR="00F24261" w:rsidRDefault="00F24261" w:rsidP="002145BE">
            <w:pPr>
              <w:jc w:val="center"/>
            </w:pPr>
            <w:r>
              <w:t>Locomotion</w:t>
            </w:r>
          </w:p>
        </w:tc>
        <w:tc>
          <w:tcPr>
            <w:tcW w:w="526" w:type="pct"/>
            <w:tcBorders>
              <w:top w:val="single" w:sz="4" w:space="0" w:color="auto"/>
              <w:left w:val="nil"/>
              <w:bottom w:val="single" w:sz="8" w:space="0" w:color="auto"/>
              <w:right w:val="nil"/>
            </w:tcBorders>
            <w:hideMark/>
          </w:tcPr>
          <w:p w:rsidR="00F24261" w:rsidRDefault="00F24261" w:rsidP="002145BE">
            <w:pPr>
              <w:jc w:val="center"/>
            </w:pPr>
            <w:r>
              <w:t>Feeding and drinking</w:t>
            </w:r>
          </w:p>
        </w:tc>
        <w:tc>
          <w:tcPr>
            <w:tcW w:w="92" w:type="pct"/>
            <w:tcBorders>
              <w:top w:val="single" w:sz="4" w:space="0" w:color="auto"/>
              <w:left w:val="nil"/>
              <w:bottom w:val="single" w:sz="8" w:space="0" w:color="auto"/>
              <w:right w:val="nil"/>
            </w:tcBorders>
          </w:tcPr>
          <w:p w:rsidR="00F24261" w:rsidRDefault="00F24261" w:rsidP="002145BE">
            <w:pPr>
              <w:jc w:val="center"/>
            </w:pPr>
          </w:p>
        </w:tc>
        <w:tc>
          <w:tcPr>
            <w:tcW w:w="598" w:type="pct"/>
            <w:tcBorders>
              <w:top w:val="single" w:sz="4" w:space="0" w:color="auto"/>
              <w:left w:val="nil"/>
              <w:bottom w:val="single" w:sz="8" w:space="0" w:color="auto"/>
              <w:right w:val="nil"/>
            </w:tcBorders>
            <w:hideMark/>
          </w:tcPr>
          <w:p w:rsidR="00F24261" w:rsidRDefault="00F24261" w:rsidP="002145BE">
            <w:pPr>
              <w:jc w:val="center"/>
            </w:pPr>
            <w:r>
              <w:t>Respiratory</w:t>
            </w:r>
          </w:p>
        </w:tc>
        <w:tc>
          <w:tcPr>
            <w:tcW w:w="410" w:type="pct"/>
            <w:tcBorders>
              <w:top w:val="single" w:sz="4" w:space="0" w:color="auto"/>
              <w:left w:val="nil"/>
              <w:bottom w:val="single" w:sz="8" w:space="0" w:color="auto"/>
              <w:right w:val="nil"/>
            </w:tcBorders>
            <w:hideMark/>
          </w:tcPr>
          <w:p w:rsidR="00F24261" w:rsidRDefault="00F24261" w:rsidP="002145BE">
            <w:pPr>
              <w:jc w:val="center"/>
            </w:pPr>
            <w:r>
              <w:t>Eye &amp; Nose</w:t>
            </w:r>
          </w:p>
        </w:tc>
        <w:tc>
          <w:tcPr>
            <w:tcW w:w="509" w:type="pct"/>
            <w:tcBorders>
              <w:top w:val="single" w:sz="4" w:space="0" w:color="auto"/>
              <w:left w:val="nil"/>
              <w:bottom w:val="single" w:sz="8" w:space="0" w:color="auto"/>
              <w:right w:val="nil"/>
            </w:tcBorders>
            <w:hideMark/>
          </w:tcPr>
          <w:p w:rsidR="00F24261" w:rsidRDefault="00F24261" w:rsidP="002145BE">
            <w:pPr>
              <w:jc w:val="center"/>
            </w:pPr>
            <w:r>
              <w:t>Skin</w:t>
            </w:r>
          </w:p>
        </w:tc>
        <w:tc>
          <w:tcPr>
            <w:tcW w:w="504" w:type="pct"/>
            <w:tcBorders>
              <w:top w:val="single" w:sz="4" w:space="0" w:color="auto"/>
              <w:left w:val="nil"/>
              <w:bottom w:val="single" w:sz="8" w:space="0" w:color="auto"/>
              <w:right w:val="nil"/>
            </w:tcBorders>
            <w:hideMark/>
          </w:tcPr>
          <w:p w:rsidR="00F24261" w:rsidRDefault="00F24261" w:rsidP="002145BE">
            <w:pPr>
              <w:jc w:val="center"/>
            </w:pPr>
            <w:r>
              <w:t>Excretion</w:t>
            </w:r>
          </w:p>
        </w:tc>
      </w:tr>
      <w:tr w:rsidR="00F24261" w:rsidTr="002145BE">
        <w:trPr>
          <w:trHeight w:val="324"/>
        </w:trPr>
        <w:tc>
          <w:tcPr>
            <w:tcW w:w="216" w:type="pct"/>
            <w:tcBorders>
              <w:top w:val="single" w:sz="8" w:space="0" w:color="auto"/>
              <w:left w:val="nil"/>
              <w:bottom w:val="nil"/>
              <w:right w:val="nil"/>
            </w:tcBorders>
            <w:hideMark/>
          </w:tcPr>
          <w:p w:rsidR="00F24261" w:rsidRDefault="00F24261" w:rsidP="002145BE">
            <w:pPr>
              <w:spacing w:line="360" w:lineRule="auto"/>
            </w:pPr>
            <w:r>
              <w:t>1</w:t>
            </w:r>
          </w:p>
        </w:tc>
        <w:tc>
          <w:tcPr>
            <w:tcW w:w="397" w:type="pct"/>
            <w:tcBorders>
              <w:top w:val="single" w:sz="8" w:space="0" w:color="auto"/>
              <w:left w:val="nil"/>
              <w:bottom w:val="nil"/>
              <w:right w:val="nil"/>
            </w:tcBorders>
            <w:hideMark/>
          </w:tcPr>
          <w:p w:rsidR="00F24261" w:rsidRDefault="00F24261" w:rsidP="002145BE">
            <w:pPr>
              <w:spacing w:line="360" w:lineRule="auto"/>
              <w:jc w:val="center"/>
            </w:pPr>
            <w:r>
              <w:t>120kg</w:t>
            </w:r>
          </w:p>
        </w:tc>
        <w:tc>
          <w:tcPr>
            <w:tcW w:w="664" w:type="pct"/>
            <w:tcBorders>
              <w:top w:val="single" w:sz="8" w:space="0" w:color="auto"/>
              <w:left w:val="nil"/>
              <w:bottom w:val="nil"/>
              <w:right w:val="nil"/>
            </w:tcBorders>
            <w:hideMark/>
          </w:tcPr>
          <w:p w:rsidR="00F24261" w:rsidRDefault="00F24261" w:rsidP="002145BE">
            <w:pPr>
              <w:spacing w:line="360" w:lineRule="auto"/>
              <w:jc w:val="center"/>
            </w:pPr>
            <w:r>
              <w:t>Normal</w:t>
            </w:r>
          </w:p>
        </w:tc>
        <w:tc>
          <w:tcPr>
            <w:tcW w:w="482" w:type="pct"/>
            <w:tcBorders>
              <w:top w:val="single" w:sz="8" w:space="0" w:color="auto"/>
              <w:left w:val="nil"/>
              <w:bottom w:val="nil"/>
              <w:right w:val="nil"/>
            </w:tcBorders>
            <w:hideMark/>
          </w:tcPr>
          <w:p w:rsidR="00F24261" w:rsidRDefault="00F24261" w:rsidP="002145BE">
            <w:pPr>
              <w:spacing w:line="360" w:lineRule="auto"/>
              <w:jc w:val="center"/>
            </w:pPr>
            <w:r>
              <w:t>Active</w:t>
            </w:r>
          </w:p>
        </w:tc>
        <w:tc>
          <w:tcPr>
            <w:tcW w:w="603" w:type="pct"/>
            <w:tcBorders>
              <w:top w:val="single" w:sz="8" w:space="0" w:color="auto"/>
              <w:left w:val="nil"/>
              <w:bottom w:val="nil"/>
              <w:right w:val="nil"/>
            </w:tcBorders>
            <w:hideMark/>
          </w:tcPr>
          <w:p w:rsidR="00F24261" w:rsidRDefault="00F24261" w:rsidP="002145BE">
            <w:pPr>
              <w:spacing w:line="360" w:lineRule="auto"/>
              <w:jc w:val="center"/>
            </w:pPr>
            <w:r>
              <w:t>Active</w:t>
            </w:r>
          </w:p>
        </w:tc>
        <w:tc>
          <w:tcPr>
            <w:tcW w:w="526" w:type="pct"/>
            <w:tcBorders>
              <w:top w:val="single" w:sz="8" w:space="0" w:color="auto"/>
              <w:left w:val="nil"/>
              <w:bottom w:val="nil"/>
              <w:right w:val="nil"/>
            </w:tcBorders>
            <w:hideMark/>
          </w:tcPr>
          <w:p w:rsidR="00F24261" w:rsidRDefault="00F24261" w:rsidP="002145BE">
            <w:pPr>
              <w:spacing w:line="360" w:lineRule="auto"/>
              <w:jc w:val="center"/>
            </w:pPr>
            <w:r>
              <w:t>Normal</w:t>
            </w:r>
          </w:p>
        </w:tc>
        <w:tc>
          <w:tcPr>
            <w:tcW w:w="92" w:type="pct"/>
            <w:tcBorders>
              <w:top w:val="single" w:sz="8" w:space="0" w:color="auto"/>
              <w:left w:val="nil"/>
              <w:bottom w:val="nil"/>
              <w:right w:val="nil"/>
            </w:tcBorders>
          </w:tcPr>
          <w:p w:rsidR="00F24261" w:rsidRDefault="00F24261" w:rsidP="002145BE">
            <w:pPr>
              <w:spacing w:line="360" w:lineRule="auto"/>
              <w:jc w:val="center"/>
            </w:pPr>
          </w:p>
        </w:tc>
        <w:tc>
          <w:tcPr>
            <w:tcW w:w="598" w:type="pct"/>
            <w:tcBorders>
              <w:top w:val="single" w:sz="8" w:space="0" w:color="auto"/>
              <w:left w:val="nil"/>
              <w:bottom w:val="nil"/>
              <w:right w:val="nil"/>
            </w:tcBorders>
            <w:hideMark/>
          </w:tcPr>
          <w:p w:rsidR="00F24261" w:rsidRDefault="00F24261" w:rsidP="002145BE">
            <w:pPr>
              <w:spacing w:line="360" w:lineRule="auto"/>
              <w:jc w:val="center"/>
            </w:pPr>
            <w:r>
              <w:t>Nil</w:t>
            </w:r>
          </w:p>
        </w:tc>
        <w:tc>
          <w:tcPr>
            <w:tcW w:w="410" w:type="pct"/>
            <w:tcBorders>
              <w:top w:val="single" w:sz="8" w:space="0" w:color="auto"/>
              <w:left w:val="nil"/>
              <w:bottom w:val="nil"/>
              <w:right w:val="nil"/>
            </w:tcBorders>
            <w:hideMark/>
          </w:tcPr>
          <w:p w:rsidR="00F24261" w:rsidRDefault="00F24261" w:rsidP="002145BE">
            <w:pPr>
              <w:spacing w:line="360" w:lineRule="auto"/>
              <w:jc w:val="center"/>
            </w:pPr>
            <w:r>
              <w:t>Nil</w:t>
            </w:r>
          </w:p>
        </w:tc>
        <w:tc>
          <w:tcPr>
            <w:tcW w:w="509" w:type="pct"/>
            <w:tcBorders>
              <w:top w:val="single" w:sz="8" w:space="0" w:color="auto"/>
              <w:left w:val="nil"/>
              <w:bottom w:val="nil"/>
              <w:right w:val="nil"/>
            </w:tcBorders>
            <w:hideMark/>
          </w:tcPr>
          <w:p w:rsidR="00F24261" w:rsidRDefault="00F24261" w:rsidP="002145BE">
            <w:pPr>
              <w:spacing w:line="360" w:lineRule="auto"/>
              <w:jc w:val="center"/>
            </w:pPr>
            <w:r>
              <w:t>Normal</w:t>
            </w:r>
          </w:p>
        </w:tc>
        <w:tc>
          <w:tcPr>
            <w:tcW w:w="504" w:type="pct"/>
            <w:tcBorders>
              <w:top w:val="single" w:sz="8" w:space="0" w:color="auto"/>
              <w:left w:val="nil"/>
              <w:bottom w:val="nil"/>
              <w:right w:val="nil"/>
            </w:tcBorders>
            <w:hideMark/>
          </w:tcPr>
          <w:p w:rsidR="00F24261" w:rsidRDefault="00F24261" w:rsidP="002145BE">
            <w:pPr>
              <w:spacing w:line="360" w:lineRule="auto"/>
              <w:jc w:val="center"/>
            </w:pPr>
            <w:r>
              <w:t>Normal</w:t>
            </w:r>
          </w:p>
        </w:tc>
      </w:tr>
      <w:tr w:rsidR="00F24261" w:rsidTr="002145BE">
        <w:trPr>
          <w:trHeight w:val="324"/>
        </w:trPr>
        <w:tc>
          <w:tcPr>
            <w:tcW w:w="216" w:type="pct"/>
            <w:tcBorders>
              <w:top w:val="nil"/>
              <w:left w:val="nil"/>
              <w:bottom w:val="nil"/>
              <w:right w:val="nil"/>
            </w:tcBorders>
            <w:hideMark/>
          </w:tcPr>
          <w:p w:rsidR="00F24261" w:rsidRDefault="00F24261" w:rsidP="002145BE">
            <w:pPr>
              <w:spacing w:line="360" w:lineRule="auto"/>
            </w:pPr>
            <w:r>
              <w:t>2</w:t>
            </w:r>
          </w:p>
        </w:tc>
        <w:tc>
          <w:tcPr>
            <w:tcW w:w="397" w:type="pct"/>
            <w:tcBorders>
              <w:top w:val="nil"/>
              <w:left w:val="nil"/>
              <w:bottom w:val="nil"/>
              <w:right w:val="nil"/>
            </w:tcBorders>
            <w:hideMark/>
          </w:tcPr>
          <w:p w:rsidR="00F24261" w:rsidRDefault="00F24261" w:rsidP="002145BE">
            <w:pPr>
              <w:spacing w:line="360" w:lineRule="auto"/>
              <w:jc w:val="center"/>
            </w:pPr>
            <w:r>
              <w:t>126kg</w:t>
            </w:r>
          </w:p>
        </w:tc>
        <w:tc>
          <w:tcPr>
            <w:tcW w:w="664" w:type="pct"/>
            <w:tcBorders>
              <w:top w:val="nil"/>
              <w:left w:val="nil"/>
              <w:bottom w:val="nil"/>
              <w:right w:val="nil"/>
            </w:tcBorders>
            <w:hideMark/>
          </w:tcPr>
          <w:p w:rsidR="00F24261" w:rsidRDefault="00F24261" w:rsidP="002145BE">
            <w:pPr>
              <w:spacing w:line="360" w:lineRule="auto"/>
              <w:jc w:val="center"/>
            </w:pPr>
            <w:r>
              <w:t>Normal</w:t>
            </w:r>
          </w:p>
        </w:tc>
        <w:tc>
          <w:tcPr>
            <w:tcW w:w="482" w:type="pct"/>
            <w:tcBorders>
              <w:top w:val="nil"/>
              <w:left w:val="nil"/>
              <w:bottom w:val="nil"/>
              <w:right w:val="nil"/>
            </w:tcBorders>
            <w:hideMark/>
          </w:tcPr>
          <w:p w:rsidR="00F24261" w:rsidRDefault="00F24261" w:rsidP="002145BE">
            <w:pPr>
              <w:spacing w:line="360" w:lineRule="auto"/>
              <w:jc w:val="center"/>
            </w:pPr>
            <w:r>
              <w:t>Barbering</w:t>
            </w:r>
          </w:p>
        </w:tc>
        <w:tc>
          <w:tcPr>
            <w:tcW w:w="603" w:type="pct"/>
            <w:tcBorders>
              <w:top w:val="nil"/>
              <w:left w:val="nil"/>
              <w:bottom w:val="nil"/>
              <w:right w:val="nil"/>
            </w:tcBorders>
            <w:hideMark/>
          </w:tcPr>
          <w:p w:rsidR="00F24261" w:rsidRDefault="00F24261" w:rsidP="002145BE">
            <w:pPr>
              <w:spacing w:line="360" w:lineRule="auto"/>
              <w:jc w:val="center"/>
            </w:pPr>
            <w:r>
              <w:t>Active</w:t>
            </w:r>
          </w:p>
        </w:tc>
        <w:tc>
          <w:tcPr>
            <w:tcW w:w="526" w:type="pct"/>
            <w:tcBorders>
              <w:top w:val="nil"/>
              <w:left w:val="nil"/>
              <w:bottom w:val="nil"/>
              <w:right w:val="nil"/>
            </w:tcBorders>
            <w:hideMark/>
          </w:tcPr>
          <w:p w:rsidR="00F24261" w:rsidRDefault="00F24261" w:rsidP="002145BE">
            <w:pPr>
              <w:spacing w:line="360" w:lineRule="auto"/>
              <w:jc w:val="center"/>
            </w:pPr>
            <w:r>
              <w:t>Increased</w:t>
            </w:r>
          </w:p>
        </w:tc>
        <w:tc>
          <w:tcPr>
            <w:tcW w:w="92" w:type="pct"/>
            <w:tcBorders>
              <w:top w:val="nil"/>
              <w:left w:val="nil"/>
              <w:bottom w:val="nil"/>
              <w:right w:val="nil"/>
            </w:tcBorders>
          </w:tcPr>
          <w:p w:rsidR="00F24261" w:rsidRDefault="00F24261" w:rsidP="002145BE">
            <w:pPr>
              <w:spacing w:line="360" w:lineRule="auto"/>
              <w:jc w:val="center"/>
            </w:pPr>
          </w:p>
        </w:tc>
        <w:tc>
          <w:tcPr>
            <w:tcW w:w="598" w:type="pct"/>
            <w:tcBorders>
              <w:top w:val="nil"/>
              <w:left w:val="nil"/>
              <w:bottom w:val="nil"/>
              <w:right w:val="nil"/>
            </w:tcBorders>
            <w:hideMark/>
          </w:tcPr>
          <w:p w:rsidR="00F24261" w:rsidRDefault="00F24261" w:rsidP="002145BE">
            <w:pPr>
              <w:spacing w:line="360" w:lineRule="auto"/>
              <w:jc w:val="center"/>
            </w:pPr>
            <w:r>
              <w:t>Nil</w:t>
            </w:r>
          </w:p>
        </w:tc>
        <w:tc>
          <w:tcPr>
            <w:tcW w:w="410" w:type="pct"/>
            <w:tcBorders>
              <w:top w:val="nil"/>
              <w:left w:val="nil"/>
              <w:bottom w:val="nil"/>
              <w:right w:val="nil"/>
            </w:tcBorders>
            <w:hideMark/>
          </w:tcPr>
          <w:p w:rsidR="00F24261" w:rsidRDefault="00F24261" w:rsidP="002145BE">
            <w:pPr>
              <w:spacing w:line="360" w:lineRule="auto"/>
              <w:jc w:val="center"/>
            </w:pPr>
            <w:r>
              <w:t>Nil</w:t>
            </w:r>
          </w:p>
        </w:tc>
        <w:tc>
          <w:tcPr>
            <w:tcW w:w="509" w:type="pct"/>
            <w:tcBorders>
              <w:top w:val="nil"/>
              <w:left w:val="nil"/>
              <w:bottom w:val="nil"/>
              <w:right w:val="nil"/>
            </w:tcBorders>
            <w:hideMark/>
          </w:tcPr>
          <w:p w:rsidR="00F24261" w:rsidRDefault="00F24261" w:rsidP="002145BE">
            <w:pPr>
              <w:spacing w:line="360" w:lineRule="auto"/>
              <w:jc w:val="center"/>
            </w:pPr>
            <w:r>
              <w:t>rough</w:t>
            </w:r>
          </w:p>
        </w:tc>
        <w:tc>
          <w:tcPr>
            <w:tcW w:w="504" w:type="pct"/>
            <w:tcBorders>
              <w:top w:val="nil"/>
              <w:left w:val="nil"/>
              <w:bottom w:val="nil"/>
              <w:right w:val="nil"/>
            </w:tcBorders>
            <w:hideMark/>
          </w:tcPr>
          <w:p w:rsidR="00F24261" w:rsidRDefault="00F24261" w:rsidP="002145BE">
            <w:pPr>
              <w:spacing w:line="360" w:lineRule="auto"/>
              <w:jc w:val="center"/>
            </w:pPr>
            <w:r>
              <w:t>Normal</w:t>
            </w:r>
          </w:p>
        </w:tc>
      </w:tr>
      <w:tr w:rsidR="00F24261" w:rsidTr="002145BE">
        <w:trPr>
          <w:trHeight w:val="324"/>
        </w:trPr>
        <w:tc>
          <w:tcPr>
            <w:tcW w:w="216" w:type="pct"/>
            <w:tcBorders>
              <w:top w:val="nil"/>
              <w:left w:val="nil"/>
              <w:bottom w:val="nil"/>
              <w:right w:val="nil"/>
            </w:tcBorders>
            <w:hideMark/>
          </w:tcPr>
          <w:p w:rsidR="00F24261" w:rsidRDefault="00F24261" w:rsidP="002145BE">
            <w:pPr>
              <w:spacing w:line="360" w:lineRule="auto"/>
            </w:pPr>
            <w:r>
              <w:t>3</w:t>
            </w:r>
          </w:p>
        </w:tc>
        <w:tc>
          <w:tcPr>
            <w:tcW w:w="397" w:type="pct"/>
            <w:tcBorders>
              <w:top w:val="nil"/>
              <w:left w:val="nil"/>
              <w:bottom w:val="nil"/>
              <w:right w:val="nil"/>
            </w:tcBorders>
            <w:hideMark/>
          </w:tcPr>
          <w:p w:rsidR="00F24261" w:rsidRDefault="00F24261" w:rsidP="002145BE">
            <w:pPr>
              <w:spacing w:line="360" w:lineRule="auto"/>
              <w:jc w:val="center"/>
            </w:pPr>
            <w:r>
              <w:t>126kg</w:t>
            </w:r>
          </w:p>
        </w:tc>
        <w:tc>
          <w:tcPr>
            <w:tcW w:w="664" w:type="pct"/>
            <w:tcBorders>
              <w:top w:val="nil"/>
              <w:left w:val="nil"/>
              <w:bottom w:val="nil"/>
              <w:right w:val="nil"/>
            </w:tcBorders>
            <w:hideMark/>
          </w:tcPr>
          <w:p w:rsidR="00F24261" w:rsidRDefault="00F24261" w:rsidP="002145BE">
            <w:pPr>
              <w:spacing w:line="360" w:lineRule="auto"/>
              <w:jc w:val="center"/>
            </w:pPr>
            <w:r>
              <w:t>Normal</w:t>
            </w:r>
          </w:p>
        </w:tc>
        <w:tc>
          <w:tcPr>
            <w:tcW w:w="482" w:type="pct"/>
            <w:tcBorders>
              <w:top w:val="nil"/>
              <w:left w:val="nil"/>
              <w:bottom w:val="nil"/>
              <w:right w:val="nil"/>
            </w:tcBorders>
            <w:hideMark/>
          </w:tcPr>
          <w:p w:rsidR="00F24261" w:rsidRDefault="00F24261" w:rsidP="002145BE">
            <w:pPr>
              <w:spacing w:line="360" w:lineRule="auto"/>
              <w:jc w:val="center"/>
            </w:pPr>
            <w:r>
              <w:t>Normal</w:t>
            </w:r>
          </w:p>
        </w:tc>
        <w:tc>
          <w:tcPr>
            <w:tcW w:w="603" w:type="pct"/>
            <w:tcBorders>
              <w:top w:val="nil"/>
              <w:left w:val="nil"/>
              <w:bottom w:val="nil"/>
              <w:right w:val="nil"/>
            </w:tcBorders>
            <w:hideMark/>
          </w:tcPr>
          <w:p w:rsidR="00F24261" w:rsidRDefault="00F24261" w:rsidP="002145BE">
            <w:pPr>
              <w:spacing w:line="360" w:lineRule="auto"/>
              <w:jc w:val="center"/>
            </w:pPr>
            <w:r>
              <w:t>Normal</w:t>
            </w:r>
          </w:p>
        </w:tc>
        <w:tc>
          <w:tcPr>
            <w:tcW w:w="526" w:type="pct"/>
            <w:tcBorders>
              <w:top w:val="nil"/>
              <w:left w:val="nil"/>
              <w:bottom w:val="nil"/>
              <w:right w:val="nil"/>
            </w:tcBorders>
            <w:hideMark/>
          </w:tcPr>
          <w:p w:rsidR="00F24261" w:rsidRDefault="00F24261" w:rsidP="002145BE">
            <w:pPr>
              <w:spacing w:line="360" w:lineRule="auto"/>
              <w:jc w:val="center"/>
            </w:pPr>
            <w:r>
              <w:t>Normal</w:t>
            </w:r>
          </w:p>
        </w:tc>
        <w:tc>
          <w:tcPr>
            <w:tcW w:w="92" w:type="pct"/>
            <w:tcBorders>
              <w:top w:val="nil"/>
              <w:left w:val="nil"/>
              <w:bottom w:val="nil"/>
              <w:right w:val="nil"/>
            </w:tcBorders>
          </w:tcPr>
          <w:p w:rsidR="00F24261" w:rsidRDefault="00F24261" w:rsidP="002145BE">
            <w:pPr>
              <w:spacing w:line="360" w:lineRule="auto"/>
              <w:jc w:val="center"/>
            </w:pPr>
          </w:p>
        </w:tc>
        <w:tc>
          <w:tcPr>
            <w:tcW w:w="598" w:type="pct"/>
            <w:tcBorders>
              <w:top w:val="nil"/>
              <w:left w:val="nil"/>
              <w:bottom w:val="nil"/>
              <w:right w:val="nil"/>
            </w:tcBorders>
            <w:hideMark/>
          </w:tcPr>
          <w:p w:rsidR="00F24261" w:rsidRDefault="00F24261" w:rsidP="002145BE">
            <w:pPr>
              <w:spacing w:line="360" w:lineRule="auto"/>
              <w:jc w:val="center"/>
            </w:pPr>
            <w:r>
              <w:t>Normal</w:t>
            </w:r>
          </w:p>
        </w:tc>
        <w:tc>
          <w:tcPr>
            <w:tcW w:w="410" w:type="pct"/>
            <w:tcBorders>
              <w:top w:val="nil"/>
              <w:left w:val="nil"/>
              <w:bottom w:val="nil"/>
              <w:right w:val="nil"/>
            </w:tcBorders>
            <w:hideMark/>
          </w:tcPr>
          <w:p w:rsidR="00F24261" w:rsidRDefault="00F24261" w:rsidP="002145BE">
            <w:pPr>
              <w:spacing w:line="360" w:lineRule="auto"/>
              <w:jc w:val="center"/>
            </w:pPr>
            <w:r>
              <w:t>Normal</w:t>
            </w:r>
          </w:p>
        </w:tc>
        <w:tc>
          <w:tcPr>
            <w:tcW w:w="509" w:type="pct"/>
            <w:tcBorders>
              <w:top w:val="nil"/>
              <w:left w:val="nil"/>
              <w:bottom w:val="nil"/>
              <w:right w:val="nil"/>
            </w:tcBorders>
            <w:hideMark/>
          </w:tcPr>
          <w:p w:rsidR="00F24261" w:rsidRDefault="00F24261" w:rsidP="002145BE">
            <w:pPr>
              <w:spacing w:line="360" w:lineRule="auto"/>
              <w:jc w:val="center"/>
            </w:pPr>
            <w:r>
              <w:t>Normal</w:t>
            </w:r>
          </w:p>
        </w:tc>
        <w:tc>
          <w:tcPr>
            <w:tcW w:w="504" w:type="pct"/>
            <w:tcBorders>
              <w:top w:val="nil"/>
              <w:left w:val="nil"/>
              <w:bottom w:val="nil"/>
              <w:right w:val="nil"/>
            </w:tcBorders>
            <w:hideMark/>
          </w:tcPr>
          <w:p w:rsidR="00F24261" w:rsidRDefault="00F24261" w:rsidP="002145BE">
            <w:pPr>
              <w:spacing w:line="360" w:lineRule="auto"/>
              <w:jc w:val="center"/>
            </w:pPr>
            <w:r>
              <w:t>Normal</w:t>
            </w:r>
          </w:p>
        </w:tc>
      </w:tr>
      <w:tr w:rsidR="00F24261" w:rsidTr="002145BE">
        <w:trPr>
          <w:trHeight w:val="324"/>
        </w:trPr>
        <w:tc>
          <w:tcPr>
            <w:tcW w:w="216" w:type="pct"/>
            <w:tcBorders>
              <w:top w:val="nil"/>
              <w:left w:val="nil"/>
              <w:bottom w:val="nil"/>
              <w:right w:val="nil"/>
            </w:tcBorders>
            <w:hideMark/>
          </w:tcPr>
          <w:p w:rsidR="00F24261" w:rsidRDefault="00F24261" w:rsidP="002145BE">
            <w:pPr>
              <w:spacing w:line="360" w:lineRule="auto"/>
            </w:pPr>
            <w:r>
              <w:t>4</w:t>
            </w:r>
          </w:p>
        </w:tc>
        <w:tc>
          <w:tcPr>
            <w:tcW w:w="397" w:type="pct"/>
            <w:tcBorders>
              <w:top w:val="nil"/>
              <w:left w:val="nil"/>
              <w:bottom w:val="nil"/>
              <w:right w:val="nil"/>
            </w:tcBorders>
            <w:hideMark/>
          </w:tcPr>
          <w:p w:rsidR="00F24261" w:rsidRDefault="00F24261" w:rsidP="002145BE">
            <w:pPr>
              <w:spacing w:line="360" w:lineRule="auto"/>
              <w:jc w:val="center"/>
            </w:pPr>
            <w:r>
              <w:t>126kg</w:t>
            </w:r>
          </w:p>
        </w:tc>
        <w:tc>
          <w:tcPr>
            <w:tcW w:w="664" w:type="pct"/>
            <w:tcBorders>
              <w:top w:val="nil"/>
              <w:left w:val="nil"/>
              <w:bottom w:val="nil"/>
              <w:right w:val="nil"/>
            </w:tcBorders>
            <w:hideMark/>
          </w:tcPr>
          <w:p w:rsidR="00F24261" w:rsidRDefault="00F24261" w:rsidP="002145BE">
            <w:pPr>
              <w:spacing w:line="360" w:lineRule="auto"/>
              <w:jc w:val="center"/>
            </w:pPr>
            <w:r>
              <w:t>Active</w:t>
            </w:r>
          </w:p>
        </w:tc>
        <w:tc>
          <w:tcPr>
            <w:tcW w:w="482" w:type="pct"/>
            <w:tcBorders>
              <w:top w:val="nil"/>
              <w:left w:val="nil"/>
              <w:bottom w:val="nil"/>
              <w:right w:val="nil"/>
            </w:tcBorders>
            <w:hideMark/>
          </w:tcPr>
          <w:p w:rsidR="00F24261" w:rsidRDefault="00F24261" w:rsidP="002145BE">
            <w:pPr>
              <w:spacing w:line="360" w:lineRule="auto"/>
              <w:jc w:val="center"/>
            </w:pPr>
            <w:r>
              <w:t>Normal</w:t>
            </w:r>
          </w:p>
        </w:tc>
        <w:tc>
          <w:tcPr>
            <w:tcW w:w="603" w:type="pct"/>
            <w:tcBorders>
              <w:top w:val="nil"/>
              <w:left w:val="nil"/>
              <w:bottom w:val="nil"/>
              <w:right w:val="nil"/>
            </w:tcBorders>
            <w:hideMark/>
          </w:tcPr>
          <w:p w:rsidR="00F24261" w:rsidRDefault="00F24261" w:rsidP="002145BE">
            <w:pPr>
              <w:spacing w:line="360" w:lineRule="auto"/>
              <w:jc w:val="center"/>
            </w:pPr>
            <w:r>
              <w:t>Normal</w:t>
            </w:r>
          </w:p>
        </w:tc>
        <w:tc>
          <w:tcPr>
            <w:tcW w:w="526" w:type="pct"/>
            <w:tcBorders>
              <w:top w:val="nil"/>
              <w:left w:val="nil"/>
              <w:bottom w:val="nil"/>
              <w:right w:val="nil"/>
            </w:tcBorders>
            <w:hideMark/>
          </w:tcPr>
          <w:p w:rsidR="00F24261" w:rsidRDefault="00F24261" w:rsidP="002145BE">
            <w:pPr>
              <w:spacing w:line="360" w:lineRule="auto"/>
              <w:jc w:val="center"/>
            </w:pPr>
            <w:r>
              <w:t>Reduced</w:t>
            </w:r>
          </w:p>
        </w:tc>
        <w:tc>
          <w:tcPr>
            <w:tcW w:w="92" w:type="pct"/>
            <w:tcBorders>
              <w:top w:val="nil"/>
              <w:left w:val="nil"/>
              <w:bottom w:val="nil"/>
              <w:right w:val="nil"/>
            </w:tcBorders>
          </w:tcPr>
          <w:p w:rsidR="00F24261" w:rsidRDefault="00F24261" w:rsidP="002145BE">
            <w:pPr>
              <w:spacing w:line="360" w:lineRule="auto"/>
              <w:jc w:val="center"/>
            </w:pPr>
          </w:p>
        </w:tc>
        <w:tc>
          <w:tcPr>
            <w:tcW w:w="598" w:type="pct"/>
            <w:tcBorders>
              <w:top w:val="nil"/>
              <w:left w:val="nil"/>
              <w:bottom w:val="nil"/>
              <w:right w:val="nil"/>
            </w:tcBorders>
            <w:hideMark/>
          </w:tcPr>
          <w:p w:rsidR="00F24261" w:rsidRDefault="00F24261" w:rsidP="002145BE">
            <w:pPr>
              <w:spacing w:line="360" w:lineRule="auto"/>
              <w:jc w:val="center"/>
            </w:pPr>
            <w:r>
              <w:t>Normal</w:t>
            </w:r>
          </w:p>
        </w:tc>
        <w:tc>
          <w:tcPr>
            <w:tcW w:w="410" w:type="pct"/>
            <w:tcBorders>
              <w:top w:val="nil"/>
              <w:left w:val="nil"/>
              <w:bottom w:val="nil"/>
              <w:right w:val="nil"/>
            </w:tcBorders>
            <w:hideMark/>
          </w:tcPr>
          <w:p w:rsidR="00F24261" w:rsidRDefault="00F24261" w:rsidP="002145BE">
            <w:pPr>
              <w:spacing w:line="360" w:lineRule="auto"/>
              <w:jc w:val="center"/>
            </w:pPr>
            <w:r>
              <w:t>Normal</w:t>
            </w:r>
          </w:p>
        </w:tc>
        <w:tc>
          <w:tcPr>
            <w:tcW w:w="509" w:type="pct"/>
            <w:tcBorders>
              <w:top w:val="nil"/>
              <w:left w:val="nil"/>
              <w:bottom w:val="nil"/>
              <w:right w:val="nil"/>
            </w:tcBorders>
            <w:hideMark/>
          </w:tcPr>
          <w:p w:rsidR="00F24261" w:rsidRDefault="00F24261" w:rsidP="002145BE">
            <w:pPr>
              <w:spacing w:line="360" w:lineRule="auto"/>
              <w:jc w:val="center"/>
            </w:pPr>
            <w:r>
              <w:t>Itchy</w:t>
            </w:r>
          </w:p>
        </w:tc>
        <w:tc>
          <w:tcPr>
            <w:tcW w:w="504" w:type="pct"/>
            <w:tcBorders>
              <w:top w:val="nil"/>
              <w:left w:val="nil"/>
              <w:bottom w:val="nil"/>
              <w:right w:val="nil"/>
            </w:tcBorders>
            <w:hideMark/>
          </w:tcPr>
          <w:p w:rsidR="00F24261" w:rsidRDefault="00F24261" w:rsidP="002145BE">
            <w:pPr>
              <w:spacing w:line="360" w:lineRule="auto"/>
              <w:jc w:val="center"/>
            </w:pPr>
            <w:r>
              <w:t>Watery</w:t>
            </w:r>
          </w:p>
        </w:tc>
      </w:tr>
      <w:tr w:rsidR="00F24261" w:rsidTr="002145BE">
        <w:trPr>
          <w:trHeight w:val="324"/>
        </w:trPr>
        <w:tc>
          <w:tcPr>
            <w:tcW w:w="216" w:type="pct"/>
            <w:tcBorders>
              <w:top w:val="nil"/>
              <w:left w:val="nil"/>
              <w:bottom w:val="single" w:sz="4" w:space="0" w:color="auto"/>
              <w:right w:val="nil"/>
            </w:tcBorders>
            <w:hideMark/>
          </w:tcPr>
          <w:p w:rsidR="00F24261" w:rsidRDefault="00F24261" w:rsidP="002145BE">
            <w:pPr>
              <w:spacing w:line="360" w:lineRule="auto"/>
            </w:pPr>
            <w:r>
              <w:t>5</w:t>
            </w:r>
          </w:p>
        </w:tc>
        <w:tc>
          <w:tcPr>
            <w:tcW w:w="397" w:type="pct"/>
            <w:tcBorders>
              <w:top w:val="nil"/>
              <w:left w:val="nil"/>
              <w:bottom w:val="single" w:sz="4" w:space="0" w:color="auto"/>
              <w:right w:val="nil"/>
            </w:tcBorders>
            <w:hideMark/>
          </w:tcPr>
          <w:p w:rsidR="00F24261" w:rsidRDefault="00F24261" w:rsidP="002145BE">
            <w:pPr>
              <w:spacing w:line="360" w:lineRule="auto"/>
              <w:jc w:val="center"/>
            </w:pPr>
            <w:r>
              <w:t>133kg</w:t>
            </w:r>
          </w:p>
        </w:tc>
        <w:tc>
          <w:tcPr>
            <w:tcW w:w="664" w:type="pct"/>
            <w:tcBorders>
              <w:top w:val="nil"/>
              <w:left w:val="nil"/>
              <w:bottom w:val="single" w:sz="4" w:space="0" w:color="auto"/>
              <w:right w:val="nil"/>
            </w:tcBorders>
            <w:hideMark/>
          </w:tcPr>
          <w:p w:rsidR="00F24261" w:rsidRDefault="00F24261" w:rsidP="002145BE">
            <w:pPr>
              <w:spacing w:line="360" w:lineRule="auto"/>
              <w:jc w:val="center"/>
            </w:pPr>
            <w:r>
              <w:t>Normal</w:t>
            </w:r>
          </w:p>
        </w:tc>
        <w:tc>
          <w:tcPr>
            <w:tcW w:w="482" w:type="pct"/>
            <w:tcBorders>
              <w:top w:val="nil"/>
              <w:left w:val="nil"/>
              <w:bottom w:val="single" w:sz="4" w:space="0" w:color="auto"/>
              <w:right w:val="nil"/>
            </w:tcBorders>
            <w:hideMark/>
          </w:tcPr>
          <w:p w:rsidR="00F24261" w:rsidRDefault="00F24261" w:rsidP="002145BE">
            <w:pPr>
              <w:spacing w:line="360" w:lineRule="auto"/>
              <w:jc w:val="center"/>
            </w:pPr>
            <w:r>
              <w:t>Weak</w:t>
            </w:r>
          </w:p>
        </w:tc>
        <w:tc>
          <w:tcPr>
            <w:tcW w:w="603" w:type="pct"/>
            <w:tcBorders>
              <w:top w:val="nil"/>
              <w:left w:val="nil"/>
              <w:bottom w:val="single" w:sz="4" w:space="0" w:color="auto"/>
              <w:right w:val="nil"/>
            </w:tcBorders>
            <w:hideMark/>
          </w:tcPr>
          <w:p w:rsidR="00F24261" w:rsidRDefault="00F24261" w:rsidP="002145BE">
            <w:pPr>
              <w:spacing w:line="360" w:lineRule="auto"/>
              <w:jc w:val="center"/>
            </w:pPr>
            <w:r>
              <w:t>Slow</w:t>
            </w:r>
          </w:p>
        </w:tc>
        <w:tc>
          <w:tcPr>
            <w:tcW w:w="526" w:type="pct"/>
            <w:tcBorders>
              <w:top w:val="nil"/>
              <w:left w:val="nil"/>
              <w:bottom w:val="single" w:sz="4" w:space="0" w:color="auto"/>
              <w:right w:val="nil"/>
            </w:tcBorders>
            <w:hideMark/>
          </w:tcPr>
          <w:p w:rsidR="00F24261" w:rsidRDefault="00F24261" w:rsidP="002145BE">
            <w:pPr>
              <w:spacing w:line="360" w:lineRule="auto"/>
              <w:jc w:val="center"/>
            </w:pPr>
            <w:r>
              <w:t>Reduced</w:t>
            </w:r>
          </w:p>
        </w:tc>
        <w:tc>
          <w:tcPr>
            <w:tcW w:w="92" w:type="pct"/>
            <w:tcBorders>
              <w:top w:val="nil"/>
              <w:left w:val="nil"/>
              <w:bottom w:val="single" w:sz="4" w:space="0" w:color="auto"/>
              <w:right w:val="nil"/>
            </w:tcBorders>
          </w:tcPr>
          <w:p w:rsidR="00F24261" w:rsidRDefault="00F24261" w:rsidP="002145BE">
            <w:pPr>
              <w:spacing w:line="360" w:lineRule="auto"/>
              <w:jc w:val="center"/>
            </w:pPr>
          </w:p>
        </w:tc>
        <w:tc>
          <w:tcPr>
            <w:tcW w:w="598" w:type="pct"/>
            <w:tcBorders>
              <w:top w:val="nil"/>
              <w:left w:val="nil"/>
              <w:bottom w:val="single" w:sz="4" w:space="0" w:color="auto"/>
              <w:right w:val="nil"/>
            </w:tcBorders>
            <w:hideMark/>
          </w:tcPr>
          <w:p w:rsidR="00F24261" w:rsidRDefault="00F24261" w:rsidP="002145BE">
            <w:pPr>
              <w:spacing w:line="360" w:lineRule="auto"/>
              <w:jc w:val="center"/>
            </w:pPr>
            <w:r>
              <w:t>Palpitation</w:t>
            </w:r>
          </w:p>
        </w:tc>
        <w:tc>
          <w:tcPr>
            <w:tcW w:w="410" w:type="pct"/>
            <w:tcBorders>
              <w:top w:val="nil"/>
              <w:left w:val="nil"/>
              <w:bottom w:val="single" w:sz="4" w:space="0" w:color="auto"/>
              <w:right w:val="nil"/>
            </w:tcBorders>
            <w:hideMark/>
          </w:tcPr>
          <w:p w:rsidR="00F24261" w:rsidRDefault="00F24261" w:rsidP="002145BE">
            <w:pPr>
              <w:spacing w:line="360" w:lineRule="auto"/>
              <w:jc w:val="center"/>
            </w:pPr>
            <w:r>
              <w:t>Normal</w:t>
            </w:r>
          </w:p>
        </w:tc>
        <w:tc>
          <w:tcPr>
            <w:tcW w:w="509" w:type="pct"/>
            <w:tcBorders>
              <w:top w:val="nil"/>
              <w:left w:val="nil"/>
              <w:bottom w:val="single" w:sz="4" w:space="0" w:color="auto"/>
              <w:right w:val="nil"/>
            </w:tcBorders>
            <w:hideMark/>
          </w:tcPr>
          <w:p w:rsidR="00F24261" w:rsidRDefault="00F24261" w:rsidP="002145BE">
            <w:pPr>
              <w:spacing w:line="360" w:lineRule="auto"/>
              <w:jc w:val="center"/>
            </w:pPr>
            <w:r>
              <w:t>itchy</w:t>
            </w:r>
          </w:p>
        </w:tc>
        <w:tc>
          <w:tcPr>
            <w:tcW w:w="504" w:type="pct"/>
            <w:tcBorders>
              <w:top w:val="nil"/>
              <w:left w:val="nil"/>
              <w:bottom w:val="single" w:sz="4" w:space="0" w:color="auto"/>
              <w:right w:val="nil"/>
            </w:tcBorders>
            <w:hideMark/>
          </w:tcPr>
          <w:p w:rsidR="00F24261" w:rsidRDefault="00F24261" w:rsidP="002145BE">
            <w:pPr>
              <w:spacing w:line="360" w:lineRule="auto"/>
              <w:jc w:val="center"/>
            </w:pPr>
            <w:r>
              <w:t>Watery</w:t>
            </w:r>
          </w:p>
        </w:tc>
      </w:tr>
    </w:tbl>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9264" behindDoc="0" locked="0" layoutInCell="1" allowOverlap="1" wp14:anchorId="3752E7B5" wp14:editId="028FD8E8">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14:anchorId="63810110" wp14:editId="6712B946">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2336" behindDoc="0" locked="0" layoutInCell="1" allowOverlap="1" wp14:anchorId="545AA9F0" wp14:editId="35365187">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1312" behindDoc="0" locked="0" layoutInCell="1" allowOverlap="1" wp14:anchorId="7FE26CC0" wp14:editId="2C72F13F">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F24261" w:rsidRDefault="00F24261" w:rsidP="00F24261">
      <w:pPr>
        <w:tabs>
          <w:tab w:val="left" w:pos="6130"/>
        </w:tabs>
        <w:spacing w:line="480" w:lineRule="auto"/>
        <w:jc w:val="both"/>
        <w:rPr>
          <w:rFonts w:ascii="Times New Roman" w:hAnsi="Times New Roman" w:cs="Times New Roman"/>
          <w:sz w:val="28"/>
          <w:szCs w:val="28"/>
        </w:rPr>
      </w:pPr>
    </w:p>
    <w:p w:rsidR="00F24261" w:rsidRDefault="00F24261" w:rsidP="00F24261">
      <w:pPr>
        <w:tabs>
          <w:tab w:val="left" w:pos="6130"/>
        </w:tabs>
        <w:spacing w:line="480" w:lineRule="auto"/>
        <w:jc w:val="both"/>
        <w:rPr>
          <w:rFonts w:ascii="Times New Roman" w:hAnsi="Times New Roman" w:cs="Times New Roman"/>
          <w:sz w:val="28"/>
          <w:szCs w:val="28"/>
        </w:rPr>
      </w:pPr>
    </w:p>
    <w:p w:rsidR="00F24261" w:rsidRDefault="00F24261" w:rsidP="00F2426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Post- mortem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F24261" w:rsidTr="002145BE">
        <w:trPr>
          <w:trHeight w:val="424"/>
        </w:trPr>
        <w:tc>
          <w:tcPr>
            <w:tcW w:w="1310" w:type="dxa"/>
            <w:tcBorders>
              <w:top w:val="single" w:sz="4" w:space="0" w:color="auto"/>
              <w:bottom w:val="single" w:sz="8" w:space="0" w:color="auto"/>
            </w:tcBorders>
          </w:tcPr>
          <w:p w:rsidR="00F24261" w:rsidRDefault="00F24261" w:rsidP="002145BE">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F24261" w:rsidTr="002145BE">
        <w:trPr>
          <w:trHeight w:val="714"/>
        </w:trPr>
        <w:tc>
          <w:tcPr>
            <w:tcW w:w="1310" w:type="dxa"/>
            <w:tcBorders>
              <w:top w:val="single" w:sz="8" w:space="0" w:color="auto"/>
              <w:bottom w:val="nil"/>
            </w:tcBorders>
          </w:tcPr>
          <w:p w:rsidR="00F24261" w:rsidRDefault="00F24261" w:rsidP="002145BE">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Control </w:t>
            </w:r>
          </w:p>
        </w:tc>
        <w:tc>
          <w:tcPr>
            <w:tcW w:w="1825" w:type="dxa"/>
            <w:tcBorders>
              <w:top w:val="single" w:sz="8" w:space="0" w:color="auto"/>
              <w:bottom w:val="nil"/>
            </w:tcBorders>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F24261" w:rsidTr="002145BE">
        <w:trPr>
          <w:trHeight w:val="748"/>
        </w:trPr>
        <w:tc>
          <w:tcPr>
            <w:tcW w:w="1310" w:type="dxa"/>
            <w:tcBorders>
              <w:top w:val="nil"/>
            </w:tcBorders>
          </w:tcPr>
          <w:p w:rsidR="00F24261" w:rsidRDefault="00F24261" w:rsidP="002145BE">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F24261" w:rsidTr="002145BE">
        <w:trPr>
          <w:trHeight w:val="728"/>
        </w:trPr>
        <w:tc>
          <w:tcPr>
            <w:tcW w:w="1310" w:type="dxa"/>
          </w:tcPr>
          <w:p w:rsidR="00F24261" w:rsidRDefault="00F24261" w:rsidP="002145BE">
            <w:pPr>
              <w:spacing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F24261" w:rsidTr="002145BE">
        <w:trPr>
          <w:trHeight w:val="1296"/>
        </w:trPr>
        <w:tc>
          <w:tcPr>
            <w:tcW w:w="1310" w:type="dxa"/>
          </w:tcPr>
          <w:p w:rsidR="00F24261" w:rsidRDefault="00F24261" w:rsidP="002145BE">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F24261" w:rsidTr="002145BE">
        <w:trPr>
          <w:trHeight w:val="721"/>
        </w:trPr>
        <w:tc>
          <w:tcPr>
            <w:tcW w:w="1310" w:type="dxa"/>
            <w:tcBorders>
              <w:bottom w:val="single" w:sz="4" w:space="0" w:color="auto"/>
            </w:tcBorders>
          </w:tcPr>
          <w:p w:rsidR="00F24261" w:rsidRDefault="00F24261" w:rsidP="002145BE">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rsidR="00F24261" w:rsidRDefault="00F24261" w:rsidP="002145BE">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rPr>
          <w:rFonts w:ascii="Times New Roman" w:hAnsi="Times New Roman" w:cs="Times New Roman"/>
          <w:sz w:val="28"/>
          <w:szCs w:val="28"/>
        </w:rPr>
      </w:pPr>
    </w:p>
    <w:p w:rsidR="00F24261" w:rsidRDefault="00F24261" w:rsidP="00F24261">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w:t>
      </w:r>
      <w:r>
        <w:rPr>
          <w:rFonts w:ascii="Times New Roman" w:hAnsi="Times New Roman" w:cs="Times New Roman"/>
          <w:sz w:val="28"/>
          <w:szCs w:val="28"/>
        </w:rPr>
        <w:lastRenderedPageBreak/>
        <w:t xml:space="preserve">agricultural practices (Liu et al., 2023). Kim et al. (2023) reported higher B. cereus recovery from cereal crop fields compSared to vegetable fields, likely due to spore persistence and enrichment through cereal debris. The absence of growth in some samples aligns with the heterogeneity of B. cereus distribution in soils (Choi et al., 2024). The morphological and biochemical characteristics observed (Table 3.2) including large rough colonies, Gram-positive rods, catalase positivity, and endospore formation were consistent with standard profiles of Bacillus cereus described in recent literature (Tran et al., 2024; Logan &amp; De Vos, 2023). The presence of undulated margins and creamy colonies matches the descriptions by Guinebretière et al. (2023), further confirming the identity of B. cereus. The confirmation of spore formation is particularly relevant, as spores contribute to environmental persistence and resilience (Dietrich et al., 2023). </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sidRPr="00D07090">
        <w:rPr>
          <w:rFonts w:ascii="Times New Roman" w:hAnsi="Times New Roman" w:cs="Times New Roman"/>
          <w:i/>
          <w:sz w:val="28"/>
          <w:szCs w:val="28"/>
        </w:rPr>
        <w:t>B. cereus</w:t>
      </w:r>
      <w:r>
        <w:rPr>
          <w:rFonts w:ascii="Times New Roman" w:hAnsi="Times New Roman" w:cs="Times New Roman"/>
          <w:sz w:val="28"/>
          <w:szCs w:val="28"/>
        </w:rPr>
        <w:t xml:space="preserve"> toxins as potent enterotoxins and cytotoxins capable of causing significant systemic effects in mammalian models (Dietrich et al., 2023; Mohan et al., 2023).</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activity and feeding behavior. By day 3, accelerated breathing and weakness were prominent, consistent with findings from Singh et al. (2024), who reported that high-dose </w:t>
      </w:r>
      <w:r w:rsidRPr="006B3854">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Elhariry et al. (2023), who found that skin irritation and behavioral changes are reliable indicators of systemic distress in rodents exposed to bacterial toxins. 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sidRPr="00585EC2">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subacute toxicity with progressive worsening over time. In contrast, rats exposed to 60% toxin concentration (Table 3.6) exhibited a delayed onset of symptoms. Rats remained largely normal through </w:t>
      </w:r>
      <w:r>
        <w:rPr>
          <w:rFonts w:ascii="Times New Roman" w:hAnsi="Times New Roman" w:cs="Times New Roman"/>
          <w:sz w:val="28"/>
          <w:szCs w:val="28"/>
        </w:rPr>
        <w:lastRenderedPageBreak/>
        <w:t>day 3, with significant symptoms such as weakness, reduced feeding, accelerated breathing, and itching emerging primarily on days 4 and 5. These results align with the findings of Okshevsky et al. (2023), who documented that lower but sustained exposure to</w:t>
      </w:r>
      <w:r w:rsidRPr="00F02EED">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The group exposed to 50% toxin concentration (Table 3.7) exhibited the mildest response, with most rats maintaining normal behavior through day 3. Only by day 4–5 did signs of weakness, reduced feeding, skin itching, and palpitations become apparent. Importantly, these observations suggest that even at relatively low concentrations,</w:t>
      </w:r>
      <w:r w:rsidRPr="00067417">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 The pattern of weight changes also supports the dose-dependent toxicity hypothesis. Rats in the 100% group lost approximately 15 g over five days, compared to minimal or negligible weight changes in the 50% group. Similarly, locomotor reduction and feeding aversion were most profound in the higher-dose groups, further substantiating the correlation between dose and severity of clinical </w:t>
      </w:r>
      <w:r>
        <w:rPr>
          <w:rFonts w:ascii="Times New Roman" w:hAnsi="Times New Roman" w:cs="Times New Roman"/>
          <w:sz w:val="28"/>
          <w:szCs w:val="28"/>
        </w:rPr>
        <w:lastRenderedPageBreak/>
        <w:t xml:space="preserve">outcomes. 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sidRPr="00F02EED">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 </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sidRPr="000A006D">
        <w:rPr>
          <w:rFonts w:ascii="Times New Roman" w:hAnsi="Times New Roman" w:cs="Times New Roman"/>
          <w:i/>
          <w:iCs/>
          <w:sz w:val="28"/>
          <w:szCs w:val="28"/>
        </w:rPr>
        <w:t xml:space="preserve">B. cereus </w:t>
      </w:r>
      <w:r>
        <w:rPr>
          <w:rFonts w:ascii="Times New Roman" w:hAnsi="Times New Roman" w:cs="Times New Roman"/>
          <w:sz w:val="28"/>
          <w:szCs w:val="28"/>
        </w:rPr>
        <w:t xml:space="preserve">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 Overall, the results of this study clearly demonstrate that </w:t>
      </w:r>
      <w:r w:rsidRPr="00605F56">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w:t>
      </w:r>
      <w:r>
        <w:rPr>
          <w:rFonts w:ascii="Times New Roman" w:hAnsi="Times New Roman" w:cs="Times New Roman"/>
          <w:sz w:val="28"/>
          <w:szCs w:val="28"/>
        </w:rPr>
        <w:lastRenderedPageBreak/>
        <w:t>clinical signs observed including weight loss, locomotor impairment, respiratory distress, skin abnormalities, and organ pathology are consistent with the known pathophysiological effects of</w:t>
      </w:r>
      <w:r w:rsidRPr="00AB5BB9">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cytotoxins as documented in prior research (Dietrich et al., 2023; Singh et al., 2024; Chakraborty et al., 2023). These findings underscore the importance of rigorous control of </w:t>
      </w:r>
      <w:r w:rsidRPr="000A006D">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(Okshevsky et al., 2023; EFSA BIOHAZ Panel, 2023).</w:t>
      </w:r>
    </w:p>
    <w:p w:rsidR="00F24261" w:rsidRDefault="00F24261" w:rsidP="00F242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Conclusion </w:t>
      </w:r>
    </w:p>
    <w:p w:rsidR="00F24261" w:rsidRDefault="00F24261" w:rsidP="00F24261">
      <w:pPr>
        <w:spacing w:line="480" w:lineRule="auto"/>
        <w:jc w:val="both"/>
        <w:rPr>
          <w:rFonts w:ascii="Times New Roman" w:hAnsi="Times New Roman" w:cs="Times New Roman"/>
          <w:sz w:val="28"/>
          <w:szCs w:val="28"/>
        </w:rPr>
      </w:pPr>
      <w:r w:rsidRPr="00FE5912">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jc w:val="both"/>
        <w:rPr>
          <w:rFonts w:ascii="Times New Roman" w:hAnsi="Times New Roman" w:cs="Times New Roman"/>
          <w:sz w:val="28"/>
          <w:szCs w:val="28"/>
        </w:rPr>
      </w:pPr>
    </w:p>
    <w:p w:rsidR="00F24261" w:rsidRDefault="00F24261" w:rsidP="00F24261">
      <w:pPr>
        <w:spacing w:line="480" w:lineRule="auto"/>
        <w:rPr>
          <w:rFonts w:ascii="Times New Roman" w:hAnsi="Times New Roman" w:cs="Times New Roman"/>
          <w:sz w:val="28"/>
          <w:szCs w:val="28"/>
        </w:rPr>
      </w:pPr>
    </w:p>
    <w:p w:rsidR="00F24261" w:rsidRDefault="00F24261" w:rsidP="00F24261">
      <w:pPr>
        <w:spacing w:line="480" w:lineRule="auto"/>
        <w:jc w:val="center"/>
        <w:rPr>
          <w:rFonts w:ascii="Times New Roman" w:hAnsi="Times New Roman" w:cs="Times New Roman"/>
          <w:sz w:val="28"/>
          <w:szCs w:val="28"/>
        </w:rPr>
      </w:pPr>
      <w:r>
        <w:rPr>
          <w:rFonts w:ascii="Times New Roman" w:hAnsi="Times New Roman" w:cs="Times New Roman"/>
          <w:sz w:val="28"/>
          <w:szCs w:val="28"/>
        </w:rPr>
        <w:t>REFERENCES</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Altayar, M., &amp; Sutherland, A. D. (2017). Bacillus cereus is common in the environment but presents a risk to food safety. International Journal of Food Microbiology, 113(1), 1–15.</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Bartoszewicz, M., Hänninen, M. L., &amp; Wilk, P. (2019). Biofilm formation by Bacillus cereus isolates from food. Journal of Food Protection, 82(1), 110–118.</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Bottone, E. J. (2010). Bacillus cereus, a volatile human pathogen. Clinical Microbiology Reviews, 23(2), 382–398.</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Buehner, K. P., Anand, S., &amp; Garcia, A. (2020). Prevalence and characterization of Bacillus cereus in dairy products. Journal of Dairy Science, 103(1), 1232–1245.</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Carvalho, J. D. G., Oliveira, W. S., &amp; Almeida, R. C. C. (2020). Behavior of Bacillus cereus in food and food environments. Food Microbiology, 92, 103582.</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Ceuppens, S., Boon, N., Uyttendaele, M., &amp; Van de Wiele, T. (2019). Environmental persistence and colonization potential of Bacillus cereus. Food Research International, 125, 108527.</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Ceuppens, S., Rajkovic, A., Hamelink, S., Uyttendaele, M., &amp; Boon, N. (2020). Biofilm formation and disinfectant resistance of Bacillus cereus from food production facilities. International Journal of Food Microbiology, 328, 108650.</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Celandroni, F., Salvetti, S., Senesi, S., &amp; Ghelardi, E. (2020). Bacillus cereus food-borne infections: Epidemiology, virulence and regulatory aspects. Frontiers in Microbiology, 11, 1730.</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Chakraborty, R., Sahu, S. K., &amp; Mallick, S. K. (2019). Toxin profiling of Bacillus cereus group: Implication for human health. Journal of Applied Microbiology, 127(6), 1735–1745.</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Chavas, J. P., Hurd, B., &amp; Stiegert, K. W. (2012). Economics of food safety: The case of Bacillus cereus. Food Policy, 37(6), 647–655.</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Dietrich, R., Jessberger, N., Ehling-Schulz, M., &amp; Martlbauer, E. (2022). Mechanisms of Bacillus cereus enterotoxins: Pathogenicity and food safety implications. Toxins, 14(2), 95.</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Drobniekski, F. A. (1993). Bacillus cereus food poisoning: A brief review. Archives of Internal Medicine, 153(6), 769–773.</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Ducrest, P. J., Pfammatter, S., &amp; Stephan, R. (2018). Characterization of Bacillus cereus strains isolated from powdered infant formula. International Journal of Food Microbiology, 273, 49–56.</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(European Food Safety Authority). (2016). Risks for public health related to Bacillus cereus and other Bacillus species in foodstuffs. EFSA Journal, 14(7), e04524.</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BIOHAZ Panel. (2020). Scientific opinion on the update of the risk assessment of Bacillus cereus group. EFSA Journal, 18(5), e06188.</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Elhariry, H. M., Ashour, H. M., &amp; Elhelw, R. A. (2020). Prevalence and antimicrobial resistance of Bacillus cereus in ready-to-eat foods. Journal of Food Safety, 40(5), e12837.</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Enling-Schulz, M., Fricker, M., &amp; Ehling-Schulz, M. (2019). Genomics of Bacillus cereus: Public health relevance and genetic diversity. Microbial Genomics, 5(4), e000278.</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Fricker, M., Messelhäusser, U., Busch, U., Scherer, S., &amp; Ehling-Schulz, M. (2020). Diagnostic challenges and risk assessment of Bacillus cereus in food. Clinical Microbiology and Infection, 26(2), 177–183.</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Gdoura-Ben Amor, M., Smaoui, S., Karray, F., &amp; Ennouri, H. (2019). Environmental strains of Bacillus cereus: Potential public health threats. Environmental Science and Pollution Research, 26(22), 22648–22660.</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Guinebretière, M. H., Auger, S., Galleron, N., &amp; De Sarrau, B. (2010). Bacillus cereus sensu lato: Taxonomy, genetics, and epidemiology. Microbiology and Molecular Biology Reviews, 74(3), 529–551.</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Guinebretière, M. H., Broussolle, V., &amp; Nguyen-The, C. (2017). Enterotoxigenic Bacillus cereus strains from foodstuffs and food poisoning cases. Food Microbiology, 63, 69–79.</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Hoton, F. M., Fornelos, N., N’Guessan, E., &amp; Huys, G. (2021). Toxin gene profiling and virulence potential of Bacillus cereus. Foodborne Pathogens and Disease, 18(1), 30–37.</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Kim, J. B., Kim, J. M., Cho, S. H., Oh, H. S., &amp; Oh, D. H. (2021). Prevalence and enterotoxin gene profiles of Bacillus cereus in ready-to-eat foods. Foodborne Pathogens and Disease, 18(4), 240–247.</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Kovac, J., Miller, R. A., Carroll, L. M., Kent, D. J., Jian, J., Gonzalez-Escalona, N., … &amp; Wiedmann, M. (2020). Genomic surveillance of Bacillus cereus group isolates. mSphere, 5(3), e00098-20.</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 Z., Zhang, H., &amp; Wei, L. (2020). Toxigenic potential and antibiotic resistance of Bacillus cereus in infant formula. Journal of Dairy Science, 103(5), 4048–4055.</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Liu, Y., Lai, Q., Dong, C., Sun, F., Wang, L., Li, G., &amp; Shao, Z. (2021). Genomic insights into the taxonomy and evolution of Bacillus cereus group. Scientific Reports, 11, 1645.</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De Vos, P. (2015). Genus I. Bacillus. In: Bergey’s Manual of Systematics of Archaea and Bacteria (pp. 1–163). John Wiley &amp; Sons.</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Vos, P. D. (2022). Bacillus and relatives in foodborne illness. Annual Review of Food Science and Technology, 13, 111–129.</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Lopez, C. M., Wilson, A. J., &amp; Shetty, S. A. (2022). Distribution of Bacillus cereus in global food chains. Frontiers in Microbiology, 13, 845269.</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Lund, T., Granum, P. E., &amp; Knudsen, G. M. (2020). Bacillus cereus: The toxic potential of an underestimated pathogen. Toxins, 12(5), 320.</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Madigan, M. T., Bender, K. S., Buckley, D. H., Sattley, W. M., &amp; Stahl, D. A. (2021). Brock Biology of Microorganisms (16</w:t>
      </w:r>
      <w:r w:rsidRPr="00665F04">
        <w:rPr>
          <w:rFonts w:ascii="Times New Roman" w:hAnsi="Times New Roman" w:cs="Times New Roman"/>
          <w:sz w:val="28"/>
          <w:szCs w:val="28"/>
          <w:vertAlign w:val="superscript"/>
        </w:rPr>
        <w:t>th</w:t>
      </w:r>
      <w:r>
        <w:rPr>
          <w:rFonts w:ascii="Times New Roman" w:hAnsi="Times New Roman" w:cs="Times New Roman"/>
          <w:sz w:val="28"/>
          <w:szCs w:val="28"/>
        </w:rPr>
        <w:t xml:space="preserve"> ed.). Pearson.</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Marxen, S., Stark, T. D., Rütschle, A., Lücking, G., Frenzel, E., Scherer, S., &amp; Ehling-Schulz, M. (2015). Multiplex detection of enterotoxins in Bacillus cereus. Applied and Environmental Microbiology, 81(2), 594–600.</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Messelhäusser, U., &amp; Ehling-Schulz, M. (2018). Bacillus cereus—a multifaceted opportunistic pathogen. Current Clinical Microbiology Reports, 5(2), 120–125.</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Miller, R. A., Kent, D. J., Watterson, M. J., Boor, K. J., Martin, N. H., &amp; Wiedmann, M. (2018). Spore populations in the dairy processing environment. Applied and Environmental Microbiology, 84(12), e00579-18.</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Mohan, V., Rani, A., &amp; Kumar, R. (2022). Bacillus cereus in fresh produce: A review on contamination sources and control measures. Food Control, 134, 108723.</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Osimani, A., Aquilanti, L., Tavoletti, S., &amp; Clementi, F. (2018). Bacillus cereus in food processing environments: Contamination and control. Foods, 7(4), 63.</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Okshevsky, M., Regina, V. R., &amp; Meyer, R. L. (2017). Biofilm formation by Bacillus cereus in food processing environments. Food Control, 80, 297–304.</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Raza, M. W., Glass, K. A., &amp; Sindelar, J. J. (2020). Control of Bacillus cereus in cooked foods. Journal of Food Protection, 83(7), 1193–1200.</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Reyes, J. E., Bastías, J. M., Gutiérrez, M. R., &amp; Rodríguez, M. D. (2019). Prevalence and diversity of Bacillus cereus in food products. Food Control, 100, 87–94.</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Rouzeau-Szynalski, K., Messelhäusser, U., &amp; Ehling-Schulz, M. (2020). Bacillus cereus in foodborne outbreaks: Diagnosis and control. Food Microbiology, 92, 103586.</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Chakraborty, A., &amp; Roy, D. (2017). Evaluation of Bacillus cereus toxins. Food Science and Technology, 37(1), 61–68.</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Roy, D., &amp; Prasad, S. (2020). Toxin genes of Bacillus cereus: Pathogenesis and detection. Frontiers in Microbiology, 11, 559905.</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Tallent, S. M., Kotewicz, K. M., &amp; Bennett, R. W. (2016). FDA Bacteriological Analytical Manual: Detection of Bacillus cereus in food. U.S. Food and Drug Administration.</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Tran, S. L., Guillemet, E., Gohar, M., Lereclus, D., &amp; Ramarao, N. (2021). Bacillus cereus virulence factors and regulation. Microbiology Spectrum, 9(1), e00614-20.</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Vilain, S., &amp; Brozel, V. S. (2006). Multivariate analysis of Bacillus cereus biofilm formation. Applied Microbiology and Biotechnology, 73(5), 1137–1143.</w:t>
      </w:r>
    </w:p>
    <w:p w:rsidR="00F2426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Vangoitsenhoven, R., Ragon, M., &amp; Goldman, M. (2019). Bacillus cereus and food poisoning: A review. International Journal of Food Microbiology, 290, 19–25.</w:t>
      </w:r>
    </w:p>
    <w:p w:rsidR="00F24261" w:rsidRPr="00AB3921" w:rsidRDefault="00F24261" w:rsidP="00F24261">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W., Wang, Y., &amp; Fang, W. (2021). Genomic diversity and virulence factors of Bacillus cereus group. Microbial Genomics, 7(7), 0034</w:t>
      </w:r>
    </w:p>
    <w:p w:rsidR="00F24261" w:rsidRPr="00AB3921" w:rsidRDefault="00F24261" w:rsidP="00F24261">
      <w:pPr>
        <w:spacing w:line="480" w:lineRule="auto"/>
        <w:jc w:val="both"/>
        <w:rPr>
          <w:rFonts w:ascii="Times New Roman" w:hAnsi="Times New Roman" w:cs="Times New Roman"/>
          <w:sz w:val="28"/>
          <w:szCs w:val="28"/>
        </w:rPr>
      </w:pPr>
    </w:p>
    <w:p w:rsidR="00F24261" w:rsidRDefault="00F24261" w:rsidP="00B00E9B">
      <w:pPr>
        <w:spacing w:line="480" w:lineRule="auto"/>
        <w:jc w:val="both"/>
        <w:rPr>
          <w:rFonts w:ascii="Times New Roman" w:hAnsi="Times New Roman" w:cs="Times New Roman"/>
          <w:sz w:val="28"/>
          <w:szCs w:val="28"/>
        </w:rPr>
      </w:pPr>
    </w:p>
    <w:p w:rsidR="004A4370" w:rsidRDefault="004A4370" w:rsidP="00B00E9B">
      <w:pPr>
        <w:spacing w:line="480" w:lineRule="auto"/>
        <w:jc w:val="both"/>
      </w:pPr>
    </w:p>
    <w:sectPr w:rsidR="004A4370" w:rsidSect="00423150">
      <w:footerReference w:type="default" r:id="rId11"/>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28F" w:rsidRDefault="0048428F" w:rsidP="00423150">
      <w:pPr>
        <w:spacing w:after="0" w:line="240" w:lineRule="auto"/>
      </w:pPr>
      <w:r>
        <w:separator/>
      </w:r>
    </w:p>
  </w:endnote>
  <w:endnote w:type="continuationSeparator" w:id="0">
    <w:p w:rsidR="0048428F" w:rsidRDefault="0048428F"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7989"/>
      <w:docPartObj>
        <w:docPartGallery w:val="Page Numbers (Bottom of Page)"/>
        <w:docPartUnique/>
      </w:docPartObj>
    </w:sdtPr>
    <w:sdtEndPr>
      <w:rPr>
        <w:noProof/>
      </w:rPr>
    </w:sdtEndPr>
    <w:sdtContent>
      <w:p w:rsidR="00423150" w:rsidRDefault="00423150">
        <w:pPr>
          <w:pStyle w:val="Footer"/>
          <w:jc w:val="center"/>
        </w:pPr>
        <w:r>
          <w:fldChar w:fldCharType="begin"/>
        </w:r>
        <w:r>
          <w:instrText xml:space="preserve"> PAGE   \* MERGEFORMAT </w:instrText>
        </w:r>
        <w:r>
          <w:fldChar w:fldCharType="separate"/>
        </w:r>
        <w:r w:rsidR="00A86A1C">
          <w:rPr>
            <w:noProof/>
          </w:rPr>
          <w:t>ii</w:t>
        </w:r>
        <w:r>
          <w:rPr>
            <w:noProof/>
          </w:rPr>
          <w:fldChar w:fldCharType="end"/>
        </w:r>
      </w:p>
    </w:sdtContent>
  </w:sdt>
  <w:p w:rsidR="00423150" w:rsidRDefault="004231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28F" w:rsidRDefault="0048428F" w:rsidP="00423150">
      <w:pPr>
        <w:spacing w:after="0" w:line="240" w:lineRule="auto"/>
      </w:pPr>
      <w:r>
        <w:separator/>
      </w:r>
    </w:p>
  </w:footnote>
  <w:footnote w:type="continuationSeparator" w:id="0">
    <w:p w:rsidR="0048428F" w:rsidRDefault="0048428F" w:rsidP="00423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87D2E"/>
    <w:multiLevelType w:val="hybridMultilevel"/>
    <w:tmpl w:val="80861FAE"/>
    <w:lvl w:ilvl="0" w:tplc="FFFFFFFF">
      <w:start w:val="1"/>
      <w:numFmt w:val="upperLetter"/>
      <w:lvlText w:val="%1."/>
      <w:lvlJc w:val="left"/>
      <w:pPr>
        <w:ind w:left="720" w:hanging="360"/>
      </w:pPr>
      <w:rPr>
        <w:rFonts w:hint="default"/>
      </w:rPr>
    </w:lvl>
    <w:lvl w:ilvl="1" w:tplc="A4D2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D50FD"/>
    <w:multiLevelType w:val="hybridMultilevel"/>
    <w:tmpl w:val="067C1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02378"/>
    <w:multiLevelType w:val="hybridMultilevel"/>
    <w:tmpl w:val="ECC27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56FB1"/>
    <w:multiLevelType w:val="hybridMultilevel"/>
    <w:tmpl w:val="12D4D0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E17F4"/>
    <w:multiLevelType w:val="hybridMultilevel"/>
    <w:tmpl w:val="24C60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60D0D"/>
    <w:multiLevelType w:val="hybridMultilevel"/>
    <w:tmpl w:val="D8BC3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5F"/>
    <w:rsid w:val="000056F8"/>
    <w:rsid w:val="0003157C"/>
    <w:rsid w:val="00045508"/>
    <w:rsid w:val="000608D4"/>
    <w:rsid w:val="000C5026"/>
    <w:rsid w:val="000C5DCC"/>
    <w:rsid w:val="000D0177"/>
    <w:rsid w:val="000D1E87"/>
    <w:rsid w:val="000D708B"/>
    <w:rsid w:val="0015225F"/>
    <w:rsid w:val="001764CB"/>
    <w:rsid w:val="00323CB9"/>
    <w:rsid w:val="00385B03"/>
    <w:rsid w:val="00395E82"/>
    <w:rsid w:val="003D49D1"/>
    <w:rsid w:val="003E656B"/>
    <w:rsid w:val="00423150"/>
    <w:rsid w:val="0048428F"/>
    <w:rsid w:val="004A4370"/>
    <w:rsid w:val="00691682"/>
    <w:rsid w:val="006A21FC"/>
    <w:rsid w:val="007361AB"/>
    <w:rsid w:val="007764DF"/>
    <w:rsid w:val="007F5F6A"/>
    <w:rsid w:val="008B7C5E"/>
    <w:rsid w:val="008E0927"/>
    <w:rsid w:val="00903995"/>
    <w:rsid w:val="00906EFF"/>
    <w:rsid w:val="00961969"/>
    <w:rsid w:val="009629DD"/>
    <w:rsid w:val="009842A0"/>
    <w:rsid w:val="00A86A1C"/>
    <w:rsid w:val="00AB2CD7"/>
    <w:rsid w:val="00AC4A5F"/>
    <w:rsid w:val="00B00E9B"/>
    <w:rsid w:val="00DD378D"/>
    <w:rsid w:val="00F2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3445"/>
  <w15:docId w15:val="{EF85EBB3-4079-4F3A-80AD-D32183EB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A5F"/>
  </w:style>
  <w:style w:type="paragraph" w:styleId="Heading1">
    <w:name w:val="heading 1"/>
    <w:basedOn w:val="Normal"/>
    <w:next w:val="Normal"/>
    <w:link w:val="Heading1Char"/>
    <w:uiPriority w:val="9"/>
    <w:qFormat/>
    <w:rsid w:val="00F24261"/>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24261"/>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24261"/>
    <w:pPr>
      <w:keepNext/>
      <w:keepLines/>
      <w:spacing w:before="160" w:after="80" w:line="278" w:lineRule="auto"/>
      <w:outlineLvl w:val="2"/>
    </w:pPr>
    <w:rPr>
      <w:rFonts w:eastAsiaTheme="majorEastAsia"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24261"/>
    <w:pPr>
      <w:keepNext/>
      <w:keepLines/>
      <w:spacing w:before="80" w:after="40" w:line="278" w:lineRule="auto"/>
      <w:outlineLvl w:val="3"/>
    </w:pPr>
    <w:rPr>
      <w:rFonts w:eastAsiaTheme="majorEastAsia"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24261"/>
    <w:pPr>
      <w:keepNext/>
      <w:keepLines/>
      <w:spacing w:before="80" w:after="40" w:line="278" w:lineRule="auto"/>
      <w:outlineLvl w:val="4"/>
    </w:pPr>
    <w:rPr>
      <w:rFonts w:eastAsiaTheme="majorEastAsia"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2426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2426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2426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2426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 w:type="character" w:customStyle="1" w:styleId="Heading1Char">
    <w:name w:val="Heading 1 Char"/>
    <w:basedOn w:val="DefaultParagraphFont"/>
    <w:link w:val="Heading1"/>
    <w:uiPriority w:val="9"/>
    <w:rsid w:val="00F24261"/>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F24261"/>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F24261"/>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F24261"/>
    <w:rPr>
      <w:rFonts w:eastAsiaTheme="majorEastAsia"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F24261"/>
    <w:rPr>
      <w:rFonts w:eastAsiaTheme="majorEastAsia"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F24261"/>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F24261"/>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F24261"/>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F24261"/>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F2426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242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F2426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242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F24261"/>
    <w:pPr>
      <w:spacing w:before="160" w:after="160" w:line="278" w:lineRule="auto"/>
      <w:jc w:val="center"/>
    </w:pPr>
    <w:rPr>
      <w:rFonts w:eastAsiaTheme="minorEastAsia"/>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24261"/>
    <w:rPr>
      <w:rFonts w:eastAsiaTheme="minorEastAsia"/>
      <w:i/>
      <w:iCs/>
      <w:color w:val="404040" w:themeColor="text1" w:themeTint="BF"/>
      <w:kern w:val="2"/>
      <w:sz w:val="24"/>
      <w:szCs w:val="24"/>
      <w14:ligatures w14:val="standardContextual"/>
    </w:rPr>
  </w:style>
  <w:style w:type="paragraph" w:styleId="ListParagraph">
    <w:name w:val="List Paragraph"/>
    <w:basedOn w:val="Normal"/>
    <w:uiPriority w:val="34"/>
    <w:qFormat/>
    <w:rsid w:val="00F24261"/>
    <w:pPr>
      <w:spacing w:after="160" w:line="278" w:lineRule="auto"/>
      <w:ind w:left="720"/>
      <w:contextualSpacing/>
    </w:pPr>
    <w:rPr>
      <w:rFonts w:eastAsiaTheme="minorEastAsia"/>
      <w:kern w:val="2"/>
      <w:sz w:val="24"/>
      <w:szCs w:val="24"/>
      <w14:ligatures w14:val="standardContextual"/>
    </w:rPr>
  </w:style>
  <w:style w:type="character" w:styleId="IntenseEmphasis">
    <w:name w:val="Intense Emphasis"/>
    <w:basedOn w:val="DefaultParagraphFont"/>
    <w:uiPriority w:val="21"/>
    <w:qFormat/>
    <w:rsid w:val="00F24261"/>
    <w:rPr>
      <w:i/>
      <w:iCs/>
      <w:color w:val="365F91" w:themeColor="accent1" w:themeShade="BF"/>
    </w:rPr>
  </w:style>
  <w:style w:type="paragraph" w:styleId="IntenseQuote">
    <w:name w:val="Intense Quote"/>
    <w:basedOn w:val="Normal"/>
    <w:next w:val="Normal"/>
    <w:link w:val="IntenseQuoteChar"/>
    <w:uiPriority w:val="30"/>
    <w:qFormat/>
    <w:rsid w:val="00F24261"/>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EastAsia"/>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24261"/>
    <w:rPr>
      <w:rFonts w:eastAsiaTheme="minorEastAsia"/>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F24261"/>
    <w:rPr>
      <w:b/>
      <w:bCs/>
      <w:smallCaps/>
      <w:color w:val="365F91" w:themeColor="accent1" w:themeShade="BF"/>
      <w:spacing w:val="5"/>
    </w:rPr>
  </w:style>
  <w:style w:type="character" w:styleId="PageNumber">
    <w:name w:val="page number"/>
    <w:basedOn w:val="DefaultParagraphFont"/>
    <w:uiPriority w:val="99"/>
    <w:semiHidden/>
    <w:unhideWhenUsed/>
    <w:rsid w:val="00F24261"/>
  </w:style>
  <w:style w:type="table" w:styleId="TableGrid">
    <w:name w:val="Table Grid"/>
    <w:basedOn w:val="TableNormal"/>
    <w:uiPriority w:val="39"/>
    <w:rsid w:val="00F24261"/>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4261"/>
    <w:pPr>
      <w:spacing w:after="0" w:line="240" w:lineRule="auto"/>
    </w:pPr>
    <w:rPr>
      <w:rFonts w:ascii="Tahoma" w:eastAsiaTheme="minorEastAsia"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F24261"/>
    <w:rPr>
      <w:rFonts w:ascii="Tahoma" w:eastAsiaTheme="minorEastAsi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405956454">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004625388">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192232517">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1881937940">
      <w:bodyDiv w:val="1"/>
      <w:marLeft w:val="0"/>
      <w:marRight w:val="0"/>
      <w:marTop w:val="0"/>
      <w:marBottom w:val="0"/>
      <w:divBdr>
        <w:top w:val="none" w:sz="0" w:space="0" w:color="auto"/>
        <w:left w:val="none" w:sz="0" w:space="0" w:color="auto"/>
        <w:bottom w:val="none" w:sz="0" w:space="0" w:color="auto"/>
        <w:right w:val="none" w:sz="0" w:space="0" w:color="auto"/>
      </w:divBdr>
    </w:div>
    <w:div w:id="1981767296">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B257-4753-890B-EB1338E9D601}"/>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c:ext xmlns:c16="http://schemas.microsoft.com/office/drawing/2014/chart" uri="{C3380CC4-5D6E-409C-BE32-E72D297353CC}">
              <c16:uniqueId val="{00000001-B257-4753-890B-EB1338E9D601}"/>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c:ext xmlns:c16="http://schemas.microsoft.com/office/drawing/2014/chart" uri="{C3380CC4-5D6E-409C-BE32-E72D297353CC}">
              <c16:uniqueId val="{00000002-B257-4753-890B-EB1338E9D601}"/>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c:ext xmlns:c16="http://schemas.microsoft.com/office/drawing/2014/chart" uri="{C3380CC4-5D6E-409C-BE32-E72D297353CC}">
              <c16:uniqueId val="{00000003-B257-4753-890B-EB1338E9D601}"/>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c:ext xmlns:c16="http://schemas.microsoft.com/office/drawing/2014/chart" uri="{C3380CC4-5D6E-409C-BE32-E72D297353CC}">
              <c16:uniqueId val="{00000004-B257-4753-890B-EB1338E9D601}"/>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c:ext xmlns:c16="http://schemas.microsoft.com/office/drawing/2014/chart" uri="{C3380CC4-5D6E-409C-BE32-E72D297353CC}">
              <c16:uniqueId val="{00000005-B257-4753-890B-EB1338E9D601}"/>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c:ext xmlns:c16="http://schemas.microsoft.com/office/drawing/2014/chart" uri="{C3380CC4-5D6E-409C-BE32-E72D297353CC}">
              <c16:uniqueId val="{00000006-B257-4753-890B-EB1338E9D601}"/>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B257-4753-890B-EB1338E9D601}"/>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c:ext xmlns:c16="http://schemas.microsoft.com/office/drawing/2014/chart" uri="{C3380CC4-5D6E-409C-BE32-E72D297353CC}">
              <c16:uniqueId val="{00000008-B257-4753-890B-EB1338E9D601}"/>
            </c:ext>
          </c:extLst>
        </c:ser>
        <c:dLbls>
          <c:showLegendKey val="0"/>
          <c:showVal val="0"/>
          <c:showCatName val="0"/>
          <c:showSerName val="0"/>
          <c:showPercent val="0"/>
          <c:showBubbleSize val="0"/>
        </c:dLbls>
        <c:gapWidth val="145"/>
        <c:overlap val="-15"/>
        <c:axId val="134510080"/>
        <c:axId val="134511616"/>
      </c:barChart>
      <c:catAx>
        <c:axId val="134510080"/>
        <c:scaling>
          <c:orientation val="minMax"/>
        </c:scaling>
        <c:delete val="0"/>
        <c:axPos val="b"/>
        <c:numFmt formatCode="General" sourceLinked="0"/>
        <c:majorTickMark val="none"/>
        <c:minorTickMark val="none"/>
        <c:tickLblPos val="nextTo"/>
        <c:crossAx val="134511616"/>
        <c:crosses val="autoZero"/>
        <c:auto val="1"/>
        <c:lblAlgn val="ctr"/>
        <c:lblOffset val="100"/>
        <c:noMultiLvlLbl val="0"/>
      </c:catAx>
      <c:valAx>
        <c:axId val="134511616"/>
        <c:scaling>
          <c:orientation val="minMax"/>
        </c:scaling>
        <c:delete val="0"/>
        <c:axPos val="l"/>
        <c:majorGridlines/>
        <c:numFmt formatCode="General" sourceLinked="1"/>
        <c:majorTickMark val="none"/>
        <c:minorTickMark val="none"/>
        <c:tickLblPos val="nextTo"/>
        <c:spPr>
          <a:ln w="12700">
            <a:noFill/>
          </a:ln>
        </c:spPr>
        <c:crossAx val="134510080"/>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CFB8-4A35-87E9-BC0A29F546B3}"/>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c:ext xmlns:c16="http://schemas.microsoft.com/office/drawing/2014/chart" uri="{C3380CC4-5D6E-409C-BE32-E72D297353CC}">
              <c16:uniqueId val="{00000001-CFB8-4A35-87E9-BC0A29F546B3}"/>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CFB8-4A35-87E9-BC0A29F546B3}"/>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CFB8-4A35-87E9-BC0A29F546B3}"/>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c:ext xmlns:c16="http://schemas.microsoft.com/office/drawing/2014/chart" uri="{C3380CC4-5D6E-409C-BE32-E72D297353CC}">
              <c16:uniqueId val="{00000004-CFB8-4A35-87E9-BC0A29F546B3}"/>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CFB8-4A35-87E9-BC0A29F546B3}"/>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c:ext xmlns:c16="http://schemas.microsoft.com/office/drawing/2014/chart" uri="{C3380CC4-5D6E-409C-BE32-E72D297353CC}">
              <c16:uniqueId val="{00000006-CFB8-4A35-87E9-BC0A29F546B3}"/>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CFB8-4A35-87E9-BC0A29F546B3}"/>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CFB8-4A35-87E9-BC0A29F546B3}"/>
            </c:ext>
          </c:extLst>
        </c:ser>
        <c:dLbls>
          <c:showLegendKey val="0"/>
          <c:showVal val="0"/>
          <c:showCatName val="0"/>
          <c:showSerName val="0"/>
          <c:showPercent val="0"/>
          <c:showBubbleSize val="0"/>
        </c:dLbls>
        <c:gapWidth val="145"/>
        <c:overlap val="-15"/>
        <c:axId val="43239296"/>
        <c:axId val="43240832"/>
      </c:barChart>
      <c:catAx>
        <c:axId val="43239296"/>
        <c:scaling>
          <c:orientation val="minMax"/>
        </c:scaling>
        <c:delete val="0"/>
        <c:axPos val="b"/>
        <c:numFmt formatCode="General" sourceLinked="0"/>
        <c:majorTickMark val="none"/>
        <c:minorTickMark val="none"/>
        <c:tickLblPos val="nextTo"/>
        <c:crossAx val="43240832"/>
        <c:crosses val="autoZero"/>
        <c:auto val="1"/>
        <c:lblAlgn val="ctr"/>
        <c:lblOffset val="100"/>
        <c:noMultiLvlLbl val="0"/>
      </c:catAx>
      <c:valAx>
        <c:axId val="43240832"/>
        <c:scaling>
          <c:orientation val="minMax"/>
        </c:scaling>
        <c:delete val="0"/>
        <c:axPos val="l"/>
        <c:majorGridlines/>
        <c:numFmt formatCode="General" sourceLinked="1"/>
        <c:majorTickMark val="none"/>
        <c:minorTickMark val="none"/>
        <c:tickLblPos val="nextTo"/>
        <c:spPr>
          <a:ln w="12700">
            <a:noFill/>
          </a:ln>
        </c:spPr>
        <c:crossAx val="43239296"/>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c:ext xmlns:c16="http://schemas.microsoft.com/office/drawing/2014/chart" uri="{C3380CC4-5D6E-409C-BE32-E72D297353CC}">
              <c16:uniqueId val="{00000000-8791-43EC-BEA3-28391CF98B30}"/>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c:ext xmlns:c16="http://schemas.microsoft.com/office/drawing/2014/chart" uri="{C3380CC4-5D6E-409C-BE32-E72D297353CC}">
              <c16:uniqueId val="{00000001-8791-43EC-BEA3-28391CF98B30}"/>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8791-43EC-BEA3-28391CF98B30}"/>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8791-43EC-BEA3-28391CF98B30}"/>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c:ext xmlns:c16="http://schemas.microsoft.com/office/drawing/2014/chart" uri="{C3380CC4-5D6E-409C-BE32-E72D297353CC}">
              <c16:uniqueId val="{00000004-8791-43EC-BEA3-28391CF98B30}"/>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8791-43EC-BEA3-28391CF98B30}"/>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8791-43EC-BEA3-28391CF98B30}"/>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8791-43EC-BEA3-28391CF98B30}"/>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8791-43EC-BEA3-28391CF98B30}"/>
            </c:ext>
          </c:extLst>
        </c:ser>
        <c:dLbls>
          <c:showLegendKey val="0"/>
          <c:showVal val="0"/>
          <c:showCatName val="0"/>
          <c:showSerName val="0"/>
          <c:showPercent val="0"/>
          <c:showBubbleSize val="0"/>
        </c:dLbls>
        <c:gapWidth val="145"/>
        <c:overlap val="-15"/>
        <c:axId val="44853120"/>
        <c:axId val="44854656"/>
      </c:barChart>
      <c:catAx>
        <c:axId val="44853120"/>
        <c:scaling>
          <c:orientation val="minMax"/>
        </c:scaling>
        <c:delete val="0"/>
        <c:axPos val="b"/>
        <c:numFmt formatCode="General" sourceLinked="0"/>
        <c:majorTickMark val="none"/>
        <c:minorTickMark val="none"/>
        <c:tickLblPos val="nextTo"/>
        <c:crossAx val="44854656"/>
        <c:crosses val="autoZero"/>
        <c:auto val="1"/>
        <c:lblAlgn val="ctr"/>
        <c:lblOffset val="100"/>
        <c:noMultiLvlLbl val="0"/>
      </c:catAx>
      <c:valAx>
        <c:axId val="44854656"/>
        <c:scaling>
          <c:orientation val="minMax"/>
        </c:scaling>
        <c:delete val="0"/>
        <c:axPos val="l"/>
        <c:majorGridlines/>
        <c:numFmt formatCode="General" sourceLinked="1"/>
        <c:majorTickMark val="none"/>
        <c:minorTickMark val="none"/>
        <c:tickLblPos val="nextTo"/>
        <c:spPr>
          <a:ln w="12700">
            <a:noFill/>
          </a:ln>
        </c:spPr>
        <c:crossAx val="44853120"/>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0-9FBC-4D7D-AA7F-46A96AADFE5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c:ext xmlns:c16="http://schemas.microsoft.com/office/drawing/2014/chart" uri="{C3380CC4-5D6E-409C-BE32-E72D297353CC}">
              <c16:uniqueId val="{00000001-9FBC-4D7D-AA7F-46A96AADFE5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c:ext xmlns:c16="http://schemas.microsoft.com/office/drawing/2014/chart" uri="{C3380CC4-5D6E-409C-BE32-E72D297353CC}">
              <c16:uniqueId val="{00000002-9FBC-4D7D-AA7F-46A96AADFE5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9FBC-4D7D-AA7F-46A96AADFE5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c:ext xmlns:c16="http://schemas.microsoft.com/office/drawing/2014/chart" uri="{C3380CC4-5D6E-409C-BE32-E72D297353CC}">
              <c16:uniqueId val="{00000004-9FBC-4D7D-AA7F-46A96AADFE5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c:ext xmlns:c16="http://schemas.microsoft.com/office/drawing/2014/chart" uri="{C3380CC4-5D6E-409C-BE32-E72D297353CC}">
              <c16:uniqueId val="{00000005-9FBC-4D7D-AA7F-46A96AADFE5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9FBC-4D7D-AA7F-46A96AADFE5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9FBC-4D7D-AA7F-46A96AADFE5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9FBC-4D7D-AA7F-46A96AADFE5C}"/>
            </c:ext>
          </c:extLst>
        </c:ser>
        <c:dLbls>
          <c:showLegendKey val="0"/>
          <c:showVal val="0"/>
          <c:showCatName val="0"/>
          <c:showSerName val="0"/>
          <c:showPercent val="0"/>
          <c:showBubbleSize val="0"/>
        </c:dLbls>
        <c:gapWidth val="145"/>
        <c:overlap val="-15"/>
        <c:axId val="45663744"/>
        <c:axId val="45665280"/>
      </c:barChart>
      <c:catAx>
        <c:axId val="45663744"/>
        <c:scaling>
          <c:orientation val="minMax"/>
        </c:scaling>
        <c:delete val="0"/>
        <c:axPos val="b"/>
        <c:numFmt formatCode="General" sourceLinked="0"/>
        <c:majorTickMark val="none"/>
        <c:minorTickMark val="none"/>
        <c:tickLblPos val="nextTo"/>
        <c:crossAx val="45665280"/>
        <c:crosses val="autoZero"/>
        <c:auto val="1"/>
        <c:lblAlgn val="ctr"/>
        <c:lblOffset val="100"/>
        <c:noMultiLvlLbl val="0"/>
      </c:catAx>
      <c:valAx>
        <c:axId val="45665280"/>
        <c:scaling>
          <c:orientation val="minMax"/>
        </c:scaling>
        <c:delete val="0"/>
        <c:axPos val="l"/>
        <c:majorGridlines/>
        <c:numFmt formatCode="General" sourceLinked="1"/>
        <c:majorTickMark val="none"/>
        <c:minorTickMark val="none"/>
        <c:tickLblPos val="nextTo"/>
        <c:spPr>
          <a:ln w="12700">
            <a:noFill/>
          </a:ln>
        </c:spPr>
        <c:crossAx val="45663744"/>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59</Pages>
  <Words>10487</Words>
  <Characters>59776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2025-06-21T11:00:00Z</dcterms:created>
  <dcterms:modified xsi:type="dcterms:W3CDTF">2025-06-21T11:02:00Z</dcterms:modified>
</cp:coreProperties>
</file>