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PRESENTED BY: GROUP 3</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HND/23/SLT/FT/0005</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HND/23/SLT/FT/0252</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HND/23/SLT/FT/0095</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HND/23/SLT/FT/0623</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HND/23/SLT/FT/0477</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HND/23/SLT/FT/0049</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HND/23/SLT/FT/1042</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HND/23/SLT/FT/0396</w:t>
      </w:r>
    </w:p>
    <w:p>
      <w:pPr>
        <w:pStyle w:val="style0"/>
        <w:spacing w:before="240" w:after="0"/>
        <w:ind w:left="720" w:right="4"/>
        <w:rPr>
          <w:rFonts w:ascii="Times New Roman" w:hAnsi="Times New Roman"/>
          <w:b/>
          <w:bCs/>
          <w:sz w:val="24"/>
          <w:szCs w:val="24"/>
        </w:rPr>
      </w:pPr>
      <w:r>
        <w:rPr>
          <w:rFonts w:ascii="Times New Roman" w:hAnsi="Times New Roman"/>
          <w:b/>
          <w:bCs/>
          <w:sz w:val="24"/>
          <w:szCs w:val="24"/>
        </w:rPr>
        <w:t xml:space="preserve">     HND/23/SLT/FT/0788</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HND/23/SLT/FT/1279</w:t>
      </w:r>
    </w:p>
    <w:p>
      <w:pPr>
        <w:pStyle w:val="style0"/>
        <w:spacing w:before="240" w:after="0"/>
        <w:ind w:right="4" w:firstLine="720"/>
        <w:rPr>
          <w:rFonts w:ascii="Times New Roman" w:hAnsi="Times New Roman"/>
          <w:b/>
          <w:bCs/>
          <w:sz w:val="24"/>
          <w:szCs w:val="24"/>
        </w:rPr>
      </w:pPr>
      <w:r>
        <w:rPr>
          <w:rFonts w:ascii="Times New Roman" w:hAnsi="Times New Roman"/>
          <w:b/>
          <w:bCs/>
          <w:sz w:val="24"/>
          <w:szCs w:val="24"/>
        </w:rPr>
        <w:t xml:space="preserve">     HND/23/SLT/FT/0868</w:t>
      </w:r>
      <w:r>
        <w:rPr>
          <w:rFonts w:ascii="Times New Roman" w:hAnsi="Times New Roman"/>
          <w:b/>
          <w:bCs/>
          <w:sz w:val="24"/>
          <w:szCs w:val="24"/>
        </w:rPr>
        <w:tab/>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lineRule="auto" w:line="360"/>
        <w:ind w:right="4"/>
        <w:jc w:val="both"/>
        <w:rPr>
          <w:rFonts w:ascii="Times New Roman" w:hAnsi="Times New Roman"/>
          <w:sz w:val="24"/>
          <w:szCs w:val="24"/>
        </w:rPr>
      </w:pPr>
      <w:r>
        <w:rPr>
          <w:rFonts w:ascii="Times New Roman" w:hAnsi="Times New Roman"/>
          <w:sz w:val="24"/>
          <w:szCs w:val="24"/>
        </w:rPr>
        <w:t>This is to certify that the project titled QUALITATIVE AND QUANTITATIVE ANALYSIS OF MICROBIAL LOADS FOUND IN SOME HERBAL MEDICINES SOLD IN ILORIN was successfully written and submitted by EJIGA DAVID UGBEDEOJO with Matric Number HND/23/SLT/FT/0005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Cs/>
          <w:sz w:val="24"/>
          <w:szCs w:val="24"/>
        </w:rPr>
      </w:pPr>
      <w:r>
        <w:rPr>
          <w:rFonts w:ascii="Times New Roman" w:hAnsi="Times New Roman"/>
          <w:bCs/>
          <w:sz w:val="24"/>
          <w:szCs w:val="24"/>
        </w:rPr>
        <w:t>This project report is dedicated to the Almighty God, The king of kings and the Lord of Lords for his Grace, mercy and enablement throughout this project research. May his name be lifted high.</w:t>
      </w:r>
    </w:p>
    <w:p>
      <w:pPr>
        <w:pStyle w:val="style0"/>
        <w:spacing w:lineRule="auto" w:line="360"/>
        <w:ind w:left="720" w:right="4"/>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rPr>
        <w:t>My first and foremost appreciation Goes to the Almighty God, Creator of the universe, the giver of life for the Grace and enablement given unto me on this project report, I give him all glory for the strength, wisdom, and grace to complete this project successfully.</w:t>
      </w:r>
    </w:p>
    <w:p>
      <w:pPr>
        <w:pStyle w:val="style0"/>
        <w:spacing w:after="0" w:lineRule="auto" w:line="360"/>
        <w:ind w:right="4"/>
        <w:jc w:val="both"/>
        <w:rPr>
          <w:rFonts w:ascii="Times New Roman" w:hAnsi="Times New Roman"/>
          <w:sz w:val="28"/>
          <w:szCs w:val="28"/>
        </w:rPr>
      </w:pPr>
      <w:r>
        <w:rPr>
          <w:rFonts w:ascii="Times New Roman" w:hAnsi="Times New Roman"/>
          <w:sz w:val="28"/>
          <w:szCs w:val="28"/>
        </w:rPr>
        <w:t xml:space="preserve">Also my sincere gratitude goes to my project supervisor </w:t>
      </w:r>
      <w:r>
        <w:rPr>
          <w:rFonts w:ascii="Times New Roman" w:hAnsi="Times New Roman"/>
          <w:b/>
          <w:bCs/>
          <w:sz w:val="28"/>
          <w:szCs w:val="28"/>
        </w:rPr>
        <w:t>MRS. OTUYO MUJIBAT</w:t>
      </w:r>
      <w:r>
        <w:rPr>
          <w:rFonts w:ascii="Times New Roman" w:hAnsi="Times New Roman"/>
          <w:sz w:val="28"/>
          <w:szCs w:val="28"/>
        </w:rPr>
        <w:t xml:space="preserve"> for her valuable guidance, support, and encouragement throughout the course of this work. I also appreciate the Head of Department, lecturers, and staff of the Microbiology unit for their contributions toward my academic growth. Special thanks to my ever loving parents</w:t>
      </w:r>
      <w:r>
        <w:rPr>
          <w:rFonts w:ascii="Times New Roman" w:hAnsi="Times New Roman"/>
          <w:b/>
          <w:bCs/>
          <w:sz w:val="28"/>
          <w:szCs w:val="28"/>
        </w:rPr>
        <w:t xml:space="preserve"> MR. EJIGA AUSTINE AND MRS. EJIGA JOY  </w:t>
      </w:r>
      <w:r>
        <w:rPr>
          <w:rFonts w:ascii="Times New Roman" w:hAnsi="Times New Roman"/>
          <w:sz w:val="28"/>
          <w:szCs w:val="28"/>
        </w:rPr>
        <w:t>for their help and support both financially and  through constant prayers.  And to my Honourably friends and loved ones and everyone who supported me directly or indirectly, I say a big thank you for your constant prayers, support  and motivation. May God bless you all.</w:t>
      </w:r>
      <w:r>
        <w:rPr>
          <w:rFonts w:ascii="Times New Roman" w:hAnsi="Times New Roman"/>
          <w:b/>
          <w:bCs/>
          <w:sz w:val="28"/>
          <w:szCs w:val="28"/>
        </w:rPr>
        <w:t>EJIGA DAVID UGBEDEOJO.</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2.3   Regulatory Standards for Microbial Loads in Herbal Medicines   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b w:val="false"/>
          <w:bCs w:val="false"/>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i/>
          <w:iCs/>
          <w:sz w:val="28"/>
          <w:szCs w:val="28"/>
        </w:rPr>
        <w:sectPr>
          <w:footerReference w:type="default" r:id="rId2"/>
          <w:footerReference w:type="first" r:id="rId3"/>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i/>
          <w:iCs/>
          <w:sz w:val="28"/>
          <w:szCs w:val="28"/>
        </w:rPr>
        <w:t>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Staphylococcus aureus, Pseudomonas spp., and E. colispp. Fungal isolates included Aspergillus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Style w:val="style87"/>
          <w:b w:val="false"/>
          <w:bCs w:val="false"/>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w:t>
      </w:r>
      <w:r>
        <w:rPr>
          <w:sz w:val="28"/>
          <w:szCs w:val="28"/>
        </w:rPr>
        <w:t>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pStyle w:val="style0"/>
        <w:tabs>
          <w:tab w:val="left" w:leader="none" w:pos="5220"/>
        </w:tabs>
        <w:spacing w:lineRule="auto" w:line="480"/>
        <w:jc w:val="both"/>
        <w:rPr>
          <w:rStyle w:val="style87"/>
          <w:rFonts w:ascii="Times New Roman" w:hAnsi="Times New Roman"/>
          <w:sz w:val="28"/>
          <w:szCs w:val="28"/>
        </w:rPr>
      </w:pPr>
      <w:r>
        <w:rPr>
          <w:rStyle w:val="style87"/>
          <w:rFonts w:ascii="Times New Roman" w:hAnsi="Times New Roman"/>
          <w:sz w:val="28"/>
          <w:szCs w:val="28"/>
        </w:rPr>
        <w:t>1</w:t>
      </w:r>
      <w:r>
        <w:rPr>
          <w:rStyle w:val="style87"/>
          <w:rFonts w:ascii="Times New Roman" w:hAnsi="Times New Roman"/>
          <w:sz w:val="28"/>
          <w:szCs w:val="28"/>
        </w:rPr>
        <w:t xml:space="preserve">.5 TYPES </w:t>
      </w:r>
      <w:r>
        <w:rPr>
          <w:rStyle w:val="style87"/>
          <w:rFonts w:ascii="Times New Roman" w:hAnsi="Times New Roman"/>
          <w:sz w:val="28"/>
          <w:szCs w:val="28"/>
        </w:rPr>
        <w:t xml:space="preserve">OF HERBAL MEDICINE: </w:t>
      </w:r>
    </w:p>
    <w:p>
      <w:pPr>
        <w:pStyle w:val="style3"/>
        <w:numPr>
          <w:ilvl w:val="0"/>
          <w:numId w:val="22"/>
        </w:numPr>
        <w:spacing w:lineRule="auto" w:line="480"/>
        <w:jc w:val="both"/>
        <w:rPr>
          <w:b w:val="false"/>
          <w:sz w:val="28"/>
          <w:szCs w:val="28"/>
        </w:rPr>
      </w:pPr>
      <w:r>
        <w:rPr>
          <w:rStyle w:val="style87"/>
          <w:b/>
          <w:bCs/>
          <w:sz w:val="28"/>
          <w:szCs w:val="28"/>
        </w:rPr>
        <w:t>Decoctions</w:t>
      </w:r>
      <w:r>
        <w:rPr>
          <w:rStyle w:val="style87"/>
          <w:b/>
          <w:bCs/>
          <w:sz w:val="28"/>
          <w:szCs w:val="28"/>
        </w:rPr>
        <w:t xml:space="preserve">: </w:t>
      </w:r>
      <w:r>
        <w:rPr>
          <w:b w:val="false"/>
          <w:sz w:val="28"/>
          <w:szCs w:val="28"/>
        </w:rPr>
        <w:t xml:space="preserve">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w:t>
      </w:r>
      <w:r>
        <w:rPr>
          <w:b w:val="false"/>
          <w:sz w:val="28"/>
          <w:szCs w:val="28"/>
        </w:rPr>
        <w:t>(</w:t>
      </w:r>
      <w:r>
        <w:rPr>
          <w:b w:val="false"/>
          <w:sz w:val="28"/>
          <w:szCs w:val="28"/>
        </w:rPr>
        <w:t>Okwu</w:t>
      </w:r>
      <w:r>
        <w:rPr>
          <w:b w:val="false"/>
          <w:sz w:val="28"/>
          <w:szCs w:val="28"/>
        </w:rPr>
        <w:t xml:space="preserve"> et al., 2021). Decoctions are widely used in African traditional medicine and have been documented as effective in treating malaria, respiratory illnesses, and pain-related disorders.</w:t>
      </w:r>
    </w:p>
    <w:p>
      <w:pPr>
        <w:pStyle w:val="style3"/>
        <w:numPr>
          <w:ilvl w:val="0"/>
          <w:numId w:val="22"/>
        </w:numPr>
        <w:spacing w:lineRule="auto" w:line="480"/>
        <w:jc w:val="both"/>
        <w:rPr>
          <w:b w:val="false"/>
          <w:sz w:val="28"/>
          <w:szCs w:val="28"/>
        </w:rPr>
      </w:pPr>
      <w:r>
        <w:rPr>
          <w:rStyle w:val="style87"/>
          <w:b/>
          <w:bCs/>
          <w:sz w:val="28"/>
          <w:szCs w:val="28"/>
        </w:rPr>
        <w:t>Tinctures</w:t>
      </w:r>
      <w:r>
        <w:rPr>
          <w:rStyle w:val="style87"/>
          <w:b/>
          <w:bCs/>
          <w:sz w:val="28"/>
          <w:szCs w:val="28"/>
        </w:rPr>
        <w:t xml:space="preserve">: </w:t>
      </w:r>
      <w:r>
        <w:rPr>
          <w:b w:val="false"/>
          <w:sz w:val="28"/>
          <w:szCs w:val="28"/>
        </w:rPr>
        <w:t xml:space="preserve">Tinctures are alcohol-based or vinegar-based extractions of herbs that preserve both water-soluble and alcohol-soluble compounds. They are potent and long-lasting, often used in low doses due to their concentrated nature. According to </w:t>
      </w:r>
      <w:r>
        <w:rPr>
          <w:b w:val="false"/>
          <w:sz w:val="28"/>
          <w:szCs w:val="28"/>
        </w:rPr>
        <w:t>Akinmoladun</w:t>
      </w:r>
      <w:r>
        <w:rPr>
          <w:b w:val="false"/>
          <w:sz w:val="28"/>
          <w:szCs w:val="28"/>
        </w:rPr>
        <w:t xml:space="preserve">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style3"/>
        <w:numPr>
          <w:ilvl w:val="0"/>
          <w:numId w:val="22"/>
        </w:numPr>
        <w:spacing w:lineRule="auto" w:line="480"/>
        <w:jc w:val="both"/>
        <w:rPr>
          <w:b w:val="false"/>
          <w:sz w:val="28"/>
          <w:szCs w:val="28"/>
        </w:rPr>
      </w:pPr>
      <w:r>
        <w:rPr>
          <w:rStyle w:val="style87"/>
          <w:b/>
          <w:bCs/>
          <w:sz w:val="28"/>
          <w:szCs w:val="28"/>
        </w:rPr>
        <w:t>Infusions</w:t>
      </w:r>
      <w:r>
        <w:rPr>
          <w:rStyle w:val="style87"/>
          <w:b/>
          <w:bCs/>
          <w:sz w:val="28"/>
          <w:szCs w:val="28"/>
        </w:rPr>
        <w:t xml:space="preserve">: </w:t>
      </w:r>
      <w:r>
        <w:rPr>
          <w:b w:val="false"/>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w:t>
      </w:r>
      <w:r>
        <w:rPr>
          <w:b w:val="false"/>
          <w:sz w:val="28"/>
          <w:szCs w:val="28"/>
        </w:rPr>
        <w:t>Moghadam</w:t>
      </w:r>
      <w:r>
        <w:rPr>
          <w:b w:val="false"/>
          <w:sz w:val="28"/>
          <w:szCs w:val="28"/>
        </w:rPr>
        <w:t xml:space="preserve"> et al., 2020). Infusions are safe, easy to prepare, and commonly used in both traditional and modern herbal </w:t>
      </w:r>
      <w:r>
        <w:rPr>
          <w:b w:val="false"/>
          <w:sz w:val="28"/>
          <w:szCs w:val="28"/>
        </w:rPr>
        <w:t>practices. Popular examples include chamomile for sleep and lemongrass for digestion.</w:t>
      </w:r>
    </w:p>
    <w:p>
      <w:pPr>
        <w:pStyle w:val="style3"/>
        <w:numPr>
          <w:ilvl w:val="0"/>
          <w:numId w:val="22"/>
        </w:numPr>
        <w:spacing w:lineRule="auto" w:line="480"/>
        <w:jc w:val="both"/>
        <w:rPr>
          <w:b w:val="false"/>
          <w:sz w:val="28"/>
          <w:szCs w:val="28"/>
        </w:rPr>
      </w:pPr>
      <w:r>
        <w:rPr>
          <w:rStyle w:val="style87"/>
          <w:b/>
          <w:bCs/>
          <w:sz w:val="28"/>
          <w:szCs w:val="28"/>
        </w:rPr>
        <w:t>Capsules and Tablets</w:t>
      </w:r>
      <w:r>
        <w:rPr>
          <w:rStyle w:val="style87"/>
          <w:b/>
          <w:bCs/>
          <w:sz w:val="28"/>
          <w:szCs w:val="28"/>
        </w:rPr>
        <w:t>:</w:t>
      </w:r>
      <w:r>
        <w:rPr>
          <w:sz w:val="28"/>
          <w:szCs w:val="28"/>
        </w:rPr>
        <w:t xml:space="preserve"> </w:t>
      </w:r>
      <w:r>
        <w:rPr>
          <w:b w:val="false"/>
          <w:sz w:val="28"/>
          <w:szCs w:val="28"/>
        </w:rPr>
        <w:t xml:space="preserve">Capsules and tablets represent the pharmaceutical modernization of herbal medicine. They contain either powdered herbs or standardized extracts, ensuring accurate dosage and extended shelf life. According to </w:t>
      </w:r>
      <w:r>
        <w:rPr>
          <w:b w:val="false"/>
          <w:sz w:val="28"/>
          <w:szCs w:val="28"/>
        </w:rPr>
        <w:t>Abubakar</w:t>
      </w:r>
      <w:r>
        <w:rPr>
          <w:b w:val="false"/>
          <w:sz w:val="28"/>
          <w:szCs w:val="28"/>
        </w:rPr>
        <w:t xml:space="preserve"> and </w:t>
      </w:r>
      <w:r>
        <w:rPr>
          <w:b w:val="false"/>
          <w:sz w:val="28"/>
          <w:szCs w:val="28"/>
        </w:rPr>
        <w:t>Haque</w:t>
      </w:r>
      <w:r>
        <w:rPr>
          <w:b w:val="false"/>
          <w:sz w:val="28"/>
          <w:szCs w:val="28"/>
        </w:rPr>
        <w:t xml:space="preserve"> (2020), the use of encapsulated herbal products is increasing due to consumer demand for more standardized, safe, and palatable formulations. Capsules are often used for chronic conditions like arthritis, liver disorders, and hormonal imbalances.</w:t>
      </w:r>
    </w:p>
    <w:p>
      <w:pPr>
        <w:pStyle w:val="style3"/>
        <w:numPr>
          <w:ilvl w:val="0"/>
          <w:numId w:val="22"/>
        </w:numPr>
        <w:spacing w:lineRule="auto" w:line="480"/>
        <w:jc w:val="both"/>
        <w:rPr>
          <w:b w:val="false"/>
          <w:sz w:val="28"/>
          <w:szCs w:val="28"/>
        </w:rPr>
      </w:pPr>
      <w:r>
        <w:rPr>
          <w:rStyle w:val="style87"/>
          <w:b/>
          <w:bCs/>
          <w:sz w:val="28"/>
          <w:szCs w:val="28"/>
        </w:rPr>
        <w:t>Ointments and Creams</w:t>
      </w:r>
      <w:r>
        <w:rPr>
          <w:rStyle w:val="style87"/>
          <w:b/>
          <w:bCs/>
          <w:sz w:val="28"/>
          <w:szCs w:val="28"/>
        </w:rPr>
        <w:t xml:space="preserve">: </w:t>
      </w:r>
      <w:r>
        <w:rPr>
          <w:b w:val="false"/>
          <w:sz w:val="28"/>
          <w:szCs w:val="28"/>
        </w:rPr>
        <w:t xml:space="preserve">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w:t>
      </w:r>
      <w:r>
        <w:rPr>
          <w:b w:val="false"/>
          <w:sz w:val="28"/>
          <w:szCs w:val="28"/>
        </w:rPr>
        <w:t>Chikezie</w:t>
      </w:r>
      <w:r>
        <w:rPr>
          <w:b w:val="false"/>
          <w:sz w:val="28"/>
          <w:szCs w:val="28"/>
        </w:rPr>
        <w:t xml:space="preserve"> et al. (2022), ointments containing aloe </w:t>
      </w:r>
      <w:r>
        <w:rPr>
          <w:b w:val="false"/>
          <w:sz w:val="28"/>
          <w:szCs w:val="28"/>
        </w:rPr>
        <w:t>vera</w:t>
      </w:r>
      <w:r>
        <w:rPr>
          <w:b w:val="false"/>
          <w:sz w:val="28"/>
          <w:szCs w:val="28"/>
        </w:rPr>
        <w:t xml:space="preserve">, </w:t>
      </w:r>
      <w:r>
        <w:rPr>
          <w:b w:val="false"/>
          <w:sz w:val="28"/>
          <w:szCs w:val="28"/>
        </w:rPr>
        <w:t>neem</w:t>
      </w:r>
      <w:r>
        <w:rPr>
          <w:b w:val="false"/>
          <w:sz w:val="28"/>
          <w:szCs w:val="28"/>
        </w:rPr>
        <w:t>, or turmeric show strong antimicrobial and anti-inflammatory activity, making them ideal for dermal healing and skin care.</w:t>
      </w:r>
    </w:p>
    <w:p>
      <w:pPr>
        <w:pStyle w:val="style3"/>
        <w:numPr>
          <w:ilvl w:val="0"/>
          <w:numId w:val="22"/>
        </w:numPr>
        <w:spacing w:lineRule="auto" w:line="480"/>
        <w:jc w:val="both"/>
        <w:rPr>
          <w:b w:val="false"/>
          <w:sz w:val="28"/>
          <w:szCs w:val="28"/>
        </w:rPr>
      </w:pPr>
      <w:r>
        <w:rPr>
          <w:rStyle w:val="style87"/>
          <w:b/>
          <w:bCs/>
          <w:sz w:val="28"/>
          <w:szCs w:val="28"/>
        </w:rPr>
        <w:t>Essential Oils</w:t>
      </w:r>
      <w:r>
        <w:rPr>
          <w:rStyle w:val="style87"/>
          <w:b/>
          <w:bCs/>
          <w:sz w:val="28"/>
          <w:szCs w:val="28"/>
        </w:rPr>
        <w:t xml:space="preserve">: </w:t>
      </w:r>
      <w:r>
        <w:rPr>
          <w:b w:val="false"/>
          <w:sz w:val="28"/>
          <w:szCs w:val="28"/>
        </w:rPr>
        <w:t xml:space="preserve">Essential oils are concentrated, volatile plant extracts obtained via steam distillation or cold pressing. They are primarily used in aromatherapy, inhalation, massage, and topical applications. </w:t>
      </w:r>
      <w:r>
        <w:rPr>
          <w:b w:val="false"/>
          <w:sz w:val="28"/>
          <w:szCs w:val="28"/>
        </w:rPr>
        <w:t>Moghadam</w:t>
      </w:r>
      <w:r>
        <w:rPr>
          <w:b w:val="false"/>
          <w:sz w:val="28"/>
          <w:szCs w:val="28"/>
        </w:rPr>
        <w:t xml:space="preserve"> et al. (2020) emphasize that essential oils like lavender and peppermint possess antimicrobial, anxiolytic, and analgesic effects. However, due to their high potency, they must be diluted before use to prevent skin irritation or systemic toxicity.</w:t>
      </w:r>
    </w:p>
    <w:p>
      <w:pPr>
        <w:pStyle w:val="style94"/>
        <w:spacing w:lineRule="auto" w:line="480"/>
        <w:rPr>
          <w:rFonts w:ascii="Calibri" w:eastAsia="SimSun" w:hAnsi="Calibri"/>
          <w:sz w:val="28"/>
          <w:szCs w:val="28"/>
          <w:lang w:eastAsia="zh-CN"/>
        </w:rPr>
      </w:pPr>
    </w:p>
    <w:p>
      <w:pPr>
        <w:pStyle w:val="style94"/>
        <w:spacing w:lineRule="auto" w:line="480"/>
        <w:rPr>
          <w:rFonts w:ascii="Calibri" w:eastAsia="SimSun" w:hAnsi="Calibri"/>
          <w:sz w:val="28"/>
          <w:szCs w:val="28"/>
          <w:lang w:eastAsia="zh-CN"/>
        </w:rPr>
      </w:pPr>
      <w:r>
        <w:rPr>
          <w:rStyle w:val="style87"/>
          <w:sz w:val="28"/>
          <w:szCs w:val="28"/>
        </w:rPr>
        <w:drawing>
          <wp:inline distL="0" distT="0" distB="0" distR="0">
            <wp:extent cx="2476500" cy="3917808"/>
            <wp:effectExtent l="0" t="0" r="0" b="698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2476500" cy="3917808"/>
                    </a:xfrm>
                    <a:prstGeom prst="rect"/>
                  </pic:spPr>
                </pic:pic>
              </a:graphicData>
            </a:graphic>
          </wp:inline>
        </w:drawing>
      </w:r>
    </w:p>
    <w:p>
      <w:pPr>
        <w:pStyle w:val="style94"/>
        <w:spacing w:lineRule="auto" w:line="480"/>
        <w:rPr>
          <w:rFonts w:eastAsia="SimSun"/>
          <w:sz w:val="28"/>
          <w:szCs w:val="28"/>
          <w:lang w:eastAsia="zh-CN"/>
        </w:rPr>
      </w:pPr>
      <w:r>
        <w:rPr>
          <w:rFonts w:eastAsia="SimSun"/>
          <w:sz w:val="28"/>
          <w:szCs w:val="28"/>
          <w:lang w:eastAsia="zh-CN"/>
        </w:rPr>
        <w:t xml:space="preserve">Fig.1 </w:t>
      </w:r>
    </w:p>
    <w:p>
      <w:pPr>
        <w:pStyle w:val="style94"/>
        <w:spacing w:lineRule="auto" w:line="480"/>
        <w:rPr>
          <w:b/>
          <w:bCs/>
          <w:sz w:val="28"/>
          <w:szCs w:val="28"/>
        </w:rPr>
      </w:pPr>
      <w:r>
        <w:rPr>
          <w:rStyle w:val="style87"/>
          <w:b w:val="false"/>
          <w:sz w:val="28"/>
          <w:szCs w:val="28"/>
        </w:rPr>
        <w:t>A visual representation connecting the six types</w:t>
      </w:r>
      <w:r>
        <w:rPr>
          <w:rStyle w:val="style87"/>
          <w:b w:val="false"/>
          <w:sz w:val="28"/>
          <w:szCs w:val="28"/>
        </w:rPr>
        <w:t xml:space="preserve"> (</w:t>
      </w:r>
      <w:r>
        <w:rPr>
          <w:rStyle w:val="style87"/>
          <w:b w:val="false"/>
          <w:bCs w:val="false"/>
          <w:sz w:val="28"/>
          <w:szCs w:val="28"/>
        </w:rPr>
        <w:t>Decoctions, Tinctures,</w:t>
      </w:r>
      <w:r>
        <w:rPr>
          <w:sz w:val="28"/>
          <w:szCs w:val="28"/>
        </w:rPr>
        <w:t xml:space="preserve"> </w:t>
      </w:r>
      <w:r>
        <w:rPr>
          <w:rStyle w:val="style87"/>
          <w:b w:val="false"/>
          <w:bCs w:val="false"/>
          <w:sz w:val="28"/>
          <w:szCs w:val="28"/>
        </w:rPr>
        <w:t>Infusions, Capsules and Tablets, Ointments and Creams,</w:t>
      </w:r>
      <w:r>
        <w:rPr>
          <w:sz w:val="28"/>
          <w:szCs w:val="28"/>
        </w:rPr>
        <w:t xml:space="preserve"> </w:t>
      </w:r>
      <w:r>
        <w:rPr>
          <w:rStyle w:val="style87"/>
          <w:b w:val="false"/>
          <w:bCs w:val="false"/>
          <w:sz w:val="28"/>
          <w:szCs w:val="28"/>
        </w:rPr>
        <w:t xml:space="preserve">Essential </w:t>
      </w:r>
      <w:r>
        <w:rPr>
          <w:rStyle w:val="style87"/>
          <w:b w:val="false"/>
          <w:bCs w:val="false"/>
          <w:sz w:val="28"/>
          <w:szCs w:val="28"/>
        </w:rPr>
        <w:t xml:space="preserve">Oils  </w:t>
      </w:r>
      <w:r>
        <w:rPr>
          <w:rStyle w:val="style87"/>
          <w:b w:val="false"/>
          <w:sz w:val="28"/>
          <w:szCs w:val="28"/>
        </w:rPr>
        <w:t>)</w:t>
      </w:r>
      <w:r>
        <w:rPr>
          <w:rStyle w:val="style87"/>
          <w:b w:val="false"/>
          <w:sz w:val="28"/>
          <w:szCs w:val="28"/>
        </w:rPr>
        <w:t xml:space="preserve"> of herbal medicine with their preparati</w:t>
      </w:r>
      <w:r>
        <w:rPr>
          <w:rStyle w:val="style87"/>
          <w:b w:val="false"/>
          <w:sz w:val="28"/>
          <w:szCs w:val="28"/>
        </w:rPr>
        <w:t>on, uses, and benefits</w:t>
      </w:r>
    </w:p>
    <w:p>
      <w:pPr>
        <w:pStyle w:val="style94"/>
        <w:spacing w:lineRule="auto" w:line="480"/>
        <w:rPr>
          <w:sz w:val="28"/>
          <w:szCs w:val="28"/>
        </w:rPr>
      </w:pPr>
      <w:r>
        <w:rPr>
          <w:sz w:val="28"/>
          <w:szCs w:val="28"/>
        </w:rPr>
        <w:t xml:space="preserve">Source: </w:t>
      </w:r>
      <w:r>
        <w:rPr>
          <w:sz w:val="28"/>
          <w:szCs w:val="28"/>
        </w:rPr>
        <w:t>(</w:t>
      </w:r>
      <w:r>
        <w:rPr>
          <w:sz w:val="28"/>
          <w:szCs w:val="28"/>
        </w:rPr>
        <w:t>Okwu</w:t>
      </w:r>
      <w:r>
        <w:rPr>
          <w:sz w:val="28"/>
          <w:szCs w:val="28"/>
        </w:rPr>
        <w:t xml:space="preserve"> et al., 2021).</w:t>
      </w:r>
    </w:p>
    <w:p>
      <w:pPr>
        <w:pStyle w:val="style94"/>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TWO</w:t>
      </w: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(circa 200 CE), cataloged hundreds of medicinal plants. Ayurveda, originating </w:t>
      </w:r>
      <w:r>
        <w:rPr>
          <w:sz w:val="28"/>
          <w:szCs w:val="28"/>
        </w:rPr>
        <w:t>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w:t>
      </w:r>
      <w:r>
        <w:rPr>
          <w:rFonts w:ascii="Times New Roman" w:hAnsi="Times New Roman"/>
          <w:sz w:val="28"/>
          <w:szCs w:val="28"/>
        </w:rPr>
        <w:t xml:space="preserve">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w:t>
      </w:r>
      <w:r>
        <w:rPr>
          <w:rStyle w:val="style4114"/>
          <w:rFonts w:ascii="Times New Roman" w:hAnsi="Times New Roman"/>
          <w:sz w:val="28"/>
          <w:szCs w:val="28"/>
        </w:rPr>
        <w:t>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w:t>
      </w:r>
      <w:r>
        <w:rPr>
          <w:sz w:val="28"/>
          <w:szCs w:val="28"/>
        </w:rPr>
        <w:t>obtained by alcoholic, acetonic, or aqueous extraction and sometimes without manipulation of seeds, leaves, stem, bark, or roots of these plants (Carrillo Esper et al., 2010).</w:t>
      </w:r>
    </w:p>
    <w:p>
      <w:pPr>
        <w:pStyle w:val="style94"/>
        <w:spacing w:lineRule="auto" w:line="360"/>
        <w:jc w:val="both"/>
        <w:rPr>
          <w:rStyle w:val="style87"/>
          <w:rFonts w:ascii="Times New Roman" w:hAnsi="Times New Roman"/>
          <w:b w:val="false"/>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 (Ernst, 2002).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autoSpaceDE w:val="false"/>
        <w:autoSpaceDN w:val="false"/>
        <w:adjustRightInd w:val="false"/>
        <w:spacing w:before="240" w:lineRule="auto" w:line="480"/>
        <w:jc w:val="both"/>
        <w:rPr>
          <w:rFonts w:ascii="Times New Roman" w:hAnsi="Times New Roman"/>
          <w:sz w:val="28"/>
          <w:szCs w:val="28"/>
        </w:rPr>
      </w:pPr>
    </w:p>
    <w:p>
      <w:pPr>
        <w:pStyle w:val="style0"/>
        <w:spacing w:lineRule="auto" w:line="480"/>
        <w:jc w:val="both"/>
        <w:rPr>
          <w:sz w:val="28"/>
          <w:szCs w:val="28"/>
        </w:rPr>
      </w:pPr>
      <w:r>
        <w:rPr>
          <w:rFonts w:ascii="Times New Roman" w:hAnsi="Times New Roman"/>
          <w:b/>
          <w:sz w:val="28"/>
          <w:szCs w:val="28"/>
        </w:rPr>
        <w:t>2.3 Regulatory Standards for Microbial Loads in Herbal Medicines</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style94"/>
        <w:shd w:val="clear" w:color="auto" w:fill="ffffff"/>
        <w:spacing w:before="0" w:beforeAutospacing="false" w:after="286" w:afterAutospacing="false" w:lineRule="auto" w:line="480"/>
        <w:jc w:val="both"/>
        <w:rPr>
          <w:sz w:val="28"/>
          <w:szCs w:val="28"/>
        </w:rPr>
      </w:pP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pStyle w:val="style0"/>
        <w:spacing w:lineRule="auto" w:line="480"/>
        <w:jc w:val="both"/>
        <w:rPr>
          <w:rFonts w:ascii="Times New Roman" w:hAnsi="Times New Roman"/>
          <w:sz w:val="28"/>
          <w:szCs w:val="28"/>
        </w:rPr>
      </w:pPr>
      <w:r>
        <w:rPr>
          <w:rFonts w:ascii="Times New Roman" w:hAnsi="Times New Roman"/>
          <w:b/>
          <w:sz w:val="28"/>
          <w:szCs w:val="28"/>
        </w:rPr>
        <w:t>2.4 Health Implication of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 xml:space="preserve">antioxidant, anti-inflammatory, antimicrobial, and </w:t>
      </w:r>
      <w:r>
        <w:rPr>
          <w:rFonts w:ascii="Times New Roman" w:hAnsi="Times New Roman"/>
          <w:bCs/>
          <w:sz w:val="28"/>
          <w:szCs w:val="28"/>
        </w:rPr>
        <w:t>immunomodulatory</w:t>
      </w:r>
      <w:r>
        <w:rPr>
          <w:rFonts w:ascii="Times New Roman" w:hAnsi="Times New Roman"/>
          <w:sz w:val="28"/>
          <w:szCs w:val="28"/>
        </w:rPr>
        <w:t xml:space="preserve"> activities of various herbs, which can contribute positively to health when used appropriately (</w:t>
      </w:r>
      <w:r>
        <w:rPr>
          <w:rFonts w:ascii="Times New Roman" w:hAnsi="Times New Roman"/>
          <w:sz w:val="28"/>
          <w:szCs w:val="28"/>
        </w:rPr>
        <w:t>Abubakar</w:t>
      </w:r>
      <w:r>
        <w:rPr>
          <w:rFonts w:ascii="Times New Roman" w:hAnsi="Times New Roman"/>
          <w:sz w:val="28"/>
          <w:szCs w:val="28"/>
        </w:rPr>
        <w:t xml:space="preserve"> &amp; </w:t>
      </w:r>
      <w:r>
        <w:rPr>
          <w:rFonts w:ascii="Times New Roman" w:hAnsi="Times New Roman"/>
          <w:sz w:val="28"/>
          <w:szCs w:val="28"/>
        </w:rPr>
        <w:t>Haque</w:t>
      </w:r>
      <w:r>
        <w:rPr>
          <w:rFonts w:ascii="Times New Roman" w:hAnsi="Times New Roman"/>
          <w:sz w:val="28"/>
          <w:szCs w:val="28"/>
        </w:rPr>
        <w:t xml:space="preserve">, 2020). For instance, compounds like flavonoids, alkaloids, and </w:t>
      </w:r>
      <w:r>
        <w:rPr>
          <w:rFonts w:ascii="Times New Roman" w:hAnsi="Times New Roman"/>
          <w:sz w:val="28"/>
          <w:szCs w:val="28"/>
        </w:rPr>
        <w:t>terpenoids</w:t>
      </w:r>
      <w:r>
        <w:rPr>
          <w:rFonts w:ascii="Times New Roman" w:hAnsi="Times New Roman"/>
          <w:sz w:val="28"/>
          <w:szCs w:val="28"/>
        </w:rPr>
        <w:t xml:space="preserve"> found in many medicinal herbs help neutralize free radicals, support immune responses, and reduce oxidative stress.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w:t>
      </w:r>
      <w:r>
        <w:rPr>
          <w:rFonts w:ascii="Times New Roman" w:hAnsi="Times New Roman"/>
          <w:sz w:val="28"/>
          <w:szCs w:val="28"/>
        </w:rPr>
        <w:t xml:space="preserve">herbal products sold in markets </w:t>
      </w:r>
      <w:r>
        <w:rPr>
          <w:rFonts w:ascii="Times New Roman" w:hAnsi="Times New Roman"/>
          <w:sz w:val="28"/>
          <w:szCs w:val="28"/>
        </w:rPr>
        <w:t xml:space="preserve">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w:t>
      </w:r>
      <w:r>
        <w:rPr>
          <w:rFonts w:ascii="Times New Roman" w:hAnsi="Times New Roman"/>
          <w:sz w:val="28"/>
          <w:szCs w:val="28"/>
        </w:rPr>
        <w:t>Okwu</w:t>
      </w:r>
      <w:r>
        <w:rPr>
          <w:rFonts w:ascii="Times New Roman" w:hAnsi="Times New Roman"/>
          <w:sz w:val="28"/>
          <w:szCs w:val="28"/>
        </w:rPr>
        <w:t xml:space="preserve">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xml:space="preserve">, thereby reducing drug efficacy or increasing toxicity. For example, herbs like St. John's </w:t>
      </w:r>
      <w:r>
        <w:rPr>
          <w:rFonts w:ascii="Times New Roman" w:hAnsi="Times New Roman"/>
          <w:sz w:val="28"/>
          <w:szCs w:val="28"/>
        </w:rPr>
        <w:t>wort</w:t>
      </w:r>
      <w:r>
        <w:rPr>
          <w:rFonts w:ascii="Times New Roman" w:hAnsi="Times New Roman"/>
          <w:sz w:val="28"/>
          <w:szCs w:val="28"/>
        </w:rPr>
        <w:t xml:space="preserve"> and ginseng are known to interfere with drugs metabolized by liver enzymes, leading to therapeutic failure or adverse effects (</w:t>
      </w:r>
      <w:r>
        <w:rPr>
          <w:rFonts w:ascii="Times New Roman" w:hAnsi="Times New Roman"/>
          <w:sz w:val="28"/>
          <w:szCs w:val="28"/>
        </w:rPr>
        <w:t>Moghadam</w:t>
      </w:r>
      <w:r>
        <w:rPr>
          <w:rFonts w:ascii="Times New Roman" w:hAnsi="Times New Roman"/>
          <w:sz w:val="28"/>
          <w:szCs w:val="28"/>
        </w:rPr>
        <w:t xml:space="preserve"> et al., 2020). Unfortunately, many patients do not disclose their use of herbal remedies to healthcare providers, increasing the likelihood of preventable complications during treatment.</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w:t>
      </w:r>
      <w:r>
        <w:rPr>
          <w:rFonts w:ascii="Times New Roman" w:hAnsi="Times New Roman"/>
          <w:sz w:val="28"/>
          <w:szCs w:val="28"/>
        </w:rPr>
        <w:t>aristolochia</w:t>
      </w:r>
      <w:r>
        <w:rPr>
          <w:rFonts w:ascii="Times New Roman" w:hAnsi="Times New Roman"/>
          <w:sz w:val="28"/>
          <w:szCs w:val="28"/>
        </w:rPr>
        <w:t xml:space="preserve">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w:t>
      </w:r>
      <w:r>
        <w:rPr>
          <w:rFonts w:ascii="Times New Roman" w:hAnsi="Times New Roman"/>
          <w:sz w:val="28"/>
          <w:szCs w:val="28"/>
        </w:rPr>
        <w:t>Chikezie</w:t>
      </w:r>
      <w:r>
        <w:rPr>
          <w:rFonts w:ascii="Times New Roman" w:hAnsi="Times New Roman"/>
          <w:sz w:val="28"/>
          <w:szCs w:val="28"/>
        </w:rPr>
        <w:t xml:space="preserv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w:t>
      </w:r>
      <w:r>
        <w:rPr>
          <w:rFonts w:ascii="Times New Roman" w:hAnsi="Times New Roman"/>
          <w:sz w:val="28"/>
          <w:szCs w:val="28"/>
        </w:rPr>
        <w:t>Akinmoladun</w:t>
      </w:r>
      <w:r>
        <w:rPr>
          <w:rFonts w:ascii="Times New Roman" w:hAnsi="Times New Roman"/>
          <w:sz w:val="28"/>
          <w:szCs w:val="28"/>
        </w:rPr>
        <w:t xml:space="preserve"> et al., 2020). Integrating traditional knowledge with modern clinical practices may help maximize the benefits of herbal medicines while minimizing health risks.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THREE</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0"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0"/>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1"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2"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2"/>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3"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4" w:name="_Toc84222888"/>
    <w:bookmarkStart w:id="5"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4"/>
      <w:bookmarkEnd w:id="5"/>
    </w:p>
    <w:bookmarkStart w:id="6"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7" w:name="_Toc169941714"/>
    <w:bookmarkStart w:id="8"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7"/>
    </w:p>
    <w:bookmarkEnd w:id="8"/>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9"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9"/>
    </w:p>
    <w:bookmarkStart w:id="10"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0"/>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1" w:name="_Toc169941717"/>
    <w:p>
      <w:pPr>
        <w:pStyle w:val="style3"/>
        <w:spacing w:before="0" w:after="0" w:lineRule="auto" w:line="480"/>
        <w:rPr>
          <w:b w:val="false"/>
          <w:bCs w:val="false"/>
          <w:sz w:val="28"/>
          <w:szCs w:val="28"/>
        </w:rPr>
      </w:pPr>
      <w:r>
        <w:rPr>
          <w:sz w:val="28"/>
          <w:szCs w:val="28"/>
        </w:rPr>
        <w:t>3.7.2</w:t>
      </w:r>
      <w:bookmarkStart w:id="12" w:name="_Toc84222896"/>
      <w:r>
        <w:rPr>
          <w:sz w:val="28"/>
          <w:szCs w:val="28"/>
        </w:rPr>
        <w:tab/>
      </w:r>
      <w:r>
        <w:rPr>
          <w:sz w:val="28"/>
          <w:szCs w:val="28"/>
        </w:rPr>
        <w:t>Gram Staining</w:t>
      </w:r>
      <w:bookmarkEnd w:id="11"/>
      <w:bookmarkEnd w:id="12"/>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3" w:name="_Toc84222897"/>
    <w:bookmarkStart w:id="14"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3"/>
      <w:bookmarkEnd w:id="1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5" w:name="_Toc84222898"/>
    <w:bookmarkStart w:id="16"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5"/>
      <w:bookmarkEnd w:id="16"/>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bookmarkStart w:id="18"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19" w:name="_Toc84222900"/>
      <w:bookmarkStart w:id="20" w:name="_Toc82388610"/>
      <w:bookmarkEnd w:id="17"/>
      <w:bookmarkEnd w:id="18"/>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eastAsia="Times New Roman" w:hAnsi="Times New Roman"/>
          <w:color w:val="000000"/>
          <w:sz w:val="28"/>
          <w:szCs w:val="28"/>
        </w:rPr>
        <w:t>Goodacre</w:t>
      </w:r>
      <w:r>
        <w:rPr>
          <w:rFonts w:ascii="Times New Roman" w:eastAsia="Times New Roman" w:hAnsi="Times New Roman"/>
          <w:color w:val="000000"/>
          <w:sz w:val="28"/>
          <w:szCs w:val="28"/>
        </w:rPr>
        <w:t>, 2016).</w:t>
      </w:r>
      <w:bookmarkStart w:id="21" w:name="_Toc169941721"/>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19"/>
      <w:bookmarkEnd w:id="20"/>
      <w:bookmarkEnd w:id="21"/>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w:t>
      </w:r>
      <w:r>
        <w:rPr>
          <w:rFonts w:ascii="Times New Roman" w:eastAsia="Times New Roman" w:hAnsi="Times New Roman"/>
          <w:color w:val="000000"/>
          <w:sz w:val="28"/>
          <w:szCs w:val="28"/>
        </w:rPr>
        <w:t xml:space="preserve">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2" w:name="_Toc84222902"/>
    <w:bookmarkStart w:id="23" w:name="_Toc49215409"/>
    <w:bookmarkStart w:id="24" w:name="_Toc82388613"/>
    <w:bookmarkStart w:id="25"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6" w:name="_Toc84222903"/>
      <w:bookmarkStart w:id="27" w:name="_Toc169941723"/>
      <w:bookmarkEnd w:id="22"/>
      <w:bookmarkEnd w:id="23"/>
      <w:bookmarkEnd w:id="24"/>
      <w:bookmarkEnd w:id="25"/>
      <w:r>
        <w:rPr>
          <w:sz w:val="28"/>
          <w:szCs w:val="28"/>
        </w:rPr>
        <w:t>Citrate Test</w:t>
      </w:r>
      <w:bookmarkEnd w:id="26"/>
      <w:bookmarkEnd w:id="27"/>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eastAsia="Times New Roman" w:hAnsi="Times New Roman"/>
          <w:color w:val="000000"/>
          <w:sz w:val="28"/>
          <w:szCs w:val="28"/>
        </w:rPr>
        <w:t>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8" w:name="_Toc109025368"/>
    <w:bookmarkStart w:id="29"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8"/>
      <w:bookmarkEnd w:id="29"/>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0"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1" w:name="_Toc109025370"/>
    <w:bookmarkStart w:id="32"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1"/>
      <w:bookmarkEnd w:id="32"/>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3"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3"/>
    </w:p>
    <w:bookmarkStart w:id="34"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5" w:name="_Toc169941627"/>
    <w:bookmarkEnd w:id="34"/>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5"/>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6"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7"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7"/>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8"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8"/>
    </w:p>
    <w:bookmarkStart w:id="39"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39"/>
          </w:p>
          <w:bookmarkStart w:id="40"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0"/>
          </w:p>
          <w:bookmarkStart w:id="41"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1"/>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2"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2"/>
    </w:p>
    <w:bookmarkStart w:id="43"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45" w:name="_GoBack"/>
    <w:bookmarkEnd w:id="45"/>
    <w:p>
      <w:pPr>
        <w:pStyle w:val="style0"/>
        <w:spacing w:lineRule="auto" w:line="480"/>
        <w:jc w:val="center"/>
        <w:rPr>
          <w:rFonts w:ascii="Times New Roman" w:hAnsi="Times New Roman"/>
          <w:b/>
          <w:sz w:val="28"/>
          <w:szCs w:val="28"/>
        </w:rPr>
      </w:pPr>
    </w:p>
    <w:p>
      <w:pPr>
        <w:pStyle w:val="style0"/>
        <w:spacing w:lineRule="auto" w:line="480"/>
        <w:jc w:val="center"/>
        <w:rPr>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style94"/>
        <w:spacing w:lineRule="auto" w:line="480"/>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style94"/>
        <w:spacing w:lineRule="auto" w:line="480"/>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style94"/>
        <w:spacing w:lineRule="auto" w:line="480"/>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style94"/>
        <w:spacing w:lineRule="auto" w:line="480"/>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style94"/>
        <w:spacing w:lineRule="auto" w:line="480"/>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style94"/>
        <w:spacing w:lineRule="auto" w:line="480"/>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style94"/>
        <w:spacing w:lineRule="auto" w:line="480"/>
        <w:ind w:left="567" w:hanging="567"/>
        <w:jc w:val="both"/>
        <w:rPr>
          <w:sz w:val="28"/>
          <w:szCs w:val="28"/>
        </w:rPr>
      </w:pPr>
      <w:r>
        <w:rPr>
          <w:sz w:val="28"/>
          <w:szCs w:val="28"/>
          <w:lang w:val="en-US"/>
        </w:rPr>
        <w:t>Balick, M. J., &amp; Cox, P. A. (1996). Plants, People, and Culture: The Science of Ethnobotany. Scientific American Library.</w:t>
      </w:r>
    </w:p>
    <w:p>
      <w:pPr>
        <w:pStyle w:val="style94"/>
        <w:spacing w:lineRule="auto" w:line="480"/>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style94"/>
        <w:spacing w:lineRule="auto" w:line="480"/>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style94"/>
        <w:spacing w:lineRule="auto" w:line="480"/>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style94"/>
        <w:spacing w:lineRule="auto" w:line="480"/>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style94"/>
        <w:spacing w:lineRule="auto" w:line="480"/>
        <w:ind w:left="567" w:hanging="567"/>
        <w:jc w:val="both"/>
        <w:rPr>
          <w:sz w:val="28"/>
          <w:szCs w:val="28"/>
        </w:rPr>
      </w:pPr>
      <w:r>
        <w:rPr>
          <w:sz w:val="28"/>
          <w:szCs w:val="28"/>
          <w:lang w:val="en-US"/>
        </w:rPr>
        <w:t>Duan, Q., Zhou, M., Zhu, L., &amp; Zhu, G. (2011). Flagella and bacterial pathogenicity. Journal of Basic Microbiology, 53, 1–8.</w:t>
      </w:r>
    </w:p>
    <w:p>
      <w:pPr>
        <w:pStyle w:val="style94"/>
        <w:spacing w:lineRule="auto" w:line="480"/>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style94"/>
        <w:spacing w:lineRule="auto" w:line="480"/>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style94"/>
        <w:spacing w:lineRule="auto" w:line="480"/>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style94"/>
        <w:spacing w:lineRule="auto" w:line="480"/>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style94"/>
        <w:spacing w:lineRule="auto" w:line="480"/>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style94"/>
        <w:spacing w:lineRule="auto" w:line="480"/>
        <w:ind w:left="567" w:hanging="567"/>
        <w:jc w:val="both"/>
        <w:rPr>
          <w:sz w:val="28"/>
          <w:szCs w:val="28"/>
        </w:rPr>
      </w:pPr>
      <w:r>
        <w:rPr>
          <w:sz w:val="28"/>
          <w:szCs w:val="28"/>
          <w:lang w:val="en-US"/>
        </w:rPr>
        <w:t>Islam, M. R. (2018). Microbiological techniques in pharmacognosy. Asian Journal of Biomedical Sciences, 4(2), 34–39.</w:t>
      </w:r>
    </w:p>
    <w:p>
      <w:pPr>
        <w:pStyle w:val="style94"/>
        <w:spacing w:lineRule="auto" w:line="480"/>
        <w:ind w:left="567" w:hanging="567"/>
        <w:jc w:val="both"/>
        <w:rPr>
          <w:sz w:val="28"/>
          <w:szCs w:val="28"/>
        </w:rPr>
      </w:pPr>
      <w:r>
        <w:rPr>
          <w:sz w:val="28"/>
          <w:szCs w:val="28"/>
          <w:lang w:val="en-US"/>
        </w:rPr>
        <w:t>Klayman, D. L. (1985). Qinghaosu (artemisinin): An antimalarial drug from China. Science, 228(4703), 1049–1055.</w:t>
      </w:r>
    </w:p>
    <w:p>
      <w:pPr>
        <w:pStyle w:val="style94"/>
        <w:spacing w:lineRule="auto" w:line="480"/>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style94"/>
        <w:spacing w:lineRule="auto" w:line="480"/>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style94"/>
        <w:spacing w:lineRule="auto" w:line="480"/>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style94"/>
        <w:spacing w:lineRule="auto" w:line="480"/>
        <w:ind w:left="567" w:hanging="567"/>
        <w:jc w:val="both"/>
        <w:rPr>
          <w:sz w:val="28"/>
          <w:szCs w:val="28"/>
        </w:rPr>
      </w:pPr>
      <w:r>
        <w:rPr>
          <w:sz w:val="28"/>
          <w:szCs w:val="28"/>
          <w:lang w:val="en-US"/>
        </w:rPr>
        <w:t>Martins, H. M., et al. (2012). Mycobiota and mycotoxins in medicinal plants. Microbiological Research, 167(4), 223–230.</w:t>
      </w:r>
    </w:p>
    <w:p>
      <w:pPr>
        <w:pStyle w:val="style94"/>
        <w:spacing w:lineRule="auto" w:line="480"/>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style94"/>
        <w:spacing w:lineRule="auto" w:line="480"/>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style94"/>
        <w:spacing w:lineRule="auto" w:line="480"/>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style94"/>
        <w:spacing w:lineRule="auto" w:line="480"/>
        <w:ind w:left="567" w:hanging="567"/>
        <w:jc w:val="both"/>
        <w:rPr>
          <w:sz w:val="28"/>
          <w:szCs w:val="28"/>
        </w:rPr>
      </w:pPr>
      <w:r>
        <w:rPr>
          <w:sz w:val="28"/>
          <w:szCs w:val="28"/>
          <w:lang w:val="en-US"/>
        </w:rPr>
        <w:t>Nunn, J. F. (2002). Ancient Egyptian Medicine. University of Oklahoma Press.</w:t>
      </w:r>
    </w:p>
    <w:p>
      <w:pPr>
        <w:pStyle w:val="style94"/>
        <w:spacing w:lineRule="auto" w:line="480"/>
        <w:ind w:left="567" w:hanging="567"/>
        <w:jc w:val="both"/>
        <w:rPr>
          <w:sz w:val="28"/>
          <w:szCs w:val="28"/>
        </w:rPr>
      </w:pPr>
      <w:r>
        <w:rPr>
          <w:sz w:val="28"/>
          <w:szCs w:val="28"/>
          <w:lang w:val="en-US"/>
        </w:rPr>
        <w:t>Odhiambo, P. (2023). How traditional medicines find pathway into modern healthcare. TRT Afrika.</w:t>
      </w:r>
    </w:p>
    <w:p>
      <w:pPr>
        <w:pStyle w:val="style94"/>
        <w:spacing w:lineRule="auto" w:line="480"/>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style94"/>
        <w:spacing w:lineRule="auto" w:line="480"/>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style94"/>
        <w:spacing w:lineRule="auto" w:line="480"/>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style94"/>
        <w:spacing w:lineRule="auto" w:line="480"/>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style94"/>
        <w:spacing w:lineRule="auto" w:line="480"/>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style94"/>
        <w:spacing w:lineRule="auto" w:line="480"/>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style94"/>
        <w:spacing w:lineRule="auto" w:line="480"/>
        <w:ind w:left="567" w:hanging="567"/>
        <w:jc w:val="both"/>
        <w:rPr>
          <w:sz w:val="28"/>
          <w:szCs w:val="28"/>
        </w:rPr>
      </w:pPr>
      <w:r>
        <w:rPr>
          <w:sz w:val="28"/>
          <w:szCs w:val="28"/>
          <w:lang w:val="en-US"/>
        </w:rPr>
        <w:t>Petrovska, B. B. (2012). Historical review of medicinal plants’ usage. Pharmacognosy Reviews, 6(11), 1–5.</w:t>
      </w:r>
    </w:p>
    <w:p>
      <w:pPr>
        <w:pStyle w:val="style94"/>
        <w:spacing w:lineRule="auto" w:line="480"/>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style94"/>
        <w:spacing w:lineRule="auto" w:line="480"/>
        <w:ind w:left="567" w:hanging="567"/>
        <w:jc w:val="both"/>
        <w:rPr>
          <w:sz w:val="28"/>
          <w:szCs w:val="28"/>
        </w:rPr>
      </w:pPr>
      <w:r>
        <w:rPr>
          <w:sz w:val="28"/>
          <w:szCs w:val="28"/>
          <w:lang w:val="en-US"/>
        </w:rPr>
        <w:t>Rates, S. M. (2001). Plants as source of drugs. Toxicon, 39(5), 603–613.</w:t>
      </w:r>
    </w:p>
    <w:p>
      <w:pPr>
        <w:pStyle w:val="style94"/>
        <w:spacing w:lineRule="auto" w:line="480"/>
        <w:ind w:left="567" w:hanging="567"/>
        <w:jc w:val="both"/>
        <w:rPr>
          <w:sz w:val="28"/>
          <w:szCs w:val="28"/>
        </w:rPr>
      </w:pPr>
      <w:r>
        <w:rPr>
          <w:sz w:val="28"/>
          <w:szCs w:val="28"/>
          <w:lang w:val="en-US"/>
        </w:rPr>
        <w:t>Rios, J. L., &amp; Recio, M. C. (2005). Medicinal plants and antimicrobial activity. Journal of Ethnopharmacology, 100(1–2), 80–84.</w:t>
      </w:r>
    </w:p>
    <w:p>
      <w:pPr>
        <w:pStyle w:val="style94"/>
        <w:spacing w:lineRule="auto" w:line="480"/>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style94"/>
        <w:spacing w:lineRule="auto" w:line="480"/>
        <w:ind w:left="567" w:hanging="567"/>
        <w:jc w:val="both"/>
        <w:rPr>
          <w:sz w:val="28"/>
          <w:szCs w:val="28"/>
        </w:rPr>
      </w:pPr>
      <w:r>
        <w:rPr>
          <w:sz w:val="28"/>
          <w:szCs w:val="28"/>
          <w:lang w:val="en-US"/>
        </w:rPr>
        <w:t>Samuelsson, G. (2004). Drugs of Natural Origin: A Textbook of Pharmacognosy (5th ed.). Swedish Pharmaceutical Press.</w:t>
      </w:r>
    </w:p>
    <w:p>
      <w:pPr>
        <w:pStyle w:val="style94"/>
        <w:spacing w:lineRule="auto" w:line="480"/>
        <w:ind w:left="567" w:hanging="567"/>
        <w:jc w:val="both"/>
        <w:rPr>
          <w:sz w:val="28"/>
          <w:szCs w:val="28"/>
        </w:rPr>
      </w:pPr>
      <w:r>
        <w:rPr>
          <w:sz w:val="28"/>
          <w:szCs w:val="28"/>
          <w:lang w:val="en-US"/>
        </w:rPr>
        <w:t>Scarborough, J. (1978). Roman Medicine. Cornell University Press.</w:t>
      </w:r>
    </w:p>
    <w:p>
      <w:pPr>
        <w:pStyle w:val="style94"/>
        <w:spacing w:lineRule="auto" w:line="480"/>
        <w:ind w:left="567" w:hanging="567"/>
        <w:jc w:val="both"/>
        <w:rPr>
          <w:sz w:val="28"/>
          <w:szCs w:val="28"/>
        </w:rPr>
      </w:pPr>
      <w:r>
        <w:rPr>
          <w:sz w:val="28"/>
          <w:szCs w:val="28"/>
          <w:lang w:val="en-US"/>
        </w:rPr>
        <w:t>Solecki, R. S. (1975). Shanidar IV, a Neanderthal flower burial in northern Iraq. Science, 190(4217), 880–881.</w:t>
      </w:r>
    </w:p>
    <w:p>
      <w:pPr>
        <w:pStyle w:val="style94"/>
        <w:spacing w:lineRule="auto" w:line="480"/>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style94"/>
        <w:spacing w:lineRule="auto" w:line="480"/>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style94"/>
        <w:spacing w:lineRule="auto" w:line="480"/>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style94"/>
        <w:spacing w:lineRule="auto" w:line="480"/>
        <w:ind w:left="567" w:hanging="567"/>
        <w:jc w:val="both"/>
        <w:rPr>
          <w:sz w:val="28"/>
          <w:szCs w:val="28"/>
        </w:rPr>
      </w:pPr>
      <w:r>
        <w:rPr>
          <w:sz w:val="28"/>
          <w:szCs w:val="28"/>
          <w:lang w:val="en-US"/>
        </w:rPr>
        <w:t>World Health Organization (WHO). (2002). Traditional medicine: Growing needs and potential. Fact Sheet No. 134.</w:t>
      </w:r>
    </w:p>
    <w:p>
      <w:pPr>
        <w:pStyle w:val="style94"/>
        <w:spacing w:lineRule="auto" w:line="480"/>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style94"/>
        <w:spacing w:lineRule="auto" w:line="480"/>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lang w:val="en-US"/>
        </w:rPr>
        <w:t>World Health Organization (WHO). (2013). Traditional Medicine Strategy: 2014–2023. Geneva.</w:t>
      </w:r>
    </w:p>
    <w:p>
      <w:pPr>
        <w:pStyle w:val="style94"/>
        <w:spacing w:lineRule="auto" w:line="480"/>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style94"/>
        <w:spacing w:lineRule="auto" w:line="480"/>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style94"/>
        <w:spacing w:lineRule="auto" w:line="480"/>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abstractNum w:abstractNumId="18">
    <w:nsid w:val="00000012"/>
    <w:multiLevelType w:val="hybridMultilevel"/>
    <w:tmpl w:val="10FC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 w:numId="22">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09265150-c858-4a39-8831-e50b31f1724a"/>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cdda697f-55b4-4f2c-a576-dcb853f10cf1"/>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78c5b755-668b-4548-8071-e5886df183a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7781d9a6-859a-4703-abaf-1065a6d27b8b"/>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68141f0c-1527-44a9-92bf-56a863e98999"/>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5a63b276-8d30-4802-bb1b-142891d4bb66"/>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8838</Words>
  <Pages>60</Pages>
  <Characters>51645</Characters>
  <Application>WPS Office</Application>
  <DocSecurity>0</DocSecurity>
  <Paragraphs>517</Paragraphs>
  <ScaleCrop>false</ScaleCrop>
  <LinksUpToDate>false</LinksUpToDate>
  <CharactersWithSpaces>60760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2025-07-03T16:08:00Z</dcterms:created>
  <dc:creator>23106RN0DA</dc:creator>
  <lastModifiedBy>Infinix X6817</lastModifiedBy>
  <dcterms:modified xsi:type="dcterms:W3CDTF">2025-07-04T16:59:40Z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8b605840680447f2ab361d58f29bc5c5</vt:lpwstr>
  </property>
</Properties>
</file>