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B90434A"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Pr="00657927">
        <w:rPr>
          <w:rFonts w:ascii="Arial Black" w:eastAsia="Times New Roman" w:hAnsi="Arial Black" w:cs="Times New Roman"/>
          <w:b/>
          <w:sz w:val="36"/>
          <w:szCs w:val="36"/>
        </w:rPr>
        <w:t>EFFECT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436DDEBB" w:rsidR="00657927" w:rsidRPr="00657927" w:rsidRDefault="00657927"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 xml:space="preserve"> </w:t>
      </w:r>
      <w:r w:rsidR="00C118AD">
        <w:rPr>
          <w:rFonts w:ascii="Arial Black" w:eastAsia="Corsiva" w:hAnsi="Arial Black" w:cs="Corsiva"/>
          <w:b/>
          <w:i/>
          <w:sz w:val="36"/>
          <w:szCs w:val="36"/>
        </w:rPr>
        <w:t>HUSSIN ZEENAT BOLUWATIFE</w:t>
      </w:r>
    </w:p>
    <w:p w14:paraId="3B8E9AF8" w14:textId="50726DDC"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Pr>
          <w:rFonts w:ascii="Arial Black" w:eastAsia="Bookman Old Style" w:hAnsi="Arial Black" w:cs="Bookman Old Style"/>
          <w:b/>
          <w:sz w:val="32"/>
          <w:szCs w:val="32"/>
        </w:rPr>
        <w:t>0</w:t>
      </w:r>
      <w:r w:rsidR="005B5511">
        <w:rPr>
          <w:rFonts w:ascii="Arial Black" w:eastAsia="Bookman Old Style" w:hAnsi="Arial Black" w:cs="Bookman Old Style"/>
          <w:b/>
          <w:sz w:val="32"/>
          <w:szCs w:val="32"/>
        </w:rPr>
        <w:t>952</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5ED60BBE"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C118AD">
        <w:rPr>
          <w:rFonts w:ascii="Calibri" w:eastAsia="Calibri" w:hAnsi="Calibri" w:cs="Calibri"/>
          <w:b/>
          <w:sz w:val="26"/>
          <w:szCs w:val="26"/>
        </w:rPr>
        <w:t>S. BOLARIN  K</w:t>
      </w:r>
      <w:r w:rsidRPr="00657927">
        <w:rPr>
          <w:rFonts w:ascii="Calibri" w:eastAsia="Calibri" w:hAnsi="Calibri" w:cs="Calibri"/>
          <w:b/>
          <w:sz w:val="26"/>
          <w:szCs w:val="26"/>
        </w:rPr>
        <w:t xml:space="preserve">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  and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w:t>
      </w:r>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Collection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w:t>
      </w:r>
      <w:r w:rsidR="00F83599" w:rsidRPr="00E16323">
        <w:rPr>
          <w:rFonts w:ascii="Times New Roman" w:eastAsia="Times New Roman" w:hAnsi="Times New Roman" w:cs="Times New Roman"/>
          <w:sz w:val="24"/>
          <w:szCs w:val="24"/>
        </w:rPr>
        <w:lastRenderedPageBreak/>
        <w:t>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(Barbaroux,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ever increasing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Femstar \Nigeria</w:t>
      </w:r>
      <w:r w:rsidR="00801EF1" w:rsidRPr="00E16323">
        <w:rPr>
          <w:rFonts w:ascii="Times New Roman" w:eastAsia="Times New Roman" w:hAnsi="Times New Roman" w:cs="Times New Roman"/>
          <w:sz w:val="24"/>
          <w:szCs w:val="24"/>
        </w:rPr>
        <w:t xml:space="preserve"> Ltd, makers of Limca, Goldspot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each others’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Femstar Nigeria Ltd</w:t>
      </w:r>
      <w:r w:rsidR="002F49C2">
        <w:rPr>
          <w:rFonts w:ascii="Times New Roman" w:eastAsia="Times New Roman" w:hAnsi="Times New Roman" w:cs="Times New Roman"/>
          <w:sz w:val="24"/>
          <w:szCs w:val="24"/>
        </w:rPr>
        <w:t xml:space="preserve"> makers of Limca, Goldspot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 xml:space="preserve">,e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ever changing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s an ever present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Claver (2011)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change </w:t>
      </w:r>
      <w:r w:rsidRPr="00E16323">
        <w:rPr>
          <w:rFonts w:ascii="Times New Roman" w:eastAsia="Times New Roman" w:hAnsi="Times New Roman" w:cs="Times New Roman"/>
          <w:sz w:val="24"/>
          <w:szCs w:val="24"/>
        </w:rPr>
        <w:t xml:space="preserve"> as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is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Olakemi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as this suggest,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w:t>
      </w:r>
      <w:r w:rsidRPr="00E16323">
        <w:rPr>
          <w:rFonts w:ascii="Times New Roman" w:eastAsia="Times New Roman" w:hAnsi="Times New Roman" w:cs="Times New Roman"/>
          <w:sz w:val="24"/>
          <w:szCs w:val="24"/>
        </w:rPr>
        <w:lastRenderedPageBreak/>
        <w:t>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es. For instance, Michael (2007),</w:t>
      </w:r>
      <w:r w:rsidRPr="00E16323">
        <w:rPr>
          <w:rFonts w:ascii="Times New Roman" w:hAnsi="Times New Roman" w:cs="Times New Roman"/>
          <w:sz w:val="24"/>
          <w:szCs w:val="24"/>
        </w:rPr>
        <w:t xml:space="preserve"> posited that stages of change are denial, resistance, conflict, and </w:t>
      </w:r>
      <w:r w:rsidRPr="00E16323">
        <w:rPr>
          <w:rFonts w:ascii="Times New Roman" w:hAnsi="Times New Roman" w:cs="Times New Roman"/>
          <w:sz w:val="24"/>
          <w:szCs w:val="24"/>
        </w:rPr>
        <w:lastRenderedPageBreak/>
        <w:t xml:space="preserve">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w:t>
      </w:r>
      <w:r w:rsidRPr="00E16323">
        <w:rPr>
          <w:rFonts w:ascii="Times New Roman" w:hAnsi="Times New Roman" w:cs="Times New Roman"/>
          <w:sz w:val="24"/>
          <w:szCs w:val="24"/>
        </w:rPr>
        <w:lastRenderedPageBreak/>
        <w:t xml:space="preserve">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lastRenderedPageBreak/>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sidRPr="00E16323">
        <w:rPr>
          <w:rFonts w:ascii="Times New Roman" w:hAnsi="Times New Roman" w:cs="Times New Roman"/>
          <w:sz w:val="24"/>
          <w:szCs w:val="24"/>
        </w:rPr>
        <w:lastRenderedPageBreak/>
        <w:t xml:space="preserve">approach employees during change. When workers are lead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lastRenderedPageBreak/>
        <w:t>Workers apprehend technological unemployment. New technology is expected to reduce the proportion of labour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w:t>
      </w:r>
      <w:r w:rsidRPr="00E16323">
        <w:rPr>
          <w:rFonts w:ascii="Times New Roman" w:eastAsia="Times New Roman" w:hAnsi="Times New Roman" w:cs="Times New Roman"/>
          <w:sz w:val="24"/>
          <w:szCs w:val="24"/>
        </w:rPr>
        <w:lastRenderedPageBreak/>
        <w:t>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As mentioned earlier, if the benefits of change are explained and by persuading that the change does not involve downsizing or other in rooles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and giving a sense of ownership to managers and taking thir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Personal loss/gain of individuals is acknowledge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r>
        <w:rPr>
          <w:rFonts w:ascii="Times New Roman" w:hAnsi="Times New Roman" w:cs="Times New Roman"/>
          <w:sz w:val="24"/>
          <w:szCs w:val="24"/>
        </w:rPr>
        <w:t>Upadhaya</w:t>
      </w:r>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no matter what mission, strategies, or goals are being pursued. Managers at all organizational echelons and in all work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hile, three of these employees</w:t>
      </w:r>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Change for any individual or </w:t>
      </w:r>
      <w:r w:rsidRPr="00E16323">
        <w:rPr>
          <w:rFonts w:ascii="Times New Roman" w:hAnsi="Times New Roman" w:cs="Times New Roman"/>
          <w:sz w:val="24"/>
          <w:szCs w:val="24"/>
        </w:rPr>
        <w:t xml:space="preserve"> organization is a complicated journey which may not </w:t>
      </w:r>
      <w:r w:rsidRPr="00E16323">
        <w:rPr>
          <w:rFonts w:ascii="Times New Roman" w:hAnsi="Times New Roman" w:cs="Times New Roman"/>
          <w:sz w:val="24"/>
          <w:szCs w:val="24"/>
        </w:rPr>
        <w:lastRenderedPageBreak/>
        <w:t>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w:t>
      </w:r>
      <w:r w:rsidRPr="00E16323">
        <w:lastRenderedPageBreak/>
        <w:t>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Femstar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ions of Femstar</w:t>
      </w:r>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 xml:space="preserve">cing the business </w:t>
      </w:r>
      <w:r w:rsidR="00AC664D" w:rsidRPr="00E16323">
        <w:lastRenderedPageBreak/>
        <w:t>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Focus on the short term goals</w:t>
      </w:r>
      <w:r w:rsidR="009859D0" w:rsidRPr="00A87BA8">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conducted 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 xml:space="preserve">concluded that change has now become a regular feature of business life </w:t>
      </w:r>
      <w:r w:rsidR="005265AB" w:rsidRPr="00E16323">
        <w:rPr>
          <w:rFonts w:ascii="Times New Roman" w:eastAsia="Times New Roman" w:hAnsi="Times New Roman" w:cs="Times New Roman"/>
          <w:sz w:val="24"/>
          <w:szCs w:val="24"/>
        </w:rPr>
        <w:lastRenderedPageBreak/>
        <w:t>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lastRenderedPageBreak/>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Coca-cola HBC AG, an anchor bottler for the Coca-cola company in twenty </w:t>
      </w:r>
      <w:r>
        <w:rPr>
          <w:rFonts w:ascii="Times New Roman" w:eastAsia="Times New Roman" w:hAnsi="Times New Roman" w:cs="Times New Roman"/>
          <w:sz w:val="24"/>
          <w:szCs w:val="24"/>
        </w:rPr>
        <w:t>eight</w:t>
      </w:r>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employees of Nigerian Bottking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ne thousand five hundred and twenty six</w:t>
      </w:r>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thirty five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w:t>
      </w:r>
      <w:r>
        <w:rPr>
          <w:rFonts w:ascii="Times New Roman" w:eastAsia="Times New Roman" w:hAnsi="Times New Roman" w:cs="Times New Roman"/>
          <w:sz w:val="24"/>
          <w:szCs w:val="24"/>
        </w:rPr>
        <w:lastRenderedPageBreak/>
        <w:t>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w:t>
      </w:r>
      <w:r w:rsidR="00034AEA" w:rsidRPr="00E16323">
        <w:rPr>
          <w:rFonts w:ascii="Times New Roman" w:eastAsia="Times New Roman" w:hAnsi="Times New Roman" w:cs="Times New Roman"/>
          <w:sz w:val="24"/>
          <w:szCs w:val="24"/>
        </w:rPr>
        <w:lastRenderedPageBreak/>
        <w:t>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five point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lastRenderedPageBreak/>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.4% of the respondents were vibrant and dynamic youths who are of high wealth of 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r w:rsidRPr="00FE390C">
              <w:rPr>
                <w:rFonts w:asciiTheme="majorBidi" w:hAnsiTheme="majorBidi" w:cstheme="majorBidi"/>
                <w:sz w:val="24"/>
                <w:szCs w:val="24"/>
              </w:rPr>
              <w:t xml:space="preserve">B.Sc/HND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Lower level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above indicates that 5 of the respondents representing 1.6% were top level managers, 159 (50.8%) were middle level managers, 144 (46.0%) of them were lower level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lastRenderedPageBreak/>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r>
              <w:rPr>
                <w:rFonts w:asciiTheme="majorBidi" w:hAnsiTheme="majorBidi" w:cstheme="majorBidi"/>
                <w:sz w:val="24"/>
                <w:szCs w:val="24"/>
              </w:rPr>
              <w:t xml:space="preserve">Regular  </w:t>
            </w:r>
            <w:r w:rsidR="00A30205">
              <w:rPr>
                <w:rFonts w:asciiTheme="majorBidi" w:hAnsiTheme="majorBidi" w:cstheme="majorBidi"/>
                <w:sz w:val="24"/>
                <w:szCs w:val="24"/>
              </w:rPr>
              <w:t>employment</w:t>
            </w:r>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ny and they affect employees</w:t>
      </w:r>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y affect employees</w:t>
      </w:r>
      <w:r w:rsidR="00A30205">
        <w:rPr>
          <w:rFonts w:asciiTheme="majorBidi" w:hAnsiTheme="majorBidi" w:cstheme="majorBidi"/>
          <w:bCs/>
          <w:sz w:val="24"/>
          <w:szCs w:val="24"/>
        </w:rPr>
        <w:t xml:space="preserve"> performance, 51 respondents representing 16.3% were undecided, while 201 of them (64.21%) disagreed </w:t>
      </w:r>
      <w:r w:rsidR="00A30205">
        <w:rPr>
          <w:rFonts w:asciiTheme="majorBidi" w:hAnsiTheme="majorBidi" w:cstheme="majorBidi"/>
          <w:bCs/>
          <w:sz w:val="24"/>
          <w:szCs w:val="24"/>
        </w:rPr>
        <w:lastRenderedPageBreak/>
        <w:t>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oblems on employees</w:t>
      </w:r>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w:t>
      </w:r>
      <w:r w:rsidR="00A30205">
        <w:rPr>
          <w:rFonts w:asciiTheme="majorBidi" w:hAnsiTheme="majorBidi" w:cstheme="majorBidi"/>
          <w:sz w:val="24"/>
          <w:szCs w:val="24"/>
        </w:rPr>
        <w:lastRenderedPageBreak/>
        <w:t>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Valid </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lastRenderedPageBreak/>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(1.6%) were undecided, while 10 (3.2%) disagreed.</w:t>
      </w:r>
      <w:r w:rsidR="007C32E3">
        <w:rPr>
          <w:rFonts w:asciiTheme="majorBidi" w:hAnsiTheme="majorBidi" w:cstheme="majorBidi"/>
          <w:bCs/>
          <w:sz w:val="24"/>
          <w:szCs w:val="24"/>
        </w:rPr>
        <w:t xml:space="preserve"> The implication of this result is that </w:t>
      </w:r>
      <w:r w:rsidR="007C32E3">
        <w:rPr>
          <w:rFonts w:asciiTheme="majorBidi" w:hAnsiTheme="majorBidi" w:cstheme="majorBidi"/>
          <w:bCs/>
          <w:sz w:val="24"/>
          <w:szCs w:val="24"/>
        </w:rPr>
        <w:lastRenderedPageBreak/>
        <w:t>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SA</w:t>
            </w:r>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lastRenderedPageBreak/>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above reveals that 298 of the respondents which represents 95.2% asserts that the structure on ground motivates them to do well as it accommodates change process 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t>ANOVA</w:t>
      </w:r>
      <w:r w:rsidRPr="006359CD">
        <w:rPr>
          <w:rFonts w:asciiTheme="majorBidi" w:hAnsiTheme="majorBidi" w:cstheme="majorBidi"/>
          <w:b/>
          <w:bCs/>
          <w:sz w:val="24"/>
          <w:szCs w:val="24"/>
          <w:vertAlign w:val="superscript"/>
        </w:rPr>
        <w:t>a</w:t>
      </w:r>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lastRenderedPageBreak/>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xml:space="preserve">. In other </w:t>
      </w:r>
      <w:r w:rsidR="00FA60FD" w:rsidRPr="00712317">
        <w:rPr>
          <w:rFonts w:asciiTheme="majorBidi" w:hAnsiTheme="majorBidi" w:cstheme="majorBidi"/>
          <w:sz w:val="24"/>
          <w:szCs w:val="24"/>
        </w:rPr>
        <w:lastRenderedPageBreak/>
        <w:t>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lastRenderedPageBreak/>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t>ANOVA</w:t>
      </w:r>
      <w:r w:rsidR="00FA60FD" w:rsidRPr="006359CD">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 xml:space="preserve">ve and </w:t>
      </w:r>
      <w:r w:rsidR="006D177C">
        <w:rPr>
          <w:rFonts w:asciiTheme="majorBidi" w:hAnsiTheme="majorBidi" w:cstheme="majorBidi"/>
          <w:sz w:val="24"/>
          <w:szCs w:val="24"/>
        </w:rPr>
        <w:lastRenderedPageBreak/>
        <w:t>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 xml:space="preserve">re </w:t>
      </w:r>
      <w:r w:rsidR="00B924E9" w:rsidRPr="00712317">
        <w:rPr>
          <w:rFonts w:asciiTheme="majorBidi" w:hAnsiTheme="majorBidi" w:cstheme="majorBidi"/>
          <w:bCs/>
          <w:sz w:val="24"/>
          <w:szCs w:val="24"/>
        </w:rPr>
        <w:lastRenderedPageBreak/>
        <w:t>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w:t>
      </w:r>
      <w:r w:rsidR="00E25974">
        <w:rPr>
          <w:rFonts w:ascii="Times New Roman" w:eastAsia="Times New Roman" w:hAnsi="Times New Roman" w:cs="Times New Roman"/>
          <w:sz w:val="24"/>
          <w:szCs w:val="24"/>
        </w:rPr>
        <w:lastRenderedPageBreak/>
        <w:t>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satisfaction which informed the rejection of the null 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employees</w:t>
      </w:r>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But using Krejcie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r w:rsidR="003F1375">
        <w:rPr>
          <w:rFonts w:ascii="Times New Roman" w:eastAsia="Times New Roman" w:hAnsi="Times New Roman" w:cs="Times New Roman"/>
          <w:sz w:val="24"/>
          <w:szCs w:val="24"/>
        </w:rPr>
        <w:t xml:space="preserve">employees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sitively improves employees</w:t>
      </w:r>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xml:space="preserve">, and efforts </w:t>
      </w:r>
      <w:r w:rsidRPr="006B39FF">
        <w:rPr>
          <w:rFonts w:ascii="Times New Roman" w:eastAsia="Times New Roman" w:hAnsi="Times New Roman" w:cs="Times New Roman"/>
          <w:sz w:val="24"/>
          <w:szCs w:val="24"/>
        </w:rPr>
        <w:lastRenderedPageBreak/>
        <w:t>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sidRPr="00683A62">
        <w:rPr>
          <w:rFonts w:ascii="Times New Roman" w:eastAsia="Times New Roman" w:hAnsi="Times New Roman" w:cs="Times New Roman"/>
          <w:i/>
          <w:sz w:val="24"/>
          <w:szCs w:val="24"/>
        </w:rPr>
        <w:t>Journal of Management.</w:t>
      </w:r>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(2004), Research Methodology: A Process Approach. Unilag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Beinstein,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Bwibo,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Claver</w:t>
      </w:r>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Go and Pine, (1995), Globalization strategy in the hospitality industry – London: Routleedge.</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Change :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Jick,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above named institution, conducting a research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r w:rsidR="00407030">
        <w:rPr>
          <w:rFonts w:ascii="Times New Roman" w:hAnsi="Times New Roman" w:cs="Times New Roman"/>
          <w:sz w:val="24"/>
          <w:szCs w:val="24"/>
        </w:rPr>
        <w:t>employees</w:t>
      </w:r>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Female  (     )</w:t>
      </w:r>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Age:    a. 18-25yrs (    )   b. 26-40 (     )   c.  41-55 (   )    d.  56 and above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MBA  (    )  b.  B.Sc/HND </w:t>
      </w:r>
      <w:r w:rsidRPr="00B165B9">
        <w:rPr>
          <w:rFonts w:ascii="Times New Roman" w:hAnsi="Times New Roman" w:cs="Times New Roman"/>
          <w:sz w:val="24"/>
          <w:szCs w:val="24"/>
        </w:rPr>
        <w:t xml:space="preserve"> (    )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    </w:t>
      </w:r>
      <w:r>
        <w:rPr>
          <w:rFonts w:ascii="Times New Roman" w:hAnsi="Times New Roman" w:cs="Times New Roman"/>
          <w:sz w:val="24"/>
          <w:szCs w:val="24"/>
        </w:rPr>
        <w:t xml:space="preserve">          d.  SSCE    (      )      e.   </w:t>
      </w:r>
      <w:r w:rsidRPr="00B165B9">
        <w:rPr>
          <w:rFonts w:ascii="Times New Roman" w:hAnsi="Times New Roman" w:cs="Times New Roman"/>
          <w:sz w:val="24"/>
          <w:szCs w:val="24"/>
        </w:rPr>
        <w:t>Basic Education</w:t>
      </w:r>
      <w:r>
        <w:rPr>
          <w:rFonts w:ascii="Times New Roman" w:hAnsi="Times New Roman" w:cs="Times New Roman"/>
          <w:sz w:val="24"/>
          <w:szCs w:val="24"/>
        </w:rPr>
        <w:t xml:space="preserve">   (      )</w:t>
      </w:r>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     )  b. Middle Level Management (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Lower </w:t>
      </w:r>
      <w:r w:rsidRPr="00B165B9">
        <w:rPr>
          <w:rFonts w:ascii="Times New Roman" w:hAnsi="Times New Roman" w:cs="Times New Roman"/>
          <w:sz w:val="24"/>
          <w:szCs w:val="24"/>
        </w:rPr>
        <w:t>Level Management  (    )</w:t>
      </w:r>
      <w:r>
        <w:rPr>
          <w:rFonts w:ascii="Times New Roman" w:hAnsi="Times New Roman" w:cs="Times New Roman"/>
          <w:sz w:val="24"/>
          <w:szCs w:val="24"/>
        </w:rPr>
        <w:t xml:space="preserve">   d. Casual Worker   (    )</w:t>
      </w:r>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    )   b. </w:t>
      </w:r>
      <w:r w:rsidRPr="00B165B9">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   (     )</w:t>
      </w:r>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   (   )    b.  6 -10 years  (  )   c.  11 – 15 years    (    )    d. 16 – 20 years   (   )    e.  20 years and above  (  )</w:t>
      </w:r>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r w:rsidRPr="00175B41">
              <w:rPr>
                <w:rFonts w:ascii="Times New Roman" w:hAnsi="Times New Roman"/>
                <w:sz w:val="24"/>
                <w:szCs w:val="24"/>
              </w:rPr>
              <w:t>Organization</w:t>
            </w:r>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Change in  organizational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Available technology help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My supervisor evaluates my performance on a 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I feel greatly motivated because the structure in the firm accommodate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006F14F1" w:rsidR="00DC14E5" w:rsidRPr="00306B37" w:rsidRDefault="00C96152"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8B05EC">
                      <wp:simplePos x="0" y="0"/>
                      <wp:positionH relativeFrom="column">
                        <wp:posOffset>-114300</wp:posOffset>
                      </wp:positionH>
                      <wp:positionV relativeFrom="paragraph">
                        <wp:posOffset>-8141335</wp:posOffset>
                      </wp:positionV>
                      <wp:extent cx="266700" cy="200025"/>
                      <wp:effectExtent l="6985" t="6350" r="12065" b="12700"/>
                      <wp:wrapNone/>
                      <wp:docPr id="5391802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1AAC"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You can execute more duties and responsibilities with little amount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 xml:space="preserve">rofessional skills and know-how  </w:t>
            </w:r>
            <w:r w:rsidRPr="00B800DB">
              <w:rPr>
                <w:rFonts w:ascii="Times New Roman" w:hAnsi="Times New Roman" w:cs="Times New Roman"/>
                <w:sz w:val="24"/>
                <w:szCs w:val="24"/>
              </w:rPr>
              <w:t>to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lastRenderedPageBreak/>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2CA7" w14:textId="77777777" w:rsidR="00B1193A" w:rsidRDefault="00B1193A" w:rsidP="00D75A28">
      <w:pPr>
        <w:spacing w:after="0" w:line="240" w:lineRule="auto"/>
      </w:pPr>
      <w:r>
        <w:separator/>
      </w:r>
    </w:p>
  </w:endnote>
  <w:endnote w:type="continuationSeparator" w:id="0">
    <w:p w14:paraId="55540F97" w14:textId="77777777" w:rsidR="00B1193A" w:rsidRDefault="00B1193A"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D07F" w14:textId="77777777" w:rsidR="00B1193A" w:rsidRDefault="00B1193A" w:rsidP="00D75A28">
      <w:pPr>
        <w:spacing w:after="0" w:line="240" w:lineRule="auto"/>
      </w:pPr>
      <w:r>
        <w:separator/>
      </w:r>
    </w:p>
  </w:footnote>
  <w:footnote w:type="continuationSeparator" w:id="0">
    <w:p w14:paraId="21E27372" w14:textId="77777777" w:rsidR="00B1193A" w:rsidRDefault="00B1193A"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583"/>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193A"/>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15207</Words>
  <Characters>86681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2025-06-30T11:09:00Z</dcterms:created>
  <dcterms:modified xsi:type="dcterms:W3CDTF">2025-06-30T11:09:00Z</dcterms:modified>
</cp:coreProperties>
</file>