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lineRule="atLeast" w:line="18"/>
        <w:jc w:val="center"/>
        <w:rPr>
          <w:rFonts w:cs="宋体" w:eastAsia="Calibri"/>
          <w:b/>
          <w:bCs/>
          <w:color w:val="000000"/>
          <w:sz w:val="32"/>
          <w:szCs w:val="32"/>
        </w:rPr>
      </w:pPr>
      <w:r>
        <w:rPr>
          <w:rFonts w:cs="宋体" w:eastAsia="Calibri"/>
          <w:b/>
          <w:bCs/>
          <w:color w:val="000000"/>
          <w:sz w:val="32"/>
          <w:szCs w:val="32"/>
          <w:lang w:val="en-US"/>
        </w:rPr>
        <w:t>ABDULLATEEF KABIRAT TAIYE</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HND/23/SLT/FT/01</w:t>
      </w:r>
      <w:r>
        <w:rPr>
          <w:rFonts w:cs="宋体" w:eastAsia="Calibri"/>
          <w:b/>
          <w:bCs/>
          <w:color w:val="000000"/>
          <w:sz w:val="32"/>
          <w:szCs w:val="32"/>
          <w:lang w:val="en-US"/>
        </w:rPr>
        <w:t>87</w:t>
      </w: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This is certify that this project is the original work carried out and reported by</w:t>
      </w:r>
      <w:r>
        <w:rPr>
          <w:rFonts w:ascii="Times New Roman" w:hAnsi="Times New Roman"/>
          <w:color w:val="000000"/>
          <w:sz w:val="28"/>
          <w:szCs w:val="28"/>
          <w:lang w:val="en-US"/>
        </w:rPr>
        <w:t xml:space="preserve"> ABDULLATEEF KABIRAT TAIYE</w:t>
      </w:r>
      <w:r>
        <w:rPr>
          <w:rFonts w:ascii="Times New Roman" w:hAnsi="Times New Roman"/>
          <w:b/>
          <w:bCs/>
          <w:color w:val="000000"/>
          <w:sz w:val="28"/>
          <w:szCs w:val="28"/>
        </w:rPr>
        <w:t xml:space="preserv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HND/23/SLT/FT/01</w:t>
      </w:r>
      <w:r>
        <w:rPr>
          <w:rFonts w:ascii="Times New Roman" w:hAnsi="Times New Roman"/>
          <w:b/>
          <w:bCs/>
          <w:color w:val="000000"/>
          <w:sz w:val="28"/>
          <w:szCs w:val="32"/>
          <w:lang w:val="en-US"/>
        </w:rPr>
        <w:t>87</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M</w:t>
      </w:r>
      <w:r>
        <w:rPr>
          <w:rFonts w:ascii="Times New Roman" w:hAnsi="Times New Roman"/>
          <w:b/>
          <w:color w:val="000000"/>
          <w:sz w:val="28"/>
          <w:szCs w:val="28"/>
        </w:rPr>
        <w:t xml:space="preserve">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lang w:val="en-US"/>
        </w:rPr>
        <w:t>DEDICATION</w:t>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lang w:val="en-US"/>
        </w:rPr>
        <w:t>This project is dedicated, first and foremost, to Almighty Allah, whose mercy never failed me even when my strength did. His grace carried me through every obstacle, and every breakthrough.</w:t>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lang w:val="en-US"/>
        </w:rPr>
        <w:t>To my dearest parents, Mr. and Mrs. Abdullateef , I owe the foundation of my success. Your sacrifices, love, and unwavering belief in me have been my light through every academic storm.</w:t>
      </w: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lang w:val="en-US"/>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lang w:val="en-US"/>
        </w:rPr>
        <w:t>ACKNOWLEDGEMENTS</w:t>
      </w:r>
    </w:p>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lang w:val="en-US"/>
        </w:rPr>
        <w:t>I am immensely grateful to Almighty Allah, the giver of knowledge and the sustainer of purpose, for granting me the health, wisdom, and endurance to see this research work to its conclusion.</w:t>
      </w:r>
    </w:p>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lang w:val="en-US"/>
        </w:rPr>
        <w:t>My deepest appreciation goes to my supervisor, Mrs. Abdullahi H. J, for her insightful guidance, patience, and constructive feedback that greatly enhanced the quality of this work.</w:t>
      </w:r>
    </w:p>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lang w:val="en-US"/>
        </w:rPr>
        <w:t>I also wish to sincerely acknowledge Dr. Usman A, the Head of Department, and Ms. Ahmed T, the Head of Unit, Department of Microbiology, for their exemplary leadership and for creating a supportive academic atmosphere that contributed immensely to the success of this project.</w:t>
      </w:r>
    </w:p>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lang w:val="en-US"/>
        </w:rPr>
        <w:t>My heartfelt thanks go to my parents, Mr. and Mrs. Abdullateef , for being my greatest cheerleaders. Your relentless prayers, emotional strength, and financial support have made this milestone possible.</w:t>
      </w:r>
    </w:p>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lang w:val="en-US"/>
        </w:rPr>
        <w:t>I further recognize my wonderful siblings and cousin :  Habeebullahi, Zainab and Kazeerah— for their encouragement and belief in me at every step of the journey.</w:t>
      </w:r>
    </w:p>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lang w:val="en-US"/>
        </w:rPr>
        <w:t xml:space="preserve">To my incredible uncle: Mr Sulaiman Lukman, L&amp;K for his unwavering support both financially and morally, thank you so much sir </w:t>
      </w:r>
    </w:p>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lang w:val="en-US"/>
        </w:rPr>
        <w:t>To my amazing friends :Abubakar, sis Olaide, &amp; Balikis, thank you for walking this path with me, for the laughs, the advice, and the shared struggles. Your presence has meant more than words can say.</w:t>
      </w:r>
    </w:p>
    <w:p>
      <w:pPr>
        <w:pStyle w:val="style0"/>
        <w:spacing w:after="0" w:lineRule="auto" w:line="480"/>
        <w:jc w:val="both"/>
        <w:rPr>
          <w:rFonts w:ascii="Times New Roman" w:hAnsi="Times New Roman"/>
          <w:color w:val="000000"/>
          <w:sz w:val="28"/>
          <w:szCs w:val="28"/>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266"/>
        <w:jc w:val="center"/>
        <w:rPr>
          <w:rFonts w:ascii="Times New Roman" w:cs="Times New Roman" w:hAnsi="Times New Roman"/>
          <w:color w:val="000000"/>
          <w:sz w:val="28"/>
          <w:szCs w:val="28"/>
        </w:rPr>
      </w:pPr>
      <w:r>
        <w:rPr>
          <w:rFonts w:ascii="Times New Roman" w:cs="Times New Roman" w:hAnsi="Times New Roman"/>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24</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Morphological observation on Sabouraoud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2"/>
          <w:pgSz w:w="12240" w:h="15840" w:orient="portrait"/>
          <w:pgMar w:top="1440" w:right="1440" w:bottom="1440" w:left="1440" w:header="708" w:footer="708"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0"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0"/>
    </w:p>
    <w:bookmarkStart w:id="1"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Karray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environmental conditions and pollutants. Thus, understanding the types and characteristics of microorganisms found in petrochemical effluents is crucial. This knowledge helps in designing effective bioremediation strategies tailored to specific pollution types.</w:t>
      </w:r>
      <w:r>
        <w:rPr>
          <w:rFonts w:ascii="Times New Roman" w:cs="Times New Roman" w:eastAsia="Times New Roman" w:hAnsi="Times New Roman"/>
          <w:color w:val="000000"/>
          <w:sz w:val="28"/>
          <w:szCs w:val="28"/>
        </w:rPr>
        <w:br/>
      </w: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w:t>
      </w:r>
      <w:r>
        <w:rPr>
          <w:rFonts w:ascii="Times New Roman" w:cs="Times New Roman" w:eastAsia="Times New Roman" w:hAnsi="Times New Roman"/>
          <w:color w:val="000000"/>
          <w:sz w:val="28"/>
          <w:szCs w:val="28"/>
        </w:rPr>
        <w:t xml:space="preserve">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among others. Their presence and activity contribute to the gradual detoxification of the contaminated environment. The process of isolating these microorganisms involves sampling effluent-contaminated soil or water, culturing on selective media, 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w:t>
      </w:r>
      <w:r>
        <w:rPr>
          <w:rFonts w:ascii="Times New Roman" w:cs="Times New Roman" w:eastAsia="Times New Roman" w:hAnsi="Times New Roman"/>
          <w:color w:val="000000"/>
          <w:sz w:val="28"/>
          <w:szCs w:val="28"/>
        </w:rPr>
        <w:t>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Dankaka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starch hydrolysis, as well as modern molecular identification </w:t>
      </w:r>
      <w:r>
        <w:rPr>
          <w:rFonts w:ascii="Times New Roman" w:cs="Times New Roman" w:eastAsia="Times New Roman" w:hAnsi="Times New Roman"/>
          <w:color w:val="000000"/>
          <w:sz w:val="28"/>
          <w:szCs w:val="28"/>
        </w:rPr>
        <w:t>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as oxidation, hydroxylation, and dehalogenation.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w:t>
      </w:r>
      <w:r>
        <w:rPr>
          <w:rFonts w:ascii="Times New Roman" w:cs="Times New Roman" w:eastAsia="Times New Roman" w:hAnsi="Times New Roman"/>
          <w:color w:val="000000"/>
          <w:sz w:val="28"/>
          <w:szCs w:val="28"/>
        </w:rPr>
        <w:t>development of microbial consortia tailored to break down complex pollutant mixtures. This diversity is a valuable resource in the fight against industrial pollution.</w:t>
      </w:r>
      <w:r>
        <w:rPr>
          <w:rFonts w:ascii="Times New Roman" w:cs="Times New Roman" w:eastAsia="Times New Roman" w:hAnsi="Times New Roman"/>
          <w:color w:val="000000"/>
          <w:sz w:val="28"/>
          <w:szCs w:val="28"/>
        </w:rPr>
        <w:br/>
      </w:r>
      <w:r>
        <w:rPr>
          <w:rFonts w:ascii="Times New Roman" w:cs="Times New Roman" w:eastAsia="Times New Roman" w:hAnsi="Times New Roman"/>
          <w:color w:val="000000"/>
          <w:sz w:val="28"/>
          <w:szCs w:val="28"/>
        </w:rPr>
        <w:t>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Samimi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Shahriari-Moghadam,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Goveas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w:t>
      </w:r>
      <w:r>
        <w:rPr>
          <w:rFonts w:ascii="Times New Roman" w:cs="Times New Roman" w:eastAsia="Times New Roman" w:hAnsi="Times New Roman"/>
          <w:color w:val="000000"/>
          <w:sz w:val="28"/>
          <w:szCs w:val="28"/>
        </w:rPr>
        <w:t>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w:t>
      </w:r>
      <w:r>
        <w:rPr>
          <w:rFonts w:ascii="Times New Roman" w:cs="Times New Roman" w:eastAsia="Times New Roman" w:hAnsi="Times New Roman"/>
          <w:color w:val="000000"/>
          <w:sz w:val="28"/>
          <w:szCs w:val="28"/>
        </w:rPr>
        <w:t>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Mikhak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2"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2"/>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degradation (Akinola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actinomycetes.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ligninolytic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detect unculturable or rare microbial species (Obayori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p>
      <w:pPr>
        <w:pStyle w:val="style0"/>
        <w:spacing w:lineRule="auto" w:line="480"/>
        <w:jc w:val="both"/>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8"/>
          <w:szCs w:val="28"/>
        </w:rPr>
      </w:pPr>
    </w:p>
    <w:bookmarkStart w:id="3" w:name="_Toc202123482"/>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3"/>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4" w:name="_Toc202123483"/>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4"/>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5" w:name="_Toc202123484"/>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CHAPTER TWO</w:t>
      </w:r>
      <w:bookmarkEnd w:id="5"/>
    </w:p>
    <w:bookmarkStart w:id="6" w:name="_Toc202123485"/>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2.0 MATERIALS AND METHODS</w:t>
      </w:r>
      <w:bookmarkEnd w:id="6"/>
    </w:p>
    <w:bookmarkStart w:id="7" w:name="_Toc202123486"/>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2.1 Materials</w:t>
      </w:r>
      <w:bookmarkEnd w:id="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bookmarkStart w:id="8"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 Sterilization of Glasswares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w:t>
      </w:r>
      <w:r>
        <w:rPr>
          <w:rFonts w:ascii="Times New Roman" w:cs="Times New Roman" w:eastAsia="Times New Roman" w:hAnsi="Times New Roman"/>
          <w:color w:val="000000"/>
          <w:sz w:val="28"/>
          <w:szCs w:val="28"/>
        </w:rPr>
        <w:t xml:space="preserve">minutes before the Glasswares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9"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0" w:name="_Toc202123489"/>
    <w:p>
      <w:pPr>
        <w:pStyle w:val="style2"/>
        <w:rPr>
          <w:color w:val="000000"/>
          <w:sz w:val="28"/>
          <w:szCs w:val="28"/>
        </w:rPr>
      </w:pPr>
      <w:r>
        <w:rPr>
          <w:color w:val="000000"/>
          <w:sz w:val="28"/>
          <w:szCs w:val="28"/>
        </w:rPr>
        <w:t>2.3.1 Nutrient Agar (NA)</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bookmarkStart w:id="11" w:name="_Toc202123490"/>
    <w:p>
      <w:pPr>
        <w:pStyle w:val="style2"/>
        <w:rPr>
          <w:color w:val="000000"/>
          <w:sz w:val="28"/>
          <w:szCs w:val="28"/>
        </w:rPr>
      </w:pPr>
      <w:r>
        <w:rPr>
          <w:color w:val="000000"/>
          <w:sz w:val="28"/>
          <w:szCs w:val="28"/>
        </w:rPr>
        <w:t>2.3.2 Sabouraud Dextrose Agar (SDA)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2" w:name="_Toc202123491"/>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2.4 Sample Collection and Preparation</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samples were collected using sterile spatulas into sterile plastic bottles, labelled appropriately as P.S.S and M.V.S. The samples were immediately transported to the </w:t>
      </w:r>
      <w:r>
        <w:rPr>
          <w:rFonts w:ascii="Times New Roman" w:cs="Times New Roman" w:eastAsia="Times New Roman" w:hAnsi="Times New Roman"/>
          <w:color w:val="000000"/>
          <w:sz w:val="28"/>
          <w:szCs w:val="28"/>
        </w:rPr>
        <w:t>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3" w:name="_Toc202123492"/>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2.5 Inoculation and Incubation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Sterile Nutrient Agar and SDA plates were inoculated using both sprinkled raw soil samples and 0.5 mL suspensions of soil solutions. Inoculations were carried out under aseptic conditions. Plates were incubated at 37°C for 24 hours for bacterial growth and at room temperature for up to 5 days for fungal growth.</w:t>
      </w:r>
    </w:p>
    <w:bookmarkStart w:id="14" w:name="_Toc202123493"/>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2.6 Gram Staining Procedure</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bookmarkStart w:id="15" w:name="_Toc202123494"/>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2.7 Physicochemical Analysis of Soil Samples</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samples were air-dried for 72 hours at room temperature, then ground and sieved through a 2.0 mm mesh prior to analysis. The analyses were carried out at the </w:t>
      </w:r>
      <w:r>
        <w:rPr>
          <w:rFonts w:ascii="Times New Roman" w:cs="Times New Roman" w:eastAsia="Times New Roman" w:hAnsi="Times New Roman"/>
          <w:color w:val="000000"/>
          <w:sz w:val="28"/>
          <w:szCs w:val="28"/>
        </w:rPr>
        <w:t>Chemistry Laboratory Unit of the Science Laboratory Technology Department, Kwara State Polytechnic, Ilorin.</w:t>
      </w:r>
    </w:p>
    <w:bookmarkStart w:id="16" w:name="_Toc202123495"/>
    <w:p>
      <w:pPr>
        <w:pStyle w:val="style2"/>
        <w:rPr>
          <w:color w:val="000000"/>
          <w:sz w:val="28"/>
          <w:szCs w:val="28"/>
        </w:rPr>
      </w:pPr>
      <w:r>
        <w:rPr>
          <w:color w:val="000000"/>
          <w:sz w:val="28"/>
          <w:szCs w:val="28"/>
        </w:rPr>
        <w:t>2.7.1 Temperature Measurement</w:t>
      </w:r>
      <w:bookmarkEnd w:id="16"/>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7" w:name="_Toc202123496"/>
    <w:p>
      <w:pPr>
        <w:pStyle w:val="style2"/>
        <w:rPr>
          <w:color w:val="000000"/>
          <w:sz w:val="28"/>
          <w:szCs w:val="28"/>
        </w:rPr>
      </w:pPr>
      <w:r>
        <w:rPr>
          <w:color w:val="000000"/>
          <w:sz w:val="28"/>
          <w:szCs w:val="28"/>
        </w:rPr>
        <w:t>2.7.2 pH and Electrical Conductivity</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pH and electrical conductivity were measured using the aqueous soil suspension method (ISO 10390:2005) following the procedure by Useh et al. (2015). A 1:5 soil-to-water ratio was used for the suspension.</w:t>
      </w:r>
    </w:p>
    <w:bookmarkStart w:id="18" w:name="_Toc202123497"/>
    <w:p>
      <w:pPr>
        <w:pStyle w:val="style2"/>
        <w:rPr>
          <w:color w:val="000000"/>
          <w:sz w:val="28"/>
          <w:szCs w:val="28"/>
        </w:rPr>
      </w:pPr>
      <w:r>
        <w:rPr>
          <w:color w:val="000000"/>
          <w:sz w:val="28"/>
          <w:szCs w:val="28"/>
        </w:rPr>
        <w:t>2.7.3 Nitrate and Phosphate Determination</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bookmarkStart w:id="19" w:name="_Toc202123498"/>
    <w:p>
      <w:pPr>
        <w:pStyle w:val="style2"/>
        <w:rPr>
          <w:color w:val="000000"/>
          <w:sz w:val="28"/>
          <w:szCs w:val="28"/>
        </w:rPr>
      </w:pPr>
      <w:r>
        <w:rPr>
          <w:color w:val="000000"/>
          <w:sz w:val="28"/>
          <w:szCs w:val="28"/>
        </w:rPr>
        <w:t>2.7.4 Sulphate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w:t>
      </w:r>
      <w:r>
        <w:rPr>
          <w:rFonts w:ascii="Times New Roman" w:cs="Times New Roman" w:eastAsia="Times New Roman" w:hAnsi="Times New Roman"/>
          <w:color w:val="000000"/>
          <w:sz w:val="28"/>
          <w:szCs w:val="28"/>
        </w:rPr>
        <w:t>chloride (V2) was titrated against potassium chromate using silver nitrate as an external indicator. A brick red precipitate indicated the endpoint. The total sulphate content was calculated using the formula:</w:t>
      </w:r>
      <w:r>
        <w:rPr>
          <w:rFonts w:ascii="Times New Roman" w:cs="Times New Roman" w:eastAsia="Times New Roman" w:hAnsi="Times New Roman"/>
          <w:color w:val="000000"/>
          <w:sz w:val="28"/>
          <w:szCs w:val="28"/>
        </w:rPr>
        <w:br/>
      </w:r>
      <w:r>
        <w:rPr>
          <w:rFonts w:ascii="Times New Roman" w:cs="Times New Roman" w:eastAsia="Times New Roman" w:hAnsi="Times New Roman"/>
          <w:b/>
          <w:bCs/>
          <w:color w:val="000000"/>
          <w:sz w:val="28"/>
          <w:szCs w:val="28"/>
        </w:rPr>
        <w:t>Total sulphate in soil = 0.0117 × 100 × (V1 - V2)</w:t>
      </w: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20" w:name="_Toc202123499"/>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0"/>
    </w:p>
    <w:bookmarkStart w:id="21"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1"/>
    </w:p>
    <w:bookmarkStart w:id="22"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Microbial growth was observed after 24-hour incubation for bacterial cultures and after 5 days for fungal cultures. The nutrient agar and Sabouraud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Creamy, mucoid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3"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3"/>
      <w:r>
        <w:rPr>
          <w:rFonts w:ascii="Times New Roman" w:cs="Times New Roman" w:eastAsia="Times New Roman" w:hAnsi="Times New Roman"/>
          <w:b/>
          <w:bCs/>
          <w:color w:val="000000"/>
          <w:sz w:val="28"/>
          <w:szCs w:val="28"/>
        </w:rPr>
        <w:t xml:space="preserve"> </w:t>
      </w:r>
    </w:p>
    <w:bookmarkStart w:id="24"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4"/>
      <w:r>
        <w:rPr>
          <w:rFonts w:ascii="Times New Roman" w:cs="Times New Roman" w:eastAsia="Times New Roman" w:hAnsi="Times New Roman"/>
          <w:b/>
          <w:bCs/>
          <w:color w:val="000000"/>
          <w:sz w:val="28"/>
          <w:szCs w:val="28"/>
        </w:rPr>
        <w:t xml:space="preserve"> </w:t>
      </w:r>
    </w:p>
    <w:bookmarkStart w:id="25"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5"/>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cocci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6"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6"/>
      <w:r>
        <w:rPr>
          <w:rFonts w:ascii="Times New Roman" w:cs="Times New Roman" w:eastAsia="Times New Roman" w:hAnsi="Times New Roman"/>
          <w:b/>
          <w:bCs/>
          <w:color w:val="000000"/>
          <w:sz w:val="28"/>
          <w:szCs w:val="28"/>
        </w:rPr>
        <w:t xml:space="preserve"> </w:t>
      </w:r>
    </w:p>
    <w:bookmarkStart w:id="27"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7"/>
      <w:r>
        <w:rPr>
          <w:rFonts w:ascii="Times New Roman" w:cs="Times New Roman" w:eastAsia="Times New Roman" w:hAnsi="Times New Roman"/>
          <w:b/>
          <w:bCs/>
          <w:color w:val="000000"/>
          <w:sz w:val="28"/>
          <w:szCs w:val="28"/>
        </w:rPr>
        <w:t xml:space="preserve"> </w:t>
      </w:r>
    </w:p>
    <w:bookmarkStart w:id="28"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8"/>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Morphological observation on Sabouraoud dextrose Agar</w:t>
      </w:r>
    </w:p>
    <w:tbl>
      <w:tblPr>
        <w:tblStyle w:val="style154"/>
        <w:tblW w:w="0" w:type="auto"/>
        <w:tblLook w:val="04A0" w:firstRow="1" w:lastRow="0" w:firstColumn="1" w:lastColumn="0" w:noHBand="0" w:noVBand="1"/>
      </w:tblPr>
      <w:tblGrid>
        <w:gridCol w:w="1168"/>
        <w:gridCol w:w="3638"/>
        <w:gridCol w:w="4553"/>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 spp, penicillum spp, Fusarium spp</w:t>
            </w:r>
          </w:p>
        </w:tc>
      </w:tr>
      <w:bookmarkStart w:id="29"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9"/>
      <w:r>
        <w:rPr>
          <w:rFonts w:ascii="Times New Roman" w:cs="Times New Roman" w:eastAsia="Times New Roman" w:hAnsi="Times New Roman"/>
          <w:b/>
          <w:bCs/>
          <w:color w:val="000000"/>
          <w:sz w:val="28"/>
          <w:szCs w:val="28"/>
        </w:rPr>
        <w:t xml:space="preserve"> </w:t>
      </w:r>
    </w:p>
    <w:bookmarkStart w:id="30" w:name="_Toc202123509"/>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0"/>
      <w:r>
        <w:rPr>
          <w:rFonts w:ascii="Times New Roman" w:cs="Times New Roman" w:eastAsia="Times New Roman" w:hAnsi="Times New Roman"/>
          <w:b/>
          <w:bCs/>
          <w:color w:val="000000"/>
          <w:sz w:val="28"/>
          <w:szCs w:val="28"/>
        </w:rPr>
        <w:t xml:space="preserve"> </w:t>
      </w:r>
    </w:p>
    <w:bookmarkStart w:id="31" w:name="_Toc202123510"/>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1"/>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bookmarkStart w:id="32"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293"/>
        <w:gridCol w:w="2095"/>
        <w:gridCol w:w="2490"/>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Purple-stained 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3"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3"/>
      <w:r>
        <w:rPr>
          <w:rFonts w:ascii="Times New Roman" w:cs="Times New Roman" w:eastAsia="Times New Roman" w:hAnsi="Times New Roman"/>
          <w:b/>
          <w:bCs/>
          <w:color w:val="000000"/>
          <w:sz w:val="28"/>
          <w:szCs w:val="28"/>
        </w:rPr>
        <w:t xml:space="preserve"> </w:t>
      </w:r>
    </w:p>
    <w:bookmarkStart w:id="34"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4"/>
      <w:r>
        <w:rPr>
          <w:rFonts w:ascii="Times New Roman" w:cs="Times New Roman" w:eastAsia="Times New Roman" w:hAnsi="Times New Roman"/>
          <w:b/>
          <w:bCs/>
          <w:color w:val="000000"/>
          <w:sz w:val="28"/>
          <w:szCs w:val="28"/>
        </w:rPr>
        <w:t xml:space="preserve"> </w:t>
      </w:r>
    </w:p>
    <w:bookmarkStart w:id="35"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5"/>
    </w:p>
    <w:bookmarkStart w:id="36"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6"/>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Table 3.1 presents the comparative analysis of the physicochemical parameters measured from the soil samples. The results show variation in 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b/>
          <w:bCs/>
          <w:color w:val="000000"/>
          <w:sz w:val="28"/>
          <w:szCs w:val="28"/>
        </w:rPr>
      </w:pP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756"/>
        <w:gridCol w:w="2403"/>
        <w:gridCol w:w="3054"/>
        <w:gridCol w:w="11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7"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7"/>
    </w:p>
    <w:bookmarkStart w:id="38"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8"/>
    </w:p>
    <w:bookmarkStart w:id="39"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3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cocci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(Ishaq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w:t>
      </w:r>
      <w:r>
        <w:rPr>
          <w:rFonts w:ascii="Times New Roman" w:cs="Times New Roman" w:eastAsia="Times New Roman" w:hAnsi="Times New Roman"/>
          <w:color w:val="000000"/>
          <w:sz w:val="28"/>
          <w:szCs w:val="28"/>
        </w:rPr>
        <w:t>typically found in cultivated soils, promoting the growth of enteric bacteria. Similar patterns were documented by Akintokun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cocci)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0" w:name="_Toc202123519"/>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4.2 CONCLUSION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br w:type="page"/>
      </w:r>
      <w:bookmarkStart w:id="41" w:name="_Toc202123520"/>
      <w:r>
        <w:rPr>
          <w:rFonts w:ascii="Times New Roman" w:cs="Times New Roman" w:hAnsi="Times New Roman"/>
          <w:color w:val="000000"/>
          <w:sz w:val="28"/>
          <w:szCs w:val="28"/>
        </w:rPr>
        <w:t>REFERENCE</w:t>
      </w:r>
      <w:r>
        <w:rPr>
          <w:rFonts w:ascii="Times New Roman" w:cs="Times New Roman" w:hAnsi="Times New Roman"/>
          <w:color w:val="000000"/>
          <w:sz w:val="28"/>
          <w:szCs w:val="28"/>
        </w:rPr>
        <w:t>S</w:t>
      </w:r>
      <w:bookmarkEnd w:id="41"/>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Adeoye, A. O., Olaniyan, A. A., &amp; Akinlabi,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Akinola, M. O., Adeniji, A. O., and Ayeni,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Akintokun, A. K., Ajayi, E. O., &amp; Bamidele,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 T., Banerjee, S., Saha, A., Bhattacharya, A., Chanda, C., Gantayet, L. M., ... &amp; Chaudhuri,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Dankaka, S. M., Muhammad, J. B., Usman, S., Jagaba, A. H., &amp; Abdullahi, N. (2023). Phenol biodegradation by Acinetobacter baumanii and Citrobacter </w:t>
      </w:r>
      <w:r>
        <w:rPr>
          <w:rFonts w:ascii="Times New Roman" w:cs="Times New Roman" w:eastAsia="Times New Roman" w:hAnsi="Times New Roman"/>
          <w:color w:val="000000"/>
          <w:sz w:val="28"/>
          <w:szCs w:val="28"/>
        </w:rPr>
        <w:t>sedlakii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Deng, Z., Jiang, Y., Chen, K., Li, J., Zheng, C., Gao, F., and Liu, X. (2020). One biosurfactant-producing bacteria Achromobacter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Emoghene, A. O., Emoghene, K. O., &amp; Orhue,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 L. C., Krishna, A., Salian, A., Menezes, J., Alva, M., Basavapattan, B., &amp; Sajankila,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Ishaq, U., Abdu, A., &amp; Shettima, Y. (2020). Resistance patterns of Gram-positive cocci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Karray, F., Aloui, F., Jemli, M., Mhiri, N., Loukil, S., Bouhdida, R., ... &amp; Sayadi, S. (2020). Pilot-scale petroleum refinery wastewaters treatment systems: </w:t>
      </w:r>
      <w:r>
        <w:rPr>
          <w:rFonts w:ascii="Times New Roman" w:cs="Times New Roman" w:eastAsia="Times New Roman" w:hAnsi="Times New Roman"/>
          <w:color w:val="000000"/>
          <w:sz w:val="28"/>
          <w:szCs w:val="28"/>
        </w:rPr>
        <w:t>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Lang, X., Li, Q., Ji, M., Yan, G., &amp; Guo, S. (2020). Isolation and niche characteristics in simultaneous nitrification and denitrification application of an aerobic denitrifier, Acinetobacter sp. YS2. </w:t>
      </w:r>
      <w:r>
        <w:rPr>
          <w:rFonts w:ascii="Times New Roman" w:cs="Times New Roman" w:eastAsia="Times New Roman" w:hAnsi="Times New Roman"/>
          <w:i/>
          <w:iCs/>
          <w:color w:val="000000"/>
          <w:sz w:val="28"/>
          <w:szCs w:val="28"/>
        </w:rPr>
        <w:t>Bioresource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 Y., Torabi, M. M. A., &amp; Fouladitajar,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Nwachukwu, O. I., &amp; Chukwuocha,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Obayori, O. S., Ilori, M. O., and Amund,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 R., Krishnamurthy, B., Sharma, P., Rathee, S., Kohli, R. K., Batish, D. R., &amp; Singh, H. P. (2025). Isolation and characterization of a novel bacterial strain Cytobacillus firmus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 M., &amp; Shahriari-Moghadam, M. (2025). Efficient biodegradation of crude oil by novel Pseudomonas aeruginosa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Useh, M. U., Abah, J., &amp; Ojo, A. (2020). Effects of petrochemical effluent on physicochemical properties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2240" w:h="15840"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1d95d8f-cbb2-407c-bc1d-4e5bf2a62e9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365ee95-fba3-4d1c-acc2-85047e7e9213"/>
    <w:basedOn w:val="style65"/>
    <w:next w:val="style4098"/>
    <w:link w:val="style32"/>
    <w:uiPriority w:val="99"/>
  </w:style>
  <w:style w:type="character" w:customStyle="1" w:styleId="style4099">
    <w:name w:val="Heading 2 Char_ec4a6e46-29fb-4d88-b4c8-446d7295a0e5"/>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781b4ec3-c6a7-472c-bc90-e93e38b4e632"/>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7b8bea53-7c4f-4596-99e7-ac865d84df60"/>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0a3f35fe-f9d4-47fe-83b4-9110eacae9cf"/>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1BE7-7872-4FB7-B860-6D26D466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4978</Words>
  <Pages>35</Pages>
  <Characters>31803</Characters>
  <Application>WPS Office</Application>
  <DocSecurity>0</DocSecurity>
  <Paragraphs>331</Paragraphs>
  <ScaleCrop>false</ScaleCrop>
  <LinksUpToDate>false</LinksUpToDate>
  <CharactersWithSpaces>37247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2025-07-03T15:44:21Z</dcterms:created>
  <dc:creator>Microsoft account</dc:creator>
  <lastModifiedBy>V2120</lastModifiedBy>
  <lastPrinted>2025-07-02T09:40:00Z</lastPrinted>
  <dcterms:modified xsi:type="dcterms:W3CDTF">2025-07-03T15:49:13Z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766697a5165f4e1eac61058956dd534e</vt:lpwstr>
  </property>
</Properties>
</file>