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6.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hAnsi="Times New Roman"/>
          <w:b/>
          <w:sz w:val="24"/>
          <w:szCs w:val="24"/>
        </w:rPr>
      </w:pPr>
      <w:r>
        <w:rPr>
          <w:rFonts w:ascii="Times New Roman" w:hAnsi="Times New Roman"/>
          <w:b/>
          <w:sz w:val="24"/>
          <w:szCs w:val="24"/>
        </w:rPr>
        <w:t>GEOTECHNICAL PROFILE OF SELECTED BORROW PITS IN GANMO AND AMOYO TOWNS, KWARA STATE</w:t>
      </w:r>
    </w:p>
    <w:p>
      <w:pPr>
        <w:pStyle w:val="style157"/>
        <w:spacing w:lineRule="auto" w:line="360"/>
        <w:jc w:val="center"/>
        <w:rPr>
          <w:rFonts w:ascii="Times New Roman" w:hAnsi="Times New Roman"/>
          <w:b/>
          <w:sz w:val="24"/>
          <w:szCs w:val="24"/>
        </w:rPr>
      </w:pPr>
    </w:p>
    <w:p>
      <w:pPr>
        <w:pStyle w:val="style157"/>
        <w:spacing w:lineRule="auto" w:line="360"/>
        <w:jc w:val="center"/>
        <w:rPr>
          <w:rFonts w:ascii="Times New Roman" w:hAnsi="Times New Roman"/>
          <w:b/>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BY</w:t>
      </w:r>
    </w:p>
    <w:p>
      <w:pPr>
        <w:pStyle w:val="style0"/>
        <w:spacing w:before="240"/>
        <w:jc w:val="center"/>
        <w:rPr>
          <w:rFonts w:ascii="Times New Roman" w:hAnsi="Times New Roman"/>
          <w:b/>
          <w:bCs/>
          <w:sz w:val="30"/>
          <w:szCs w:val="30"/>
        </w:rPr>
      </w:pPr>
      <w:r>
        <w:rPr>
          <w:rFonts w:ascii="Times New Roman" w:hAnsi="Times New Roman"/>
          <w:b/>
          <w:bCs/>
          <w:sz w:val="30"/>
          <w:szCs w:val="30"/>
        </w:rPr>
        <w:t>SHEHU RODIAT OPEYEMI</w:t>
      </w:r>
    </w:p>
    <w:p>
      <w:pPr>
        <w:pStyle w:val="style0"/>
        <w:spacing w:before="240"/>
        <w:jc w:val="center"/>
        <w:rPr>
          <w:rFonts w:ascii="Times New Roman" w:hAnsi="Times New Roman"/>
          <w:b/>
          <w:bCs/>
          <w:sz w:val="24"/>
          <w:szCs w:val="24"/>
        </w:rPr>
      </w:pPr>
      <w:r>
        <w:rPr>
          <w:rFonts w:ascii="Times New Roman" w:hAnsi="Times New Roman"/>
          <w:b/>
          <w:bCs/>
          <w:sz w:val="30"/>
          <w:szCs w:val="30"/>
        </w:rPr>
        <w:t>HND/23/CEC/FT/0036</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SUBMITTED TO</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DEPARTMENT OF CIVIL ENGINEERING,</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INSTITUTE OF TECHNOLOGY,</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before="240"/>
        <w:jc w:val="center"/>
        <w:rPr>
          <w:rFonts w:ascii="Times New Roman" w:hAnsi="Times New Roman"/>
          <w:b/>
          <w:bCs/>
          <w:sz w:val="24"/>
          <w:szCs w:val="24"/>
        </w:rPr>
      </w:pPr>
      <w:r>
        <w:rPr>
          <w:rFonts w:ascii="Times New Roman" w:hAnsi="Times New Roman"/>
          <w:b/>
          <w:bCs/>
          <w:sz w:val="24"/>
          <w:szCs w:val="24"/>
        </w:rPr>
        <w:t>IN PARTIAL FULFILMENT OF THE REQUIREMENTS FOR THE AWARD OF HIGHER NATIONAL DIPLOMA (HND) IN CIVIL ENGINEERING</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SUPERVISED BY:</w:t>
      </w:r>
    </w:p>
    <w:p>
      <w:pPr>
        <w:pStyle w:val="style0"/>
        <w:spacing w:before="240"/>
        <w:jc w:val="center"/>
        <w:rPr>
          <w:rFonts w:ascii="Times New Roman" w:hAnsi="Times New Roman"/>
          <w:b/>
          <w:sz w:val="24"/>
          <w:szCs w:val="24"/>
        </w:rPr>
      </w:pPr>
      <w:r>
        <w:rPr>
          <w:rFonts w:ascii="Times New Roman" w:hAnsi="Times New Roman"/>
          <w:b/>
          <w:bCs/>
          <w:sz w:val="24"/>
          <w:szCs w:val="24"/>
        </w:rPr>
        <w:t>ENGR. DR. E.O IBIWOYE</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before="78" w:lineRule="auto" w:line="480"/>
        <w:ind w:left="16" w:right="19"/>
        <w:jc w:val="center"/>
        <w:rPr>
          <w:rFonts w:ascii="Times New Roman" w:hAnsi="Times New Roman"/>
          <w:b/>
          <w:bCs/>
          <w:sz w:val="24"/>
          <w:szCs w:val="24"/>
        </w:rPr>
      </w:pPr>
      <w:r>
        <w:rPr>
          <w:rFonts w:ascii="Times New Roman" w:hAnsi="Times New Roman"/>
          <w:b/>
          <w:bCs/>
          <w:sz w:val="24"/>
          <w:szCs w:val="24"/>
        </w:rPr>
        <w:t>CERTIFICATION</w:t>
      </w:r>
    </w:p>
    <w:p>
      <w:pPr>
        <w:pStyle w:val="style66"/>
        <w:spacing w:before="253" w:after="0" w:lineRule="auto" w:line="480"/>
        <w:ind w:left="18" w:right="39" w:firstLine="702"/>
        <w:rPr>
          <w:rFonts w:ascii="Times New Roman" w:hAnsi="Times New Roman"/>
          <w:i w:val="false"/>
          <w:spacing w:val="-5"/>
          <w:w w:val="104"/>
          <w:sz w:val="24"/>
          <w:szCs w:val="24"/>
        </w:rPr>
      </w:pPr>
      <w:r>
        <w:rPr>
          <w:rFonts w:ascii="Times New Roman" w:hAnsi="Times New Roman"/>
          <w:i w:val="false"/>
          <w:spacing w:val="-5"/>
          <w:w w:val="104"/>
          <w:sz w:val="24"/>
          <w:szCs w:val="24"/>
        </w:rPr>
        <w:t xml:space="preserve">This is to certify that this </w:t>
      </w:r>
      <w:r>
        <w:rPr>
          <w:rFonts w:ascii="Times New Roman" w:hAnsi="Times New Roman"/>
          <w:i w:val="false"/>
          <w:spacing w:val="-5"/>
          <w:w w:val="104"/>
          <w:sz w:val="24"/>
          <w:szCs w:val="24"/>
          <w:lang w:val="en-US"/>
        </w:rPr>
        <w:t xml:space="preserve">research study was conducted by SHEHU RODIAT OPEYEMI (HND/23/CEC/FT/0036) and </w:t>
      </w:r>
      <w:r>
        <w:rPr>
          <w:rFonts w:ascii="Times New Roman" w:hAnsi="Times New Roman"/>
          <w:i w:val="false"/>
          <w:spacing w:val="-5"/>
          <w:w w:val="104"/>
          <w:sz w:val="24"/>
          <w:szCs w:val="24"/>
        </w:rPr>
        <w:t>ha</w:t>
      </w:r>
      <w:r>
        <w:rPr>
          <w:rFonts w:ascii="Times New Roman" w:hAnsi="Times New Roman"/>
          <w:i w:val="false"/>
          <w:spacing w:val="-5"/>
          <w:w w:val="104"/>
          <w:sz w:val="24"/>
          <w:szCs w:val="24"/>
          <w:lang w:val="en-US"/>
        </w:rPr>
        <w:t>d</w:t>
      </w:r>
      <w:r>
        <w:rPr>
          <w:rFonts w:ascii="Times New Roman" w:hAnsi="Times New Roman"/>
          <w:i w:val="false"/>
          <w:spacing w:val="-5"/>
          <w:w w:val="104"/>
          <w:sz w:val="24"/>
          <w:szCs w:val="24"/>
        </w:rPr>
        <w:t xml:space="preserve"> been read and Approved as meeting the Requirement for the award of Higher National Diploma (</w:t>
      </w:r>
      <w:r>
        <w:rPr>
          <w:rFonts w:ascii="Times New Roman" w:hAnsi="Times New Roman"/>
          <w:b/>
          <w:bCs/>
          <w:i w:val="false"/>
          <w:spacing w:val="-5"/>
          <w:w w:val="104"/>
          <w:sz w:val="24"/>
          <w:szCs w:val="24"/>
        </w:rPr>
        <w:t>HND</w:t>
      </w:r>
      <w:r>
        <w:rPr>
          <w:rFonts w:ascii="Times New Roman" w:hAnsi="Times New Roman"/>
          <w:b/>
          <w:bCs/>
          <w:i w:val="false"/>
          <w:spacing w:val="-5"/>
          <w:w w:val="104"/>
          <w:sz w:val="24"/>
          <w:szCs w:val="24"/>
        </w:rPr>
        <w:t xml:space="preserve">) </w:t>
      </w:r>
      <w:r>
        <w:rPr>
          <w:rFonts w:ascii="Times New Roman" w:hAnsi="Times New Roman"/>
          <w:i w:val="false"/>
          <w:spacing w:val="-5"/>
          <w:w w:val="104"/>
          <w:sz w:val="24"/>
          <w:szCs w:val="24"/>
        </w:rPr>
        <w:t>in Civil Engi</w:t>
      </w:r>
      <w:r>
        <w:rPr>
          <w:rFonts w:ascii="Times New Roman" w:hAnsi="Times New Roman"/>
          <w:i w:val="false"/>
          <w:spacing w:val="-5"/>
          <w:w w:val="104"/>
          <w:sz w:val="24"/>
          <w:szCs w:val="24"/>
          <w:lang w:val="en-US"/>
        </w:rPr>
        <w:t xml:space="preserve">neering, Institute of Technology, </w:t>
      </w:r>
      <w:r>
        <w:rPr>
          <w:rFonts w:ascii="Times New Roman" w:hAnsi="Times New Roman"/>
          <w:i w:val="false"/>
          <w:spacing w:val="-5"/>
          <w:w w:val="104"/>
          <w:sz w:val="24"/>
          <w:szCs w:val="24"/>
        </w:rPr>
        <w:t>Kwara State Polytechnic, Ilorin.</w:t>
      </w:r>
    </w:p>
    <w:p>
      <w:pPr>
        <w:pStyle w:val="style66"/>
        <w:spacing w:before="97"/>
        <w:rPr>
          <w:rFonts w:ascii="Times New Roman" w:hAnsi="Times New Roman"/>
          <w:i w:val="false"/>
          <w:w w:val="90"/>
          <w:szCs w:val="24"/>
        </w:rPr>
      </w:pPr>
    </w:p>
    <w:p>
      <w:pPr>
        <w:pStyle w:val="style66"/>
        <w:spacing w:before="97"/>
        <w:rPr>
          <w:rFonts w:ascii="Times New Roman" w:hAnsi="Times New Roman"/>
          <w:b/>
          <w:bCs/>
          <w:i w:val="false"/>
          <w:w w:val="90"/>
          <w:szCs w:val="24"/>
        </w:rPr>
      </w:pPr>
      <w:r>
        <w:rPr>
          <w:rFonts w:ascii="Times New Roman" w:hAnsi="Times New Roman"/>
          <w:b/>
          <w:bCs/>
          <w:i w:val="false"/>
          <w:w w:val="90"/>
          <w:szCs w:val="24"/>
        </w:rPr>
        <w:t>_________________________</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____________________</w:t>
      </w:r>
    </w:p>
    <w:p>
      <w:pPr>
        <w:pStyle w:val="style66"/>
        <w:spacing w:before="97" w:after="0" w:lineRule="auto" w:line="240"/>
        <w:rPr>
          <w:rFonts w:ascii="Times New Roman" w:hAnsi="Times New Roman"/>
          <w:b/>
          <w:bCs/>
          <w:i w:val="false"/>
          <w:w w:val="95"/>
          <w:sz w:val="28"/>
          <w:szCs w:val="24"/>
        </w:rPr>
      </w:pPr>
      <w:r>
        <w:rPr>
          <w:rFonts w:ascii="Times New Roman" w:hAnsi="Times New Roman"/>
          <w:b/>
          <w:bCs/>
          <w:i w:val="false"/>
          <w:w w:val="90"/>
          <w:sz w:val="28"/>
          <w:szCs w:val="24"/>
        </w:rPr>
        <w:t>ENGR.</w:t>
      </w:r>
      <w:r>
        <w:rPr>
          <w:rFonts w:ascii="Times New Roman" w:hAnsi="Times New Roman"/>
          <w:b/>
          <w:bCs/>
          <w:i w:val="false"/>
          <w:w w:val="90"/>
          <w:sz w:val="28"/>
          <w:szCs w:val="24"/>
          <w:lang w:val="en-US"/>
        </w:rPr>
        <w:t xml:space="preserve"> A.O SAADU</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ab/>
      </w:r>
      <w:r>
        <w:rPr>
          <w:rFonts w:ascii="Times New Roman" w:hAnsi="Times New Roman"/>
          <w:b/>
          <w:bCs/>
          <w:i w:val="false"/>
          <w:w w:val="95"/>
          <w:sz w:val="28"/>
          <w:szCs w:val="24"/>
        </w:rPr>
        <w:t>DATE</w:t>
      </w:r>
    </w:p>
    <w:p>
      <w:pPr>
        <w:pStyle w:val="style66"/>
        <w:spacing w:before="97" w:after="0" w:lineRule="auto" w:line="240"/>
        <w:rPr>
          <w:rFonts w:ascii="Times New Roman" w:hAnsi="Times New Roman"/>
          <w:b/>
          <w:bCs/>
          <w:i w:val="false"/>
          <w:w w:val="95"/>
          <w:sz w:val="28"/>
          <w:szCs w:val="24"/>
        </w:rPr>
      </w:pPr>
      <w:r>
        <w:rPr>
          <w:rFonts w:ascii="Times New Roman" w:hAnsi="Times New Roman"/>
          <w:b/>
          <w:bCs/>
          <w:i w:val="false"/>
          <w:sz w:val="28"/>
          <w:szCs w:val="24"/>
        </w:rPr>
        <w:t xml:space="preserve">  (</w:t>
      </w:r>
      <w:r>
        <w:rPr>
          <w:rFonts w:ascii="Times New Roman" w:hAnsi="Times New Roman"/>
          <w:b/>
          <w:bCs/>
          <w:iCs/>
          <w:sz w:val="28"/>
          <w:szCs w:val="24"/>
        </w:rPr>
        <w:t>PROJECT SUPERVISOR)</w:t>
      </w:r>
    </w:p>
    <w:p>
      <w:pPr>
        <w:pStyle w:val="style66"/>
        <w:spacing w:after="0"/>
        <w:rPr>
          <w:rFonts w:ascii="Times New Roman" w:hAnsi="Times New Roman"/>
          <w:b/>
          <w:bCs/>
          <w:i w:val="false"/>
          <w:w w:val="90"/>
          <w:sz w:val="28"/>
          <w:szCs w:val="24"/>
        </w:rPr>
      </w:pPr>
    </w:p>
    <w:p>
      <w:pPr>
        <w:pStyle w:val="style66"/>
        <w:spacing w:after="0"/>
        <w:rPr>
          <w:rFonts w:ascii="Times New Roman" w:hAnsi="Times New Roman"/>
          <w:b/>
          <w:bCs/>
          <w:i w:val="false"/>
          <w:w w:val="90"/>
          <w:sz w:val="28"/>
          <w:szCs w:val="24"/>
        </w:rPr>
      </w:pP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______________________</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____________________</w:t>
      </w: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 xml:space="preserve">A. </w:t>
      </w:r>
      <w:r>
        <w:rPr>
          <w:rFonts w:ascii="Times New Roman" w:hAnsi="Times New Roman"/>
          <w:b/>
          <w:bCs/>
          <w:i w:val="false"/>
          <w:w w:val="90"/>
          <w:sz w:val="28"/>
          <w:szCs w:val="24"/>
        </w:rPr>
        <w:t>NA</w:t>
      </w:r>
      <w:r>
        <w:rPr>
          <w:rFonts w:ascii="Times New Roman" w:hAnsi="Times New Roman"/>
          <w:b/>
          <w:bCs/>
          <w:i w:val="false"/>
          <w:w w:val="90"/>
          <w:sz w:val="28"/>
          <w:szCs w:val="24"/>
          <w:lang w:val="en-US"/>
        </w:rPr>
        <w:t>A</w:t>
      </w:r>
      <w:r>
        <w:rPr>
          <w:rFonts w:ascii="Times New Roman" w:hAnsi="Times New Roman"/>
          <w:b/>
          <w:bCs/>
          <w:i w:val="false"/>
          <w:w w:val="90"/>
          <w:sz w:val="28"/>
          <w:szCs w:val="24"/>
        </w:rPr>
        <w:t xml:space="preserve">LLAH </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ab/>
      </w:r>
      <w:r>
        <w:rPr>
          <w:rFonts w:ascii="Times New Roman" w:hAnsi="Times New Roman"/>
          <w:b/>
          <w:bCs/>
          <w:i w:val="false"/>
          <w:w w:val="90"/>
          <w:sz w:val="28"/>
          <w:szCs w:val="24"/>
        </w:rPr>
        <w:t>DATE</w:t>
      </w:r>
    </w:p>
    <w:p>
      <w:pPr>
        <w:pStyle w:val="style0"/>
        <w:rPr>
          <w:rFonts w:ascii="Times New Roman" w:hAnsi="Times New Roman"/>
          <w:b/>
          <w:bCs/>
          <w:w w:val="90"/>
          <w:sz w:val="28"/>
          <w:szCs w:val="24"/>
        </w:rPr>
      </w:pPr>
      <w:r>
        <w:rPr>
          <w:rFonts w:ascii="Times New Roman" w:hAnsi="Times New Roman"/>
          <w:b/>
          <w:bCs/>
          <w:w w:val="90"/>
          <w:sz w:val="28"/>
          <w:szCs w:val="24"/>
        </w:rPr>
        <w:t>(HEAD OF DEPARTMENT)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w w:val="90"/>
          <w:sz w:val="28"/>
          <w:szCs w:val="24"/>
        </w:rPr>
      </w:pPr>
    </w:p>
    <w:p>
      <w:pPr>
        <w:pStyle w:val="style0"/>
        <w:rPr>
          <w:rFonts w:ascii="Times New Roman" w:hAnsi="Times New Roman"/>
          <w:b/>
          <w:bCs/>
          <w:w w:val="90"/>
          <w:sz w:val="28"/>
          <w:szCs w:val="24"/>
        </w:rPr>
      </w:pPr>
      <w:r>
        <w:rPr>
          <w:rFonts w:ascii="Times New Roman" w:hAnsi="Times New Roman"/>
          <w:b/>
          <w:bCs/>
          <w:w w:val="90"/>
          <w:sz w:val="28"/>
          <w:szCs w:val="24"/>
        </w:rPr>
        <w:t>_______________________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____________________</w:t>
      </w:r>
    </w:p>
    <w:p>
      <w:pPr>
        <w:pStyle w:val="style0"/>
        <w:rPr>
          <w:rFonts w:ascii="Times New Roman" w:hAnsi="Times New Roman"/>
          <w:b/>
          <w:bCs/>
          <w:w w:val="90"/>
          <w:sz w:val="28"/>
          <w:szCs w:val="24"/>
        </w:rPr>
      </w:pPr>
      <w:r>
        <w:rPr>
          <w:rFonts w:ascii="Times New Roman" w:hAnsi="Times New Roman"/>
          <w:b/>
          <w:bCs/>
          <w:w w:val="90"/>
          <w:sz w:val="28"/>
          <w:szCs w:val="24"/>
        </w:rPr>
        <w:t>ENGR. DR, M</w:t>
      </w:r>
      <w:r>
        <w:rPr>
          <w:rFonts w:ascii="Times New Roman" w:hAnsi="Times New Roman"/>
          <w:b/>
          <w:bCs/>
          <w:w w:val="90"/>
          <w:sz w:val="28"/>
          <w:szCs w:val="24"/>
          <w:lang w:val="en-US"/>
        </w:rPr>
        <w:t xml:space="preserve">UJEDU KASALI </w:t>
      </w:r>
      <w:r>
        <w:rPr>
          <w:rFonts w:ascii="Times New Roman" w:hAnsi="Times New Roman"/>
          <w:b/>
          <w:bCs/>
          <w:w w:val="90"/>
          <w:sz w:val="28"/>
          <w:szCs w:val="24"/>
        </w:rPr>
        <w:t>ADEBAYO</w:t>
      </w:r>
      <w:r>
        <w:rPr>
          <w:rFonts w:ascii="Times New Roman" w:hAnsi="Times New Roman"/>
          <w:b/>
          <w:bCs/>
          <w:w w:val="90"/>
          <w:sz w:val="28"/>
          <w:szCs w:val="24"/>
        </w:rPr>
        <w:tab/>
      </w:r>
      <w:r>
        <w:rPr>
          <w:rFonts w:ascii="Times New Roman" w:hAnsi="Times New Roman"/>
          <w:b/>
          <w:bCs/>
          <w:w w:val="90"/>
          <w:sz w:val="28"/>
          <w:szCs w:val="24"/>
        </w:rPr>
        <w:tab/>
        <w:tab/>
      </w:r>
      <w:r>
        <w:rPr>
          <w:rFonts w:ascii="Times New Roman" w:hAnsi="Times New Roman"/>
          <w:b/>
          <w:bCs/>
          <w:w w:val="90"/>
          <w:sz w:val="28"/>
          <w:szCs w:val="24"/>
        </w:rPr>
        <w:t>DATE</w:t>
      </w:r>
    </w:p>
    <w:p>
      <w:pPr>
        <w:pStyle w:val="style0"/>
        <w:rPr>
          <w:rFonts w:ascii="Times New Roman" w:hAnsi="Times New Roman"/>
          <w:b/>
          <w:bCs/>
          <w:sz w:val="28"/>
          <w:szCs w:val="28"/>
        </w:rPr>
      </w:pPr>
      <w:r>
        <w:rPr>
          <w:rFonts w:ascii="Times New Roman" w:hAnsi="Times New Roman"/>
          <w:b/>
          <w:bCs/>
          <w:w w:val="90"/>
          <w:sz w:val="28"/>
          <w:szCs w:val="24"/>
        </w:rPr>
        <w:t xml:space="preserve"> (EXTERNAL </w:t>
      </w:r>
      <w:r>
        <w:rPr>
          <w:rFonts w:ascii="Times New Roman" w:hAnsi="Times New Roman"/>
          <w:b/>
          <w:bCs/>
          <w:w w:val="90"/>
          <w:sz w:val="28"/>
          <w:szCs w:val="24"/>
          <w:lang w:val="en-US"/>
        </w:rPr>
        <w:t>EXAMINAL</w:t>
      </w:r>
      <w:r>
        <w:rPr>
          <w:rFonts w:ascii="Times New Roman" w:hAnsi="Times New Roman"/>
          <w:b/>
          <w:bCs/>
          <w:w w:val="90"/>
          <w:sz w:val="28"/>
          <w:szCs w:val="24"/>
        </w:rPr>
        <w: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spacing w:lineRule="auto" w:line="360"/>
        <w:ind w:firstLine="720"/>
        <w:jc w:val="both"/>
        <w:rPr>
          <w:rFonts w:ascii="Times New Roman" w:hAnsi="Times New Roman"/>
          <w:bCs/>
          <w:sz w:val="24"/>
          <w:szCs w:val="24"/>
        </w:rPr>
      </w:pPr>
      <w:r>
        <w:rPr>
          <w:rFonts w:ascii="Times New Roman" w:hAnsi="Times New Roman"/>
          <w:bCs/>
          <w:sz w:val="24"/>
          <w:szCs w:val="24"/>
        </w:rPr>
        <w:t xml:space="preserve">To </w:t>
      </w:r>
      <w:r>
        <w:rPr>
          <w:rFonts w:ascii="Times New Roman" w:hAnsi="Times New Roman"/>
          <w:bCs/>
          <w:sz w:val="24"/>
          <w:szCs w:val="24"/>
        </w:rPr>
        <w:t xml:space="preserve">Almighty </w:t>
      </w:r>
      <w:r>
        <w:rPr>
          <w:rFonts w:ascii="Times New Roman" w:hAnsi="Times New Roman"/>
          <w:bCs/>
          <w:sz w:val="24"/>
          <w:szCs w:val="24"/>
        </w:rPr>
        <w:t>ALLAH</w:t>
      </w:r>
      <w:r>
        <w:rPr>
          <w:rFonts w:ascii="Times New Roman" w:hAnsi="Times New Roman"/>
          <w:bCs/>
          <w:sz w:val="24"/>
          <w:szCs w:val="24"/>
        </w:rPr>
        <w:t xml:space="preserve"> the greatest of all, the alpha and omega (the beginning and the end of all) for the success of this work. I also dedicate this work to my ever hardworking and lovin</w:t>
      </w:r>
      <w:r>
        <w:rPr>
          <w:rFonts w:ascii="Times New Roman" w:hAnsi="Times New Roman"/>
          <w:bCs/>
          <w:sz w:val="24"/>
          <w:szCs w:val="24"/>
        </w:rPr>
        <w:t xml:space="preserve">g late </w:t>
      </w:r>
      <w:r>
        <w:rPr>
          <w:rFonts w:ascii="Times New Roman" w:hAnsi="Times New Roman"/>
          <w:b/>
          <w:sz w:val="24"/>
          <w:szCs w:val="24"/>
        </w:rPr>
        <w:t>Daddy</w:t>
      </w:r>
      <w:r>
        <w:rPr>
          <w:rFonts w:ascii="Times New Roman" w:hAnsi="Times New Roman"/>
          <w:bCs/>
          <w:sz w:val="24"/>
          <w:szCs w:val="24"/>
        </w:rPr>
        <w:t xml:space="preserve"> may Allah grant you the highest place in </w:t>
      </w:r>
      <w:r>
        <w:rPr>
          <w:rFonts w:ascii="Times New Roman" w:hAnsi="Times New Roman"/>
          <w:bCs/>
          <w:sz w:val="24"/>
          <w:szCs w:val="24"/>
        </w:rPr>
        <w:t>Jannah</w:t>
      </w:r>
      <w:r>
        <w:rPr>
          <w:rFonts w:ascii="Times New Roman" w:hAnsi="Times New Roman"/>
          <w:bCs/>
          <w:sz w:val="24"/>
          <w:szCs w:val="24"/>
        </w:rPr>
        <w:t xml:space="preserve"> and to</w:t>
      </w:r>
      <w:r>
        <w:rPr>
          <w:rFonts w:ascii="Times New Roman" w:hAnsi="Times New Roman"/>
          <w:b/>
          <w:sz w:val="24"/>
          <w:szCs w:val="24"/>
        </w:rPr>
        <w:t xml:space="preserve"> </w:t>
      </w:r>
      <w:r>
        <w:rPr>
          <w:rFonts w:ascii="Times New Roman" w:hAnsi="Times New Roman"/>
          <w:bCs/>
          <w:sz w:val="24"/>
          <w:szCs w:val="24"/>
        </w:rPr>
        <w:t>my</w:t>
      </w:r>
      <w:r>
        <w:rPr>
          <w:rFonts w:ascii="Times New Roman" w:hAnsi="Times New Roman"/>
          <w:bCs/>
          <w:sz w:val="24"/>
          <w:szCs w:val="24"/>
        </w:rPr>
        <w:t xml:space="preserve"> </w:t>
      </w:r>
      <w:r>
        <w:rPr>
          <w:rFonts w:ascii="Times New Roman" w:hAnsi="Times New Roman"/>
          <w:b/>
          <w:sz w:val="24"/>
          <w:szCs w:val="24"/>
        </w:rPr>
        <w:t>Mummy</w:t>
      </w:r>
      <w:r>
        <w:rPr>
          <w:rFonts w:ascii="Times New Roman" w:hAnsi="Times New Roman"/>
          <w:b/>
          <w:sz w:val="24"/>
          <w:szCs w:val="24"/>
        </w:rPr>
        <w:t xml:space="preserve"> </w:t>
      </w:r>
      <w:r>
        <w:rPr>
          <w:rFonts w:ascii="Times New Roman" w:hAnsi="Times New Roman"/>
          <w:bCs/>
          <w:sz w:val="24"/>
          <w:szCs w:val="24"/>
        </w:rPr>
        <w:t>thank you for your</w:t>
      </w:r>
      <w:r>
        <w:rPr>
          <w:rFonts w:ascii="Times New Roman" w:hAnsi="Times New Roman"/>
          <w:b/>
          <w:sz w:val="24"/>
          <w:szCs w:val="24"/>
        </w:rPr>
        <w:t xml:space="preserve"> </w:t>
      </w:r>
      <w:r>
        <w:rPr>
          <w:rFonts w:ascii="Times New Roman" w:hAnsi="Times New Roman"/>
          <w:bCs/>
          <w:sz w:val="24"/>
          <w:szCs w:val="24"/>
        </w:rPr>
        <w:t>endless support, prayers and sacrifices.</w:t>
      </w:r>
      <w:r>
        <w:rPr>
          <w:rFonts w:ascii="Times New Roman" w:hAnsi="Times New Roman"/>
          <w:b/>
          <w:sz w:val="24"/>
          <w:szCs w:val="24"/>
        </w:rPr>
        <w:t xml:space="preserve"> </w:t>
      </w:r>
      <w:r>
        <w:rPr>
          <w:rFonts w:ascii="Times New Roman" w:hAnsi="Times New Roman"/>
          <w:bCs/>
          <w:sz w:val="24"/>
          <w:szCs w:val="24"/>
        </w:rPr>
        <w:t xml:space="preserve">More also to </w:t>
      </w:r>
      <w:r>
        <w:rPr>
          <w:rFonts w:ascii="Times New Roman" w:hAnsi="Times New Roman"/>
          <w:b/>
          <w:sz w:val="24"/>
          <w:szCs w:val="24"/>
        </w:rPr>
        <w:t>MR &amp; MRS ABDULYEKEEN</w:t>
      </w:r>
      <w:r>
        <w:rPr>
          <w:rFonts w:ascii="Times New Roman" w:hAnsi="Times New Roman"/>
          <w:b/>
          <w:sz w:val="24"/>
          <w:szCs w:val="24"/>
        </w:rPr>
        <w:t xml:space="preserve">, </w:t>
      </w:r>
      <w:r>
        <w:rPr>
          <w:rFonts w:ascii="Times New Roman" w:hAnsi="Times New Roman"/>
          <w:bCs/>
          <w:sz w:val="24"/>
          <w:szCs w:val="24"/>
        </w:rPr>
        <w:t>I deeply appreciate your love, support, encouragement and constant motivation and all those who have supported me make this project a successful one for their</w:t>
      </w:r>
      <w:r>
        <w:rPr>
          <w:rFonts w:ascii="Times New Roman" w:hAnsi="Times New Roman"/>
          <w:bCs/>
          <w:sz w:val="24"/>
          <w:szCs w:val="24"/>
        </w:rPr>
        <w:t xml:space="preserve"> gracious support in my life.  I really appreciate all and sundry.</w:t>
      </w:r>
      <w:r>
        <w:rPr>
          <w:rFonts w:ascii="Times New Roman" w:hAnsi="Times New Roman"/>
          <w:bCs/>
          <w:sz w:val="24"/>
          <w:szCs w:val="24"/>
        </w:rPr>
        <w:t xml:space="preserve"> GOD </w:t>
      </w:r>
      <w:r>
        <w:rPr>
          <w:rFonts w:ascii="Times New Roman" w:hAnsi="Times New Roman"/>
          <w:bCs/>
          <w:sz w:val="24"/>
          <w:szCs w:val="24"/>
        </w:rPr>
        <w:t>BLESS</w:t>
      </w:r>
      <w:r>
        <w:rPr>
          <w:rFonts w:ascii="Times New Roman" w:hAnsi="Times New Roman"/>
          <w:bCs/>
          <w:sz w:val="24"/>
          <w:szCs w:val="24"/>
        </w:rPr>
        <w:t xml:space="preserve"> YOU ALL.</w:t>
      </w:r>
    </w:p>
    <w:p>
      <w:pPr>
        <w:pStyle w:val="style0"/>
        <w:jc w:val="both"/>
        <w:rPr>
          <w:rFonts w:ascii="Times New Roman" w:hAnsi="Times New Roman"/>
          <w:b/>
          <w:sz w:val="24"/>
          <w:szCs w:val="24"/>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ACKNOWLEDGEMENT</w:t>
      </w:r>
    </w:p>
    <w:p>
      <w:pPr>
        <w:pStyle w:val="style0"/>
        <w:spacing w:lineRule="auto" w:line="480"/>
        <w:jc w:val="both"/>
        <w:rPr>
          <w:rFonts w:ascii="Times New Roman" w:hAnsi="Times New Roman"/>
          <w:b/>
          <w:sz w:val="28"/>
          <w:szCs w:val="28"/>
        </w:rPr>
      </w:pPr>
      <w:r>
        <w:rPr>
          <w:rFonts w:ascii="Times New Roman" w:cs="Times New Roman" w:hAnsi="Times New Roman"/>
          <w:b/>
          <w:bCs/>
          <w:sz w:val="28"/>
          <w:szCs w:val="28"/>
        </w:rPr>
        <w:tab/>
      </w:r>
      <w:r>
        <w:rPr>
          <w:rFonts w:ascii="Times New Roman" w:cs="Times New Roman" w:hAnsi="Times New Roman"/>
          <w:sz w:val="28"/>
          <w:szCs w:val="28"/>
        </w:rPr>
        <w:t>Alha</w:t>
      </w:r>
      <w:r>
        <w:rPr>
          <w:rFonts w:ascii="Times New Roman" w:cs="Times New Roman" w:hAnsi="Times New Roman"/>
          <w:sz w:val="28"/>
          <w:szCs w:val="28"/>
        </w:rPr>
        <w:t>m</w:t>
      </w:r>
      <w:r>
        <w:rPr>
          <w:rFonts w:ascii="Times New Roman" w:cs="Times New Roman" w:hAnsi="Times New Roman"/>
          <w:sz w:val="28"/>
          <w:szCs w:val="28"/>
        </w:rPr>
        <w:t xml:space="preserve">dulillah, all praise is due to Almighty Allah for granting me the strength, wisdom and patience to complete this project successful. I sincerely appreciate my supervisor </w:t>
      </w:r>
      <w:r>
        <w:rPr>
          <w:rFonts w:ascii="Times New Roman" w:cs="Times New Roman" w:hAnsi="Times New Roman"/>
          <w:b/>
          <w:bCs/>
          <w:sz w:val="28"/>
          <w:szCs w:val="28"/>
        </w:rPr>
        <w:t>(ENGR. DR. E.O. IBIWOYE)</w:t>
      </w:r>
      <w:r>
        <w:rPr>
          <w:rFonts w:ascii="Times New Roman" w:cs="Times New Roman" w:hAnsi="Times New Roman"/>
          <w:sz w:val="28"/>
          <w:szCs w:val="28"/>
        </w:rPr>
        <w:t xml:space="preserve"> for the valuable guidance, support, and constructive feedback throughout the course of this project. My heartfelt thanks </w:t>
      </w:r>
      <w:r>
        <w:rPr>
          <w:rFonts w:ascii="Times New Roman" w:cs="Times New Roman" w:hAnsi="Times New Roman"/>
          <w:sz w:val="28"/>
          <w:szCs w:val="28"/>
        </w:rPr>
        <w:t>goes</w:t>
      </w:r>
      <w:r>
        <w:rPr>
          <w:rFonts w:ascii="Times New Roman" w:cs="Times New Roman" w:hAnsi="Times New Roman"/>
          <w:sz w:val="28"/>
          <w:szCs w:val="28"/>
        </w:rPr>
        <w:t xml:space="preserve"> to my </w:t>
      </w:r>
      <w:r>
        <w:rPr>
          <w:rFonts w:ascii="Times New Roman" w:cs="Times New Roman" w:hAnsi="Times New Roman"/>
          <w:b/>
          <w:bCs/>
          <w:sz w:val="28"/>
          <w:szCs w:val="28"/>
        </w:rPr>
        <w:t>beloved mother</w:t>
      </w:r>
      <w:r>
        <w:rPr>
          <w:rFonts w:ascii="Times New Roman" w:cs="Times New Roman" w:hAnsi="Times New Roman"/>
          <w:b/>
          <w:bCs/>
          <w:sz w:val="28"/>
          <w:szCs w:val="28"/>
        </w:rPr>
        <w:t xml:space="preserve">, </w:t>
      </w:r>
      <w:r>
        <w:rPr>
          <w:rFonts w:ascii="Times New Roman" w:cs="Times New Roman" w:hAnsi="Times New Roman"/>
          <w:sz w:val="28"/>
          <w:szCs w:val="28"/>
        </w:rPr>
        <w:t xml:space="preserve">whose prayers and love carried me through every challenges. To my </w:t>
      </w:r>
      <w:r>
        <w:rPr>
          <w:rFonts w:ascii="Times New Roman" w:cs="Times New Roman" w:hAnsi="Times New Roman"/>
          <w:b/>
          <w:bCs/>
          <w:sz w:val="28"/>
          <w:szCs w:val="28"/>
        </w:rPr>
        <w:t xml:space="preserve">late Father, </w:t>
      </w:r>
      <w:r>
        <w:rPr>
          <w:rFonts w:ascii="Times New Roman" w:cs="Times New Roman" w:hAnsi="Times New Roman"/>
          <w:sz w:val="28"/>
          <w:szCs w:val="28"/>
        </w:rPr>
        <w:t>may</w:t>
      </w:r>
      <w:r>
        <w:rPr>
          <w:rFonts w:ascii="Times New Roman" w:cs="Times New Roman" w:hAnsi="Times New Roman"/>
          <w:sz w:val="28"/>
          <w:szCs w:val="28"/>
        </w:rPr>
        <w:t xml:space="preserve"> Allah continue to grant you eternal </w:t>
      </w:r>
      <w:r>
        <w:rPr>
          <w:rFonts w:ascii="Times New Roman" w:cs="Times New Roman" w:hAnsi="Times New Roman"/>
          <w:sz w:val="28"/>
          <w:szCs w:val="28"/>
        </w:rPr>
        <w:t>rest,</w:t>
      </w:r>
      <w:r>
        <w:rPr>
          <w:rFonts w:ascii="Times New Roman" w:cs="Times New Roman" w:hAnsi="Times New Roman"/>
          <w:sz w:val="28"/>
          <w:szCs w:val="28"/>
        </w:rPr>
        <w:t xml:space="preserve"> your memory inspires me every day. </w:t>
      </w:r>
      <w:r>
        <w:rPr>
          <w:rFonts w:ascii="Times New Roman" w:cs="Times New Roman" w:hAnsi="Times New Roman"/>
          <w:sz w:val="28"/>
          <w:szCs w:val="28"/>
        </w:rPr>
        <w:t xml:space="preserve">Special appreciation to </w:t>
      </w:r>
      <w:r>
        <w:rPr>
          <w:rFonts w:ascii="Times New Roman" w:cs="Times New Roman" w:hAnsi="Times New Roman"/>
          <w:b/>
          <w:bCs/>
          <w:sz w:val="28"/>
          <w:szCs w:val="28"/>
        </w:rPr>
        <w:t>MR. &amp; MRS ABDULYEKEEN</w:t>
      </w:r>
      <w:r>
        <w:rPr>
          <w:rFonts w:ascii="Times New Roman" w:cs="Times New Roman" w:hAnsi="Times New Roman"/>
          <w:sz w:val="28"/>
          <w:szCs w:val="28"/>
        </w:rPr>
        <w:t xml:space="preserve"> and my siblings, relative and friends for their constant encouragement, moral support and understanding during this journey.</w:t>
      </w:r>
      <w:r>
        <w:rPr>
          <w:rFonts w:ascii="Times New Roman" w:cs="Times New Roman" w:hAnsi="Times New Roman"/>
          <w:sz w:val="28"/>
          <w:szCs w:val="28"/>
        </w:rPr>
        <w:t xml:space="preserve"> Lastly My gratitude goes to my amiable </w:t>
      </w:r>
      <w:r>
        <w:rPr>
          <w:rFonts w:ascii="Times New Roman" w:cs="Times New Roman" w:hAnsi="Times New Roman"/>
          <w:sz w:val="28"/>
          <w:szCs w:val="28"/>
        </w:rPr>
        <w:t>lecturers  Engr</w:t>
      </w:r>
      <w:r>
        <w:rPr>
          <w:rFonts w:ascii="Times New Roman" w:cs="Times New Roman" w:hAnsi="Times New Roman"/>
          <w:sz w:val="28"/>
          <w:szCs w:val="28"/>
        </w:rPr>
        <w:t xml:space="preserve">. A. Emirate, Engr. </w:t>
      </w:r>
      <w:r>
        <w:rPr>
          <w:rFonts w:ascii="Times New Roman" w:cs="Times New Roman" w:hAnsi="Times New Roman"/>
          <w:sz w:val="28"/>
          <w:szCs w:val="28"/>
        </w:rPr>
        <w:t>A.w</w:t>
      </w:r>
      <w:r>
        <w:rPr>
          <w:rFonts w:ascii="Times New Roman" w:cs="Times New Roman" w:hAnsi="Times New Roman"/>
          <w:sz w:val="28"/>
          <w:szCs w:val="28"/>
        </w:rPr>
        <w:t xml:space="preserve">. Mansur, Engr. A.O. </w:t>
      </w:r>
      <w:r>
        <w:rPr>
          <w:rFonts w:ascii="Times New Roman" w:cs="Times New Roman" w:hAnsi="Times New Roman"/>
          <w:sz w:val="28"/>
          <w:szCs w:val="28"/>
        </w:rPr>
        <w:t>Saadu</w:t>
      </w:r>
      <w:r>
        <w:rPr>
          <w:rFonts w:ascii="Times New Roman" w:cs="Times New Roman" w:hAnsi="Times New Roman"/>
          <w:sz w:val="28"/>
          <w:szCs w:val="28"/>
        </w:rPr>
        <w:t xml:space="preserve">, Engr. A. </w:t>
      </w:r>
      <w:r>
        <w:rPr>
          <w:rFonts w:ascii="Times New Roman" w:cs="Times New Roman" w:hAnsi="Times New Roman"/>
          <w:sz w:val="28"/>
          <w:szCs w:val="28"/>
        </w:rPr>
        <w:t>Sanni</w:t>
      </w:r>
      <w:r>
        <w:rPr>
          <w:rFonts w:ascii="Times New Roman" w:cs="Times New Roman" w:hAnsi="Times New Roman"/>
          <w:sz w:val="28"/>
          <w:szCs w:val="28"/>
        </w:rPr>
        <w:t xml:space="preserve">, Engr. </w:t>
      </w:r>
      <w:r>
        <w:rPr>
          <w:rFonts w:ascii="Times New Roman" w:cs="Times New Roman" w:hAnsi="Times New Roman"/>
          <w:sz w:val="28"/>
          <w:szCs w:val="28"/>
        </w:rPr>
        <w:t>Garba</w:t>
      </w:r>
      <w:r>
        <w:rPr>
          <w:rFonts w:ascii="Times New Roman" w:cs="Times New Roman" w:hAnsi="Times New Roman"/>
          <w:sz w:val="28"/>
          <w:szCs w:val="28"/>
        </w:rPr>
        <w:t xml:space="preserve"> and everyone who contributed in one way or another May Almighty Allah reward you all abundance          </w:t>
      </w:r>
      <w:r>
        <w:rPr>
          <w:rFonts w:ascii="Times New Roman" w:cs="Times New Roman" w:hAnsi="Times New Roman"/>
          <w:b/>
          <w:bCs/>
          <w:sz w:val="28"/>
          <w:szCs w:val="28"/>
        </w:rPr>
        <w:t xml:space="preserve"> </w:t>
      </w:r>
      <w:r>
        <w:rPr>
          <w:rFonts w:ascii="Times New Roman" w:cs="Times New Roman" w:hAnsi="Times New Roman"/>
          <w:sz w:val="28"/>
          <w:szCs w:val="28"/>
        </w:rPr>
        <w:t xml:space="preserve">  </w:t>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eastAsia="Calibri" w:hAnsi="Times New Roman"/>
          <w:b/>
          <w:sz w:val="24"/>
          <w:szCs w:val="24"/>
          <w:lang w:eastAsia="en-US"/>
        </w:rPr>
      </w:pPr>
      <w:r>
        <w:rPr>
          <w:rFonts w:ascii="Times New Roman" w:eastAsia="Calibri" w:hAnsi="Times New Roman"/>
          <w:b/>
          <w:sz w:val="24"/>
          <w:szCs w:val="24"/>
          <w:lang w:eastAsia="en-US"/>
        </w:rPr>
        <w:t>TABLE OF CONTENT</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Title page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Certification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Dedication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Acknowledgement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of contents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Abstract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ONE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1.0 Introduction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1.1 Background</w:t>
      </w:r>
      <w:r>
        <w:rPr>
          <w:rFonts w:ascii="Times New Roman" w:eastAsia="Calibri" w:hAnsi="Times New Roman"/>
          <w:sz w:val="24"/>
          <w:szCs w:val="24"/>
          <w:lang w:eastAsia="en-US"/>
        </w:rPr>
        <w:t xml:space="preserve"> of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1.2 Statement</w:t>
      </w:r>
      <w:r>
        <w:rPr>
          <w:rFonts w:ascii="Times New Roman" w:eastAsia="Calibri" w:hAnsi="Times New Roman"/>
          <w:sz w:val="24"/>
          <w:szCs w:val="24"/>
          <w:lang w:eastAsia="en-US"/>
        </w:rPr>
        <w:t xml:space="preserve"> of the Problem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1.3 Aims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1.4 Objectives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1.5 Justification</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1.6 Scope</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TWO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2.0   Literature Review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 Preamble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2.1.1.0 Importance</w:t>
      </w:r>
      <w:r>
        <w:rPr>
          <w:rFonts w:ascii="Times New Roman" w:eastAsia="Calibri" w:hAnsi="Times New Roman"/>
          <w:sz w:val="24"/>
          <w:szCs w:val="24"/>
          <w:lang w:eastAsia="en-US"/>
        </w:rPr>
        <w:t xml:space="preserve"> of Geotechnical Studies on Borrow Pits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2.1.1.1 Ensuring</w:t>
      </w:r>
      <w:r>
        <w:rPr>
          <w:rFonts w:ascii="Times New Roman" w:eastAsia="Calibri" w:hAnsi="Times New Roman"/>
          <w:sz w:val="24"/>
          <w:szCs w:val="24"/>
          <w:lang w:eastAsia="en-US"/>
        </w:rPr>
        <w:t xml:space="preserve"> Structural Stability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2.1.1.2 Enhanching</w:t>
      </w:r>
      <w:r>
        <w:rPr>
          <w:rFonts w:ascii="Times New Roman" w:eastAsia="Calibri" w:hAnsi="Times New Roman"/>
          <w:sz w:val="24"/>
          <w:szCs w:val="24"/>
          <w:lang w:eastAsia="en-US"/>
        </w:rPr>
        <w:t xml:space="preserve"> Cost-Effectiveness in Construction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2.1.1.3 Minimizing</w:t>
      </w:r>
      <w:r>
        <w:rPr>
          <w:rFonts w:ascii="Times New Roman" w:eastAsia="Calibri" w:hAnsi="Times New Roman"/>
          <w:sz w:val="24"/>
          <w:szCs w:val="24"/>
          <w:lang w:eastAsia="en-US"/>
        </w:rPr>
        <w:t xml:space="preserve"> Environmental Impact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2.1.1.4 Improving</w:t>
      </w:r>
      <w:r>
        <w:rPr>
          <w:rFonts w:ascii="Times New Roman" w:eastAsia="Calibri" w:hAnsi="Times New Roman"/>
          <w:sz w:val="24"/>
          <w:szCs w:val="24"/>
          <w:lang w:eastAsia="en-US"/>
        </w:rPr>
        <w:t xml:space="preserve"> pavement and Foundation Performance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2.1.2 Overview</w:t>
      </w:r>
      <w:r>
        <w:rPr>
          <w:rFonts w:ascii="Times New Roman" w:eastAsia="Calibri" w:hAnsi="Times New Roman"/>
          <w:sz w:val="24"/>
          <w:szCs w:val="24"/>
          <w:lang w:eastAsia="en-US"/>
        </w:rPr>
        <w:t xml:space="preserve"> of Borrow Pits Utilization in Nigeria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2.2.0 Geological</w:t>
      </w:r>
      <w:r>
        <w:rPr>
          <w:rFonts w:ascii="Times New Roman" w:eastAsia="Calibri" w:hAnsi="Times New Roman"/>
          <w:sz w:val="24"/>
          <w:szCs w:val="24"/>
          <w:lang w:eastAsia="en-US"/>
        </w:rPr>
        <w:t xml:space="preserve"> setting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2.2.1 Overview</w:t>
      </w:r>
      <w:r>
        <w:rPr>
          <w:rFonts w:ascii="Times New Roman" w:eastAsia="Calibri" w:hAnsi="Times New Roman"/>
          <w:sz w:val="24"/>
          <w:szCs w:val="24"/>
          <w:lang w:eastAsia="en-US"/>
        </w:rPr>
        <w:t xml:space="preserve"> of </w:t>
      </w:r>
      <w:r>
        <w:rPr>
          <w:rFonts w:ascii="Times New Roman" w:eastAsia="Calibri" w:hAnsi="Times New Roman"/>
          <w:sz w:val="24"/>
          <w:szCs w:val="24"/>
          <w:lang w:eastAsia="en-US"/>
        </w:rPr>
        <w:t>Kwara  State</w:t>
      </w:r>
      <w:r>
        <w:rPr>
          <w:rFonts w:ascii="Times New Roman" w:eastAsia="Calibri" w:hAnsi="Times New Roman"/>
          <w:sz w:val="24"/>
          <w:szCs w:val="24"/>
          <w:lang w:eastAsia="en-US"/>
        </w:rPr>
        <w:t xml:space="preserve"> Geology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 Geological</w:t>
      </w:r>
      <w:r>
        <w:rPr>
          <w:rFonts w:ascii="Times New Roman" w:eastAsia="Calibri" w:hAnsi="Times New Roman"/>
          <w:sz w:val="24"/>
          <w:szCs w:val="24"/>
          <w:lang w:eastAsia="en-US"/>
        </w:rPr>
        <w:t xml:space="preserve"> Composition of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2.2.2.1 </w:t>
      </w:r>
      <w:r>
        <w:rPr>
          <w:rFonts w:ascii="Times New Roman" w:eastAsia="Calibri" w:hAnsi="Times New Roman"/>
          <w:sz w:val="24"/>
          <w:szCs w:val="24"/>
          <w:lang w:eastAsia="en-US"/>
        </w:rPr>
        <w:t>Biotite</w:t>
      </w:r>
      <w:r>
        <w:rPr>
          <w:rFonts w:ascii="Times New Roman" w:eastAsia="Calibri" w:hAnsi="Times New Roman"/>
          <w:sz w:val="24"/>
          <w:szCs w:val="24"/>
          <w:lang w:eastAsia="en-US"/>
        </w:rPr>
        <w:t xml:space="preserve"> Gneiss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2.2.2.2 Granite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2.2.2.3 Migmatite</w:t>
      </w:r>
      <w:r>
        <w:rPr>
          <w:rFonts w:ascii="Times New Roman" w:eastAsia="Calibri" w:hAnsi="Times New Roman"/>
          <w:sz w:val="24"/>
          <w:szCs w:val="24"/>
          <w:lang w:eastAsia="en-US"/>
        </w:rPr>
        <w:t xml:space="preserve"> and Schist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2.2.3 Influence</w:t>
      </w:r>
      <w:r>
        <w:rPr>
          <w:rFonts w:ascii="Times New Roman" w:eastAsia="Calibri" w:hAnsi="Times New Roman"/>
          <w:sz w:val="24"/>
          <w:szCs w:val="24"/>
          <w:lang w:eastAsia="en-US"/>
        </w:rPr>
        <w:t xml:space="preserve"> of Parent Rock on Soil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2.2.4 Lateritic</w:t>
      </w:r>
      <w:r>
        <w:rPr>
          <w:rFonts w:ascii="Times New Roman" w:eastAsia="Calibri" w:hAnsi="Times New Roman"/>
          <w:sz w:val="24"/>
          <w:szCs w:val="24"/>
          <w:lang w:eastAsia="en-US"/>
        </w:rPr>
        <w:t xml:space="preserve"> Soil Formation and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2.2.5 Implication</w:t>
      </w:r>
      <w:r>
        <w:rPr>
          <w:rFonts w:ascii="Times New Roman" w:eastAsia="Calibri" w:hAnsi="Times New Roman"/>
          <w:sz w:val="24"/>
          <w:szCs w:val="24"/>
          <w:lang w:eastAsia="en-US"/>
        </w:rPr>
        <w:t xml:space="preserve">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2.3.0 Geotechnical</w:t>
      </w:r>
      <w:r>
        <w:rPr>
          <w:rFonts w:ascii="Times New Roman" w:eastAsia="Calibri" w:hAnsi="Times New Roman"/>
          <w:sz w:val="24"/>
          <w:szCs w:val="24"/>
          <w:lang w:eastAsia="en-US"/>
        </w:rPr>
        <w:t xml:space="preserve"> Properties of Borrow Pits Soil in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 Particle</w:t>
      </w:r>
      <w:r>
        <w:rPr>
          <w:rFonts w:ascii="Times New Roman" w:eastAsia="Calibri" w:hAnsi="Times New Roman"/>
          <w:sz w:val="24"/>
          <w:szCs w:val="24"/>
          <w:lang w:eastAsia="en-US"/>
        </w:rPr>
        <w:t xml:space="preserve"> Size Distribution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2.3.1.1 Grain</w:t>
      </w:r>
      <w:r>
        <w:rPr>
          <w:rFonts w:ascii="Times New Roman" w:eastAsia="Calibri" w:hAnsi="Times New Roman"/>
          <w:sz w:val="24"/>
          <w:szCs w:val="24"/>
          <w:lang w:eastAsia="en-US"/>
        </w:rPr>
        <w:t xml:space="preserve"> Size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 Atterberg</w:t>
      </w:r>
      <w:r>
        <w:rPr>
          <w:rFonts w:ascii="Times New Roman" w:eastAsia="Calibri" w:hAnsi="Times New Roman"/>
          <w:sz w:val="24"/>
          <w:szCs w:val="24"/>
          <w:lang w:eastAsia="en-US"/>
        </w:rPr>
        <w:t xml:space="preserve"> Limit (Plasticity and Consistency Limits)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2.3.2.1 Observed</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Values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 Compaction</w:t>
      </w:r>
      <w:r>
        <w:rPr>
          <w:rFonts w:ascii="Times New Roman" w:eastAsia="Calibri" w:hAnsi="Times New Roman"/>
          <w:sz w:val="24"/>
          <w:szCs w:val="24"/>
          <w:lang w:eastAsia="en-US"/>
        </w:rPr>
        <w:t xml:space="preserve">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2.3.3.1 Maximum Dry Density (MDD) and Optimum Moisture Content (OMC)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 Shear</w:t>
      </w:r>
      <w:r>
        <w:rPr>
          <w:rFonts w:ascii="Times New Roman" w:eastAsia="Calibri" w:hAnsi="Times New Roman"/>
          <w:sz w:val="24"/>
          <w:szCs w:val="24"/>
          <w:lang w:eastAsia="en-US"/>
        </w:rPr>
        <w:t xml:space="preserve"> Strength and Bearing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2.3.4.1 Observed</w:t>
      </w:r>
      <w:r>
        <w:rPr>
          <w:rFonts w:ascii="Times New Roman" w:eastAsia="Calibri" w:hAnsi="Times New Roman"/>
          <w:sz w:val="24"/>
          <w:szCs w:val="24"/>
          <w:lang w:eastAsia="en-US"/>
        </w:rPr>
        <w:t xml:space="preserve"> Shear Strength Parameters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2.3.4.2 Bearinig</w:t>
      </w:r>
      <w:r>
        <w:rPr>
          <w:rFonts w:ascii="Times New Roman" w:eastAsia="Calibri" w:hAnsi="Times New Roman"/>
          <w:sz w:val="24"/>
          <w:szCs w:val="24"/>
          <w:lang w:eastAsia="en-US"/>
        </w:rPr>
        <w:t xml:space="preserve">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2.3.4.3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2.3.5 Permeability</w:t>
      </w:r>
      <w:r>
        <w:rPr>
          <w:rFonts w:ascii="Times New Roman" w:eastAsia="Calibri" w:hAnsi="Times New Roman"/>
          <w:sz w:val="24"/>
          <w:szCs w:val="24"/>
          <w:lang w:eastAsia="en-US"/>
        </w:rPr>
        <w:t xml:space="preserve"> and Drainage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2.4.0 Suitability</w:t>
      </w:r>
      <w:r>
        <w:rPr>
          <w:rFonts w:ascii="Times New Roman" w:eastAsia="Calibri" w:hAnsi="Times New Roman"/>
          <w:sz w:val="24"/>
          <w:szCs w:val="24"/>
          <w:lang w:eastAsia="en-US"/>
        </w:rPr>
        <w:t xml:space="preserve"> of Borrow Pit Soils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2.4.1</w:t>
      </w:r>
      <w:r>
        <w:rPr>
          <w:rFonts w:ascii="Times New Roman" w:eastAsia="Calibri" w:hAnsi="Times New Roman"/>
          <w:sz w:val="24"/>
          <w:szCs w:val="24"/>
          <w:lang w:eastAsia="en-US"/>
        </w:rPr>
        <w:t>. Criteria</w:t>
      </w:r>
      <w:r>
        <w:rPr>
          <w:rFonts w:ascii="Times New Roman" w:eastAsia="Calibri" w:hAnsi="Times New Roman"/>
          <w:sz w:val="24"/>
          <w:szCs w:val="24"/>
          <w:lang w:eastAsia="en-US"/>
        </w:rPr>
        <w:t xml:space="preserve"> for Engineering Suitability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 Suitability</w:t>
      </w:r>
      <w:r>
        <w:rPr>
          <w:rFonts w:ascii="Times New Roman" w:eastAsia="Calibri" w:hAnsi="Times New Roman"/>
          <w:sz w:val="24"/>
          <w:szCs w:val="24"/>
          <w:lang w:eastAsia="en-US"/>
        </w:rPr>
        <w:t xml:space="preserve"> for Road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2.4.2.1 Sub grade</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Sub base</w:t>
      </w:r>
      <w:r>
        <w:rPr>
          <w:rFonts w:ascii="Times New Roman" w:eastAsia="Calibri" w:hAnsi="Times New Roman"/>
          <w:sz w:val="24"/>
          <w:szCs w:val="24"/>
          <w:lang w:eastAsia="en-US"/>
        </w:rPr>
        <w:t xml:space="preserve"> Materials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2.4.2.2 Wearing</w:t>
      </w:r>
      <w:r>
        <w:rPr>
          <w:rFonts w:ascii="Times New Roman" w:eastAsia="Calibri" w:hAnsi="Times New Roman"/>
          <w:sz w:val="24"/>
          <w:szCs w:val="24"/>
          <w:lang w:eastAsia="en-US"/>
        </w:rPr>
        <w:t xml:space="preserve"> Course and Pavement Layers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2.4.3   Suitability for Foundation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2.4.4   </w:t>
      </w:r>
      <w:r>
        <w:rPr>
          <w:rFonts w:ascii="Times New Roman" w:eastAsia="Calibri" w:hAnsi="Times New Roman"/>
          <w:sz w:val="24"/>
          <w:szCs w:val="24"/>
          <w:lang w:eastAsia="en-US"/>
        </w:rPr>
        <w:t>Suitability</w:t>
      </w:r>
      <w:r>
        <w:rPr>
          <w:rFonts w:ascii="Times New Roman" w:eastAsia="Calibri" w:hAnsi="Times New Roman"/>
          <w:sz w:val="24"/>
          <w:szCs w:val="24"/>
          <w:lang w:eastAsia="en-US"/>
        </w:rPr>
        <w:t xml:space="preserve"> for Embankments and Earthworks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2.4.5   Suitability for Drainage and Erosion Control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2.4.6   Suitability for Stabilization and Improvement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THREE</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3.0   Methodology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3.1 Site</w:t>
      </w:r>
      <w:r>
        <w:rPr>
          <w:rFonts w:ascii="Times New Roman" w:eastAsia="Calibri" w:hAnsi="Times New Roman"/>
          <w:sz w:val="24"/>
          <w:szCs w:val="24"/>
          <w:lang w:eastAsia="en-US"/>
        </w:rPr>
        <w:t xml:space="preserve"> Selection and Reconnaissance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3.2 Field</w:t>
      </w:r>
      <w:r>
        <w:rPr>
          <w:rFonts w:ascii="Times New Roman" w:eastAsia="Calibri" w:hAnsi="Times New Roman"/>
          <w:sz w:val="24"/>
          <w:szCs w:val="24"/>
          <w:lang w:eastAsia="en-US"/>
        </w:rPr>
        <w:t xml:space="preserve"> Sampling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 Laboratory</w:t>
      </w:r>
      <w:r>
        <w:rPr>
          <w:rFonts w:ascii="Times New Roman" w:eastAsia="Calibri" w:hAnsi="Times New Roman"/>
          <w:sz w:val="24"/>
          <w:szCs w:val="24"/>
          <w:lang w:eastAsia="en-US"/>
        </w:rPr>
        <w:t xml:space="preserve"> Testing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3.3.1 Particle</w:t>
      </w:r>
      <w:r>
        <w:rPr>
          <w:rFonts w:ascii="Times New Roman" w:eastAsia="Calibri" w:hAnsi="Times New Roman"/>
          <w:sz w:val="24"/>
          <w:szCs w:val="24"/>
          <w:lang w:eastAsia="en-US"/>
        </w:rPr>
        <w:t xml:space="preserve"> Size Distribution Test (ASTM D6913-17)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3.3.2 Atterberg</w:t>
      </w:r>
      <w:r>
        <w:rPr>
          <w:rFonts w:ascii="Times New Roman" w:eastAsia="Calibri" w:hAnsi="Times New Roman"/>
          <w:sz w:val="24"/>
          <w:szCs w:val="24"/>
          <w:lang w:eastAsia="en-US"/>
        </w:rPr>
        <w:t xml:space="preserve"> Limits Test (ASTM D4318-17)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3.3.3 Compaction</w:t>
      </w:r>
      <w:r>
        <w:rPr>
          <w:rFonts w:ascii="Times New Roman" w:eastAsia="Calibri" w:hAnsi="Times New Roman"/>
          <w:sz w:val="24"/>
          <w:szCs w:val="24"/>
          <w:lang w:eastAsia="en-US"/>
        </w:rPr>
        <w:t xml:space="preserve"> Test (Proctor test) (ASTM D698-12 &amp; ASTM D1557-12)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3.3.4 California</w:t>
      </w:r>
      <w:r>
        <w:rPr>
          <w:rFonts w:ascii="Times New Roman" w:eastAsia="Calibri" w:hAnsi="Times New Roman"/>
          <w:sz w:val="24"/>
          <w:szCs w:val="24"/>
          <w:lang w:eastAsia="en-US"/>
        </w:rPr>
        <w:t xml:space="preserve"> Bearing Ratio (CBR) Test (ASTM D1883-16)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3.4     Data Analysis and Interpretation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FOUR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4.0   Result and Discussion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 Nature</w:t>
      </w:r>
      <w:r>
        <w:rPr>
          <w:rFonts w:ascii="Times New Roman" w:eastAsia="Calibri" w:hAnsi="Times New Roman"/>
          <w:sz w:val="24"/>
          <w:szCs w:val="24"/>
          <w:lang w:eastAsia="en-US"/>
        </w:rPr>
        <w:t xml:space="preserve"> Moisture Content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 Sieve</w:t>
      </w:r>
      <w:r>
        <w:rPr>
          <w:rFonts w:ascii="Times New Roman" w:eastAsia="Calibri" w:hAnsi="Times New Roman"/>
          <w:sz w:val="24"/>
          <w:szCs w:val="24"/>
          <w:lang w:eastAsia="en-US"/>
        </w:rPr>
        <w:t xml:space="preserv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 Atterberg</w:t>
      </w:r>
      <w:r>
        <w:rPr>
          <w:rFonts w:ascii="Times New Roman" w:eastAsia="Calibri" w:hAnsi="Times New Roman"/>
          <w:sz w:val="24"/>
          <w:szCs w:val="24"/>
          <w:lang w:eastAsia="en-US"/>
        </w:rPr>
        <w:t xml:space="preserve"> limit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 Compaction</w:t>
      </w:r>
      <w:r>
        <w:rPr>
          <w:rFonts w:ascii="Times New Roman" w:eastAsia="Calibri" w:hAnsi="Times New Roman"/>
          <w:sz w:val="24"/>
          <w:szCs w:val="24"/>
          <w:lang w:eastAsia="en-US"/>
        </w:rPr>
        <w:t xml:space="preserve">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 California</w:t>
      </w:r>
      <w:r>
        <w:rPr>
          <w:rFonts w:ascii="Times New Roman" w:eastAsia="Calibri" w:hAnsi="Times New Roman"/>
          <w:sz w:val="24"/>
          <w:szCs w:val="24"/>
          <w:lang w:eastAsia="en-US"/>
        </w:rPr>
        <w:t xml:space="preserve"> Bearing Ratio (CBR)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FIVE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5.1 Conclusion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5.2 Recommendations</w:t>
      </w:r>
      <w:r>
        <w:rPr>
          <w:rFonts w:ascii="Times New Roman" w:eastAsia="Calibri" w:hAnsi="Times New Roman"/>
          <w:sz w:val="24"/>
          <w:szCs w:val="24"/>
          <w:lang w:eastAsia="en-US"/>
        </w:rPr>
        <w:t xml:space="preserve"> </w:t>
      </w:r>
    </w:p>
    <w:p>
      <w:pPr>
        <w:pStyle w:val="style0"/>
        <w:rPr/>
      </w:pPr>
    </w:p>
    <w:p>
      <w:pPr>
        <w:pStyle w:val="style0"/>
        <w:rPr/>
      </w:pPr>
    </w:p>
    <w:p>
      <w:pPr>
        <w:pStyle w:val="style0"/>
        <w:rPr/>
      </w:pPr>
    </w:p>
    <w:p>
      <w:pPr>
        <w:pStyle w:val="style0"/>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Nature Moisture C</w:t>
      </w:r>
      <w:r>
        <w:rPr>
          <w:rFonts w:ascii="Times New Roman" w:eastAsia="Calibri" w:hAnsi="Times New Roman"/>
          <w:sz w:val="24"/>
          <w:szCs w:val="24"/>
          <w:lang w:eastAsia="en-US"/>
        </w:rPr>
        <w:t xml:space="preserve">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4.12 </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4.25</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 (CBR</w:t>
      </w:r>
      <w:r>
        <w:rPr>
          <w:rFonts w:ascii="Times New Roman" w:eastAsia="Calibri" w:hAnsi="Times New Roman"/>
          <w:sz w:val="24"/>
          <w:szCs w:val="24"/>
          <w:lang w:eastAsia="en-US"/>
        </w:rPr>
        <w:t>)  Test</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4. 29</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w:t>
      </w:r>
      <w:r>
        <w:rPr>
          <w:rFonts w:ascii="Times New Roman" w:eastAsia="Calibri" w:hAnsi="Times New Roman"/>
          <w:sz w:val="24"/>
          <w:szCs w:val="24"/>
          <w:lang w:eastAsia="en-US"/>
        </w:rPr>
        <w:t xml:space="preserve">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 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APPENDIX</w:t>
      </w:r>
    </w:p>
    <w:p>
      <w:pPr>
        <w:pStyle w:val="style0"/>
        <w:spacing w:after="160" w:lineRule="auto" w:line="259"/>
        <w:rPr>
          <w:rFonts w:ascii="Times New Roman" w:eastAsia="Calibri" w:hAnsi="Times New Roman"/>
          <w:sz w:val="24"/>
          <w:szCs w:val="24"/>
          <w:lang w:eastAsia="en-US"/>
        </w:rPr>
      </w:pPr>
      <w:r>
        <w:rPr>
          <w:rFonts w:ascii="Times New Roman" w:eastAsia="Calibri" w:hAnsi="Times New Roman"/>
          <w:sz w:val="24"/>
          <w:szCs w:val="24"/>
          <w:lang w:eastAsia="en-US"/>
        </w:rPr>
        <w:br w:type="page"/>
      </w:r>
    </w:p>
    <w:p>
      <w:pPr>
        <w:pStyle w:val="style0"/>
        <w:jc w:val="center"/>
        <w:rPr>
          <w:rFonts w:ascii="Times New Roman" w:hAnsi="Times New Roman"/>
          <w:b/>
          <w:sz w:val="28"/>
          <w:szCs w:val="28"/>
        </w:rPr>
      </w:pPr>
      <w:r>
        <w:rPr>
          <w:rFonts w:ascii="Times New Roman" w:hAnsi="Times New Roman"/>
          <w:b/>
          <w:sz w:val="28"/>
          <w:szCs w:val="28"/>
        </w:rPr>
        <w:t>ABSTRACTS</w:t>
      </w:r>
    </w:p>
    <w:p>
      <w:pPr>
        <w:pStyle w:val="style0"/>
        <w:rPr>
          <w:rFonts w:ascii="Times New Roman" w:eastAsia="Calibri" w:hAnsi="Times New Roman"/>
          <w:sz w:val="24"/>
          <w:szCs w:val="24"/>
          <w:lang w:eastAsia="en-US"/>
        </w:rPr>
      </w:pPr>
      <w:r>
        <w:rPr>
          <w:rFonts w:ascii="Times New Roman" w:hAnsi="Times New Roman"/>
          <w:bCs/>
          <w:i/>
          <w:iCs/>
          <w:sz w:val="28"/>
          <w:szCs w:val="28"/>
        </w:rPr>
        <w:t xml:space="preserve">This research focuses on the geotechnical profiling of selected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towns,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w:t>
      </w:r>
      <w:r>
        <w:rPr>
          <w:rFonts w:ascii="Times New Roman" w:hAnsi="Times New Roman"/>
          <w:bCs/>
          <w:i/>
          <w:iCs/>
          <w:sz w:val="28"/>
          <w:szCs w:val="28"/>
        </w:rPr>
        <w:t>Atterberg</w:t>
      </w:r>
      <w:r>
        <w:rPr>
          <w:rFonts w:ascii="Times New Roman" w:hAnsi="Times New Roman"/>
          <w:bCs/>
          <w:i/>
          <w:iCs/>
          <w:sz w:val="28"/>
          <w:szCs w:val="28"/>
        </w:rPr>
        <w:t xml:space="preserve"> limits, compaction tests, and </w:t>
      </w:r>
      <w:r>
        <w:rPr>
          <w:rFonts w:ascii="Times New Roman" w:hAnsi="Times New Roman"/>
          <w:bCs/>
          <w:i/>
          <w:iCs/>
          <w:sz w:val="28"/>
          <w:szCs w:val="28"/>
        </w:rPr>
        <w:t>california</w:t>
      </w:r>
      <w:r>
        <w:rPr>
          <w:rFonts w:ascii="Times New Roman" w:hAnsi="Times New Roman"/>
          <w:bCs/>
          <w:i/>
          <w:iCs/>
          <w:sz w:val="28"/>
          <w:szCs w:val="28"/>
        </w:rPr>
        <w:t xml:space="preserve"> Bearing Ratio (CBR) tests. The grain size analysis revealed that the soils are predominantly lateritic with varying percentage of send, silt, and clay. The </w:t>
      </w:r>
      <w:r>
        <w:rPr>
          <w:rFonts w:ascii="Times New Roman" w:hAnsi="Times New Roman"/>
          <w:bCs/>
          <w:i/>
          <w:iCs/>
          <w:sz w:val="28"/>
          <w:szCs w:val="28"/>
        </w:rPr>
        <w:t>Atterberg</w:t>
      </w:r>
      <w:r>
        <w:rPr>
          <w:rFonts w:ascii="Times New Roman" w:hAnsi="Times New Roman"/>
          <w:bCs/>
          <w:i/>
          <w:iCs/>
          <w:sz w:val="28"/>
          <w:szCs w:val="28"/>
        </w:rPr>
        <w:t xml:space="preserve"> limits indicated that the soils possess moderate plasticity, which is acceptable for use in </w:t>
      </w:r>
      <w:r>
        <w:rPr>
          <w:rFonts w:ascii="Times New Roman" w:hAnsi="Times New Roman"/>
          <w:bCs/>
          <w:i/>
          <w:iCs/>
          <w:sz w:val="28"/>
          <w:szCs w:val="28"/>
        </w:rPr>
        <w:t>subgrade</w:t>
      </w:r>
      <w:r>
        <w:rPr>
          <w:rFonts w:ascii="Times New Roman" w:hAnsi="Times New Roman"/>
          <w:bCs/>
          <w:i/>
          <w:iCs/>
          <w:sz w:val="28"/>
          <w:szCs w:val="28"/>
        </w:rPr>
        <w:t xml:space="preserve"> and sub-base layers. Compaction test results shows good maximum dry densities and optimum moisture contents, which are essential for achieving soil stability under load. The CBR values obtained ranged from fair to good, </w:t>
      </w:r>
      <w:r>
        <w:rPr>
          <w:rFonts w:ascii="Times New Roman" w:hAnsi="Times New Roman"/>
          <w:bCs/>
          <w:i/>
          <w:iCs/>
          <w:sz w:val="28"/>
          <w:szCs w:val="28"/>
        </w:rPr>
        <w:t>futher</w:t>
      </w:r>
      <w:r>
        <w:rPr>
          <w:rFonts w:ascii="Times New Roman" w:hAnsi="Times New Roman"/>
          <w:bCs/>
          <w:i/>
          <w:iCs/>
          <w:sz w:val="28"/>
          <w:szCs w:val="28"/>
        </w:rPr>
        <w:t xml:space="preserve"> confirming the potential use of these soils in pavement construction. Based on the findings, the study concludes that with pro</w:t>
      </w:r>
      <w:r>
        <w:rPr>
          <w:rFonts w:ascii="Times New Roman" w:hAnsi="Times New Roman"/>
          <w:bCs/>
          <w:i/>
          <w:iCs/>
          <w:sz w:val="28"/>
          <w:szCs w:val="28"/>
        </w:rPr>
        <w:t>per</w:t>
      </w:r>
      <w:r>
        <w:rPr>
          <w:rFonts w:ascii="Times New Roman" w:hAnsi="Times New Roman"/>
          <w:bCs/>
          <w:i/>
          <w:iCs/>
          <w:sz w:val="28"/>
          <w:szCs w:val="28"/>
        </w:rPr>
        <w:t xml:space="preserve"> site selection, material quality control, and responsible excavation practices, the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can serve as reliable sources of construction material. It is recommended that authorities enforce environmental regulations, ensure periodic testing, and mandate post-excavation rehabilitation </w:t>
      </w:r>
      <w:r>
        <w:rPr>
          <w:rFonts w:ascii="Times New Roman" w:hAnsi="Times New Roman"/>
          <w:bCs/>
          <w:i/>
          <w:iCs/>
          <w:sz w:val="28"/>
          <w:szCs w:val="28"/>
        </w:rPr>
        <w:t>of</w:t>
      </w:r>
      <w:r>
        <w:rPr>
          <w:rFonts w:ascii="Times New Roman" w:hAnsi="Times New Roman"/>
          <w:bCs/>
          <w:i/>
          <w:iCs/>
          <w:sz w:val="28"/>
          <w:szCs w:val="28"/>
        </w:rPr>
        <w:t xml:space="preserve"> borrow pits to minimize environmental degradation and promote sustainability. This project contribute valuable data for engineers, planners, and decision- makers involved in material sourcing and infrastructure development within Kwara State and similar regions        </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p>
    <w:p>
      <w:pPr>
        <w:pStyle w:val="style0"/>
        <w:spacing w:after="160" w:lineRule="auto" w:line="259"/>
        <w:rPr>
          <w:rFonts w:ascii="Times New Roman" w:eastAsia="Calibri" w:hAnsi="Times New Roman"/>
          <w:b/>
          <w:sz w:val="24"/>
          <w:szCs w:val="24"/>
          <w:lang w:eastAsia="en-US"/>
        </w:rPr>
      </w:pPr>
      <w:r>
        <w:rPr>
          <w:rFonts w:ascii="Times New Roman" w:hAnsi="Times New Roman"/>
          <w:b/>
          <w:sz w:val="24"/>
          <w:szCs w:val="24"/>
        </w:rPr>
        <w:br w:type="page"/>
      </w:r>
    </w:p>
    <w:p>
      <w:pPr>
        <w:pStyle w:val="style157"/>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INTRODUCTION</w:t>
      </w:r>
    </w:p>
    <w:p>
      <w:pPr>
        <w:pStyle w:val="style157"/>
        <w:spacing w:lineRule="auto" w:line="480"/>
        <w:ind w:firstLine="540"/>
        <w:jc w:val="both"/>
        <w:rPr>
          <w:rFonts w:ascii="Times New Roman" w:hAnsi="Times New Roman"/>
          <w:b/>
          <w:sz w:val="24"/>
          <w:szCs w:val="24"/>
        </w:rPr>
      </w:pPr>
      <w:r>
        <w:rPr>
          <w:rFonts w:ascii="Times New Roman" w:hAnsi="Times New Roman"/>
          <w:sz w:val="24"/>
          <w:szCs w:val="24"/>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Pr>
          <w:rStyle w:val="style4101"/>
          <w:rFonts w:ascii="Times New Roman" w:hAnsi="Times New Roman"/>
          <w:sz w:val="24"/>
          <w:szCs w:val="24"/>
        </w:rPr>
        <w:t>(Aka et al.2022)</w:t>
      </w:r>
    </w:p>
    <w:p>
      <w:pPr>
        <w:pStyle w:val="style4099"/>
        <w:spacing w:lineRule="auto" w:line="480"/>
        <w:ind w:firstLine="540"/>
        <w:jc w:val="both"/>
        <w:rPr>
          <w:rStyle w:val="style4101"/>
        </w:rPr>
      </w:pPr>
      <w:r>
        <w:t>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Pr>
          <w:rStyle w:val="style4101"/>
        </w:rPr>
        <w:t>(Lasisi &amp;Ozurumba, 2021).</w:t>
      </w:r>
    </w:p>
    <w:p>
      <w:pPr>
        <w:pStyle w:val="style94"/>
        <w:spacing w:lineRule="auto" w:line="480"/>
        <w:ind w:firstLine="540"/>
        <w:jc w:val="both"/>
        <w:rPr/>
      </w:pPr>
      <w:r>
        <w:t>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pPr>
        <w:pStyle w:val="style94"/>
        <w:spacing w:lineRule="auto" w:line="480"/>
        <w:ind w:firstLine="540"/>
        <w:jc w:val="both"/>
        <w:rPr/>
      </w:pPr>
      <w:r>
        <w:t>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the soil profiles of borrow pits in Ganmo and Amoyo, this research will contribute to sustainable construction practices and resource optimization in the region.</w:t>
      </w:r>
    </w:p>
    <w:p>
      <w:pPr>
        <w:pStyle w:val="style157"/>
        <w:spacing w:lineRule="auto" w:line="480"/>
        <w:jc w:val="both"/>
        <w:rPr>
          <w:rFonts w:ascii="Times New Roman" w:hAnsi="Times New Roman"/>
          <w:b/>
          <w:sz w:val="24"/>
          <w:szCs w:val="24"/>
        </w:rPr>
      </w:pPr>
      <w:r>
        <w:rPr>
          <w:rFonts w:ascii="Times New Roman" w:hAnsi="Times New Roman"/>
          <w:b/>
          <w:sz w:val="24"/>
          <w:szCs w:val="24"/>
        </w:rPr>
        <w:t>1.1 Background of the Study</w:t>
      </w:r>
    </w:p>
    <w:p>
      <w:pPr>
        <w:pStyle w:val="style157"/>
        <w:spacing w:lineRule="auto" w:line="480"/>
        <w:jc w:val="both"/>
        <w:rPr>
          <w:rFonts w:ascii="Times New Roman" w:hAnsi="Times New Roman"/>
          <w:sz w:val="24"/>
          <w:szCs w:val="24"/>
        </w:rPr>
      </w:pPr>
      <w:r>
        <w:rPr>
          <w:rFonts w:ascii="Times New Roman" w:hAnsi="Times New Roman"/>
          <w:sz w:val="24"/>
          <w:szCs w:val="24"/>
        </w:rPr>
        <w:t>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Ganmo and Amoyo towns, Kwara State, are being considered for material extraction, and the geotechnical profile of these pits needs to be established to ensure the suitability of the extracted materials for construction purposes.</w:t>
      </w:r>
    </w:p>
    <w:p>
      <w:pPr>
        <w:pStyle w:val="style157"/>
        <w:spacing w:lineRule="auto" w:line="480"/>
        <w:jc w:val="both"/>
        <w:rPr>
          <w:rFonts w:ascii="Times New Roman" w:hAnsi="Times New Roman"/>
          <w:sz w:val="24"/>
          <w:szCs w:val="24"/>
        </w:rPr>
      </w:pP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 xml:space="preserve"> Statement of the problem</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Improper selection and usage of materials from borrow pits can lead to structural failures, environmental degradation, and increased project costs. There is currently limited geotechnical </w:t>
      </w:r>
      <w:r>
        <w:rPr>
          <w:rFonts w:ascii="Times New Roman" w:hAnsi="Times New Roman"/>
          <w:sz w:val="24"/>
          <w:szCs w:val="24"/>
        </w:rPr>
        <w:t>data on the properties of materials from the borrow pits in Ganmo and Amoyo towns. This gap in knowledge affects the proper selection of materials and hinders the effective management of the borrow pits, potentially leading to issues such as poor compaction, soil instability, or adverse environmental impacts.</w:t>
      </w:r>
    </w:p>
    <w:p>
      <w:pPr>
        <w:pStyle w:val="style157"/>
        <w:spacing w:lineRule="auto" w:line="480"/>
        <w:jc w:val="both"/>
        <w:rPr>
          <w:rFonts w:ascii="Times New Roman" w:hAnsi="Times New Roman"/>
          <w:b/>
          <w:sz w:val="24"/>
          <w:szCs w:val="24"/>
        </w:rPr>
      </w:pPr>
      <w:r>
        <w:rPr>
          <w:rFonts w:ascii="Times New Roman" w:hAnsi="Times New Roman"/>
          <w:b/>
          <w:sz w:val="24"/>
          <w:szCs w:val="24"/>
        </w:rPr>
        <w:t>1.3. Aim and Objective of the Study</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aim of the study is to assess the geotechnical characteristics of selected borrow pits in Ganmo and Amoyo towns. </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 xml:space="preserve">1.4. Objectives of the study </w:t>
      </w:r>
    </w:p>
    <w:p>
      <w:pPr>
        <w:pStyle w:val="style157"/>
        <w:spacing w:lineRule="auto" w:line="480"/>
        <w:jc w:val="both"/>
        <w:rPr>
          <w:rFonts w:ascii="Times New Roman" w:hAnsi="Times New Roman"/>
          <w:sz w:val="24"/>
          <w:szCs w:val="24"/>
        </w:rPr>
      </w:pPr>
      <w:r>
        <w:rPr>
          <w:rFonts w:ascii="Times New Roman" w:hAnsi="Times New Roman"/>
          <w:sz w:val="24"/>
          <w:szCs w:val="24"/>
        </w:rPr>
        <w:t>i. To determine the soil properties (grain size distribution, compaction, and plasticity) of materials extracted from the borrow pits.</w:t>
      </w:r>
    </w:p>
    <w:p>
      <w:pPr>
        <w:pStyle w:val="style157"/>
        <w:spacing w:lineRule="auto" w:line="480"/>
        <w:jc w:val="both"/>
        <w:rPr>
          <w:rFonts w:ascii="Times New Roman" w:hAnsi="Times New Roman"/>
          <w:sz w:val="24"/>
          <w:szCs w:val="24"/>
        </w:rPr>
      </w:pPr>
      <w:r>
        <w:rPr>
          <w:rFonts w:ascii="Times New Roman" w:hAnsi="Times New Roman"/>
          <w:sz w:val="24"/>
          <w:szCs w:val="24"/>
        </w:rPr>
        <w:t>ii. To evaluate the suitability of the materials for construction use.</w:t>
      </w:r>
    </w:p>
    <w:p>
      <w:pPr>
        <w:pStyle w:val="style157"/>
        <w:spacing w:lineRule="auto" w:line="480"/>
        <w:jc w:val="both"/>
        <w:rPr>
          <w:rFonts w:ascii="Times New Roman" w:hAnsi="Times New Roman"/>
          <w:sz w:val="24"/>
          <w:szCs w:val="24"/>
        </w:rPr>
      </w:pPr>
      <w:r>
        <w:rPr>
          <w:rFonts w:ascii="Times New Roman" w:hAnsi="Times New Roman"/>
          <w:sz w:val="24"/>
          <w:szCs w:val="24"/>
        </w:rPr>
        <w:t>iii. To assess the environmental impact of the extraction activities on the surrounding area.</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IV.  To provide recommendations based on results as to Suitability of material for use. </w:t>
      </w:r>
    </w:p>
    <w:p>
      <w:pPr>
        <w:pStyle w:val="style157"/>
        <w:spacing w:lineRule="auto" w:line="480"/>
        <w:jc w:val="both"/>
        <w:rPr>
          <w:rFonts w:ascii="Times New Roman" w:hAnsi="Times New Roman"/>
          <w:b/>
          <w:sz w:val="24"/>
          <w:szCs w:val="24"/>
        </w:rPr>
      </w:pPr>
      <w:r>
        <w:rPr>
          <w:rFonts w:ascii="Times New Roman" w:hAnsi="Times New Roman"/>
          <w:b/>
          <w:sz w:val="24"/>
          <w:szCs w:val="24"/>
        </w:rPr>
        <w:t>1.5. Justification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focus on selected borrow pits in Ganmo and Amoyo towns, Kwara State. It will involve field investigations, laboratory testing, and analysis of soil samples to characterize their properties. The scope includes:</w:t>
      </w:r>
    </w:p>
    <w:p>
      <w:pPr>
        <w:pStyle w:val="style157"/>
        <w:spacing w:lineRule="auto" w:line="480"/>
        <w:jc w:val="both"/>
        <w:rPr>
          <w:rFonts w:ascii="Times New Roman" w:hAnsi="Times New Roman"/>
          <w:sz w:val="24"/>
          <w:szCs w:val="24"/>
        </w:rPr>
      </w:pPr>
      <w:r>
        <w:rPr>
          <w:rFonts w:ascii="Times New Roman" w:hAnsi="Times New Roman"/>
          <w:sz w:val="24"/>
          <w:szCs w:val="24"/>
        </w:rPr>
        <w:t>- Soil sampling from selected borrow pits.</w:t>
      </w:r>
    </w:p>
    <w:p>
      <w:pPr>
        <w:pStyle w:val="style157"/>
        <w:spacing w:lineRule="auto" w:line="480"/>
        <w:jc w:val="both"/>
        <w:rPr>
          <w:rFonts w:ascii="Times New Roman" w:hAnsi="Times New Roman"/>
          <w:sz w:val="24"/>
          <w:szCs w:val="24"/>
        </w:rPr>
      </w:pPr>
      <w:r>
        <w:rPr>
          <w:rFonts w:ascii="Times New Roman" w:hAnsi="Times New Roman"/>
          <w:sz w:val="24"/>
          <w:szCs w:val="24"/>
        </w:rPr>
        <w:t>- In-situ testing to assess compaction, density, and strength.</w:t>
      </w:r>
    </w:p>
    <w:p>
      <w:pPr>
        <w:pStyle w:val="style157"/>
        <w:spacing w:lineRule="auto" w:line="480"/>
        <w:jc w:val="both"/>
        <w:rPr>
          <w:rFonts w:ascii="Times New Roman" w:hAnsi="Times New Roman"/>
          <w:sz w:val="24"/>
          <w:szCs w:val="24"/>
        </w:rPr>
      </w:pPr>
      <w:r>
        <w:rPr>
          <w:rFonts w:ascii="Times New Roman" w:hAnsi="Times New Roman"/>
          <w:sz w:val="24"/>
          <w:szCs w:val="24"/>
        </w:rPr>
        <w:t>- Laboratory tests to determine grain size distribution, Atterberg limits, CBR Test, shear strength, and compaction characteristics.</w:t>
      </w:r>
    </w:p>
    <w:p>
      <w:pPr>
        <w:pStyle w:val="style157"/>
        <w:spacing w:lineRule="auto" w:line="480"/>
        <w:jc w:val="both"/>
        <w:rPr>
          <w:rFonts w:ascii="Times New Roman" w:hAnsi="Times New Roman"/>
          <w:b/>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1.7. DESCRIPTION OF THE STUDY AREA (CASE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be conducted in Ganmo and Amoyo towns located in the Ifelodun Local Government Area of Kwara State, Nigeria. These towns are strategically important for local infrastructure development, and the availability of materials from borrow pits is crucial for ongoing and future construction projects.</w:t>
      </w:r>
    </w:p>
    <w:p>
      <w:pPr>
        <w:pStyle w:val="style157"/>
        <w:spacing w:lineRule="auto" w:line="480"/>
        <w:jc w:val="both"/>
        <w:rPr>
          <w:rFonts w:ascii="Times New Roman" w:hAnsi="Times New Roman"/>
          <w:sz w:val="24"/>
          <w:szCs w:val="24"/>
        </w:rPr>
      </w:pPr>
      <w:r>
        <w:rPr>
          <w:rFonts w:ascii="Times New Roman" w:hAnsi="Times New Roman"/>
          <w:sz w:val="24"/>
          <w:szCs w:val="24"/>
        </w:rPr>
        <w:t>Ganmo is situated approximately 14.7 kilometers southwest of Ilorin, the state capital (google map), and is a predominantly rural town with agricultural activities and emerging urbanization.</w:t>
      </w:r>
    </w:p>
    <w:p>
      <w:pPr>
        <w:pStyle w:val="style157"/>
        <w:spacing w:lineRule="auto" w:line="480"/>
        <w:jc w:val="both"/>
        <w:rPr>
          <w:rFonts w:ascii="Times New Roman" w:hAnsi="Times New Roman"/>
          <w:sz w:val="24"/>
          <w:szCs w:val="24"/>
        </w:rPr>
      </w:pPr>
      <w:r>
        <w:rPr>
          <w:rFonts w:ascii="Times New Roman" w:hAnsi="Times New Roman"/>
          <w:sz w:val="24"/>
          <w:szCs w:val="24"/>
        </w:rPr>
        <w:t>Amoyo is located about 13.5 kilometers southeast of Ganmo and is known for its rich mineral resources, which include gravel and sand used for construction purposes</w:t>
      </w:r>
    </w:p>
    <w:p>
      <w:pPr>
        <w:pStyle w:val="style157"/>
        <w:spacing w:lineRule="auto" w:line="480"/>
        <w:jc w:val="center"/>
        <w:rPr>
          <w:rFonts w:ascii="Times New Roman" w:hAnsi="Times New Roman"/>
          <w:sz w:val="24"/>
          <w:szCs w:val="24"/>
        </w:rPr>
      </w:pPr>
      <w:r>
        <w:rPr>
          <w:rFonts w:ascii="Times New Roman" w:hAnsi="Times New Roman"/>
          <w:sz w:val="24"/>
          <w:szCs w:val="24"/>
        </w:rPr>
        <w:t>The map of Nigeria showing the location of Kwara State in Nigeria</w:t>
      </w:r>
    </w:p>
    <w:p>
      <w:pPr>
        <w:pStyle w:val="style157"/>
        <w:spacing w:lineRule="auto" w:line="480"/>
        <w:jc w:val="center"/>
        <w:rPr>
          <w:rFonts w:ascii="Times New Roman" w:hAnsi="Times New Roman"/>
          <w:sz w:val="24"/>
          <w:szCs w:val="24"/>
        </w:rPr>
      </w:pPr>
      <w:r>
        <w:rPr>
          <w:noProof/>
        </w:rPr>
        <w:drawing>
          <wp:inline distL="0" distT="0" distB="0" distR="0">
            <wp:extent cx="4596765" cy="2915920"/>
            <wp:effectExtent l="19050" t="0" r="0" b="0"/>
            <wp:docPr id="1026" name="Picture 2" descr="C:\Users\USER\AppData\Local\Microsoft\Windows\INetCache\Content.Word\IMG-20250618-WA007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96765" cy="2915920"/>
                    </a:xfrm>
                    <a:prstGeom prst="rect"/>
                    <a:ln>
                      <a:noFill/>
                    </a:ln>
                  </pic:spPr>
                </pic:pic>
              </a:graphicData>
            </a:graphic>
          </wp:inline>
        </w:drawing>
      </w:r>
    </w:p>
    <w:p>
      <w:pPr>
        <w:pStyle w:val="style157"/>
        <w:spacing w:lineRule="auto" w:line="480"/>
        <w:jc w:val="center"/>
        <w:rPr>
          <w:rFonts w:ascii="Times New Roman" w:hAnsi="Times New Roman"/>
          <w:sz w:val="24"/>
          <w:szCs w:val="24"/>
        </w:rPr>
      </w:pPr>
      <w:r>
        <w:rPr>
          <w:rFonts w:ascii="Times New Roman" w:hAnsi="Times New Roman"/>
          <w:sz w:val="24"/>
          <w:szCs w:val="24"/>
        </w:rPr>
        <w:t xml:space="preserve">Map showing the location of Amoyo and Ganmo in Kwara </w:t>
      </w:r>
      <w:r>
        <w:rPr>
          <w:rFonts w:ascii="Times New Roman" w:hAnsi="Times New Roman"/>
          <w:sz w:val="24"/>
          <w:szCs w:val="24"/>
        </w:rPr>
        <w:t>State(</w:t>
      </w:r>
      <w:r>
        <w:rPr>
          <w:rFonts w:ascii="Times New Roman" w:hAnsi="Times New Roman"/>
          <w:sz w:val="24"/>
          <w:szCs w:val="24"/>
        </w:rPr>
        <w:t>Google maps)</w:t>
      </w:r>
    </w:p>
    <w:p>
      <w:pPr>
        <w:pStyle w:val="style157"/>
        <w:spacing w:lineRule="auto" w:line="480"/>
        <w:jc w:val="both"/>
        <w:rPr>
          <w:rFonts w:ascii="Times New Roman" w:hAnsi="Times New Roman"/>
          <w:sz w:val="24"/>
          <w:szCs w:val="24"/>
        </w:rPr>
      </w:pPr>
      <w:r>
        <w:rPr>
          <w:rFonts w:ascii="Times New Roman" w:hAnsi="Times New Roman"/>
          <w:sz w:val="24"/>
          <w:szCs w:val="24"/>
        </w:rPr>
        <w:t>The towns are surrounded by agricultural land, with a mix of hilly and flat terrain. The borrow pits under investigation are located in open areas, typically near major roads or construction zones.</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center"/>
        <w:rPr>
          <w:rFonts w:ascii="Times New Roman" w:hAnsi="Times New Roman"/>
          <w:b/>
          <w:sz w:val="24"/>
          <w:szCs w:val="24"/>
        </w:rPr>
      </w:pPr>
      <w:r>
        <w:rPr>
          <w:rFonts w:ascii="Times New Roman" w:hAnsi="Times New Roman"/>
          <w:b/>
          <w:sz w:val="24"/>
          <w:szCs w:val="24"/>
        </w:rPr>
        <w:t>LITERATURE REVIEW</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2.1. Preamble </w:t>
      </w:r>
    </w:p>
    <w:p>
      <w:pPr>
        <w:pStyle w:val="style0"/>
        <w:spacing w:lineRule="auto" w:line="360"/>
        <w:jc w:val="both"/>
        <w:rPr>
          <w:rFonts w:ascii="Times New Roman" w:hAnsi="Times New Roman"/>
          <w:sz w:val="24"/>
          <w:szCs w:val="24"/>
        </w:rPr>
      </w:pPr>
      <w:r>
        <w:rPr>
          <w:rFonts w:ascii="Times New Roman" w:hAnsi="Times New Roman"/>
          <w:sz w:val="24"/>
          <w:szCs w:val="24"/>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pPr>
        <w:pStyle w:val="style0"/>
        <w:spacing w:lineRule="auto" w:line="360"/>
        <w:jc w:val="both"/>
        <w:rPr>
          <w:rFonts w:ascii="Times New Roman" w:hAnsi="Times New Roman"/>
          <w:sz w:val="24"/>
          <w:szCs w:val="24"/>
        </w:rPr>
      </w:pPr>
      <w:r>
        <w:rPr>
          <w:rFonts w:ascii="Times New Roman" w:hAnsi="Times New Roman"/>
          <w:sz w:val="24"/>
          <w:szCs w:val="24"/>
        </w:rPr>
        <w:t>Ganmo and Amoyo,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Despite the widespread use of lateritic soils from borrow pits, there is limited documentation on the specific geotechnical properties of borrow pit soils in Ganmo and Amoyo. This study aims to provide a comprehensive review of their geotechnical characteristics and assess their suitability for construction purposes.</w:t>
      </w:r>
    </w:p>
    <w:p>
      <w:pPr>
        <w:pStyle w:val="style0"/>
        <w:spacing w:lineRule="auto" w:line="360"/>
        <w:jc w:val="both"/>
        <w:rPr>
          <w:rFonts w:ascii="Times New Roman" w:hAnsi="Times New Roman"/>
          <w:b/>
          <w:sz w:val="24"/>
          <w:szCs w:val="24"/>
        </w:rPr>
      </w:pPr>
      <w:r>
        <w:rPr>
          <w:rFonts w:ascii="Times New Roman" w:hAnsi="Times New Roman"/>
          <w:b/>
          <w:sz w:val="24"/>
          <w:szCs w:val="24"/>
        </w:rPr>
        <w:t>2.1.1 Importance of Geotechnical Studies on Borrow Pits</w:t>
      </w:r>
    </w:p>
    <w:p>
      <w:pPr>
        <w:pStyle w:val="style0"/>
        <w:spacing w:lineRule="auto" w:line="360"/>
        <w:jc w:val="both"/>
        <w:rPr>
          <w:rFonts w:ascii="Times New Roman" w:hAnsi="Times New Roman"/>
          <w:sz w:val="24"/>
          <w:szCs w:val="24"/>
        </w:rPr>
      </w:pPr>
      <w:r>
        <w:rPr>
          <w:rFonts w:ascii="Times New Roman" w:hAnsi="Times New Roman"/>
          <w:sz w:val="24"/>
          <w:szCs w:val="24"/>
        </w:rPr>
        <w:t>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w:t>
      </w:r>
    </w:p>
    <w:p>
      <w:pPr>
        <w:pStyle w:val="style0"/>
        <w:spacing w:lineRule="auto" w:line="360"/>
        <w:jc w:val="both"/>
        <w:rPr>
          <w:rFonts w:ascii="Times New Roman" w:hAnsi="Times New Roman"/>
          <w:sz w:val="24"/>
          <w:szCs w:val="24"/>
        </w:rPr>
      </w:pPr>
      <w:r>
        <w:rPr>
          <w:rFonts w:ascii="Times New Roman" w:hAnsi="Times New Roman"/>
          <w:sz w:val="24"/>
          <w:szCs w:val="24"/>
        </w:rPr>
        <w:t>2.1.1.1 Ensuring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2.1.1.2 Enhancing Cost-Effectiveness in Construction</w:t>
      </w:r>
    </w:p>
    <w:p>
      <w:pPr>
        <w:pStyle w:val="style0"/>
        <w:spacing w:lineRule="auto" w:line="360"/>
        <w:jc w:val="both"/>
        <w:rPr>
          <w:rFonts w:ascii="Times New Roman" w:hAnsi="Times New Roman"/>
          <w:sz w:val="24"/>
          <w:szCs w:val="24"/>
        </w:rPr>
      </w:pPr>
      <w:r>
        <w:rPr>
          <w:rFonts w:ascii="Times New Roman" w:hAnsi="Times New Roman"/>
          <w:sz w:val="24"/>
          <w:szCs w:val="24"/>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pPr>
        <w:pStyle w:val="style0"/>
        <w:spacing w:lineRule="auto" w:line="360"/>
        <w:jc w:val="both"/>
        <w:rPr>
          <w:rFonts w:ascii="Times New Roman" w:hAnsi="Times New Roman"/>
          <w:sz w:val="24"/>
          <w:szCs w:val="24"/>
        </w:rPr>
      </w:pPr>
      <w:r>
        <w:rPr>
          <w:rFonts w:ascii="Times New Roman" w:hAnsi="Times New Roman"/>
          <w:sz w:val="24"/>
          <w:szCs w:val="24"/>
        </w:rPr>
        <w:t>2.1.1.3 Minimizing Environmental Impact</w:t>
      </w:r>
    </w:p>
    <w:p>
      <w:pPr>
        <w:pStyle w:val="style0"/>
        <w:spacing w:lineRule="auto" w:line="360"/>
        <w:jc w:val="both"/>
        <w:rPr>
          <w:rFonts w:ascii="Times New Roman" w:hAnsi="Times New Roman"/>
          <w:sz w:val="24"/>
          <w:szCs w:val="24"/>
        </w:rPr>
      </w:pPr>
      <w:r>
        <w:rPr>
          <w:rFonts w:ascii="Times New Roman" w:hAnsi="Times New Roman"/>
          <w:sz w:val="24"/>
          <w:szCs w:val="24"/>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pPr>
        <w:pStyle w:val="style0"/>
        <w:spacing w:lineRule="auto" w:line="360"/>
        <w:jc w:val="both"/>
        <w:rPr>
          <w:rFonts w:ascii="Times New Roman" w:hAnsi="Times New Roman"/>
          <w:sz w:val="24"/>
          <w:szCs w:val="24"/>
        </w:rPr>
      </w:pPr>
      <w:r>
        <w:rPr>
          <w:rFonts w:ascii="Times New Roman" w:hAnsi="Times New Roman"/>
          <w:sz w:val="24"/>
          <w:szCs w:val="24"/>
        </w:rPr>
        <w:t>2.1.1.4 Improving Pavement and Foundation Performance</w:t>
      </w:r>
    </w:p>
    <w:p>
      <w:pPr>
        <w:pStyle w:val="style0"/>
        <w:spacing w:lineRule="auto" w:line="360"/>
        <w:jc w:val="both"/>
        <w:rPr>
          <w:rFonts w:ascii="Times New Roman" w:hAnsi="Times New Roman"/>
          <w:sz w:val="24"/>
          <w:szCs w:val="24"/>
        </w:rPr>
      </w:pPr>
      <w:r>
        <w:rPr>
          <w:rFonts w:ascii="Times New Roman" w:hAnsi="Times New Roman"/>
          <w:sz w:val="24"/>
          <w:szCs w:val="24"/>
        </w:rPr>
        <w:t>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pPr>
        <w:pStyle w:val="style0"/>
        <w:spacing w:lineRule="auto" w:line="360"/>
        <w:jc w:val="both"/>
        <w:rPr>
          <w:rFonts w:ascii="Times New Roman" w:hAnsi="Times New Roman"/>
          <w:b/>
          <w:sz w:val="24"/>
          <w:szCs w:val="24"/>
        </w:rPr>
      </w:pPr>
      <w:r>
        <w:rPr>
          <w:rFonts w:ascii="Times New Roman" w:hAnsi="Times New Roman"/>
          <w:b/>
          <w:sz w:val="24"/>
          <w:szCs w:val="24"/>
        </w:rPr>
        <w:t>2.1.2 Overview of Borrow Pit Utilization in Nigeria</w:t>
      </w:r>
    </w:p>
    <w:p>
      <w:pPr>
        <w:pStyle w:val="style0"/>
        <w:spacing w:lineRule="auto" w:line="360"/>
        <w:jc w:val="both"/>
        <w:rPr>
          <w:rFonts w:ascii="Times New Roman" w:hAnsi="Times New Roman"/>
          <w:sz w:val="24"/>
          <w:szCs w:val="24"/>
        </w:rPr>
      </w:pPr>
      <w:r>
        <w:rPr>
          <w:rFonts w:ascii="Times New Roman" w:hAnsi="Times New Roman"/>
          <w:sz w:val="24"/>
          <w:szCs w:val="24"/>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pPr>
        <w:pStyle w:val="style0"/>
        <w:spacing w:lineRule="auto" w:line="360"/>
        <w:jc w:val="both"/>
        <w:rPr>
          <w:rFonts w:ascii="Times New Roman" w:hAnsi="Times New Roman"/>
          <w:sz w:val="24"/>
          <w:szCs w:val="24"/>
        </w:rPr>
      </w:pPr>
      <w:r>
        <w:rPr>
          <w:rFonts w:ascii="Times New Roman" w:hAnsi="Times New Roman"/>
          <w:sz w:val="24"/>
          <w:szCs w:val="24"/>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pPr>
        <w:pStyle w:val="style0"/>
        <w:spacing w:lineRule="auto" w:line="360"/>
        <w:jc w:val="both"/>
        <w:rPr>
          <w:rFonts w:ascii="Times New Roman" w:hAnsi="Times New Roman"/>
          <w:b/>
          <w:sz w:val="24"/>
          <w:szCs w:val="24"/>
        </w:rPr>
      </w:pPr>
      <w:r>
        <w:rPr>
          <w:rFonts w:ascii="Times New Roman" w:hAnsi="Times New Roman"/>
          <w:b/>
          <w:sz w:val="24"/>
          <w:szCs w:val="24"/>
        </w:rPr>
        <w:t>2.2. Geological Setting</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Ganmo and Amoyo,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pPr>
        <w:pStyle w:val="style0"/>
        <w:spacing w:lineRule="auto" w:line="360"/>
        <w:jc w:val="both"/>
        <w:rPr>
          <w:rFonts w:ascii="Times New Roman" w:hAnsi="Times New Roman"/>
          <w:sz w:val="24"/>
          <w:szCs w:val="24"/>
        </w:rPr>
      </w:pPr>
      <w:r>
        <w:rPr>
          <w:rFonts w:ascii="Times New Roman" w:hAnsi="Times New Roman"/>
          <w:sz w:val="24"/>
          <w:szCs w:val="24"/>
        </w:rPr>
        <w:t>2.2.1 Overview of Kwara State Geology</w:t>
      </w:r>
    </w:p>
    <w:p>
      <w:pPr>
        <w:pStyle w:val="style0"/>
        <w:spacing w:lineRule="auto" w:line="360"/>
        <w:jc w:val="both"/>
        <w:rPr>
          <w:rFonts w:ascii="Times New Roman" w:hAnsi="Times New Roman"/>
          <w:sz w:val="24"/>
          <w:szCs w:val="24"/>
        </w:rPr>
      </w:pPr>
      <w:r>
        <w:rPr>
          <w:rFonts w:ascii="Times New Roman" w:hAnsi="Times New Roman"/>
          <w:sz w:val="24"/>
          <w:szCs w:val="24"/>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pPr>
        <w:pStyle w:val="style0"/>
        <w:spacing w:lineRule="auto" w:line="360"/>
        <w:jc w:val="both"/>
        <w:rPr>
          <w:rFonts w:ascii="Times New Roman" w:hAnsi="Times New Roman"/>
          <w:sz w:val="24"/>
          <w:szCs w:val="24"/>
        </w:rPr>
      </w:pPr>
      <w:r>
        <w:rPr>
          <w:rFonts w:ascii="Times New Roman" w:hAnsi="Times New Roman"/>
          <w:sz w:val="24"/>
          <w:szCs w:val="24"/>
        </w:rPr>
        <w:t>Granite and Granitic Gneisses – These are widespread and serve as the dominant lithological units in many parts of Kwara State. They contain minerals such as quartz, feldspar, and mica, which influence the composition of the derived soils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 These metamorphic rocks contain alternating bands of light-colored quartz-feldspar minerals and dark-colored mafic minerals. The decomposition of these rocks results in soils with varying textures and mineral compositions (Rahaman, 1988).</w:t>
      </w:r>
    </w:p>
    <w:p>
      <w:pPr>
        <w:pStyle w:val="style0"/>
        <w:spacing w:lineRule="auto" w:line="360"/>
        <w:jc w:val="both"/>
        <w:rPr>
          <w:rFonts w:ascii="Times New Roman" w:hAnsi="Times New Roman"/>
          <w:sz w:val="24"/>
          <w:szCs w:val="24"/>
        </w:rPr>
      </w:pPr>
      <w:r>
        <w:rPr>
          <w:rFonts w:ascii="Times New Roman" w:hAnsi="Times New Roman"/>
          <w:sz w:val="24"/>
          <w:szCs w:val="24"/>
        </w:rPr>
        <w:t>Quartzite and Amphibolite – These rocks are relatively resistant to weathering and tend to form coarse-grained, well-drained soils with good engineering properties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high temperature and humidity prevalent in Kwara State contribute to the rapid chemical weathering of these rocks, leading to the formation of lateritic soils, which are rich in iron and </w:t>
      </w:r>
      <w:r>
        <w:rPr>
          <w:rFonts w:ascii="Times New Roman" w:hAnsi="Times New Roman"/>
          <w:sz w:val="24"/>
          <w:szCs w:val="24"/>
        </w:rPr>
        <w:t>aluminum oxides. The composition of these soils varies significantly depending on the degree of weathering and the parent rock material (Adeyemi, 1995).</w:t>
      </w:r>
    </w:p>
    <w:p>
      <w:pPr>
        <w:pStyle w:val="style0"/>
        <w:spacing w:lineRule="auto" w:line="360"/>
        <w:jc w:val="both"/>
        <w:rPr>
          <w:rFonts w:ascii="Times New Roman" w:hAnsi="Times New Roman"/>
          <w:sz w:val="24"/>
          <w:szCs w:val="24"/>
        </w:rPr>
      </w:pPr>
      <w:r>
        <w:rPr>
          <w:rFonts w:ascii="Times New Roman" w:hAnsi="Times New Roman"/>
          <w:sz w:val="24"/>
          <w:szCs w:val="24"/>
        </w:rPr>
        <w:t>2.2.2 Geological Composition of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Ganmo and Amoyo are underlain by basement complex rocks that have undergone extensive weathering, resulting in the formation of lateritic soils. The primary rock types in these areas include:</w:t>
      </w:r>
    </w:p>
    <w:p>
      <w:pPr>
        <w:pStyle w:val="style0"/>
        <w:spacing w:lineRule="auto" w:line="360"/>
        <w:jc w:val="both"/>
        <w:rPr>
          <w:rFonts w:ascii="Times New Roman" w:hAnsi="Times New Roman"/>
          <w:sz w:val="24"/>
          <w:szCs w:val="24"/>
        </w:rPr>
      </w:pPr>
      <w:r>
        <w:rPr>
          <w:rFonts w:ascii="Times New Roman" w:hAnsi="Times New Roman"/>
          <w:sz w:val="24"/>
          <w:szCs w:val="24"/>
        </w:rPr>
        <w:t>2.2.2.1 Biotite Gneiss</w:t>
      </w:r>
    </w:p>
    <w:p>
      <w:pPr>
        <w:pStyle w:val="style0"/>
        <w:spacing w:lineRule="auto" w:line="360"/>
        <w:jc w:val="both"/>
        <w:rPr>
          <w:rFonts w:ascii="Times New Roman" w:hAnsi="Times New Roman"/>
          <w:sz w:val="24"/>
          <w:szCs w:val="24"/>
        </w:rPr>
      </w:pPr>
      <w:r>
        <w:rPr>
          <w:rFonts w:ascii="Times New Roman" w:hAnsi="Times New Roman"/>
          <w:sz w:val="24"/>
          <w:szCs w:val="24"/>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2.2.2.2 Granite</w:t>
      </w:r>
    </w:p>
    <w:p>
      <w:pPr>
        <w:pStyle w:val="style0"/>
        <w:spacing w:lineRule="auto" w:line="360"/>
        <w:jc w:val="both"/>
        <w:rPr>
          <w:rFonts w:ascii="Times New Roman" w:hAnsi="Times New Roman"/>
          <w:sz w:val="24"/>
          <w:szCs w:val="24"/>
        </w:rPr>
      </w:pPr>
      <w:r>
        <w:rPr>
          <w:rFonts w:ascii="Times New Roman" w:hAnsi="Times New Roman"/>
          <w:sz w:val="24"/>
          <w:szCs w:val="24"/>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2.2.2.3 Migmatite and Schist</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are common in parts of Ganmo and Amoyo,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pPr>
        <w:pStyle w:val="style0"/>
        <w:spacing w:lineRule="auto" w:line="360"/>
        <w:jc w:val="both"/>
        <w:rPr>
          <w:rFonts w:ascii="Times New Roman" w:hAnsi="Times New Roman"/>
          <w:sz w:val="24"/>
          <w:szCs w:val="24"/>
        </w:rPr>
      </w:pPr>
      <w:r>
        <w:rPr>
          <w:rFonts w:ascii="Times New Roman" w:hAnsi="Times New Roman"/>
          <w:sz w:val="24"/>
          <w:szCs w:val="24"/>
        </w:rPr>
        <w:t>2.2.3 Influence of Parent Rock on Soil Properties</w:t>
      </w:r>
    </w:p>
    <w:p>
      <w:pPr>
        <w:pStyle w:val="style0"/>
        <w:spacing w:lineRule="auto" w:line="360"/>
        <w:jc w:val="both"/>
        <w:rPr>
          <w:rFonts w:ascii="Times New Roman" w:hAnsi="Times New Roman"/>
          <w:sz w:val="24"/>
          <w:szCs w:val="24"/>
        </w:rPr>
      </w:pPr>
      <w:r>
        <w:rPr>
          <w:rFonts w:ascii="Times New Roman" w:hAnsi="Times New Roman"/>
          <w:sz w:val="24"/>
          <w:szCs w:val="24"/>
        </w:rPr>
        <w:t>The geotechnical properties of lateritic soils are largely dictated by the mineralogical composition and weathering behavior of the parent rock. Table 2.1 provides a summary of how different parent rock types influence key soil properties: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2.1: Influence of Parent Rock on Soil Properties</w:t>
      </w:r>
    </w:p>
    <w:tbl>
      <w:tblPr>
        <w:tblpPr w:leftFromText="180" w:rightFromText="180" w:topFromText="0" w:bottomFromText="0" w:vertAnchor="text" w:tblpXSpec="lef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50"/>
        <w:gridCol w:w="1861"/>
        <w:gridCol w:w="1868"/>
        <w:gridCol w:w="1895"/>
      </w:tblGrid>
      <w:tr>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Parent Rock</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Soil Type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Texture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Plasticity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Compaction &amp; strength </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Biotite Gneiss</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Clayey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Fine-grained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High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High cohesion but may shrink/swell</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Granite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Sandy laterite </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Coarse-grained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Low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Good drain age, low cohesion</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Migmatite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Mixed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Medium to coarse</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Intermediate properties</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Schist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Flaky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Fine-grained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 to high</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Low strength and poor compaction</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pPr>
        <w:pStyle w:val="style0"/>
        <w:spacing w:lineRule="auto" w:line="360"/>
        <w:jc w:val="both"/>
        <w:rPr>
          <w:rFonts w:ascii="Times New Roman" w:hAnsi="Times New Roman"/>
          <w:sz w:val="24"/>
          <w:szCs w:val="24"/>
        </w:rPr>
      </w:pPr>
      <w:r>
        <w:rPr>
          <w:rFonts w:ascii="Times New Roman" w:hAnsi="Times New Roman"/>
          <w:sz w:val="24"/>
          <w:szCs w:val="24"/>
        </w:rPr>
        <w:t>2.2.4 Lateritic Soil Formation and Characteristics</w:t>
      </w:r>
    </w:p>
    <w:p>
      <w:pPr>
        <w:pStyle w:val="style0"/>
        <w:spacing w:lineRule="auto" w:line="360"/>
        <w:jc w:val="both"/>
        <w:rPr>
          <w:rFonts w:ascii="Times New Roman" w:hAnsi="Times New Roman"/>
          <w:sz w:val="24"/>
          <w:szCs w:val="24"/>
        </w:rPr>
      </w:pPr>
      <w:r>
        <w:rPr>
          <w:rFonts w:ascii="Times New Roman" w:hAnsi="Times New Roman"/>
          <w:sz w:val="24"/>
          <w:szCs w:val="24"/>
        </w:rPr>
        <w:t>Lateritic soils are a dominant soil type in Ganmo and Amoyo due to the prolonged weathering of basement complex rocks under tropical climatic conditions. The key processes involved in lateritic soil formation include:</w:t>
      </w:r>
    </w:p>
    <w:p>
      <w:pPr>
        <w:pStyle w:val="style0"/>
        <w:spacing w:lineRule="auto" w:line="360"/>
        <w:jc w:val="both"/>
        <w:rPr>
          <w:rFonts w:ascii="Times New Roman" w:hAnsi="Times New Roman"/>
          <w:sz w:val="24"/>
          <w:szCs w:val="24"/>
        </w:rPr>
      </w:pPr>
      <w:r>
        <w:rPr>
          <w:rFonts w:ascii="Times New Roman" w:hAnsi="Times New Roman"/>
          <w:sz w:val="24"/>
          <w:szCs w:val="24"/>
        </w:rPr>
        <w:t>1. Leaching of Silica and Bases: The heavy rainfall in Kwara State leads to the dissolution and leaching of silica, potassium, sodium, and calcium, leaving behind aluminum and iron oxides (Igwe et al., 2013).</w:t>
      </w:r>
    </w:p>
    <w:p>
      <w:pPr>
        <w:pStyle w:val="style0"/>
        <w:spacing w:lineRule="auto" w:line="360"/>
        <w:jc w:val="both"/>
        <w:rPr>
          <w:rFonts w:ascii="Times New Roman" w:hAnsi="Times New Roman"/>
          <w:sz w:val="24"/>
          <w:szCs w:val="24"/>
        </w:rPr>
      </w:pPr>
      <w:r>
        <w:rPr>
          <w:rFonts w:ascii="Times New Roman" w:hAnsi="Times New Roman"/>
          <w:sz w:val="24"/>
          <w:szCs w:val="24"/>
        </w:rPr>
        <w:t>2. Accumulation of Secondary Minerals: The remaining aluminum and iron oxides accumulate to form lateritic crusts, which harden over time. The presence of iron oxide gives lateritic soils their characteristic reddish-brown color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Formation of Clay Minerals: In highly weathered soils, kaolinite and other clay minerals dominate, increasing the soil's plasticity and water-holding capacity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Due to these processes, lateritic soils exhibit high variability in their physical and mechanical properties, requiring proper geotechnical classification before use in construction.</w:t>
      </w:r>
    </w:p>
    <w:p>
      <w:pPr>
        <w:pStyle w:val="style0"/>
        <w:spacing w:lineRule="auto" w:line="360"/>
        <w:jc w:val="both"/>
        <w:rPr>
          <w:rFonts w:ascii="Times New Roman" w:hAnsi="Times New Roman"/>
          <w:sz w:val="24"/>
          <w:szCs w:val="24"/>
        </w:rPr>
      </w:pPr>
      <w:r>
        <w:rPr>
          <w:rFonts w:ascii="Times New Roman" w:hAnsi="Times New Roman"/>
          <w:sz w:val="24"/>
          <w:szCs w:val="24"/>
        </w:rPr>
        <w:t>2.2.5 Implications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Ganmo and Amoyo has direct implications for engineering and construction projects in these areas. Based on the geological composition and soil characteristics, the following key considerations should be made:</w:t>
      </w:r>
    </w:p>
    <w:p>
      <w:pPr>
        <w:pStyle w:val="style0"/>
        <w:spacing w:lineRule="auto" w:line="360"/>
        <w:jc w:val="both"/>
        <w:rPr>
          <w:rFonts w:ascii="Times New Roman" w:hAnsi="Times New Roman"/>
          <w:sz w:val="24"/>
          <w:szCs w:val="24"/>
        </w:rPr>
      </w:pPr>
      <w:r>
        <w:rPr>
          <w:rFonts w:ascii="Times New Roman" w:hAnsi="Times New Roman"/>
          <w:sz w:val="24"/>
          <w:szCs w:val="24"/>
        </w:rPr>
        <w:t>1. Soil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Lateritic soils with high clay content (from biotite gneiss) may require stabilization to improve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Sandy soils from granite sources provide good drainage but require compaction to enhance strength.</w:t>
      </w:r>
    </w:p>
    <w:p>
      <w:pPr>
        <w:pStyle w:val="style0"/>
        <w:spacing w:lineRule="auto" w:line="360"/>
        <w:jc w:val="both"/>
        <w:rPr>
          <w:rFonts w:ascii="Times New Roman" w:hAnsi="Times New Roman"/>
          <w:sz w:val="24"/>
          <w:szCs w:val="24"/>
        </w:rPr>
      </w:pPr>
      <w:r>
        <w:rPr>
          <w:rFonts w:ascii="Times New Roman" w:hAnsi="Times New Roman"/>
          <w:sz w:val="24"/>
          <w:szCs w:val="24"/>
        </w:rPr>
        <w:t>2. Suitability for Foundations and Embankments:</w:t>
      </w:r>
    </w:p>
    <w:p>
      <w:pPr>
        <w:pStyle w:val="style0"/>
        <w:spacing w:lineRule="auto" w:line="360"/>
        <w:jc w:val="both"/>
        <w:rPr>
          <w:rFonts w:ascii="Times New Roman" w:hAnsi="Times New Roman"/>
          <w:sz w:val="24"/>
          <w:szCs w:val="24"/>
        </w:rPr>
      </w:pPr>
      <w:r>
        <w:rPr>
          <w:rFonts w:ascii="Times New Roman" w:hAnsi="Times New Roman"/>
          <w:sz w:val="24"/>
          <w:szCs w:val="24"/>
        </w:rPr>
        <w:t>Clay-rich lateritic soils can be used for embankments but must be compacted to reduce settlement risks.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should be avoided in load-bearing structures due to their weak compaction properties.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 Need for Soil Stabilization: </w:t>
      </w:r>
      <w:r>
        <w:rPr>
          <w:rFonts w:ascii="Times New Roman" w:hAnsi="Times New Roman"/>
          <w:sz w:val="24"/>
          <w:szCs w:val="24"/>
        </w:rPr>
        <w:t>Lime or cement stabilization may be necessary for highly plastic soils to enhance their strength and reduce shrinkage potential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2.3.0 Geotechnical Properties of Borrow Pit Soils in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Geotechnical properties play a crucial role in determining the suitability of soils for engineering applications. These properties influence construction performance, foundation stability, and pavement durability. The soils from borrow pits in Ganmo and Amoyo are predominantly lateritic, derived from the weathering of basement complex rocks such as biotite gneiss, granite, and schist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2.3.1 Particle Size Distribution</w:t>
      </w:r>
    </w:p>
    <w:p>
      <w:pPr>
        <w:pStyle w:val="style0"/>
        <w:spacing w:lineRule="auto" w:line="360"/>
        <w:jc w:val="both"/>
        <w:rPr>
          <w:rFonts w:ascii="Times New Roman" w:hAnsi="Times New Roman"/>
          <w:sz w:val="24"/>
          <w:szCs w:val="24"/>
        </w:rPr>
      </w:pPr>
      <w:r>
        <w:rPr>
          <w:rFonts w:ascii="Times New Roman" w:hAnsi="Times New Roman"/>
          <w:sz w:val="24"/>
          <w:szCs w:val="24"/>
        </w:rPr>
        <w:t>Particle size distribution is a fundamental geotechnical property that influences soil behavior in construction. It determines whether a soil is predominantly sandy, silty, or clayey, which affects drainage, compaction, and stability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2.3.1.1 Grain Size Analysis</w:t>
      </w:r>
    </w:p>
    <w:p>
      <w:pPr>
        <w:pStyle w:val="style0"/>
        <w:spacing w:lineRule="auto" w:line="360"/>
        <w:jc w:val="both"/>
        <w:rPr>
          <w:rFonts w:ascii="Times New Roman" w:hAnsi="Times New Roman"/>
          <w:sz w:val="24"/>
          <w:szCs w:val="24"/>
        </w:rPr>
      </w:pPr>
      <w:r>
        <w:rPr>
          <w:rFonts w:ascii="Times New Roman" w:hAnsi="Times New Roman"/>
          <w:sz w:val="24"/>
          <w:szCs w:val="24"/>
        </w:rPr>
        <w:t>Soils from borrow pits in Ganmo and Amoyo exhibit variations in grain size due to differences in parent rock composition. The results of previous studies indicate that:</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granite tend to have a higher proportion of sand-sized particles (50-70%), making them well-draining but less cohesive (Adeyemi, 1995).</w:t>
      </w:r>
    </w:p>
    <w:p>
      <w:pPr>
        <w:pStyle w:val="style0"/>
        <w:spacing w:lineRule="auto" w:line="360"/>
        <w:jc w:val="both"/>
        <w:rPr>
          <w:rFonts w:ascii="Times New Roman" w:hAnsi="Times New Roman"/>
          <w:sz w:val="24"/>
          <w:szCs w:val="24"/>
        </w:rPr>
      </w:pPr>
      <w:r>
        <w:rPr>
          <w:rFonts w:ascii="Times New Roman" w:hAnsi="Times New Roman"/>
          <w:sz w:val="24"/>
          <w:szCs w:val="24"/>
        </w:rPr>
        <w:t>Soils from biotite gneiss contain more clay and silt particles (30-50%), which increases plasticity and cohesion but reduces permeability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schist exhibit mixed characteristics, with moderate clay content (20-40%) and variable silt-sand ratios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These variations impact the engineering applications of the soils, requiring modifications such as blending or stabilization to optimize their performance in road construction and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2.3.1.2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Sandy soils (granite-derived) are suitable for subgrade layers in road construction but require compaction to improve cohesion.</w:t>
      </w:r>
    </w:p>
    <w:p>
      <w:pPr>
        <w:pStyle w:val="style0"/>
        <w:spacing w:lineRule="auto" w:line="360"/>
        <w:jc w:val="both"/>
        <w:rPr>
          <w:rFonts w:ascii="Times New Roman" w:hAnsi="Times New Roman"/>
          <w:sz w:val="24"/>
          <w:szCs w:val="24"/>
        </w:rPr>
      </w:pPr>
      <w:r>
        <w:rPr>
          <w:rFonts w:ascii="Times New Roman" w:hAnsi="Times New Roman"/>
          <w:sz w:val="24"/>
          <w:szCs w:val="24"/>
        </w:rPr>
        <w:t>Clay-rich soils (gneiss-derived) are useful for embankments but may need lime or cement stabilization to reduce shrink-swell potential.</w:t>
      </w:r>
    </w:p>
    <w:p>
      <w:pPr>
        <w:pStyle w:val="style0"/>
        <w:spacing w:lineRule="auto" w:line="360"/>
        <w:jc w:val="both"/>
        <w:rPr>
          <w:rFonts w:ascii="Times New Roman" w:hAnsi="Times New Roman"/>
          <w:sz w:val="24"/>
          <w:szCs w:val="24"/>
        </w:rPr>
      </w:pPr>
      <w:r>
        <w:rPr>
          <w:rFonts w:ascii="Times New Roman" w:hAnsi="Times New Roman"/>
          <w:sz w:val="24"/>
          <w:szCs w:val="24"/>
        </w:rPr>
        <w:t>Mixed soils (schist-derived) exhibit intermediate properties and may require additional geotechnical evaluation before use in load-bearing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2.3.2 Atterberg Limits (Plasticity and Consistency Limits)</w:t>
      </w:r>
    </w:p>
    <w:p>
      <w:pPr>
        <w:pStyle w:val="style0"/>
        <w:spacing w:lineRule="auto" w:line="360"/>
        <w:jc w:val="both"/>
        <w:rPr>
          <w:rFonts w:ascii="Times New Roman" w:hAnsi="Times New Roman"/>
          <w:sz w:val="24"/>
          <w:szCs w:val="24"/>
        </w:rPr>
      </w:pPr>
      <w:r>
        <w:rPr>
          <w:rFonts w:ascii="Times New Roman" w:hAnsi="Times New Roman"/>
          <w:sz w:val="24"/>
          <w:szCs w:val="24"/>
        </w:rPr>
        <w:t>Atterberg limits describe the plasticity characteristics of soil and are essential for evaluating soil workability, moisture retention, and shrinkage behavior (Olawuyi, 2017). These limits include:</w:t>
      </w:r>
    </w:p>
    <w:p>
      <w:pPr>
        <w:pStyle w:val="style0"/>
        <w:spacing w:lineRule="auto" w:line="360"/>
        <w:jc w:val="both"/>
        <w:rPr>
          <w:rFonts w:ascii="Times New Roman" w:hAnsi="Times New Roman"/>
          <w:sz w:val="24"/>
          <w:szCs w:val="24"/>
        </w:rPr>
      </w:pPr>
      <w:r>
        <w:rPr>
          <w:rFonts w:ascii="Times New Roman" w:hAnsi="Times New Roman"/>
          <w:sz w:val="24"/>
          <w:szCs w:val="24"/>
        </w:rPr>
        <w:t>1. Liquid Limit (LL): The moisture content at which soil transitions from plastic to liquid state.</w:t>
      </w:r>
    </w:p>
    <w:p>
      <w:pPr>
        <w:pStyle w:val="style0"/>
        <w:spacing w:lineRule="auto" w:line="360"/>
        <w:jc w:val="both"/>
        <w:rPr>
          <w:rFonts w:ascii="Times New Roman" w:hAnsi="Times New Roman"/>
          <w:sz w:val="24"/>
          <w:szCs w:val="24"/>
        </w:rPr>
      </w:pPr>
      <w:r>
        <w:rPr>
          <w:rFonts w:ascii="Times New Roman" w:hAnsi="Times New Roman"/>
          <w:sz w:val="24"/>
          <w:szCs w:val="24"/>
        </w:rPr>
        <w:t>2. Plastic Limit (PL): The moisture content at which soil begins to exhibit plastic behavior.</w:t>
      </w:r>
    </w:p>
    <w:p>
      <w:pPr>
        <w:pStyle w:val="style0"/>
        <w:spacing w:lineRule="auto" w:line="360"/>
        <w:jc w:val="both"/>
        <w:rPr>
          <w:rFonts w:ascii="Times New Roman" w:hAnsi="Times New Roman"/>
          <w:sz w:val="24"/>
          <w:szCs w:val="24"/>
        </w:rPr>
      </w:pPr>
      <w:r>
        <w:rPr>
          <w:rFonts w:ascii="Times New Roman" w:hAnsi="Times New Roman"/>
          <w:sz w:val="24"/>
          <w:szCs w:val="24"/>
        </w:rPr>
        <w:t>3. Plasticity Index (PI): The difference between LL and PL, indicating soil expansiveness.</w:t>
      </w:r>
    </w:p>
    <w:p>
      <w:pPr>
        <w:pStyle w:val="style0"/>
        <w:spacing w:lineRule="auto" w:line="360"/>
        <w:jc w:val="both"/>
        <w:rPr>
          <w:rFonts w:ascii="Times New Roman" w:hAnsi="Times New Roman"/>
          <w:sz w:val="24"/>
          <w:szCs w:val="24"/>
        </w:rPr>
      </w:pPr>
      <w:r>
        <w:rPr>
          <w:rFonts w:ascii="Times New Roman" w:hAnsi="Times New Roman"/>
          <w:sz w:val="24"/>
          <w:szCs w:val="24"/>
        </w:rPr>
        <w:t>2.3.2.1 Observed Atterberg Limit Values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LL (30-45%), PL (15-25%), PI (10-20%) → Low plasticity, suitable for road subgrade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LL (50-70%), PL (25-40%), PI (20-35%) → High plasticity, requiring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LL (40-55%), PL (20-30%), PI (15-25%) → Moderate plasticity, may require modification for structural applications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2.3.2.2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 plasticity soils (granite-derived) have good workability but may require water retention measures.</w:t>
      </w:r>
    </w:p>
    <w:p>
      <w:pPr>
        <w:pStyle w:val="style0"/>
        <w:spacing w:lineRule="auto" w:line="360"/>
        <w:jc w:val="both"/>
        <w:rPr>
          <w:rFonts w:ascii="Times New Roman" w:hAnsi="Times New Roman"/>
          <w:sz w:val="24"/>
          <w:szCs w:val="24"/>
        </w:rPr>
      </w:pPr>
      <w:r>
        <w:rPr>
          <w:rFonts w:ascii="Times New Roman" w:hAnsi="Times New Roman"/>
          <w:sz w:val="24"/>
          <w:szCs w:val="24"/>
        </w:rPr>
        <w:t>High plasticity soils (gneiss-derived) may experience excessive shrink-swell behavior, posing a risk for foundations and requiring stabilization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Moderate plasticity soils (schist-derived) provide a balance between stability and workability, making them suitable for general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2.3.3 Compaction Characteristics</w:t>
      </w:r>
    </w:p>
    <w:p>
      <w:pPr>
        <w:pStyle w:val="style0"/>
        <w:spacing w:lineRule="auto" w:line="360"/>
        <w:jc w:val="both"/>
        <w:rPr>
          <w:rFonts w:ascii="Times New Roman" w:hAnsi="Times New Roman"/>
          <w:sz w:val="24"/>
          <w:szCs w:val="24"/>
        </w:rPr>
      </w:pPr>
      <w:r>
        <w:rPr>
          <w:rFonts w:ascii="Times New Roman" w:hAnsi="Times New Roman"/>
          <w:sz w:val="24"/>
          <w:szCs w:val="24"/>
        </w:rPr>
        <w:t>Compaction improves soil strength by increasing density and reducing air voids, making it an essential factor in construction (Igwe et al., 2013). The compaction properties of lateritic soils in Ganmo and Amoyo vary depending on grain size distribution and plasticity.</w:t>
      </w:r>
    </w:p>
    <w:p>
      <w:pPr>
        <w:pStyle w:val="style0"/>
        <w:spacing w:lineRule="auto" w:line="360"/>
        <w:jc w:val="both"/>
        <w:rPr>
          <w:rFonts w:ascii="Times New Roman" w:hAnsi="Times New Roman"/>
          <w:sz w:val="24"/>
          <w:szCs w:val="24"/>
        </w:rPr>
      </w:pPr>
      <w:r>
        <w:rPr>
          <w:rFonts w:ascii="Times New Roman" w:hAnsi="Times New Roman"/>
          <w:sz w:val="24"/>
          <w:szCs w:val="24"/>
        </w:rPr>
        <w:t>2.3.3.1 Maximum Dry Density (MDD) and Optimum Moisture Content (OMC)</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MDD (1.85-2.10 g/cm³), OMC (8-12%) → High density, low water demand, good for road subgrades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MDD (1.60-1.85 g/cm³), OMC (12-18%) → Lower density, requiring compaction effort and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MDD (1.70-1.95 g/cm³), OMC (10-15%) → Intermediate compaction properties, suitable for various applications.</w:t>
      </w:r>
    </w:p>
    <w:p>
      <w:pPr>
        <w:pStyle w:val="style0"/>
        <w:spacing w:lineRule="auto" w:line="360"/>
        <w:jc w:val="both"/>
        <w:rPr>
          <w:rFonts w:ascii="Times New Roman" w:hAnsi="Times New Roman"/>
          <w:sz w:val="24"/>
          <w:szCs w:val="24"/>
        </w:rPr>
      </w:pPr>
      <w:r>
        <w:rPr>
          <w:rFonts w:ascii="Times New Roman" w:hAnsi="Times New Roman"/>
          <w:sz w:val="24"/>
          <w:szCs w:val="24"/>
        </w:rPr>
        <w:t>2.3.3.2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High-density soils (granite-derived) perform well in road construction but require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Lower-density soils (gneiss-derived) are prone to settlement and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Moderate-density soils (schist-derived) are versatile but require field testing before application.</w:t>
      </w:r>
    </w:p>
    <w:p>
      <w:pPr>
        <w:pStyle w:val="style0"/>
        <w:spacing w:lineRule="auto" w:line="360"/>
        <w:jc w:val="both"/>
        <w:rPr>
          <w:rFonts w:ascii="Times New Roman" w:hAnsi="Times New Roman"/>
          <w:sz w:val="24"/>
          <w:szCs w:val="24"/>
        </w:rPr>
      </w:pPr>
      <w:r>
        <w:rPr>
          <w:rFonts w:ascii="Times New Roman" w:hAnsi="Times New Roman"/>
          <w:sz w:val="24"/>
          <w:szCs w:val="24"/>
        </w:rPr>
        <w:t>2.3.4 Shear Strength and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Shear strength determines the ability of soil to resist failure under load, while bearing capacity defines its ability to support structures (Baiyegunhi et al., 2014). These properties are critical for foundation design and slope stability.</w:t>
      </w:r>
    </w:p>
    <w:p>
      <w:pPr>
        <w:pStyle w:val="style0"/>
        <w:spacing w:lineRule="auto" w:line="360"/>
        <w:jc w:val="both"/>
        <w:rPr>
          <w:rFonts w:ascii="Times New Roman" w:hAnsi="Times New Roman"/>
          <w:sz w:val="24"/>
          <w:szCs w:val="24"/>
        </w:rPr>
      </w:pPr>
      <w:r>
        <w:rPr>
          <w:rFonts w:ascii="Times New Roman" w:hAnsi="Times New Roman"/>
          <w:sz w:val="24"/>
          <w:szCs w:val="24"/>
        </w:rPr>
        <w:t>2.3.4.1 Observed Shear Strength Parameters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Cohesion (10-20 kN), Angle of internal friction (30-40°) → High friction, low cohesion, suitable for slopes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Cohesion (20-50 kN), Angle of internal friction (20-30°) → High cohesion, requires stabilization for high-load applications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Cohesion (15-35 kN), Angle of internal friction (25-35°) → Moderate stability, versatile use in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2.3.4.2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120-200 kN/m² → Suitable for light foundations.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80-150 kN/m² → May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100-180 kN/m² → Moderate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2.3.4.3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Low-cohesion soils (granite-derived) are stable but require reinforcement in foundation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High-cohesion soils (gneiss-derived) may suffer from shrinkage and swelling, requiring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Moderate-cohesion soils (schist-derived) are generally acceptable for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2.3.5 Permeability and Drainage Properties</w:t>
      </w:r>
    </w:p>
    <w:p>
      <w:pPr>
        <w:pStyle w:val="style0"/>
        <w:spacing w:lineRule="auto" w:line="360"/>
        <w:jc w:val="both"/>
        <w:rPr>
          <w:rFonts w:ascii="Times New Roman" w:hAnsi="Times New Roman"/>
          <w:sz w:val="24"/>
          <w:szCs w:val="24"/>
        </w:rPr>
      </w:pPr>
      <w:r>
        <w:rPr>
          <w:rFonts w:ascii="Times New Roman" w:hAnsi="Times New Roman"/>
          <w:sz w:val="24"/>
          <w:szCs w:val="24"/>
        </w:rPr>
        <w:t>Permeability determines how well water moves through the soil, affecting drainage and erosion resistance.</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(1x10⁻³ cm/s), good drainage.</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(1x10⁻⁵ cm/s), water retention issues.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(1x10⁻⁴ cm/s), balanced drainage.</w:t>
      </w:r>
    </w:p>
    <w:p>
      <w:pPr>
        <w:pStyle w:val="style0"/>
        <w:spacing w:lineRule="auto" w:line="360"/>
        <w:jc w:val="both"/>
        <w:rPr>
          <w:rFonts w:ascii="Times New Roman" w:hAnsi="Times New Roman"/>
          <w:b/>
          <w:sz w:val="24"/>
          <w:szCs w:val="24"/>
        </w:rPr>
      </w:pPr>
      <w:r>
        <w:rPr>
          <w:rFonts w:ascii="Times New Roman" w:hAnsi="Times New Roman"/>
          <w:b/>
          <w:sz w:val="24"/>
          <w:szCs w:val="24"/>
        </w:rPr>
        <w:t>Engineering Considerations</w:t>
      </w:r>
    </w:p>
    <w:p>
      <w:pPr>
        <w:pStyle w:val="style0"/>
        <w:spacing w:lineRule="auto" w:line="360"/>
        <w:jc w:val="both"/>
        <w:rPr>
          <w:rFonts w:ascii="Times New Roman" w:hAnsi="Times New Roman"/>
          <w:sz w:val="24"/>
          <w:szCs w:val="24"/>
        </w:rPr>
      </w:pPr>
      <w:r>
        <w:rPr>
          <w:rFonts w:ascii="Times New Roman" w:hAnsi="Times New Roman"/>
          <w:sz w:val="24"/>
          <w:szCs w:val="24"/>
        </w:rPr>
        <w:t>High permeability soils require erosion control.</w:t>
      </w:r>
    </w:p>
    <w:p>
      <w:pPr>
        <w:pStyle w:val="style0"/>
        <w:spacing w:lineRule="auto" w:line="360"/>
        <w:jc w:val="both"/>
        <w:rPr>
          <w:rFonts w:ascii="Times New Roman" w:hAnsi="Times New Roman"/>
          <w:sz w:val="24"/>
          <w:szCs w:val="24"/>
        </w:rPr>
      </w:pPr>
      <w:r>
        <w:rPr>
          <w:rFonts w:ascii="Times New Roman" w:hAnsi="Times New Roman"/>
          <w:sz w:val="24"/>
          <w:szCs w:val="24"/>
        </w:rPr>
        <w:t>Low permeability soils are at risk of waterlogging.</w:t>
      </w:r>
    </w:p>
    <w:p>
      <w:pPr>
        <w:pStyle w:val="style0"/>
        <w:spacing w:lineRule="auto" w:line="360"/>
        <w:jc w:val="both"/>
        <w:rPr>
          <w:rFonts w:ascii="Times New Roman" w:hAnsi="Times New Roman"/>
          <w:sz w:val="24"/>
          <w:szCs w:val="24"/>
        </w:rPr>
      </w:pPr>
      <w:r>
        <w:rPr>
          <w:rFonts w:ascii="Times New Roman" w:hAnsi="Times New Roman"/>
          <w:sz w:val="24"/>
          <w:szCs w:val="24"/>
        </w:rPr>
        <w:t>Moderate permeability soils provide a balance for construction.</w:t>
      </w:r>
    </w:p>
    <w:p>
      <w:pPr>
        <w:pStyle w:val="style0"/>
        <w:spacing w:lineRule="auto" w:line="360"/>
        <w:jc w:val="both"/>
        <w:rPr>
          <w:rFonts w:ascii="Times New Roman" w:hAnsi="Times New Roman"/>
          <w:sz w:val="24"/>
          <w:szCs w:val="24"/>
        </w:rPr>
      </w:pPr>
      <w:r>
        <w:rPr>
          <w:rFonts w:ascii="Times New Roman" w:hAnsi="Times New Roman"/>
          <w:sz w:val="24"/>
          <w:szCs w:val="24"/>
        </w:rPr>
        <w:t>2.4.0 Suitability of Borrow Pit Soils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soils from borrow pits in Ganmo and Amoyo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pPr>
        <w:pStyle w:val="style0"/>
        <w:spacing w:lineRule="auto" w:line="360"/>
        <w:jc w:val="both"/>
        <w:rPr>
          <w:rFonts w:ascii="Times New Roman" w:hAnsi="Times New Roman"/>
          <w:sz w:val="24"/>
          <w:szCs w:val="24"/>
        </w:rPr>
      </w:pPr>
      <w:r>
        <w:rPr>
          <w:rFonts w:ascii="Times New Roman" w:hAnsi="Times New Roman"/>
          <w:sz w:val="24"/>
          <w:szCs w:val="24"/>
        </w:rPr>
        <w:t>This section evaluates the engineering suitability of borrow pit soils in Ganmo and Amoyo based on standard geotechnical parameters and compares them to the required specifications for different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2.4.1 Criteria for Engineering Suitability</w:t>
      </w:r>
    </w:p>
    <w:p>
      <w:pPr>
        <w:pStyle w:val="style0"/>
        <w:spacing w:lineRule="auto" w:line="360"/>
        <w:jc w:val="both"/>
        <w:rPr>
          <w:rFonts w:ascii="Times New Roman" w:hAnsi="Times New Roman"/>
          <w:sz w:val="24"/>
          <w:szCs w:val="24"/>
        </w:rPr>
      </w:pPr>
      <w:r>
        <w:rPr>
          <w:rFonts w:ascii="Times New Roman" w:hAnsi="Times New Roman"/>
          <w:sz w:val="24"/>
          <w:szCs w:val="24"/>
        </w:rPr>
        <w:t>The engineering suitability of soil is assessed based on its ability to meet specific performance requirements for different construction purposes. The following factors are critical:</w:t>
      </w:r>
    </w:p>
    <w:p>
      <w:pPr>
        <w:pStyle w:val="style0"/>
        <w:spacing w:lineRule="auto" w:line="360"/>
        <w:jc w:val="both"/>
        <w:rPr>
          <w:rFonts w:ascii="Times New Roman" w:hAnsi="Times New Roman"/>
          <w:sz w:val="24"/>
          <w:szCs w:val="24"/>
        </w:rPr>
      </w:pPr>
      <w:r>
        <w:rPr>
          <w:rFonts w:ascii="Times New Roman" w:hAnsi="Times New Roman"/>
          <w:sz w:val="24"/>
          <w:szCs w:val="24"/>
        </w:rPr>
        <w:t>1. Strength and Stability: Soils used in foundation construction, embankments, and road bases must have adequate bearing capacity, shear strength, and stability under loading conditions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2. Drainage Characteristics: The permeability of soil affects its ability to drain water and resist erosion, which is crucial for road subgrades and embankments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Plasticity and Compressibility: Excessive plasticity can cause shrink-swell behavior, leading to structural failure, while high compressibility can lead to settlement issues in buildings and roads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4. Compaction and Density: Soil used in road construction must achieve high compaction to ensure adequate load-bearing capacity and durability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borrow pit soils in Ganmo and Amoyo for engineering applications is discussed in the following subsections based on these criteria.</w:t>
      </w:r>
    </w:p>
    <w:p>
      <w:pPr>
        <w:pStyle w:val="style0"/>
        <w:spacing w:lineRule="auto" w:line="360"/>
        <w:jc w:val="both"/>
        <w:rPr>
          <w:rFonts w:ascii="Times New Roman" w:hAnsi="Times New Roman"/>
          <w:sz w:val="24"/>
          <w:szCs w:val="24"/>
        </w:rPr>
      </w:pPr>
      <w:r>
        <w:rPr>
          <w:rFonts w:ascii="Times New Roman" w:hAnsi="Times New Roman"/>
          <w:sz w:val="24"/>
          <w:szCs w:val="24"/>
        </w:rPr>
        <w:t>2.4.2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2.4.2.1 Subgrade and Subbase Materials</w:t>
      </w:r>
    </w:p>
    <w:p>
      <w:pPr>
        <w:pStyle w:val="style0"/>
        <w:spacing w:lineRule="auto" w:line="360"/>
        <w:jc w:val="both"/>
        <w:rPr>
          <w:rFonts w:ascii="Times New Roman" w:hAnsi="Times New Roman"/>
          <w:sz w:val="24"/>
          <w:szCs w:val="24"/>
        </w:rPr>
      </w:pPr>
      <w:r>
        <w:rPr>
          <w:rFonts w:ascii="Times New Roman" w:hAnsi="Times New Roman"/>
          <w:sz w:val="24"/>
          <w:szCs w:val="24"/>
        </w:rPr>
        <w:t>The subgrade and subbase layers of roads require materials with high load-bearing capacity, moderate plasticity, and good drainage properties. The borrow pit soils exhibit varying degrees of suitability: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(sandy laterites): These soils have low plasticity (PI = 10-20%), high permeability, and good compaction properties, making them suitable for subgrades but requiring moisture control to prevent erosion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(mixed laterites): These soils have moderate plasticity (PI = 15-25%) and fair permeability, making them a versatile material for subgrades and subbases when properly compacted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2.4.2.2 Wearing Course and Pavement Layers</w:t>
      </w:r>
    </w:p>
    <w:p>
      <w:pPr>
        <w:pStyle w:val="style0"/>
        <w:spacing w:lineRule="auto" w:line="360"/>
        <w:jc w:val="both"/>
        <w:rPr>
          <w:rFonts w:ascii="Times New Roman" w:hAnsi="Times New Roman"/>
          <w:sz w:val="24"/>
          <w:szCs w:val="24"/>
        </w:rPr>
      </w:pPr>
      <w:r>
        <w:rPr>
          <w:rFonts w:ascii="Times New Roman" w:hAnsi="Times New Roman"/>
          <w:sz w:val="24"/>
          <w:szCs w:val="24"/>
        </w:rPr>
        <w:t>For pavement layers, soil must have high strength, low plasticity, and good drainage to prevent deformation under traffic loads.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are preferred for pavement layers due to their high strength and drainage capabilities.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require stabilization before use in pavement layers to prevent deformation.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can be used in pavement layers if properly blended with stronger materials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2.4.3 Suitability for Foundation Construction</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 for foundation construction depends on bearing capacity, settlement characteristics, and stability.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Bearing capacity (120-200 kN/m²), low plasticity, good stability → Suitable for shallow foundations, but may require moisture control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Bearing capacity (80-150 kN/m²), high plasticity, potential swelling → Not ideal for foundations unless stabilized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Bearing capacity (100-180 kN/m²), moderate plasticity, intermediate stability → Can support light structures but require compaction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2.4.4 Suitability for Embankments and Earthworks</w:t>
      </w:r>
    </w:p>
    <w:p>
      <w:pPr>
        <w:pStyle w:val="style0"/>
        <w:spacing w:lineRule="auto" w:line="360"/>
        <w:jc w:val="both"/>
        <w:rPr>
          <w:rFonts w:ascii="Times New Roman" w:hAnsi="Times New Roman"/>
          <w:sz w:val="24"/>
          <w:szCs w:val="24"/>
        </w:rPr>
      </w:pPr>
      <w:r>
        <w:rPr>
          <w:rFonts w:ascii="Times New Roman" w:hAnsi="Times New Roman"/>
          <w:sz w:val="24"/>
          <w:szCs w:val="24"/>
        </w:rPr>
        <w:t>Soils used in embankments should have moderate plasticity, good compaction properties, and stability under cyclic loading.</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Good for embankments due to high strength and stability but may require moisture retention additives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May cause settlement and instability due to high plasticity; require compaction and stabilization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Moderately stable, requiring field testing before large-scale use (Ogunbanjo et al., 2019).</w:t>
      </w:r>
    </w:p>
    <w:p>
      <w:pPr>
        <w:pStyle w:val="style0"/>
        <w:spacing w:after="160" w:lineRule="auto" w:line="259"/>
        <w:rPr>
          <w:rFonts w:ascii="Times New Roman" w:hAnsi="Times New Roman"/>
          <w:sz w:val="24"/>
          <w:szCs w:val="24"/>
        </w:rPr>
      </w:pPr>
      <w:r>
        <w:rPr>
          <w:rFonts w:ascii="Times New Roman" w:hAnsi="Times New Roman"/>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2.4.5 Suitability for Drainage and Erosion Control</w:t>
      </w:r>
    </w:p>
    <w:p>
      <w:pPr>
        <w:pStyle w:val="style0"/>
        <w:spacing w:lineRule="auto" w:line="360"/>
        <w:jc w:val="both"/>
        <w:rPr>
          <w:rFonts w:ascii="Times New Roman" w:hAnsi="Times New Roman"/>
          <w:sz w:val="24"/>
          <w:szCs w:val="24"/>
        </w:rPr>
      </w:pPr>
      <w:r>
        <w:rPr>
          <w:rFonts w:ascii="Times New Roman" w:hAnsi="Times New Roman"/>
          <w:sz w:val="24"/>
          <w:szCs w:val="24"/>
        </w:rPr>
        <w:t>Proper drainage and erosion control depend on the permeability and cohesion of the soil.</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Good for drainage layers and erosion control but may need compaction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Not ideal for drainage applications but useful for retaining water in dams and reservoirs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Balanced performance for drainage and erosion control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2.4.6 Suitability for Stabilization and Improvement</w:t>
      </w:r>
    </w:p>
    <w:p>
      <w:pPr>
        <w:pStyle w:val="style0"/>
        <w:spacing w:lineRule="auto" w:line="360"/>
        <w:jc w:val="both"/>
        <w:rPr>
          <w:rFonts w:ascii="Times New Roman" w:hAnsi="Times New Roman"/>
          <w:sz w:val="24"/>
          <w:szCs w:val="24"/>
        </w:rPr>
      </w:pPr>
      <w:r>
        <w:rPr>
          <w:rFonts w:ascii="Times New Roman" w:hAnsi="Times New Roman"/>
          <w:sz w:val="24"/>
          <w:szCs w:val="24"/>
        </w:rPr>
        <w:t>Soils that do not meet engineering specifications require stabilization with cement, lime, or mechanical blending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(high plasticity) → Require lime or cement stabilization for road and foundation applications (Sadeeq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stability) → Require blending with stronger materials to improve strength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(low cohesion) → May require moisture control to prevent dust formation and erosion.</w:t>
      </w:r>
    </w:p>
    <w:p>
      <w:pPr>
        <w:pStyle w:val="style0"/>
        <w:spacing w:lineRule="auto" w:line="360"/>
        <w:jc w:val="both"/>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360"/>
        <w:jc w:val="both"/>
        <w:rPr>
          <w:rFonts w:ascii="Times New Roman" w:hAnsi="Times New Roman"/>
          <w:sz w:val="24"/>
          <w:szCs w:val="24"/>
        </w:rPr>
      </w:pPr>
      <w:r>
        <w:rPr>
          <w:rFonts w:ascii="Times New Roman" w:hAnsi="Times New Roman"/>
          <w:sz w:val="24"/>
          <w:szCs w:val="24"/>
        </w:rPr>
        <w:t>The methodology for this research involves a systematic approach to assessing the geotechnical properties of borrow pit soils in Ganmo and Amoyo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3.1 Site Selection and Reconnaissance</w:t>
      </w:r>
    </w:p>
    <w:p>
      <w:pPr>
        <w:pStyle w:val="style0"/>
        <w:spacing w:lineRule="auto" w:line="360"/>
        <w:jc w:val="both"/>
        <w:rPr>
          <w:rFonts w:ascii="Times New Roman" w:hAnsi="Times New Roman"/>
          <w:sz w:val="24"/>
          <w:szCs w:val="24"/>
        </w:rPr>
      </w:pPr>
      <w:r>
        <w:rPr>
          <w:rFonts w:ascii="Times New Roman" w:hAnsi="Times New Roman"/>
          <w:sz w:val="24"/>
          <w:szCs w:val="24"/>
        </w:rPr>
        <w:t>The first phase of the study involves the identification and selection of borrow pits in Ganmo and Amoyo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pPr>
        <w:pStyle w:val="style0"/>
        <w:spacing w:lineRule="auto" w:line="360"/>
        <w:jc w:val="both"/>
        <w:rPr>
          <w:rFonts w:ascii="Times New Roman" w:hAnsi="Times New Roman"/>
          <w:sz w:val="24"/>
          <w:szCs w:val="24"/>
        </w:rPr>
      </w:pPr>
      <w:r>
        <w:rPr>
          <w:rFonts w:ascii="Times New Roman" w:hAnsi="Times New Roman"/>
          <w:sz w:val="24"/>
          <w:szCs w:val="24"/>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3.2 Field Sampling </w:t>
      </w:r>
    </w:p>
    <w:p>
      <w:pPr>
        <w:pStyle w:val="style0"/>
        <w:spacing w:lineRule="auto" w:line="360"/>
        <w:jc w:val="both"/>
        <w:rPr>
          <w:rFonts w:ascii="Times New Roman" w:hAnsi="Times New Roman"/>
          <w:sz w:val="24"/>
          <w:szCs w:val="24"/>
        </w:rPr>
      </w:pPr>
      <w:r>
        <w:rPr>
          <w:rFonts w:ascii="Times New Roman" w:hAnsi="Times New Roman"/>
          <w:sz w:val="24"/>
          <w:szCs w:val="24"/>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pPr>
        <w:pStyle w:val="style0"/>
        <w:spacing w:lineRule="auto" w:line="360"/>
        <w:jc w:val="both"/>
        <w:rPr>
          <w:rFonts w:ascii="Times New Roman" w:hAnsi="Times New Roman"/>
          <w:sz w:val="24"/>
          <w:szCs w:val="24"/>
        </w:rPr>
      </w:pPr>
      <w:r>
        <w:rPr>
          <w:rFonts w:ascii="Times New Roman" w:hAnsi="Times New Roman"/>
          <w:sz w:val="24"/>
          <w:szCs w:val="24"/>
        </w:rPr>
        <w:t>3.3 Laboratory Testing</w:t>
      </w:r>
    </w:p>
    <w:p>
      <w:pPr>
        <w:pStyle w:val="style0"/>
        <w:spacing w:lineRule="auto" w:line="360"/>
        <w:jc w:val="both"/>
        <w:rPr>
          <w:rFonts w:ascii="Times New Roman" w:hAnsi="Times New Roman"/>
          <w:sz w:val="24"/>
          <w:szCs w:val="24"/>
        </w:rPr>
      </w:pPr>
      <w:r>
        <w:rPr>
          <w:rFonts w:ascii="Times New Roman" w:hAnsi="Times New Roman"/>
          <w:sz w:val="24"/>
          <w:szCs w:val="24"/>
        </w:rPr>
        <w:t>After sample collection, laboratory analyses will be conducted using ASTM standard methods to determine the physical, mechanical, and engineering properties of the soil samples. Laboratory tests will include:</w:t>
      </w:r>
    </w:p>
    <w:p>
      <w:pPr>
        <w:pStyle w:val="style0"/>
        <w:spacing w:lineRule="auto" w:line="360"/>
        <w:jc w:val="both"/>
        <w:rPr>
          <w:rFonts w:ascii="Times New Roman" w:hAnsi="Times New Roman"/>
          <w:sz w:val="24"/>
          <w:szCs w:val="24"/>
        </w:rPr>
      </w:pPr>
      <w:r>
        <w:rPr>
          <w:rFonts w:ascii="Times New Roman" w:hAnsi="Times New Roman"/>
          <w:b/>
          <w:sz w:val="24"/>
          <w:szCs w:val="24"/>
        </w:rPr>
        <w:t>3.3.1.</w:t>
      </w:r>
      <w:r>
        <w:rPr>
          <w:rFonts w:ascii="Times New Roman" w:hAnsi="Times New Roman"/>
          <w:b/>
          <w:sz w:val="24"/>
          <w:szCs w:val="24"/>
        </w:rPr>
        <w:tab/>
      </w:r>
      <w:r>
        <w:rPr>
          <w:rFonts w:ascii="Times New Roman" w:hAnsi="Times New Roman"/>
          <w:b/>
          <w:sz w:val="24"/>
          <w:szCs w:val="24"/>
        </w:rPr>
        <w:t xml:space="preserve"> Particle Size Distribution Test (ASTM D6913-17</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A sieve analysis will be performed on coarse-grained soils to classify them based on grain size distribution. Fine-grained soils will be analyzed using a hydrometer test (Terzaghi et al., 1996).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 the particle stage of lateritic sample obtained. </w:t>
      </w:r>
    </w:p>
    <w:p>
      <w:pPr>
        <w:pStyle w:val="style0"/>
        <w:spacing w:lineRule="auto" w:line="360"/>
        <w:jc w:val="both"/>
        <w:rPr>
          <w:rFonts w:ascii="Times New Roman" w:hAnsi="Times New Roman"/>
          <w:sz w:val="24"/>
          <w:szCs w:val="24"/>
        </w:rPr>
      </w:pPr>
      <w:r>
        <w:rPr>
          <w:rFonts w:ascii="Times New Roman" w:hAnsi="Times New Roman"/>
          <w:b/>
          <w:sz w:val="24"/>
          <w:szCs w:val="24"/>
        </w:rPr>
        <w:t>Apparatus:</w:t>
      </w:r>
      <w:r>
        <w:rPr>
          <w:rFonts w:ascii="Times New Roman" w:hAnsi="Times New Roman"/>
          <w:sz w:val="24"/>
          <w:szCs w:val="24"/>
        </w:rPr>
        <w:t xml:space="preserve"> Mechanical sieves shaker, set of sieved (9.75mm, 4.75mm, 2.36mm, 0.75mm) arranged in ascending order along with cap and receive, brushes, oven, balance and rubber-tipped pestle.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allowed to dry by spreading it on a large tray and exposed it to    air.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500g of the lateritic soil sample were weighed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washed thoroughly to remove some part of clay content. The washing was stopped while the water coming out of the sieve was apparently clean.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It was token inside an electric oven to get dried for a period of 24hours.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dried samples used were weighed and carefully poured into the sieve assemblage with cap placed over the sieve and the receiver at the bottom and shook with mechanical shaker for 10min.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began to displace on the set of sieve based on their diameter which was weighed and recorded. </w:t>
      </w:r>
    </w:p>
    <w:p>
      <w:pPr>
        <w:pStyle w:val="style0"/>
        <w:spacing w:lineRule="auto" w:line="360"/>
        <w:jc w:val="both"/>
        <w:rPr>
          <w:rFonts w:ascii="Times New Roman" w:hAnsi="Times New Roman"/>
          <w:b/>
          <w:sz w:val="24"/>
          <w:szCs w:val="24"/>
        </w:rPr>
      </w:pPr>
      <w:r>
        <w:rPr>
          <w:rFonts w:ascii="Times New Roman" w:hAnsi="Times New Roman"/>
          <w:b/>
          <w:sz w:val="24"/>
          <w:szCs w:val="24"/>
        </w:rPr>
        <w:t>3.3.2. Atterberg Limits Test (ASTM D4318-17)</w:t>
      </w:r>
    </w:p>
    <w:p>
      <w:pPr>
        <w:pStyle w:val="style0"/>
        <w:spacing w:lineRule="auto" w:line="360"/>
        <w:jc w:val="both"/>
        <w:rPr>
          <w:rFonts w:ascii="Times New Roman" w:hAnsi="Times New Roman"/>
          <w:sz w:val="24"/>
          <w:szCs w:val="24"/>
        </w:rPr>
      </w:pPr>
      <w:r>
        <w:rPr>
          <w:rFonts w:ascii="Times New Roman" w:hAnsi="Times New Roman"/>
          <w:sz w:val="24"/>
          <w:szCs w:val="24"/>
        </w:rPr>
        <w:t>These parameters are critical for classifying soil behavior in construction applications (Das, 2019).</w:t>
      </w:r>
    </w:p>
    <w:p>
      <w:pPr>
        <w:pStyle w:val="style0"/>
        <w:spacing w:lineRule="auto" w:line="360"/>
        <w:jc w:val="both"/>
        <w:rPr>
          <w:rFonts w:ascii="Times New Roman" w:hAnsi="Times New Roman"/>
          <w:sz w:val="24"/>
          <w:szCs w:val="24"/>
        </w:rPr>
      </w:pPr>
      <w:r>
        <w:rPr>
          <w:rFonts w:ascii="Times New Roman" w:hAnsi="Times New Roman"/>
          <w:sz w:val="24"/>
          <w:szCs w:val="24"/>
        </w:rPr>
        <w:t>The atterberg limit test includes the following: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Liquid limit test (LL)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 limit test (PL)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Plasticity index (PI)</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LIQUID LIMIT TEST </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determine the minimum water content at which the soil will flow under specific force.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Apparatus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Electric oven.</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Casangrande machine.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B.S sieve no 36.</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Grove.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Glass sheet.</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Distilled water. </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 xml:space="preserve">Procedure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The soil was dried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Part of the sample was sieved through 4.75mm sieve, the sample passing the sieve was collected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weighed portion of the sample was mixed with the amount of the necessary to give the soil required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dish (55mm diameter by 40mm deep) was filled with the soil in the consistent range of the atterberg limit test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casangrande’s apparatus was half filled with paste of uniform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It was then cut a standard groove in the level paste with a grooving tool.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cup was jacked continually by rotating the handle (in an anticlockwise movement) of the apparatus until the groove in the cup was closed.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The number of blows required to close the gap was recorded.</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small part of the wet sample in the dish was placed in the container which was weighed and recorded.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remaining part was collected from the dish and mixed with water and soil to attain required consistency and step 4 to 9 will be repeated on the wet sample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Five trials were made.</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sample was oven-dried for a period of 24hours.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After attaining a constant weight, the container with the dried sample was weighed which was sued to determine the moisture content.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PLASTIC LIIMIT TEST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determinethe water content below which the soil no longer behave as a plastic material.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Electric oven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Balance sensitive to 0.01g</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Glass plate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Moisture container </w:t>
      </w:r>
    </w:p>
    <w:p>
      <w:pPr>
        <w:pStyle w:val="style0"/>
        <w:numPr>
          <w:ilvl w:val="0"/>
          <w:numId w:val="6"/>
        </w:numPr>
        <w:spacing w:lineRule="auto" w:line="360"/>
        <w:jc w:val="both"/>
        <w:rPr>
          <w:rFonts w:ascii="Times New Roman" w:hAnsi="Times New Roman"/>
          <w:b/>
          <w:sz w:val="24"/>
          <w:szCs w:val="24"/>
        </w:rPr>
      </w:pPr>
      <w:r>
        <w:rPr>
          <w:rFonts w:ascii="Times New Roman" w:hAnsi="Times New Roman"/>
          <w:sz w:val="24"/>
          <w:szCs w:val="24"/>
        </w:rPr>
        <w:t xml:space="preserve">Distilled water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Procedure </w:t>
      </w:r>
    </w:p>
    <w:p>
      <w:pPr>
        <w:pStyle w:val="style0"/>
        <w:numPr>
          <w:ilvl w:val="0"/>
          <w:numId w:val="7"/>
        </w:numPr>
        <w:tabs>
          <w:tab w:val="left" w:leader="none" w:pos="720"/>
        </w:tabs>
        <w:spacing w:lineRule="auto" w:line="360"/>
        <w:ind w:left="810"/>
        <w:jc w:val="both"/>
        <w:rPr>
          <w:rFonts w:ascii="Times New Roman" w:hAnsi="Times New Roman"/>
          <w:sz w:val="24"/>
          <w:szCs w:val="24"/>
        </w:rPr>
      </w:pPr>
      <w:r>
        <w:rPr>
          <w:rFonts w:ascii="Times New Roman" w:hAnsi="Times New Roman"/>
          <w:sz w:val="24"/>
          <w:szCs w:val="24"/>
        </w:rPr>
        <w:t xml:space="preserve">A small portion of the sample was selected, about the size of a large peanut, weighing approximately 2g and it was shaped into a dip sand soil.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soil thread cracks, breaks or crumbles just as it reaches a diameter of 1/8 inch (3mm), the soil moisture content was at its plastic limit. The soil thread was packed up into the container which will be weighed and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If the soil thread does not crack or crumble, when it will be rolled to a diameter of 1/8mm (3mm), then stopped rolling, (if the soil was quite sticky, the soil was put in a part for some water to evaporate).</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moisture content was at the plastic limit, the soil thread was broken into a clean dry container.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After 24hrs, the dried soil was weighed and the moisture content was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Step 4 and 5 were repeated as verification trial.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average of two trails, if it does not vary more than 2% it was the plastic limit.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3.3.3. COMPACTION TEST (Proctor Test) (ASTM D698-12 &amp; ASTM D1557-12)</w:t>
      </w:r>
    </w:p>
    <w:p>
      <w:pPr>
        <w:pStyle w:val="style0"/>
        <w:spacing w:lineRule="auto" w:line="360"/>
        <w:jc w:val="both"/>
        <w:rPr>
          <w:rFonts w:ascii="Times New Roman" w:hAnsi="Times New Roman"/>
          <w:sz w:val="24"/>
          <w:szCs w:val="24"/>
        </w:rPr>
      </w:pPr>
      <w:r>
        <w:rPr>
          <w:rFonts w:ascii="Times New Roman" w:hAnsi="Times New Roman"/>
          <w:sz w:val="24"/>
          <w:szCs w:val="24"/>
        </w:rPr>
        <w:t>The Standard and Modified Proctor Tests will be conducted to determine the optimum moisture content (OMC) and maximum dry density (MDD) of the soil, which are key factors in evaluating soil compaction characteristics (Holtz et al., 2011).</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evaluate the relationship between moisture (water and soil as it was being compacted by particular compactive effort).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Apparatus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Drying oven (electric oven).</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Proctor mould.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Moisture content container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Mixing tray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Trowel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4.5kg B.S rammer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 xml:space="preserve">Sample preparation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 xml:space="preserve">Preparation of mould.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Compaction and moisture determination stages.</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SAMPLE PREPARATION </w:t>
      </w:r>
    </w:p>
    <w:p>
      <w:pPr>
        <w:pStyle w:val="style0"/>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Some quantity of the sample was obtained and pulverized and then the soil was sieved through 4.75mm sieve (ASTM). 3kg of the soil passing the sieve 4.75mm was obtained and spread on a large tray for the soil to dry properly. </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PREPARATION OF MOULD </w:t>
      </w:r>
    </w:p>
    <w:p>
      <w:pPr>
        <w:pStyle w:val="style0"/>
        <w:spacing w:lineRule="auto" w:line="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The base plate was fixed to the mould and weighed, the weight was recorded as M, then the extension was attached and lightly oiled and the between 4% to  6% of water was then added to the sample. </w:t>
      </w:r>
    </w:p>
    <w:p>
      <w:pPr>
        <w:pStyle w:val="style0"/>
        <w:spacing w:lineRule="auto" w:line="360"/>
        <w:jc w:val="both"/>
        <w:rPr>
          <w:rFonts w:ascii="Times New Roman" w:hAnsi="Times New Roman"/>
          <w:b/>
          <w:sz w:val="24"/>
          <w:szCs w:val="24"/>
        </w:rPr>
      </w:pPr>
      <w:r>
        <w:rPr>
          <w:rFonts w:ascii="Times New Roman" w:hAnsi="Times New Roman"/>
          <w:b/>
          <w:sz w:val="24"/>
          <w:szCs w:val="24"/>
        </w:rPr>
        <w:t>3.3.4. California Bearing Ratio (CBR) Test (ASTM D1883-16)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This test will assess the soil’s strength and load-bearing capacity, which is essential for road construction and foundation design (Bowles, 2020).</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surcharge weight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CBR equipment with all accessories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CBR mould 150mm diameter by 125mmhigh</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Compaction rammer of 4.5kg</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Filter paper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4.75mm standard sieve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Straight edge (spatula) </w:t>
      </w:r>
    </w:p>
    <w:p>
      <w:pPr>
        <w:pStyle w:val="style0"/>
        <w:spacing w:lineRule="auto" w:line="360"/>
        <w:ind w:left="360"/>
        <w:jc w:val="both"/>
        <w:rPr>
          <w:rFonts w:ascii="Times New Roman" w:hAnsi="Times New Roman"/>
          <w:sz w:val="24"/>
          <w:szCs w:val="24"/>
        </w:rPr>
      </w:pPr>
      <w:r>
        <w:rPr>
          <w:rFonts w:ascii="Times New Roman" w:hAnsi="Times New Roman"/>
          <w:b/>
          <w:sz w:val="24"/>
          <w:szCs w:val="24"/>
        </w:rPr>
        <w:t>Procedure</w:t>
      </w:r>
    </w:p>
    <w:p>
      <w:pPr>
        <w:pStyle w:val="style0"/>
        <w:numPr>
          <w:ilvl w:val="0"/>
          <w:numId w:val="11"/>
        </w:numPr>
        <w:spacing w:before="240" w:lineRule="auto" w:line="360"/>
        <w:jc w:val="both"/>
        <w:rPr>
          <w:rFonts w:ascii="Times New Roman" w:hAnsi="Times New Roman"/>
          <w:sz w:val="24"/>
          <w:szCs w:val="24"/>
        </w:rPr>
      </w:pPr>
      <w:r>
        <w:rPr>
          <w:rFonts w:ascii="Times New Roman" w:hAnsi="Times New Roman"/>
          <w:sz w:val="24"/>
          <w:szCs w:val="24"/>
        </w:rPr>
        <w:t xml:space="preserve">compaction stage: the CBR value reduces by 85% at 95% compaction of MDD in case of silty subgrade soil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penetration stage   </w:t>
      </w:r>
    </w:p>
    <w:p>
      <w:pPr>
        <w:pStyle w:val="style0"/>
        <w:spacing w:lineRule="auto" w:line="360"/>
        <w:jc w:val="both"/>
        <w:rPr>
          <w:rFonts w:ascii="Times New Roman" w:hAnsi="Times New Roman"/>
          <w:b/>
          <w:sz w:val="24"/>
          <w:szCs w:val="24"/>
        </w:rPr>
      </w:pPr>
      <w:r>
        <w:rPr>
          <w:rFonts w:ascii="Times New Roman" w:hAnsi="Times New Roman"/>
          <w:b/>
          <w:sz w:val="24"/>
          <w:szCs w:val="24"/>
        </w:rPr>
        <w:t>3.4 Data Analysis and Interpretation</w:t>
      </w:r>
    </w:p>
    <w:p>
      <w:pPr>
        <w:pStyle w:val="style0"/>
        <w:spacing w:lineRule="auto" w:line="360"/>
        <w:jc w:val="both"/>
        <w:rPr>
          <w:rFonts w:ascii="Times New Roman" w:hAnsi="Times New Roman"/>
          <w:sz w:val="24"/>
          <w:szCs w:val="24"/>
        </w:rPr>
      </w:pPr>
      <w:r>
        <w:rPr>
          <w:rFonts w:ascii="Times New Roman" w:hAnsi="Times New Roman"/>
          <w:sz w:val="24"/>
          <w:szCs w:val="24"/>
        </w:rPr>
        <w:t>The laboratory and field test results will be statistically analyzed to identify trends, correlations, and variations in soil properties across the selected borrow pits. Data will be compared with standard soil classification systems, such as:</w:t>
      </w:r>
    </w:p>
    <w:p>
      <w:pPr>
        <w:pStyle w:val="style0"/>
        <w:spacing w:lineRule="auto" w:line="360"/>
        <w:jc w:val="both"/>
        <w:rPr>
          <w:rFonts w:ascii="Times New Roman" w:hAnsi="Times New Roman"/>
          <w:sz w:val="24"/>
          <w:szCs w:val="24"/>
        </w:rPr>
      </w:pPr>
      <w:r>
        <w:rPr>
          <w:rFonts w:ascii="Times New Roman" w:hAnsi="Times New Roman"/>
          <w:sz w:val="24"/>
          <w:szCs w:val="24"/>
        </w:rPr>
        <w:t>Unified Soil Classification System (USCS) (ASTM D2487-17)</w:t>
      </w:r>
    </w:p>
    <w:p>
      <w:pPr>
        <w:pStyle w:val="style0"/>
        <w:spacing w:lineRule="auto" w:line="360"/>
        <w:jc w:val="both"/>
        <w:rPr>
          <w:rFonts w:ascii="Times New Roman" w:hAnsi="Times New Roman"/>
          <w:sz w:val="24"/>
          <w:szCs w:val="24"/>
        </w:rPr>
      </w:pPr>
      <w:r>
        <w:rPr>
          <w:rFonts w:ascii="Times New Roman" w:hAnsi="Times New Roman"/>
          <w:sz w:val="24"/>
          <w:szCs w:val="24"/>
        </w:rPr>
        <w:t>American Association of State Highway and Transportation Officials (AASHTO) Classification</w:t>
      </w:r>
    </w:p>
    <w:p>
      <w:pPr>
        <w:pStyle w:val="style0"/>
        <w:spacing w:lineRule="auto" w:line="360"/>
        <w:jc w:val="both"/>
        <w:rPr>
          <w:rFonts w:ascii="Times New Roman" w:hAnsi="Times New Roman"/>
          <w:sz w:val="24"/>
          <w:szCs w:val="24"/>
        </w:rPr>
      </w:pPr>
      <w:r>
        <w:rPr>
          <w:rFonts w:ascii="Times New Roman" w:hAnsi="Times New Roman"/>
          <w:sz w:val="24"/>
          <w:szCs w:val="24"/>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74"/>
        <w:jc w:val="center"/>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CHAPTER FOUR</w:t>
      </w:r>
    </w:p>
    <w:p>
      <w:pPr>
        <w:pStyle w:val="style74"/>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4.0</w:t>
      </w:r>
      <w:r>
        <w:rPr>
          <w:rFonts w:ascii="Times New Roman" w:cs="Times New Roman" w:hAnsi="Times New Roman"/>
          <w:b/>
          <w:color w:val="000000"/>
          <w:spacing w:val="0"/>
          <w:sz w:val="24"/>
          <w:szCs w:val="24"/>
        </w:rPr>
        <w:tab/>
      </w:r>
      <w:r>
        <w:rPr>
          <w:rFonts w:ascii="Times New Roman" w:cs="Times New Roman" w:hAnsi="Times New Roman"/>
          <w:b/>
          <w:color w:val="000000"/>
          <w:spacing w:val="0"/>
          <w:sz w:val="24"/>
          <w:szCs w:val="24"/>
        </w:rPr>
        <w:t>RESULT AND DISCUSSION</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 xml:space="preserve">Nature moisture content </w:t>
      </w:r>
    </w:p>
    <w:p>
      <w:pPr>
        <w:pStyle w:val="style0"/>
        <w:ind w:firstLine="720"/>
        <w:jc w:val="both"/>
        <w:rPr>
          <w:rFonts w:ascii="Times New Roman" w:hAnsi="Times New Roman"/>
          <w:sz w:val="24"/>
          <w:szCs w:val="24"/>
        </w:rPr>
      </w:pPr>
      <w:r>
        <w:rPr>
          <w:rFonts w:ascii="Times New Roman" w:hAnsi="Times New Roman"/>
          <w:sz w:val="24"/>
          <w:szCs w:val="24"/>
        </w:rPr>
        <w:t>The result on nature moisture content test conducted on the following section of borrow pits which are; Gonmo and Amoyo Town, Kwara state as shown in the table respectively.</w:t>
      </w:r>
    </w:p>
    <w:p>
      <w:pPr>
        <w:pStyle w:val="style0"/>
        <w:jc w:val="both"/>
        <w:rPr>
          <w:rFonts w:ascii="Times New Roman" w:hAnsi="Times New Roman"/>
          <w:b/>
          <w:sz w:val="24"/>
          <w:szCs w:val="24"/>
        </w:rPr>
      </w:pPr>
      <w:r>
        <w:rPr>
          <w:rFonts w:ascii="Times New Roman" w:hAnsi="Times New Roman"/>
          <w:b/>
          <w:sz w:val="24"/>
          <w:szCs w:val="24"/>
        </w:rPr>
        <w:t xml:space="preserve">Table 4.1: Nature moisture content result  </w:t>
      </w:r>
    </w:p>
    <w:tbl>
      <w:tblPr>
        <w:tblStyle w:val="style154"/>
        <w:tblW w:w="9445" w:type="dxa"/>
        <w:tblLook w:val="04A0" w:firstRow="1" w:lastRow="0" w:firstColumn="1" w:lastColumn="0" w:noHBand="0" w:noVBand="1"/>
      </w:tblPr>
      <w:tblGrid>
        <w:gridCol w:w="3505"/>
        <w:gridCol w:w="5940"/>
      </w:tblGrid>
      <w:tr>
        <w:trPr/>
        <w:tc>
          <w:tcPr>
            <w:tcW w:w="3505" w:type="dxa"/>
            <w:tcBorders/>
          </w:tcPr>
          <w:p>
            <w:pPr>
              <w:pStyle w:val="style0"/>
              <w:jc w:val="both"/>
              <w:rPr>
                <w:rFonts w:ascii="Times New Roman" w:hAnsi="Times New Roman"/>
                <w:b/>
                <w:sz w:val="24"/>
                <w:szCs w:val="24"/>
              </w:rPr>
            </w:pPr>
            <w:r>
              <w:rPr>
                <w:rFonts w:ascii="Times New Roman" w:hAnsi="Times New Roman"/>
                <w:b/>
                <w:sz w:val="24"/>
                <w:szCs w:val="24"/>
              </w:rPr>
              <w:t xml:space="preserve">SAMPLES OF SOIL </w:t>
            </w:r>
          </w:p>
        </w:tc>
        <w:tc>
          <w:tcPr>
            <w:tcW w:w="5940" w:type="dxa"/>
            <w:tcBorders/>
          </w:tcPr>
          <w:p>
            <w:pPr>
              <w:pStyle w:val="style0"/>
              <w:jc w:val="both"/>
              <w:rPr>
                <w:rFonts w:ascii="Times New Roman" w:hAnsi="Times New Roman"/>
                <w:b/>
                <w:sz w:val="24"/>
                <w:szCs w:val="24"/>
              </w:rPr>
            </w:pPr>
            <w:r>
              <w:rPr>
                <w:rFonts w:ascii="Times New Roman" w:hAnsi="Times New Roman"/>
                <w:b/>
                <w:sz w:val="24"/>
                <w:szCs w:val="24"/>
              </w:rPr>
              <w:t xml:space="preserve"> AVERAGE OF MOISTURE CONTENT</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11.68 %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12.42 %</w:t>
            </w:r>
          </w:p>
        </w:tc>
      </w:tr>
    </w:tbl>
    <w:p>
      <w:pPr>
        <w:pStyle w:val="style0"/>
        <w:spacing w:before="240" w:after="0" w:lineRule="auto" w:line="240"/>
        <w:jc w:val="both"/>
        <w:rPr>
          <w:rFonts w:ascii="Times New Roman" w:hAnsi="Times New Roman"/>
          <w:b/>
          <w:sz w:val="24"/>
          <w:szCs w:val="24"/>
        </w:rPr>
      </w:pPr>
      <w:r>
        <w:rPr>
          <w:rFonts w:ascii="Times New Roman" w:hAnsi="Times New Roman"/>
          <w:b/>
          <w:sz w:val="24"/>
          <w:szCs w:val="24"/>
        </w:rPr>
        <w:t>Table 4.2: Nature moisture content result for Gonmo borrow pits at depth of 0.15m</w:t>
      </w:r>
    </w:p>
    <w:tbl>
      <w:tblPr>
        <w:tblStyle w:val="style154"/>
        <w:tblW w:w="9805" w:type="dxa"/>
        <w:tblLook w:val="04A0" w:firstRow="1" w:lastRow="0" w:firstColumn="1" w:lastColumn="0" w:noHBand="0" w:noVBand="1"/>
      </w:tblPr>
      <w:tblGrid>
        <w:gridCol w:w="3325"/>
        <w:gridCol w:w="1080"/>
        <w:gridCol w:w="1080"/>
        <w:gridCol w:w="1080"/>
        <w:gridCol w:w="1080"/>
        <w:gridCol w:w="1080"/>
        <w:gridCol w:w="1080"/>
      </w:tblGrid>
      <w:tr>
        <w:trPr>
          <w:trHeight w:val="422" w:hRule="atLeast"/>
        </w:trPr>
        <w:tc>
          <w:tcPr>
            <w:tcW w:w="332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86"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empty tin  a</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33.00</w:t>
            </w:r>
          </w:p>
        </w:tc>
      </w:tr>
      <w:tr>
        <w:tblPrEx/>
        <w:trPr>
          <w:trHeight w:val="341"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r>
      <w:tr>
        <w:tblPrEx/>
        <w:trPr>
          <w:trHeight w:val="413"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r>
      <w:tr>
        <w:tblPrEx/>
        <w:trPr>
          <w:trHeight w:val="440"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18.18</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11.11</w:t>
            </w:r>
          </w:p>
        </w:tc>
      </w:tr>
    </w:tbl>
    <w:p>
      <w:pPr>
        <w:pStyle w:val="style0"/>
        <w:spacing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14.29+18.18+09.09+08.33+09.09+11.11</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=11.68 %</w:t>
      </w:r>
    </w:p>
    <w:p>
      <w:pPr>
        <w:pStyle w:val="style0"/>
        <w:jc w:val="both"/>
        <w:rPr>
          <w:rFonts w:ascii="Times New Roman" w:hAnsi="Times New Roman"/>
          <w:b/>
          <w:sz w:val="24"/>
          <w:szCs w:val="24"/>
        </w:rPr>
      </w:pPr>
      <w:r>
        <w:rPr>
          <w:rFonts w:ascii="Times New Roman" w:hAnsi="Times New Roman"/>
          <w:b/>
          <w:sz w:val="24"/>
          <w:szCs w:val="24"/>
        </w:rPr>
        <w:t>Table 4.3: Natural moisture content result for Gonmo borrow pits at depth of 0.20m</w:t>
      </w:r>
    </w:p>
    <w:tbl>
      <w:tblPr>
        <w:tblStyle w:val="style154"/>
        <w:tblW w:w="9715" w:type="dxa"/>
        <w:tblLook w:val="04A0" w:firstRow="1" w:lastRow="0" w:firstColumn="1" w:lastColumn="0" w:noHBand="0" w:noVBand="1"/>
      </w:tblPr>
      <w:tblGrid>
        <w:gridCol w:w="3235"/>
        <w:gridCol w:w="990"/>
        <w:gridCol w:w="1080"/>
        <w:gridCol w:w="1080"/>
        <w:gridCol w:w="1080"/>
        <w:gridCol w:w="1170"/>
        <w:gridCol w:w="1080"/>
      </w:tblGrid>
      <w:tr>
        <w:trPr>
          <w:trHeight w:val="332" w:hRule="atLeast"/>
        </w:trPr>
        <w:tc>
          <w:tcPr>
            <w:tcW w:w="323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17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431"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359"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4.4: Natural moisture content result for Amoyo borrow pits at depth of 0.15m</w:t>
      </w:r>
    </w:p>
    <w:tbl>
      <w:tblPr>
        <w:tblStyle w:val="style154"/>
        <w:tblW w:w="9535" w:type="dxa"/>
        <w:tblLook w:val="04A0" w:firstRow="1" w:lastRow="0" w:firstColumn="1" w:lastColumn="0" w:noHBand="0" w:noVBand="1"/>
      </w:tblPr>
      <w:tblGrid>
        <w:gridCol w:w="3415"/>
        <w:gridCol w:w="990"/>
        <w:gridCol w:w="990"/>
        <w:gridCol w:w="990"/>
        <w:gridCol w:w="990"/>
        <w:gridCol w:w="1080"/>
        <w:gridCol w:w="1080"/>
      </w:tblGrid>
      <w:tr>
        <w:trPr>
          <w:trHeight w:val="288" w:hRule="atLeast"/>
        </w:trPr>
        <w:tc>
          <w:tcPr>
            <w:tcW w:w="341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 .5: Natural moisture content result for Amoyo borrow pits at depth of 0.20m</w:t>
      </w:r>
    </w:p>
    <w:tbl>
      <w:tblPr>
        <w:tblStyle w:val="style154"/>
        <w:tblW w:w="0" w:type="auto"/>
        <w:tblLook w:val="04A0" w:firstRow="1" w:lastRow="0" w:firstColumn="1" w:lastColumn="0" w:noHBand="0" w:noVBand="1"/>
      </w:tblPr>
      <w:tblGrid>
        <w:gridCol w:w="3145"/>
        <w:gridCol w:w="990"/>
        <w:gridCol w:w="1080"/>
        <w:gridCol w:w="990"/>
        <w:gridCol w:w="990"/>
        <w:gridCol w:w="1080"/>
        <w:gridCol w:w="1075"/>
      </w:tblGrid>
      <w:tr>
        <w:trPr/>
        <w:tc>
          <w:tcPr>
            <w:tcW w:w="314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75"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47.00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49.00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20.00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12.50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17.65</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09.53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10.00</w:t>
            </w: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14.29+12.50+17.65+09.53+10.53+10.00</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12.42 %</w:t>
      </w:r>
    </w:p>
    <w:p>
      <w:pPr>
        <w:pStyle w:val="style0"/>
        <w:spacing w:lineRule="auto" w:line="36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 xml:space="preserve">Sieve Analysis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of sieve analysis conducted on the following section of laterite (borrow pits) which are; Gonmo and Amoyo towns at depth 0.15m and 0.20m is as shown below. The result shows the percentage retained and percentage passing (by weight of laterite).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value obtained from sieve analysis were used to plot the grading curves respectively, so as to determine the coefficient of uniformity and the coefficient of curvature which reveals the grading of the sample.</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sieve analysis showed that, the laterite material were classified based on AASHTO soil classification for Ganmo and Amoyo towns. </w:t>
      </w:r>
    </w:p>
    <w:p>
      <w:pPr>
        <w:pStyle w:val="style0"/>
        <w:jc w:val="both"/>
        <w:rPr>
          <w:rFonts w:ascii="Times New Roman" w:hAnsi="Times New Roman"/>
          <w:b/>
          <w:sz w:val="24"/>
          <w:szCs w:val="24"/>
        </w:rPr>
      </w:pPr>
      <w:r>
        <w:rPr>
          <w:rFonts w:ascii="Times New Roman" w:hAnsi="Times New Roman"/>
          <w:b/>
          <w:sz w:val="24"/>
          <w:szCs w:val="24"/>
        </w:rPr>
        <w:t xml:space="preserve">Table 4.6: sieve analysis result for Ganmo at depth of 0.15m </w:t>
      </w:r>
    </w:p>
    <w:tbl>
      <w:tblPr>
        <w:tblStyle w:val="style154"/>
        <w:tblpPr w:leftFromText="180" w:rightFromText="180" w:topFromText="0" w:bottomFromText="0" w:vertAnchor="text" w:horzAnchor="margin" w:tblpXSpec="center" w:tblpY="388"/>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jc w:val="both"/>
              <w:rPr>
                <w:rFonts w:ascii="Times New Roman" w:hAnsi="Times New Roman"/>
                <w:b/>
                <w:sz w:val="24"/>
                <w:szCs w:val="24"/>
              </w:rPr>
            </w:pPr>
            <w:r>
              <w:rPr>
                <w:rFonts w:ascii="Times New Roman" w:hAnsi="Times New Roman"/>
                <w:b/>
                <w:sz w:val="24"/>
                <w:szCs w:val="24"/>
              </w:rPr>
              <w:t xml:space="preserve">% passing </w:t>
            </w:r>
          </w:p>
          <w:p>
            <w:pPr>
              <w:pStyle w:val="style0"/>
              <w:jc w:val="both"/>
              <w:rPr>
                <w:rFonts w:ascii="Times New Roman" w:hAnsi="Times New Roman"/>
                <w:b/>
                <w:sz w:val="24"/>
                <w:szCs w:val="24"/>
              </w:rPr>
            </w:pP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18.3</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81.7</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62</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69.2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613</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297</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575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445</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89.5</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10.5</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364</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91.1</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435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468</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94.2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482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r>
    </w:tbl>
    <w:p>
      <w:pPr>
        <w:pStyle w:val="style0"/>
        <w:jc w:val="both"/>
        <w:rPr>
          <w:rFonts w:ascii="Times New Roman" w:hAnsi="Times New Roman"/>
          <w:b/>
          <w:sz w:val="24"/>
          <w:szCs w:val="24"/>
        </w:rPr>
      </w:pPr>
      <w:r>
        <w:rPr>
          <w:rFonts w:ascii="Times New Roman" w:hAnsi="Times New Roman"/>
          <w:b/>
          <w:sz w:val="24"/>
          <w:szCs w:val="24"/>
        </w:rPr>
        <w:t>Sample A1</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jc w:val="both"/>
        <w:rPr>
          <w:rFonts w:ascii="Times New Roman" w:hAnsi="Times New Roman"/>
          <w:sz w:val="24"/>
          <w:szCs w:val="24"/>
        </w:rPr>
      </w:pPr>
      <w:r>
        <w:rPr>
          <w:rFonts w:ascii="Times New Roman" w:hAnsi="Times New Roman"/>
          <w:sz w:val="24"/>
          <w:szCs w:val="24"/>
        </w:rPr>
        <w:t>D10 = 0.565, D30 = 2.542, D60 = 3.35, Cu = 5.00 and Cc = 1.43</w:t>
      </w:r>
    </w:p>
    <w:p>
      <w:pPr>
        <w:pStyle w:val="style0"/>
        <w:jc w:val="both"/>
        <w:rPr>
          <w:rFonts w:ascii="Times New Roman" w:hAnsi="Times New Roman"/>
          <w:sz w:val="24"/>
          <w:szCs w:val="24"/>
        </w:rPr>
      </w:pPr>
      <w:r>
        <w:rPr>
          <w:rFonts w:ascii="Times New Roman" w:hAnsi="Times New Roman"/>
          <w:sz w:val="24"/>
          <w:szCs w:val="24"/>
        </w:rPr>
        <w:t xml:space="preserve">Since the coefficient of uniformity is equal to 5 its is suitable. </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before="240" w:lineRule="auto" w:line="360"/>
        <w:jc w:val="both"/>
        <w:rPr>
          <w:rFonts w:ascii="Times New Roman" w:hAnsi="Times New Roman"/>
          <w:b/>
          <w:sz w:val="24"/>
          <w:szCs w:val="24"/>
        </w:rPr>
      </w:pPr>
      <w:r>
        <w:rPr>
          <w:rFonts w:ascii="Times New Roman" w:hAnsi="Times New Roman"/>
          <w:b/>
          <w:sz w:val="24"/>
          <w:szCs w:val="24"/>
        </w:rPr>
        <w:t>Table 4.7: sieve analysis result for Ganmo at depth of 0.20m</w:t>
      </w:r>
    </w:p>
    <w:p>
      <w:pPr>
        <w:pStyle w:val="style0"/>
        <w:jc w:val="both"/>
        <w:rPr>
          <w:rFonts w:ascii="Times New Roman" w:hAnsi="Times New Roman"/>
          <w:b/>
          <w:sz w:val="24"/>
          <w:szCs w:val="24"/>
        </w:rPr>
      </w:pPr>
      <w:r>
        <w:rPr>
          <w:rFonts w:ascii="Times New Roman" w:hAnsi="Times New Roman"/>
          <w:b/>
          <w:sz w:val="24"/>
          <w:szCs w:val="24"/>
        </w:rPr>
        <w:t>Sample A2</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96.6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91.3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653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77.9</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22.1</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78.3</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21.7</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438</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88.1</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11.9</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p>
            <w:pPr>
              <w:pStyle w:val="style0"/>
              <w:spacing w:after="0" w:lineRule="auto" w:line="240"/>
              <w:jc w:val="both"/>
              <w:rPr>
                <w:rFonts w:ascii="Times New Roman" w:hAnsi="Times New Roman"/>
                <w:sz w:val="24"/>
                <w:szCs w:val="24"/>
              </w:rPr>
            </w:pP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D10 = 0.40, D30 = 2.00, D60 = 4.25, Cu = 6.07 and Cc = 1.34</w:t>
      </w:r>
    </w:p>
    <w:p>
      <w:pPr>
        <w:pStyle w:val="style0"/>
        <w:spacing w:before="240" w:lineRule="auto" w:line="360"/>
        <w:jc w:val="both"/>
        <w:rPr>
          <w:rFonts w:ascii="Times New Roman" w:hAnsi="Times New Roman"/>
          <w:sz w:val="24"/>
          <w:szCs w:val="24"/>
        </w:rPr>
      </w:pPr>
      <w:r>
        <w:rPr>
          <w:rFonts w:ascii="Times New Roman" w:hAnsi="Times New Roman"/>
          <w:sz w:val="24"/>
          <w:szCs w:val="24"/>
        </w:rPr>
        <w:t>Since the coefficient of uniformity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4.8: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B1</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jc w:val="both"/>
              <w:rPr>
                <w:rFonts w:ascii="Times New Roman" w:hAnsi="Times New Roman"/>
                <w:b/>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411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94.6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594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96</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19.2</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80.8</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454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162</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627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157</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319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559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135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451</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90.4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09.6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432</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94.0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06.0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407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484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03.0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98.6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w:t>
            </w:r>
          </w:p>
          <w:p>
            <w:pPr>
              <w:pStyle w:val="style0"/>
              <w:spacing w:after="0"/>
              <w:jc w:val="both"/>
              <w:rPr>
                <w:rFonts w:ascii="Times New Roman" w:hAnsi="Times New Roman"/>
                <w:sz w:val="24"/>
                <w:szCs w:val="24"/>
              </w:rPr>
            </w:pPr>
          </w:p>
        </w:tc>
      </w:tr>
    </w:tbl>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0.52, D60 = 3.32,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D30 = 0.800, Cu = 6.38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4.9: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B2</w:t>
      </w:r>
    </w:p>
    <w:p>
      <w:pPr>
        <w:pStyle w:val="style0"/>
        <w:jc w:val="both"/>
        <w:rPr>
          <w:rFonts w:ascii="Times New Roman" w:hAnsi="Times New Roman"/>
          <w:b/>
          <w:sz w:val="24"/>
          <w:szCs w:val="24"/>
        </w:rPr>
      </w:pP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94.6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90.2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164</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662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79.6</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20.4</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80.2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19.8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442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07.2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501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jc w:val="both"/>
              <w:rPr>
                <w:rFonts w:ascii="Times New Roman" w:hAnsi="Times New Roman"/>
                <w:sz w:val="24"/>
                <w:szCs w:val="24"/>
              </w:rPr>
            </w:pPr>
            <w:r>
              <w:rPr>
                <w:rFonts w:ascii="Times New Roman" w:hAnsi="Times New Roman"/>
                <w:sz w:val="24"/>
                <w:szCs w:val="24"/>
              </w:rPr>
              <w:t>-</w:t>
            </w:r>
          </w:p>
          <w:p>
            <w:pPr>
              <w:pStyle w:val="style0"/>
              <w:jc w:val="both"/>
              <w:rPr>
                <w:rFonts w:ascii="Times New Roman" w:hAnsi="Times New Roman"/>
                <w:sz w:val="24"/>
                <w:szCs w:val="24"/>
              </w:rPr>
            </w:pP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0.60, D30 = 1.00, D60 = 3.55, Cu = 5.92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4.10: Sieve analysis result </w:t>
      </w:r>
    </w:p>
    <w:p>
      <w:pPr>
        <w:pStyle w:val="style0"/>
        <w:rPr/>
      </w:pPr>
    </w:p>
    <w:tbl>
      <w:tblPr>
        <w:tblStyle w:val="style154"/>
        <w:tblW w:w="10075" w:type="dxa"/>
        <w:tblLook w:val="04A0" w:firstRow="1" w:lastRow="0" w:firstColumn="1" w:lastColumn="0" w:noHBand="0" w:noVBand="1"/>
      </w:tblPr>
      <w:tblGrid>
        <w:gridCol w:w="1344"/>
        <w:gridCol w:w="1529"/>
        <w:gridCol w:w="1619"/>
        <w:gridCol w:w="1121"/>
        <w:gridCol w:w="1482"/>
        <w:gridCol w:w="1238"/>
        <w:gridCol w:w="1745"/>
      </w:tblGrid>
      <w:tr>
        <w:trPr/>
        <w:tc>
          <w:tcPr>
            <w:tcW w:w="1345"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Samples</w:t>
            </w:r>
          </w:p>
        </w:tc>
        <w:tc>
          <w:tcPr>
            <w:tcW w:w="153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uniformity</w:t>
            </w:r>
          </w:p>
        </w:tc>
        <w:tc>
          <w:tcPr>
            <w:tcW w:w="162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curvature</w:t>
            </w:r>
          </w:p>
        </w:tc>
        <w:tc>
          <w:tcPr>
            <w:tcW w:w="261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Standard specification</w:t>
            </w:r>
          </w:p>
        </w:tc>
        <w:tc>
          <w:tcPr>
            <w:tcW w:w="297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Remarks</w:t>
            </w:r>
          </w:p>
        </w:tc>
      </w:tr>
      <w:tr>
        <w:tblPrEx/>
        <w:trPr>
          <w:trHeight w:val="494" w:hRule="atLeast"/>
        </w:trPr>
        <w:tc>
          <w:tcPr>
            <w:tcW w:w="1345" w:type="dxa"/>
            <w:vMerge w:val="continue"/>
            <w:tcBorders/>
          </w:tcPr>
          <w:p>
            <w:pPr>
              <w:pStyle w:val="style0"/>
              <w:jc w:val="both"/>
              <w:rPr>
                <w:rFonts w:ascii="Times New Roman" w:hAnsi="Times New Roman"/>
                <w:b/>
                <w:sz w:val="24"/>
                <w:szCs w:val="24"/>
              </w:rPr>
            </w:pPr>
          </w:p>
        </w:tc>
        <w:tc>
          <w:tcPr>
            <w:tcW w:w="1530" w:type="dxa"/>
            <w:vMerge w:val="continue"/>
            <w:tcBorders/>
          </w:tcPr>
          <w:p>
            <w:pPr>
              <w:pStyle w:val="style0"/>
              <w:jc w:val="both"/>
              <w:rPr>
                <w:rFonts w:ascii="Times New Roman" w:hAnsi="Times New Roman"/>
                <w:b/>
                <w:sz w:val="24"/>
                <w:szCs w:val="24"/>
              </w:rPr>
            </w:pPr>
          </w:p>
        </w:tc>
        <w:tc>
          <w:tcPr>
            <w:tcW w:w="1620" w:type="dxa"/>
            <w:vMerge w:val="continue"/>
            <w:tcBorders/>
          </w:tcPr>
          <w:p>
            <w:pPr>
              <w:pStyle w:val="style0"/>
              <w:jc w:val="both"/>
              <w:rPr>
                <w:rFonts w:ascii="Times New Roman" w:hAnsi="Times New Roman"/>
                <w:b/>
                <w:sz w:val="24"/>
                <w:szCs w:val="24"/>
              </w:rPr>
            </w:pPr>
          </w:p>
        </w:tc>
        <w:tc>
          <w:tcPr>
            <w:tcW w:w="11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488" w:type="dxa"/>
            <w:tcBorders/>
          </w:tcPr>
          <w:p>
            <w:pPr>
              <w:pStyle w:val="style0"/>
              <w:jc w:val="both"/>
              <w:rPr>
                <w:rFonts w:ascii="Times New Roman" w:hAnsi="Times New Roman"/>
                <w:b/>
                <w:sz w:val="24"/>
                <w:szCs w:val="24"/>
              </w:rPr>
            </w:pPr>
            <w:r>
              <w:rPr>
                <w:rFonts w:ascii="Times New Roman" w:hAnsi="Times New Roman"/>
                <w:b/>
                <w:sz w:val="24"/>
                <w:szCs w:val="24"/>
              </w:rPr>
              <w:t>Cc</w:t>
            </w:r>
          </w:p>
        </w:tc>
        <w:tc>
          <w:tcPr>
            <w:tcW w:w="12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748" w:type="dxa"/>
            <w:tcBorders/>
          </w:tcPr>
          <w:p>
            <w:pPr>
              <w:pStyle w:val="style0"/>
              <w:ind w:left="344"/>
              <w:jc w:val="both"/>
              <w:rPr>
                <w:rFonts w:ascii="Times New Roman" w:hAnsi="Times New Roman"/>
                <w:b/>
                <w:sz w:val="24"/>
                <w:szCs w:val="24"/>
              </w:rPr>
            </w:pPr>
            <w:r>
              <w:rPr>
                <w:rFonts w:ascii="Times New Roman" w:hAnsi="Times New Roman"/>
                <w:b/>
                <w:sz w:val="24"/>
                <w:szCs w:val="24"/>
              </w:rPr>
              <w:t>Cc</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1.43</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0.5 – 3</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tc>
        <w:tc>
          <w:tcPr>
            <w:tcW w:w="1748" w:type="dxa"/>
            <w:tcBorders/>
          </w:tcPr>
          <w:p>
            <w:pPr>
              <w:pStyle w:val="style0"/>
              <w:ind w:left="110"/>
              <w:jc w:val="both"/>
              <w:rPr>
                <w:rFonts w:ascii="Times New Roman" w:hAnsi="Times New Roman"/>
                <w:b/>
                <w:sz w:val="24"/>
                <w:szCs w:val="24"/>
              </w:rPr>
            </w:pPr>
            <w:r>
              <w:rPr>
                <w:rFonts w:ascii="Times New Roman" w:hAnsi="Times New Roman"/>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6.07</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noProof/>
                <w:sz w:val="24"/>
                <w:szCs w:val="24"/>
              </w:rPr>
            </w:pPr>
            <w:r>
              <w:rPr>
                <w:rFonts w:ascii="Times New Roman" w:hAnsi="Times New Roman"/>
                <w:noProof/>
                <w:sz w:val="24"/>
                <w:szCs w:val="24"/>
              </w:rPr>
              <w:t>Adequate</w:t>
            </w:r>
          </w:p>
        </w:tc>
        <w:tc>
          <w:tcPr>
            <w:tcW w:w="1748" w:type="dxa"/>
            <w:tcBorders/>
          </w:tcPr>
          <w:p>
            <w:pPr>
              <w:pStyle w:val="style0"/>
              <w:ind w:left="110"/>
              <w:jc w:val="both"/>
              <w:rPr>
                <w:rFonts w:ascii="Times New Roman" w:hAnsi="Times New Roman"/>
                <w:sz w:val="24"/>
                <w:szCs w:val="24"/>
              </w:rPr>
            </w:pPr>
            <w:r>
              <w:rPr>
                <w:rFonts w:ascii="Times New Roman" w:hAnsi="Times New Roman"/>
                <w:noProof/>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6.38</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r>
      <w:tr>
        <w:tblPrEx/>
        <w:trPr>
          <w:trHeight w:val="449"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1530" w:type="dxa"/>
            <w:tcBorders/>
          </w:tcPr>
          <w:p>
            <w:pPr>
              <w:pStyle w:val="style0"/>
              <w:jc w:val="both"/>
              <w:rPr>
                <w:rFonts w:ascii="Times New Roman" w:hAnsi="Times New Roman"/>
                <w:b/>
                <w:sz w:val="24"/>
                <w:szCs w:val="24"/>
              </w:rPr>
            </w:pPr>
            <w:r>
              <w:rPr>
                <w:rFonts w:ascii="Times New Roman" w:hAnsi="Times New Roman"/>
                <w:sz w:val="24"/>
                <w:szCs w:val="24"/>
              </w:rPr>
              <w:t>5.92</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0.50</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b/>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 xml:space="preserve">Adequate </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sectPr>
          <w:pgSz w:w="12240" w:h="15840" w:orient="portrait"/>
          <w:pgMar w:top="1260" w:right="1440" w:bottom="810"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423998" cy="4067503"/>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eastAsia="en-US"/>
        </w:rPr>
      </w:r>
    </w:p>
    <w:p>
      <w:pPr>
        <w:pStyle w:val="style0"/>
        <w:rPr/>
      </w:pPr>
    </w:p>
    <w:p>
      <w:pPr>
        <w:pStyle w:val="style0"/>
        <w:rPr>
          <w:rFonts w:ascii="Times New Roman" w:hAnsi="Times New Roman"/>
          <w:b/>
          <w:sz w:val="24"/>
          <w:szCs w:val="24"/>
        </w:rPr>
      </w:pPr>
      <w:r>
        <w:rPr>
          <w:rFonts w:ascii="Times New Roman" w:hAnsi="Times New Roman"/>
          <w:b/>
          <w:sz w:val="24"/>
          <w:szCs w:val="24"/>
        </w:rPr>
        <w:t>Figure 4.1: Sample A1 - Sieve Analysis Result for Ganmo at depth 0.15m</w:t>
      </w:r>
    </w:p>
    <w:p>
      <w:pPr>
        <w:pStyle w:val="style0"/>
        <w:rPr>
          <w:b/>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pPr>
    </w:p>
    <w:p>
      <w:pPr>
        <w:pStyle w:val="style0"/>
        <w:rPr/>
      </w:pPr>
    </w:p>
    <w:p>
      <w:pPr>
        <w:pStyle w:val="style0"/>
        <w:rPr/>
        <w:sectPr>
          <w:pgSz w:w="12240" w:h="15840" w:orient="portrait" w:code="1"/>
          <w:pgMar w:top="806" w:right="1440" w:bottom="1354"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933935" cy="463378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lang w:eastAsia="en-US"/>
        </w:rPr>
      </w:r>
    </w:p>
    <w:p>
      <w:pPr>
        <w:pStyle w:val="style0"/>
        <w:rPr/>
      </w:pPr>
    </w:p>
    <w:p>
      <w:pPr>
        <w:pStyle w:val="style0"/>
        <w:rPr/>
      </w:pPr>
    </w:p>
    <w:p>
      <w:pPr>
        <w:pStyle w:val="style0"/>
        <w:rPr>
          <w:rFonts w:ascii="Times New Roman" w:hAnsi="Times New Roman"/>
          <w:b/>
          <w:sz w:val="24"/>
          <w:szCs w:val="24"/>
        </w:rPr>
      </w:pPr>
      <w:r>
        <w:rPr>
          <w:rFonts w:ascii="Times New Roman" w:hAnsi="Times New Roman"/>
          <w:b/>
          <w:sz w:val="24"/>
          <w:szCs w:val="24"/>
        </w:rPr>
        <w:t>Figure 4.2: Sample A2 - Sieve Analysis Result for Ganmo at depth 0.20m</w:t>
      </w:r>
    </w:p>
    <w:p>
      <w:pPr>
        <w:pStyle w:val="style0"/>
        <w:rPr>
          <w:rFonts w:ascii="Times New Roman" w:hAnsi="Times New Roman"/>
          <w:b/>
          <w:sz w:val="24"/>
          <w:szCs w:val="24"/>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698865" cy="434957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Figure 4.3: Sample B1 - Sieve Analysis Result for Amoyo at depth 0.15m</w:t>
      </w:r>
    </w:p>
    <w:p>
      <w:pPr>
        <w:pStyle w:val="style0"/>
        <w:rPr>
          <w:rFonts w:ascii="Times New Roman" w:hAnsi="Times New Roman"/>
          <w:b/>
          <w:sz w:val="24"/>
          <w:szCs w:val="24"/>
        </w:rPr>
      </w:pPr>
    </w:p>
    <w:p>
      <w:pPr>
        <w:pStyle w:val="style0"/>
        <w:rPr>
          <w:rFonts w:ascii="Times New Roman" w:hAnsi="Times New Roman"/>
          <w:b/>
          <w:sz w:val="24"/>
          <w:szCs w:val="24"/>
        </w:rPr>
        <w:sectPr>
          <w:pgSz w:w="15840" w:h="12240" w:orient="landscape" w:code="1"/>
          <w:pgMar w:top="1440" w:right="1354" w:bottom="1440" w:left="806" w:header="720" w:footer="720" w:gutter="0"/>
          <w:cols w:space="720"/>
          <w:docGrid w:linePitch="360"/>
        </w:sectPr>
      </w:pPr>
    </w:p>
    <w:p>
      <w:pPr>
        <w:pStyle w:val="style0"/>
        <w:rPr>
          <w:rFonts w:ascii="Times New Roman" w:hAnsi="Times New Roman"/>
          <w:b/>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262620" cy="4769708"/>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jc w:val="both"/>
        <w:rPr>
          <w:rFonts w:ascii="Times New Roman" w:hAnsi="Times New Roman"/>
          <w:b/>
          <w:sz w:val="24"/>
          <w:szCs w:val="24"/>
        </w:rPr>
        <w:sectPr>
          <w:pgSz w:w="15840" w:h="12240" w:orient="landscape" w:code="1"/>
          <w:pgMar w:top="1440" w:right="1354" w:bottom="1440" w:left="806" w:header="720" w:footer="720" w:gutter="0"/>
          <w:cols w:space="720"/>
          <w:docGrid w:linePitch="360"/>
        </w:sectPr>
      </w:pPr>
      <w:r>
        <w:rPr>
          <w:rFonts w:ascii="Times New Roman" w:hAnsi="Times New Roman"/>
          <w:b/>
          <w:sz w:val="24"/>
          <w:szCs w:val="24"/>
        </w:rPr>
        <w:t>Fig 4.4 Grading curves for Amoyo borrow pit at depth 0.20m (B2)</w:t>
      </w:r>
    </w:p>
    <w:p>
      <w:pPr>
        <w:pStyle w:val="style0"/>
        <w:tabs>
          <w:tab w:val="left" w:leader="none" w:pos="5644"/>
        </w:tabs>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Atterberg limit </w:t>
      </w:r>
    </w:p>
    <w:p>
      <w:pPr>
        <w:pStyle w:val="style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 belows shows the atterberg limit (liquid limit, plasticity index)obtained at Ganmo and Amonyo towns at depth 0.15m and 0.20m. the result obtained show that the entire sample are suitable material for base and sub-base course (less than 25%), in accordance with the Federal Ministry of Works standard. </w:t>
      </w:r>
    </w:p>
    <w:p>
      <w:pPr>
        <w:pStyle w:val="style0"/>
        <w:jc w:val="both"/>
        <w:rPr>
          <w:rFonts w:ascii="Times New Roman" w:hAnsi="Times New Roman"/>
          <w:b/>
          <w:sz w:val="24"/>
          <w:szCs w:val="24"/>
        </w:rPr>
      </w:pPr>
      <w:r>
        <w:rPr>
          <w:rFonts w:ascii="Times New Roman" w:hAnsi="Times New Roman"/>
          <w:b/>
          <w:sz w:val="24"/>
          <w:szCs w:val="24"/>
        </w:rPr>
        <w:t xml:space="preserve">Table 4.11: Atterberg Limit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Sample of soil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Plastic limit (PL)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Liquid limit (LL)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Plastic index (PI)</w:t>
            </w:r>
          </w:p>
          <w:p>
            <w:pPr>
              <w:pStyle w:val="style0"/>
              <w:jc w:val="both"/>
              <w:rPr>
                <w:rFonts w:ascii="Times New Roman" w:hAnsi="Times New Roman"/>
                <w:sz w:val="24"/>
                <w:szCs w:val="24"/>
              </w:rPr>
            </w:pPr>
            <w:r>
              <w:rPr>
                <w:rFonts w:ascii="Times New Roman" w:hAnsi="Times New Roman"/>
                <w:sz w:val="24"/>
                <w:szCs w:val="24"/>
              </w:rPr>
              <w:t xml:space="preserve">PI = LL – PL </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21.20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25.06</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3.86%</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24.53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49.92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25.39%</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18.02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24.67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6.65%</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17.71</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19.07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1.36%</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4.12: Sample A1 (case study Ganmo 150mm)</w:t>
      </w:r>
    </w:p>
    <w:tbl>
      <w:tblPr>
        <w:tblStyle w:val="style4103"/>
        <w:tblW w:w="0" w:type="auto"/>
        <w:tblLook w:val="04A0" w:firstRow="1" w:lastRow="0" w:firstColumn="1" w:lastColumn="0" w:noHBand="0" w:noVBand="1"/>
      </w:tblPr>
      <w:tblGrid>
        <w:gridCol w:w="5068"/>
        <w:gridCol w:w="717"/>
        <w:gridCol w:w="628"/>
        <w:gridCol w:w="717"/>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40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43</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17.86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26.60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25.13%</w:t>
      </w:r>
      <w:r>
        <w:rPr>
          <w:rFonts w:ascii="Times New Roman" w:hAnsi="Times New Roman"/>
          <w:sz w:val="24"/>
          <w:szCs w:val="24"/>
        </w:rPr>
        <w:tab/>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Table 4.13: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35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14.30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21.25%</w:t>
      </w:r>
    </w:p>
    <w:p>
      <w:pPr>
        <w:pStyle w:val="style0"/>
        <w:jc w:val="both"/>
        <w:rPr>
          <w:rFonts w:ascii="Times New Roman" w:hAnsi="Times New Roman"/>
          <w:b/>
          <w:sz w:val="24"/>
          <w:szCs w:val="24"/>
        </w:rPr>
      </w:pPr>
      <w:r>
        <w:rPr>
          <w:rFonts w:ascii="Times New Roman" w:hAnsi="Times New Roman"/>
          <w:b/>
          <w:sz w:val="24"/>
          <w:szCs w:val="24"/>
        </w:rPr>
        <w:t>Table 4.14: Sample A2 (case study Ganmo 0.20m)</w:t>
      </w:r>
    </w:p>
    <w:tbl>
      <w:tblPr>
        <w:tblStyle w:val="style4103"/>
        <w:tblW w:w="0" w:type="auto"/>
        <w:tblLook w:val="04A0" w:firstRow="1" w:lastRow="0" w:firstColumn="1" w:lastColumn="0" w:noHBand="0" w:noVBand="1"/>
      </w:tblPr>
      <w:tblGrid>
        <w:gridCol w:w="4680"/>
        <w:gridCol w:w="816"/>
        <w:gridCol w:w="816"/>
        <w:gridCol w:w="816"/>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55.80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50.20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19.80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04.00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06.55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08.25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05.40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30.84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45.45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83.30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43.99%</w:t>
      </w:r>
      <w:r>
        <w:rPr>
          <w:rFonts w:ascii="Times New Roman" w:hAnsi="Times New Roman"/>
          <w:sz w:val="24"/>
          <w:szCs w:val="24"/>
        </w:rPr>
        <w:tab/>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4.15: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24.53%</w:t>
      </w:r>
    </w:p>
    <w:p>
      <w:pPr>
        <w:pStyle w:val="style0"/>
        <w:jc w:val="both"/>
        <w:rPr>
          <w:rFonts w:ascii="Times New Roman" w:hAnsi="Times New Roman"/>
          <w:b/>
          <w:sz w:val="24"/>
          <w:szCs w:val="24"/>
        </w:rPr>
      </w:pPr>
      <w:r>
        <w:rPr>
          <w:rFonts w:ascii="Times New Roman" w:hAnsi="Times New Roman"/>
          <w:b/>
          <w:sz w:val="24"/>
          <w:szCs w:val="24"/>
        </w:rPr>
        <w:t>Table 4.16: Sample B1 (case study Amoyo 150mm)</w:t>
      </w:r>
    </w:p>
    <w:tbl>
      <w:tblPr>
        <w:tblStyle w:val="style4103"/>
        <w:tblW w:w="0" w:type="auto"/>
        <w:tblLook w:val="04A0" w:firstRow="1" w:lastRow="0" w:firstColumn="1" w:lastColumn="0" w:noHBand="0" w:noVBand="1"/>
      </w:tblPr>
      <w:tblGrid>
        <w:gridCol w:w="4780"/>
        <w:gridCol w:w="816"/>
        <w:gridCol w:w="816"/>
        <w:gridCol w:w="816"/>
        <w:gridCol w:w="717"/>
        <w:gridCol w:w="816"/>
        <w:gridCol w:w="816"/>
      </w:tblGrid>
      <w:tr>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47</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20.00</w:t>
            </w:r>
          </w:p>
        </w:tc>
        <w:tc>
          <w:tcPr>
            <w:tcW w:w="636" w:type="dxa"/>
            <w:tcBorders/>
            <w:shd w:val="clear" w:color="auto" w:fill="auto"/>
          </w:tcPr>
          <w:p>
            <w:pPr>
              <w:pStyle w:val="style0"/>
              <w:rPr>
                <w:rFonts w:ascii="Times New Roman" w:hAnsi="Times New Roman"/>
                <w:sz w:val="24"/>
                <w:szCs w:val="24"/>
              </w:rPr>
            </w:pPr>
            <w:r>
              <w:rPr>
                <w:rFonts w:ascii="Times New Roman" w:hAnsi="Times New Roman"/>
                <w:sz w:val="24"/>
                <w:szCs w:val="24"/>
              </w:rPr>
              <w:t>28.57</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50.00</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3.45</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21.74</w:t>
            </w:r>
          </w:p>
        </w:tc>
        <w:tc>
          <w:tcPr>
            <w:tcW w:w="715" w:type="dxa"/>
            <w:tcBorders/>
            <w:shd w:val="clear" w:color="auto" w:fill="auto"/>
          </w:tcPr>
          <w:p>
            <w:pPr>
              <w:pStyle w:val="style0"/>
              <w:rPr>
                <w:rFonts w:ascii="Times New Roman" w:hAnsi="Times New Roman"/>
                <w:sz w:val="24"/>
                <w:szCs w:val="24"/>
              </w:rPr>
            </w:pPr>
            <w:r>
              <w:rPr>
                <w:rFonts w:ascii="Times New Roman" w:hAnsi="Times New Roman"/>
                <w:sz w:val="24"/>
                <w:szCs w:val="24"/>
              </w:rPr>
              <w:t>23.08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24.47%</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4.17: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18.02%</w:t>
      </w:r>
    </w:p>
    <w:p>
      <w:pPr>
        <w:pStyle w:val="style0"/>
        <w:jc w:val="both"/>
        <w:rPr>
          <w:rFonts w:ascii="Times New Roman" w:hAnsi="Times New Roman"/>
          <w:b/>
          <w:sz w:val="24"/>
          <w:szCs w:val="24"/>
        </w:rPr>
      </w:pPr>
      <w:r>
        <w:rPr>
          <w:rFonts w:ascii="Times New Roman" w:hAnsi="Times New Roman"/>
          <w:b/>
          <w:sz w:val="24"/>
          <w:szCs w:val="24"/>
        </w:rPr>
        <w:t>Table 4.18: Sample B2 (case study Ganmo 0.20m)</w:t>
      </w:r>
    </w:p>
    <w:tbl>
      <w:tblPr>
        <w:tblStyle w:val="style4103"/>
        <w:tblW w:w="0" w:type="auto"/>
        <w:tblLook w:val="04A0" w:firstRow="1" w:lastRow="0" w:firstColumn="1" w:lastColumn="0" w:noHBand="0" w:noVBand="1"/>
      </w:tblPr>
      <w:tblGrid>
        <w:gridCol w:w="4742"/>
        <w:gridCol w:w="755"/>
        <w:gridCol w:w="816"/>
        <w:gridCol w:w="816"/>
        <w:gridCol w:w="816"/>
        <w:gridCol w:w="816"/>
        <w:gridCol w:w="816"/>
      </w:tblGrid>
      <w:tr>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6.90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18.18</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33.33</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21.40%</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4.19: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17.71%</w:t>
      </w: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b/>
          <w:sz w:val="24"/>
          <w:szCs w:val="24"/>
        </w:rPr>
      </w:pPr>
      <w:r>
        <w:rPr>
          <w:rFonts w:ascii="Times New Roman" w:hAnsi="Times New Roman"/>
          <w:b/>
          <w:sz w:val="24"/>
          <w:szCs w:val="24"/>
        </w:rPr>
        <w:t>Fig 4.5 Atterberg limit for Ganmo at depth 0.15m (A1)</w:t>
      </w:r>
    </w:p>
    <w:p>
      <w:pPr>
        <w:pStyle w:val="style0"/>
        <w:spacing w:before="240"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686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US"/>
        </w:rPr>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sz w:val="24"/>
          <w:szCs w:val="24"/>
        </w:rPr>
      </w:pPr>
      <w:r>
        <w:rPr>
          <w:rFonts w:ascii="Times New Roman" w:hAnsi="Times New Roman"/>
          <w:b/>
          <w:sz w:val="24"/>
          <w:szCs w:val="24"/>
        </w:rPr>
        <w:t>Fig 4.6 Atterberg limit for Ganmo at depth 0.20m (A2)</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4.7 Atterberg limit for Amoyo at depth 0.15m (B1)</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4.8 Atterberg limit for Amoyo at depth 0.20m (B2)</w:t>
      </w:r>
    </w:p>
    <w:p>
      <w:pPr>
        <w:pStyle w:val="style0"/>
        <w:spacing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US"/>
        </w:rPr>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Compaction Test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tables below show the result of maximum dry density and optimum moisture content for lateritic material obtained from selection of borrow pits of Ganmo and Amoyo towns at depth of 0.15m and 0.20m.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obtained, shows that the samples are suitable for base and sub-base course based on the Federal Ministry of works code of practice according to chapter two of this report.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4.19: Compaction Test Result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OMC</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DD</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19%</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20%</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10.2%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2.9</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4.20: Sample A1 (Ganmo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4.153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2.83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04.7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08.3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2.48</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4.21: Sample A2 (Ganmo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6.983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4.353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3.096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95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70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9.09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13.33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57.14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1.57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2.81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2.55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1.90</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4.22: Sample B1 (Amoyo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5.882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6.339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7.602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7.001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6.544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3.252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4.972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4.371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4.214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4.092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 xml:space="preserve"> 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7.70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16.7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1.21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1.27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2.53</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4.23: Sample B2 (Amoyo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4719"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06"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1"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23</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131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163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170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148</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150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118</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127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2.349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2.819</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2.561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4.9 Compaction test for Gonmo at depth 0.15m (A1)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object>
          <v:shape id="1043" type="#_x0000_t75" filled="f" stroked="f" alt="C:\Users\dell\AppData\Local\Microsoft\Windows\Temporary Internet Files\Content.Word\IMG-20250618-WA0082.jpg" style="margin-left:0.0pt;margin-top:0.0pt;width:438.87pt;height:203.36pt;mso-wrap-distance-left:0.0pt;mso-wrap-distance-right:0.0pt;visibility:visible;">
            <w10:anchorlock/>
            <v:imagedata r:id="rId11" embosscolor="white" o:title=""/>
            <v:stroke on="f" joinstyle="miter"/>
            <v:fill/>
          </v:shape>
          <o:OLEObject Type="EMBED" ProgID="Excel.Chart.8" ShapeID="1043" DrawAspect="Content" ObjectID="0" r:id="rId12"/>
        </w:object>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Fig 4.10 Compaction test for </w:t>
      </w:r>
      <w:r>
        <w:rPr>
          <w:rFonts w:ascii="Times New Roman" w:hAnsi="Times New Roman"/>
          <w:b/>
          <w:sz w:val="24"/>
          <w:szCs w:val="24"/>
        </w:rPr>
        <w:t>Gonmo</w:t>
      </w:r>
      <w:r>
        <w:rPr>
          <w:rFonts w:ascii="Times New Roman" w:hAnsi="Times New Roman"/>
          <w:b/>
          <w:sz w:val="24"/>
          <w:szCs w:val="24"/>
        </w:rPr>
        <w:t xml:space="preserve">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6578107" cy="2528898"/>
            <wp:effectExtent l="19050" t="0" r="0" b="0"/>
            <wp:docPr id="1045" name="Picture 22" descr="C:\Users\dell\AppData\Local\Microsoft\Windows\Temporary Internet Files\Content.Word\IMG-20250619-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3" cstate="print"/>
                    <a:srcRect l="0" t="0" r="0" b="0"/>
                    <a:stretch/>
                  </pic:blipFill>
                  <pic:spPr>
                    <a:xfrm rot="0">
                      <a:off x="0" y="0"/>
                      <a:ext cx="6578107" cy="252889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4.11 Compaction test for Amoyo at depth 0.15m (B1)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775694" cy="2979071"/>
            <wp:effectExtent l="19050" t="0" r="0" b="0"/>
            <wp:docPr id="1046" name="Picture 34" descr="C:\Users\dell\AppData\Local\Microsoft\Windows\Temporary Internet Files\Content.Word\IMG-20250618-WA008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4"/>
                    <pic:cNvPicPr/>
                  </pic:nvPicPr>
                  <pic:blipFill>
                    <a:blip r:embed="rId14" cstate="print"/>
                    <a:srcRect l="0" t="0" r="0" b="0"/>
                    <a:stretch/>
                  </pic:blipFill>
                  <pic:spPr>
                    <a:xfrm rot="0">
                      <a:off x="0" y="0"/>
                      <a:ext cx="5775694" cy="2979071"/>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4.12 Compaction test for Amoyo at depth 0.20m (B2)</w:t>
      </w:r>
    </w:p>
    <w:p>
      <w:pPr>
        <w:pStyle w:val="style0"/>
        <w:spacing w:after="160" w:lineRule="auto" w:line="259"/>
        <w:rPr>
          <w:rFonts w:ascii="Times New Roman" w:hAnsi="Times New Roman"/>
          <w:b/>
          <w:sz w:val="24"/>
          <w:szCs w:val="24"/>
        </w:rPr>
      </w:pPr>
      <w:r>
        <w:rPr>
          <w:noProof/>
          <w:lang w:eastAsia="en-US"/>
        </w:rPr>
        <w:drawing>
          <wp:inline distL="0" distT="0" distB="0" distR="0">
            <wp:extent cx="5544733" cy="2732568"/>
            <wp:effectExtent l="19050" t="0" r="0" b="0"/>
            <wp:docPr id="1047" name="Picture 37" descr="C:\Users\dell\AppData\Local\Microsoft\Windows\Temporary Internet Files\Content.Word\IMG-20250618-WA008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7"/>
                    <pic:cNvPicPr/>
                  </pic:nvPicPr>
                  <pic:blipFill>
                    <a:blip r:embed="rId15" cstate="print"/>
                    <a:srcRect l="0" t="0" r="0" b="0"/>
                    <a:stretch/>
                  </pic:blipFill>
                  <pic:spPr>
                    <a:xfrm rot="0">
                      <a:off x="0" y="0"/>
                      <a:ext cx="5544733" cy="273256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 xml:space="preserve">California Bearing Ratio (CBR) Test </w:t>
      </w:r>
    </w:p>
    <w:p>
      <w:pPr>
        <w:pStyle w:val="style0"/>
        <w:jc w:val="both"/>
        <w:rPr>
          <w:rFonts w:ascii="Times New Roman" w:hAnsi="Times New Roman"/>
          <w:sz w:val="24"/>
          <w:szCs w:val="24"/>
        </w:rPr>
      </w:pPr>
      <w:r>
        <w:rPr>
          <w:rFonts w:ascii="Times New Roman" w:hAnsi="Times New Roman"/>
          <w:sz w:val="24"/>
          <w:szCs w:val="24"/>
        </w:rPr>
        <w:t>01</w:t>
      </w:r>
      <w:r>
        <w:rPr>
          <w:rFonts w:ascii="Times New Roman" w:hAnsi="Times New Roman"/>
          <w:sz w:val="24"/>
          <w:szCs w:val="24"/>
        </w:rPr>
        <w:t xml:space="preserve">Table 2.14 to 2.21 shows the California bearing ratio for lateritic sample obtained from the borrow pits of Ganmo and Amoyo town at depth of 0.15m and 0.20m for un-soak and soaked.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average CBR result obtained show that all the sample obtained from the laterite (borrow pits) are suitable as base and sub-base materials based on Federal Ministry of Works and Transport Highway Code of Practice. </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2.5: California Bearing Ratio (CBR)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2337" w:type="dxa"/>
            <w:tcBorders/>
          </w:tcPr>
          <w:p>
            <w:pPr>
              <w:pStyle w:val="style0"/>
              <w:jc w:val="both"/>
              <w:rPr>
                <w:rFonts w:ascii="Times New Roman" w:hAnsi="Times New Roman"/>
                <w:b/>
                <w:sz w:val="24"/>
                <w:szCs w:val="24"/>
              </w:rPr>
            </w:pPr>
            <w:r>
              <w:rPr>
                <w:rFonts w:ascii="Times New Roman" w:hAnsi="Times New Roman"/>
                <w:b/>
                <w:sz w:val="24"/>
                <w:szCs w:val="24"/>
              </w:rPr>
              <w:t>Average CBR%</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Standard </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Remark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1094.4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w:t>
            </w:r>
            <w:r>
              <w:rPr>
                <w:rFonts w:ascii="Times New Roman" w:hAnsi="Times New Roman"/>
                <w:b/>
                <w:sz w:val="24"/>
                <w:szCs w:val="24"/>
              </w:rPr>
              <w:t xml:space="preserve"> – </w:t>
            </w:r>
            <w:r>
              <w:rPr>
                <w:rFonts w:ascii="Times New Roman" w:hAnsi="Times New Roman"/>
                <w:sz w:val="24"/>
                <w:szCs w:val="24"/>
              </w:rPr>
              <w:t xml:space="preserve">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1066.4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992.3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 – 100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1010.5</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A1 Ganmo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16 = 42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 = 29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24 = 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20 = 53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28 = 74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41 = 108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37 = 97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44 = 116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58 = 153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53 = 139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72 = 190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65 = 171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112 = 296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111 = 291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A2 Ganmo laterite (borrow pits) depth 0.20mm UNSOAKED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14 = 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 = 24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31 = 82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34 = 89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45 = 118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66 = 174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75 = 197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96 = 252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108 = 284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114 = 300</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B1 Amoyo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15 = 39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 = 26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23 = 60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32 = 84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42 = 110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50 = 132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59 = 155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90 = 237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82 = 216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103 = 271</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109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 xml:space="preserve">Sample B2 </w:t>
      </w:r>
      <w:r>
        <w:rPr>
          <w:rFonts w:ascii="Times New Roman" w:hAnsi="Times New Roman"/>
          <w:b/>
          <w:sz w:val="24"/>
          <w:szCs w:val="24"/>
        </w:rPr>
        <w:t>Amoyo</w:t>
      </w:r>
      <w:r>
        <w:rPr>
          <w:rFonts w:ascii="Times New Roman" w:hAnsi="Times New Roman"/>
          <w:b/>
          <w:sz w:val="24"/>
          <w:szCs w:val="24"/>
        </w:rPr>
        <w:t xml:space="preserve"> </w:t>
      </w:r>
      <w:r>
        <w:rPr>
          <w:rFonts w:ascii="Times New Roman" w:hAnsi="Times New Roman"/>
          <w:b/>
          <w:sz w:val="24"/>
          <w:szCs w:val="24"/>
        </w:rPr>
        <w:t>laterite</w:t>
      </w:r>
      <w:r>
        <w:rPr>
          <w:rFonts w:ascii="Times New Roman" w:hAnsi="Times New Roman"/>
          <w:b/>
          <w:sz w:val="24"/>
          <w:szCs w:val="24"/>
        </w:rPr>
        <w:t xml:space="preserve"> (borrow pits) depth 0.20mm UNSOAKED</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13 = 34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 = 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30 = 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26 = 68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38 =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35 = 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47 = 124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43 = 113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55 = 145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51 = 134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61 = 160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80  = 210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73 = 192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94 = 247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100 = 279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97 = 225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107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219700" cy="2724150"/>
            <wp:effectExtent l="19050" t="0" r="0" b="0"/>
            <wp:docPr id="1048" name="Picture 13" descr="C:\Users\dell\AppData\Local\Microsoft\Windows\Temporary Internet Files\Content.Word\IMG-20250619-WA003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6" cstate="print"/>
                    <a:srcRect l="0" t="0" r="0" b="0"/>
                    <a:stretch/>
                  </pic:blipFill>
                  <pic:spPr>
                    <a:xfrm rot="0">
                      <a:off x="0" y="0"/>
                      <a:ext cx="5219700" cy="2724150"/>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2.13 CBR Test for Gonmo borrow pits at depth 0.15m (A1)</w:t>
      </w:r>
    </w:p>
    <w:p>
      <w:pPr>
        <w:pStyle w:val="style0"/>
        <w:jc w:val="both"/>
        <w:rPr>
          <w:rFonts w:ascii="Times New Roman" w:hAnsi="Times New Roman"/>
          <w:b/>
          <w:sz w:val="24"/>
          <w:szCs w:val="24"/>
        </w:rPr>
      </w:pPr>
      <w:r>
        <w:rPr>
          <w:noProof/>
          <w:lang w:eastAsia="en-US"/>
        </w:rPr>
        <w:drawing>
          <wp:inline distL="0" distT="0" distB="0" distR="0">
            <wp:extent cx="4857750" cy="2981325"/>
            <wp:effectExtent l="19050" t="0" r="0" b="0"/>
            <wp:docPr id="1049" name="Picture 16" descr="C:\Users\dell\AppData\Local\Microsoft\Windows\Temporary Internet Files\Content.Word\IMG-20250619-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6"/>
                    <pic:cNvPicPr/>
                  </pic:nvPicPr>
                  <pic:blipFill>
                    <a:blip r:embed="rId17" cstate="print"/>
                    <a:srcRect l="0" t="0" r="0" b="0"/>
                    <a:stretch/>
                  </pic:blipFill>
                  <pic:spPr>
                    <a:xfrm rot="0">
                      <a:off x="0" y="0"/>
                      <a:ext cx="4857750" cy="2981325"/>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2.14 CBR Test for Gonmo borrow pits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521640" cy="2817628"/>
            <wp:effectExtent l="19050" t="0" r="2860" b="0"/>
            <wp:docPr id="1050" name="Picture 19" descr="C:\Users\dell\AppData\Local\Microsoft\Windows\Temporary Internet Files\Content.Word\IMG-20250619-WA004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18" cstate="print"/>
                    <a:srcRect l="0" t="0" r="0" b="0"/>
                    <a:stretch/>
                  </pic:blipFill>
                  <pic:spPr>
                    <a:xfrm rot="0">
                      <a:off x="0" y="0"/>
                      <a:ext cx="5521640" cy="2817628"/>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2.15 CBR Test for Amoyo borrow pits at depth 0.15m (B1)</w:t>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rFonts w:ascii="Times New Roman" w:hAnsi="Times New Roman"/>
          <w:b/>
          <w:sz w:val="24"/>
          <w:szCs w:val="24"/>
        </w:rPr>
      </w:pPr>
      <w:r>
        <w:rPr>
          <w:rFonts w:ascii="Times New Roman" w:hAnsi="Times New Roman"/>
          <w:b/>
          <w:sz w:val="24"/>
          <w:szCs w:val="24"/>
        </w:rPr>
        <w:t xml:space="preserve">Figure 2.16 CBR Test for </w:t>
      </w:r>
      <w:r>
        <w:rPr>
          <w:rFonts w:ascii="Times New Roman" w:hAnsi="Times New Roman"/>
          <w:b/>
          <w:sz w:val="24"/>
          <w:szCs w:val="24"/>
        </w:rPr>
        <w:t>Amoyo</w:t>
      </w:r>
      <w:r>
        <w:rPr>
          <w:rFonts w:ascii="Times New Roman" w:hAnsi="Times New Roman"/>
          <w:b/>
          <w:sz w:val="24"/>
          <w:szCs w:val="24"/>
        </w:rPr>
        <w:t xml:space="preserve"> borrow pits at depth 0.20m (B)</w:t>
      </w:r>
    </w:p>
    <w:p>
      <w:pPr>
        <w:pStyle w:val="style0"/>
        <w:jc w:val="center"/>
        <w:rPr>
          <w:rFonts w:ascii="Times New Roman" w:hAnsi="Times New Roman"/>
          <w:b/>
          <w:sz w:val="24"/>
          <w:szCs w:val="24"/>
        </w:rPr>
      </w:pPr>
    </w:p>
    <w:p>
      <w:pPr>
        <w:pStyle w:val="style0"/>
        <w:jc w:val="both"/>
        <w:rPr>
          <w:noProof/>
        </w:rPr>
      </w:pPr>
      <w:r>
        <w:rPr>
          <w:noProof/>
          <w:lang w:eastAsia="en-US"/>
        </w:rPr>
        <w:drawing>
          <wp:inline distL="0" distT="0" distB="0" distR="0">
            <wp:extent cx="5967080" cy="3550861"/>
            <wp:effectExtent l="19050" t="0" r="0" b="0"/>
            <wp:docPr id="1051" name="Picture 40" descr="C:\Users\dell\AppData\Local\Microsoft\Windows\Temporary Internet Files\Content.Word\IMG-20250618-WA008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40"/>
                    <pic:cNvPicPr/>
                  </pic:nvPicPr>
                  <pic:blipFill>
                    <a:blip r:embed="rId19" cstate="print"/>
                    <a:srcRect l="0" t="0" r="0" b="0"/>
                    <a:stretch/>
                  </pic:blipFill>
                  <pic:spPr>
                    <a:xfrm rot="0">
                      <a:off x="0" y="0"/>
                      <a:ext cx="5967080" cy="3550861"/>
                    </a:xfrm>
                    <a:prstGeom prst="rect"/>
                    <a:ln>
                      <a:noFill/>
                    </a:ln>
                  </pic:spPr>
                </pic:pic>
              </a:graphicData>
            </a:graphic>
          </wp:inline>
        </w:drawing>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CHAPTER FIVE</w:t>
      </w:r>
    </w:p>
    <w:p>
      <w:pPr>
        <w:pStyle w:val="style0"/>
        <w:jc w:val="center"/>
        <w:rPr>
          <w:rFonts w:ascii="Times New Roman" w:hAnsi="Times New Roman"/>
          <w:b/>
          <w:sz w:val="24"/>
          <w:szCs w:val="24"/>
        </w:rPr>
      </w:pPr>
      <w:r>
        <w:rPr>
          <w:rFonts w:ascii="Times New Roman" w:hAnsi="Times New Roman"/>
          <w:b/>
          <w:sz w:val="24"/>
          <w:szCs w:val="24"/>
        </w:rPr>
        <w:t>CONCLUTION AND RECOMMENDATION</w:t>
      </w:r>
    </w:p>
    <w:p>
      <w:pPr>
        <w:pStyle w:val="style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Conclusion </w:t>
      </w:r>
    </w:p>
    <w:p>
      <w:pPr>
        <w:pStyle w:val="style0"/>
        <w:jc w:val="both"/>
        <w:rPr>
          <w:rFonts w:ascii="Times New Roman" w:hAnsi="Times New Roman"/>
          <w:sz w:val="24"/>
          <w:szCs w:val="24"/>
        </w:rPr>
      </w:pPr>
      <w:r>
        <w:rPr>
          <w:rFonts w:ascii="Times New Roman" w:hAnsi="Times New Roman"/>
          <w:sz w:val="24"/>
          <w:szCs w:val="24"/>
        </w:rPr>
        <w:t>- The results from sieve analysis, compaction, and Atterberg limit tests showed that the soils are lateritic with fair gradation, moderate plasticity, and acceptable compaction properties. These indicate that the materials have good engineering characteristics suitable for construction purposes.</w:t>
      </w:r>
    </w:p>
    <w:p>
      <w:pPr>
        <w:pStyle w:val="style0"/>
        <w:jc w:val="both"/>
        <w:rPr>
          <w:rFonts w:ascii="Times New Roman" w:hAnsi="Times New Roman"/>
          <w:sz w:val="24"/>
          <w:szCs w:val="24"/>
        </w:rPr>
      </w:pPr>
      <w:r>
        <w:rPr>
          <w:rFonts w:ascii="Times New Roman" w:hAnsi="Times New Roman"/>
          <w:sz w:val="24"/>
          <w:szCs w:val="24"/>
        </w:rPr>
        <w:t>- Based on compaction and CBR test results, the soils demonstrated adequate strength and bearing capacity. This confirms their suitability for use in subgrade and sub-base layers of roads and other civil engineering works, depending on the location and specific test results.</w:t>
      </w:r>
    </w:p>
    <w:p>
      <w:pPr>
        <w:pStyle w:val="style0"/>
        <w:jc w:val="both"/>
        <w:rPr>
          <w:rFonts w:ascii="Times New Roman" w:hAnsi="Times New Roman"/>
          <w:sz w:val="24"/>
          <w:szCs w:val="24"/>
        </w:rPr>
      </w:pPr>
      <w:r>
        <w:rPr>
          <w:rFonts w:ascii="Times New Roman" w:hAnsi="Times New Roman"/>
          <w:sz w:val="24"/>
          <w:szCs w:val="24"/>
        </w:rPr>
        <w:t>- Field observation revealed potential environmental concerns such as land degradation, vegetation loss, and erosion due to unregulated excavation. Without proper rehabilitation, borrow pits can negatively affect the surrounding environment and local land use.</w:t>
      </w:r>
    </w:p>
    <w:p>
      <w:pPr>
        <w:pStyle w:val="style0"/>
        <w:jc w:val="both"/>
        <w:rPr>
          <w:rFonts w:ascii="Times New Roman" w:hAnsi="Times New Roman"/>
          <w:sz w:val="24"/>
          <w:szCs w:val="24"/>
        </w:rPr>
      </w:pPr>
    </w:p>
    <w:p>
      <w:pPr>
        <w:pStyle w:val="style0"/>
        <w:jc w:val="both"/>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 xml:space="preserve">Recommendations </w:t>
      </w:r>
    </w:p>
    <w:p>
      <w:pPr>
        <w:pStyle w:val="style0"/>
        <w:jc w:val="both"/>
        <w:rPr>
          <w:rFonts w:ascii="Times New Roman" w:hAnsi="Times New Roman"/>
          <w:bCs/>
          <w:sz w:val="24"/>
          <w:szCs w:val="24"/>
        </w:rPr>
      </w:pPr>
      <w:r>
        <w:rPr>
          <w:rFonts w:ascii="Times New Roman" w:hAnsi="Times New Roman"/>
          <w:bCs/>
          <w:sz w:val="24"/>
          <w:szCs w:val="24"/>
        </w:rPr>
        <w:t xml:space="preserve">Based on the geotechnical </w:t>
      </w:r>
      <w:r>
        <w:rPr>
          <w:rFonts w:ascii="Times New Roman" w:hAnsi="Times New Roman"/>
          <w:bCs/>
          <w:sz w:val="24"/>
          <w:szCs w:val="24"/>
        </w:rPr>
        <w:t>investigation of the selected borrow</w:t>
      </w:r>
      <w:r>
        <w:rPr>
          <w:rFonts w:ascii="Times New Roman" w:hAnsi="Times New Roman"/>
          <w:bCs/>
          <w:sz w:val="24"/>
          <w:szCs w:val="24"/>
        </w:rPr>
        <w:t xml:space="preserve"> pits in Ganmo and Amoyo, the following recommendations are made:</w:t>
      </w:r>
    </w:p>
    <w:p>
      <w:pPr>
        <w:pStyle w:val="style0"/>
        <w:tabs>
          <w:tab w:val="left" w:leader="none" w:pos="904"/>
        </w:tabs>
        <w:jc w:val="both"/>
        <w:rPr>
          <w:rFonts w:ascii="Times New Roman" w:hAnsi="Times New Roman"/>
          <w:bCs/>
          <w:sz w:val="24"/>
          <w:szCs w:val="24"/>
        </w:rPr>
      </w:pPr>
      <w:r>
        <w:rPr>
          <w:rFonts w:ascii="Times New Roman" w:hAnsi="Times New Roman"/>
          <w:bCs/>
          <w:sz w:val="24"/>
          <w:szCs w:val="24"/>
        </w:rPr>
        <w:tab/>
      </w:r>
    </w:p>
    <w:p>
      <w:pPr>
        <w:pStyle w:val="style0"/>
        <w:jc w:val="both"/>
        <w:rPr>
          <w:rFonts w:ascii="Times New Roman" w:hAnsi="Times New Roman"/>
          <w:bCs/>
          <w:sz w:val="24"/>
          <w:szCs w:val="24"/>
        </w:rPr>
      </w:pPr>
      <w:r>
        <w:rPr>
          <w:rFonts w:ascii="Times New Roman" w:hAnsi="Times New Roman"/>
          <w:bCs/>
          <w:sz w:val="24"/>
          <w:szCs w:val="24"/>
        </w:rPr>
        <w:t>i. Material Selection: There should be priorization of soils with good gradation, moderate plasticity, and high CBR values for use in subgrade and sub-base layers in road construction.</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ii</w:t>
      </w:r>
      <w:r>
        <w:rPr>
          <w:rFonts w:ascii="Times New Roman" w:hAnsi="Times New Roman"/>
          <w:bCs/>
          <w:sz w:val="24"/>
          <w:szCs w:val="24"/>
        </w:rPr>
        <w:t>.  Quality</w:t>
      </w:r>
      <w:r>
        <w:rPr>
          <w:rFonts w:ascii="Times New Roman" w:hAnsi="Times New Roman"/>
          <w:bCs/>
          <w:sz w:val="24"/>
          <w:szCs w:val="24"/>
        </w:rPr>
        <w:t xml:space="preserve"> Control: It is expedient to conduct routine testing during material excavation and construction to ensure consistency in soil properties.</w:t>
      </w:r>
    </w:p>
    <w:p>
      <w:pPr>
        <w:pStyle w:val="style0"/>
        <w:jc w:val="both"/>
        <w:rPr>
          <w:rFonts w:ascii="Times New Roman" w:hAnsi="Times New Roman"/>
          <w:bCs/>
          <w:sz w:val="24"/>
          <w:szCs w:val="24"/>
        </w:rPr>
      </w:pPr>
      <w:r>
        <w:rPr>
          <w:rFonts w:ascii="Times New Roman" w:hAnsi="Times New Roman"/>
          <w:bCs/>
          <w:sz w:val="24"/>
          <w:szCs w:val="24"/>
        </w:rPr>
        <w:t>iii</w:t>
      </w:r>
      <w:r>
        <w:rPr>
          <w:rFonts w:ascii="Times New Roman" w:hAnsi="Times New Roman"/>
          <w:bCs/>
          <w:sz w:val="24"/>
          <w:szCs w:val="24"/>
        </w:rPr>
        <w:t>.  Moisture</w:t>
      </w:r>
      <w:r>
        <w:rPr>
          <w:rFonts w:ascii="Times New Roman" w:hAnsi="Times New Roman"/>
          <w:bCs/>
          <w:sz w:val="24"/>
          <w:szCs w:val="24"/>
        </w:rPr>
        <w:t xml:space="preserve"> Management: Optimal moisture content should be maintained during compaction to achieve maximum dry density and ensure structural stability.</w:t>
      </w:r>
    </w:p>
    <w:p>
      <w:pPr>
        <w:pStyle w:val="style0"/>
        <w:jc w:val="both"/>
        <w:rPr>
          <w:rFonts w:ascii="Times New Roman" w:hAnsi="Times New Roman"/>
          <w:bCs/>
          <w:sz w:val="24"/>
          <w:szCs w:val="24"/>
        </w:rPr>
      </w:pPr>
      <w:r>
        <w:rPr>
          <w:rFonts w:ascii="Times New Roman" w:hAnsi="Times New Roman"/>
          <w:bCs/>
          <w:sz w:val="24"/>
          <w:szCs w:val="24"/>
        </w:rPr>
        <w:t>iv</w:t>
      </w:r>
      <w:r>
        <w:rPr>
          <w:rFonts w:ascii="Times New Roman" w:hAnsi="Times New Roman"/>
          <w:bCs/>
          <w:sz w:val="24"/>
          <w:szCs w:val="24"/>
        </w:rPr>
        <w:t>. Environmental Management: It is also recommended that  measures to prevent erosion, land degradation, and waterlogging caused by excavation activities., Should be implemented and Post-excavation site rehabilitation should be mandatory.</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v. Regulatory Compliance: It is advised that all borrow pit operations should follow environmental guidelines and land use regulations set by local authorities to promote sustainable development</w:t>
      </w:r>
    </w:p>
    <w:p>
      <w:pPr>
        <w:pStyle w:val="style0"/>
        <w:rPr>
          <w:rFonts w:ascii="Times New Roman" w:hAnsi="Times New Roman"/>
          <w:b/>
          <w:sz w:val="24"/>
          <w:szCs w:val="24"/>
        </w:rPr>
      </w:pPr>
      <w:r>
        <w:rPr>
          <w:rFonts w:ascii="Times New Roman" w:hAnsi="Times New Roman"/>
          <w:b/>
          <w:sz w:val="24"/>
          <w:szCs w:val="24"/>
        </w:rPr>
        <w:t>Reference</w:t>
      </w:r>
    </w:p>
    <w:p>
      <w:pPr>
        <w:pStyle w:val="style0"/>
        <w:spacing w:lineRule="auto" w:line="360"/>
        <w:ind w:left="720"/>
        <w:jc w:val="both"/>
        <w:rPr>
          <w:rFonts w:ascii="Times New Roman" w:hAnsi="Times New Roman"/>
          <w:b/>
          <w:sz w:val="24"/>
          <w:szCs w:val="24"/>
        </w:rPr>
      </w:pPr>
      <w:r>
        <w:rPr>
          <w:rFonts w:ascii="Times New Roman" w:hAnsi="Times New Roman"/>
          <w:sz w:val="24"/>
          <w:szCs w:val="24"/>
        </w:rPr>
        <w:t xml:space="preserve">- </w:t>
      </w:r>
      <w:r>
        <w:rPr>
          <w:rFonts w:ascii="Times New Roman" w:eastAsia="Times New Roman" w:hAnsi="Times New Roman"/>
          <w:sz w:val="24"/>
          <w:szCs w:val="24"/>
        </w:rPr>
        <w:t>Aka, M. U., Effiong, C. I., Agbasi, O. E., &amp; Akpan, D. N. (2022). Geotechnical investigation of borrow pit as a subgrade material for road construction at Victor Attah International Airport, Uyo, Nigeria. Structure and Environment, 14(2), 44-54</w:t>
      </w:r>
    </w:p>
    <w:p>
      <w:pPr>
        <w:pStyle w:val="style0"/>
        <w:spacing w:before="100" w:beforeAutospacing="true" w:after="100" w:afterAutospacing="true" w:lineRule="auto" w:line="360"/>
        <w:ind w:left="720"/>
        <w:jc w:val="both"/>
        <w:rPr>
          <w:rFonts w:ascii="Times New Roman" w:eastAsia="Times New Roman" w:hAnsi="Times New Roman"/>
          <w:sz w:val="24"/>
          <w:szCs w:val="24"/>
        </w:rPr>
      </w:pPr>
      <w:r>
        <w:rPr>
          <w:rFonts w:ascii="Times New Roman" w:eastAsia="Times New Roman" w:hAnsi="Times New Roman"/>
          <w:sz w:val="24"/>
          <w:szCs w:val="24"/>
        </w:rPr>
        <w:t xml:space="preserve">- Lasisi, A. K. &amp;Ozurumba, N. (2021). Prevalence and patterns of sexual violence among Nigerian adolescents in North-Central Geo-Political Zone. World Journal of Innovative Research (WJIR). - </w:t>
      </w:r>
      <w:r>
        <w:rPr>
          <w:rFonts w:ascii="Times New Roman" w:hAnsi="Times New Roman"/>
          <w:sz w:val="24"/>
          <w:szCs w:val="24"/>
        </w:rPr>
        <w:t xml:space="preserve">Uche, C. P. (2021). </w:t>
      </w:r>
      <w:r>
        <w:rPr>
          <w:rStyle w:val="style88"/>
          <w:rFonts w:ascii="Times New Roman" w:hAnsi="Times New Roman"/>
          <w:sz w:val="24"/>
          <w:szCs w:val="24"/>
        </w:rPr>
        <w:t>Sustainable Use and Management of Borrow Pits in Nigeria: A Review</w:t>
      </w:r>
      <w:r>
        <w:rPr>
          <w:rFonts w:ascii="Times New Roman" w:hAnsi="Times New Roman"/>
          <w:sz w:val="24"/>
          <w:szCs w:val="24"/>
        </w:rPr>
        <w:t>. Journal of Environmental Science and Management.</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Adeyemi, D., Olorunfemi, A., &amp; Oyedepo, S. (2017). The environmental impact of borrow pit excavations. Environmental Management Journal, 22(4), 67-79.</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Ilemobade, A., Olutoge, F., &amp; Oluwaseun, A. (2018). Investigation of shear strength of clay from borrow pits in Southwestern Nigeria. Journal of Geotechnical Engineering, 35(3), 102-118.</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Nduka, C., Okoye, M., &amp; Onuoha, J. (2020). Geotechnical properties of gravel and sand for road construction. Nigeria Construction Journal, 14(1), 33-41.</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Olatunji, D., &amp;Olutoge, F. (2021). Site characterization of borrow pits in coastal areas. Journal of Environmental Science and Technology, 18(2), 91-105.</w:t>
      </w:r>
    </w:p>
    <w:p>
      <w:pPr>
        <w:pStyle w:val="style0"/>
        <w:spacing w:lineRule="auto" w:line="360"/>
        <w:ind w:left="720"/>
        <w:jc w:val="both"/>
        <w:rPr>
          <w:rFonts w:ascii="Times New Roman" w:hAnsi="Times New Roman"/>
          <w:sz w:val="24"/>
          <w:szCs w:val="24"/>
        </w:rPr>
      </w:pPr>
      <w:r>
        <w:rPr>
          <w:rFonts w:ascii="Times New Roman" w:hAnsi="Times New Roman"/>
          <w:sz w:val="24"/>
          <w:szCs w:val="24"/>
        </w:rPr>
        <w:t>Arumala, O.J. (1987): Performance Evaluation of Brick Vanner with steel backup in the Niger</w:t>
      </w:r>
    </w:p>
    <w:p>
      <w:pPr>
        <w:pStyle w:val="style0"/>
        <w:spacing w:lineRule="auto" w:line="360"/>
        <w:ind w:left="720"/>
        <w:jc w:val="both"/>
        <w:rPr>
          <w:rFonts w:ascii="Times New Roman" w:hAnsi="Times New Roman"/>
          <w:sz w:val="24"/>
          <w:szCs w:val="24"/>
        </w:rPr>
      </w:pPr>
      <w:r>
        <w:rPr>
          <w:rFonts w:ascii="Times New Roman" w:hAnsi="Times New Roman"/>
          <w:sz w:val="24"/>
          <w:szCs w:val="24"/>
        </w:rPr>
        <w:t>Delta. Quuater journal of Engineering Geology London, 20:287-296</w:t>
      </w:r>
    </w:p>
    <w:p>
      <w:pPr>
        <w:pStyle w:val="style0"/>
        <w:spacing w:lineRule="auto" w:line="360"/>
        <w:ind w:left="720"/>
        <w:jc w:val="both"/>
        <w:rPr>
          <w:rFonts w:ascii="Times New Roman" w:hAnsi="Times New Roman"/>
          <w:sz w:val="24"/>
          <w:szCs w:val="24"/>
        </w:rPr>
      </w:pPr>
      <w:r>
        <w:rPr>
          <w:rFonts w:ascii="Times New Roman" w:hAnsi="Times New Roman"/>
          <w:sz w:val="24"/>
          <w:szCs w:val="24"/>
        </w:rPr>
        <w:t>British Standard Institution BS 1377(1975): “Methods of soil test for civil engineering purpose”, British Standard Institution 2 park street London W1A2BS</w:t>
      </w:r>
    </w:p>
    <w:p>
      <w:pPr>
        <w:pStyle w:val="style0"/>
        <w:spacing w:lineRule="auto" w:line="360"/>
        <w:ind w:left="720"/>
        <w:jc w:val="both"/>
        <w:rPr>
          <w:rFonts w:ascii="Times New Roman" w:hAnsi="Times New Roman"/>
          <w:sz w:val="24"/>
          <w:szCs w:val="24"/>
        </w:rPr>
      </w:pPr>
      <w:r>
        <w:rPr>
          <w:rFonts w:ascii="Times New Roman" w:hAnsi="Times New Roman"/>
          <w:sz w:val="24"/>
          <w:szCs w:val="24"/>
        </w:rPr>
        <w:t>Ciria, (1995): Laterite in Road pavement. Publication 47 for transport research laboratory (TRL), West Minister London. 21-27</w:t>
      </w:r>
    </w:p>
    <w:p>
      <w:pPr>
        <w:pStyle w:val="style0"/>
        <w:spacing w:lineRule="auto" w:line="360"/>
        <w:ind w:left="720"/>
        <w:jc w:val="both"/>
        <w:rPr>
          <w:rFonts w:ascii="Times New Roman" w:hAnsi="Times New Roman"/>
          <w:sz w:val="24"/>
          <w:szCs w:val="24"/>
        </w:rPr>
      </w:pPr>
      <w:r>
        <w:rPr>
          <w:rFonts w:ascii="Times New Roman" w:hAnsi="Times New Roman"/>
          <w:sz w:val="24"/>
          <w:szCs w:val="24"/>
        </w:rPr>
        <w:t>Federal Road Safety Crops (FRSC 2011): United Nation decade of Action on Road Safety, Benin City, Nigeria.</w:t>
      </w:r>
    </w:p>
    <w:p>
      <w:pPr>
        <w:pStyle w:val="style0"/>
        <w:spacing w:lineRule="auto" w:line="360"/>
        <w:ind w:left="720"/>
        <w:jc w:val="both"/>
        <w:rPr>
          <w:rFonts w:ascii="Times New Roman" w:hAnsi="Times New Roman"/>
          <w:sz w:val="24"/>
          <w:szCs w:val="24"/>
        </w:rPr>
      </w:pPr>
      <w:r>
        <w:rPr>
          <w:rFonts w:ascii="Times New Roman" w:hAnsi="Times New Roman"/>
          <w:sz w:val="24"/>
          <w:szCs w:val="24"/>
        </w:rPr>
        <w:t>Johnson J.W. (1972): Laterite gravel evolution for road construction. Civil Engineering journal of proceeding NSE National Conference. 1245- 1265</w:t>
      </w:r>
    </w:p>
    <w:p>
      <w:pPr>
        <w:pStyle w:val="style0"/>
        <w:spacing w:lineRule="auto" w:line="360"/>
        <w:ind w:left="720"/>
        <w:jc w:val="both"/>
        <w:rPr>
          <w:rFonts w:ascii="Times New Roman" w:hAnsi="Times New Roman"/>
          <w:sz w:val="24"/>
          <w:szCs w:val="24"/>
        </w:rPr>
      </w:pPr>
      <w:r>
        <w:rPr>
          <w:rFonts w:ascii="Times New Roman" w:hAnsi="Times New Roman"/>
          <w:sz w:val="24"/>
          <w:szCs w:val="24"/>
        </w:rPr>
        <w:t>Lyon Association, INC. (1971): Laterite and lateritic soil and other problem of soil of Zainerwski,</w:t>
      </w:r>
    </w:p>
    <w:p>
      <w:pPr>
        <w:pStyle w:val="style0"/>
        <w:spacing w:lineRule="auto" w:line="360"/>
        <w:ind w:left="720"/>
        <w:jc w:val="both"/>
        <w:rPr>
          <w:rFonts w:ascii="Times New Roman" w:hAnsi="Times New Roman"/>
          <w:sz w:val="24"/>
          <w:szCs w:val="24"/>
        </w:rPr>
      </w:pPr>
      <w:r>
        <w:rPr>
          <w:rFonts w:ascii="Times New Roman" w:hAnsi="Times New Roman"/>
          <w:sz w:val="24"/>
          <w:szCs w:val="24"/>
        </w:rPr>
        <w:t>P.J and Manlouk, WS.M (1999): Materials for Civil and construction engineers, West virgin University, London.</w:t>
      </w:r>
    </w:p>
    <w:p>
      <w:pPr>
        <w:pStyle w:val="style157"/>
        <w:spacing w:lineRule="auto" w:line="360"/>
        <w:ind w:left="720"/>
        <w:jc w:val="both"/>
        <w:rPr>
          <w:rFonts w:ascii="Times New Roman" w:hAnsi="Times New Roman"/>
          <w:sz w:val="24"/>
          <w:szCs w:val="24"/>
        </w:rPr>
      </w:pPr>
    </w:p>
    <w:p>
      <w:pPr>
        <w:pStyle w:val="style0"/>
        <w:spacing w:lineRule="auto" w:line="360"/>
        <w:ind w:left="720"/>
        <w:jc w:val="both"/>
        <w:rPr>
          <w:rFonts w:ascii="Times New Roman" w:hAnsi="Times New Roman"/>
          <w:b/>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t>Appendix 1</w:t>
      </w: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drawing>
          <wp:inline distL="0" distT="0" distB="0" distR="0">
            <wp:extent cx="6412939" cy="4912242"/>
            <wp:effectExtent l="19050" t="0" r="6911" b="0"/>
            <wp:docPr id="1052" name="Picture 7" descr="C:\Users\USER\AppData\Local\Microsoft\Windows\INetCache\Content.Word\IMG-20250618-WA007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20" cstate="print"/>
                    <a:srcRect l="0" t="0" r="0" b="0"/>
                    <a:stretch/>
                  </pic:blipFill>
                  <pic:spPr>
                    <a:xfrm rot="0">
                      <a:off x="0" y="0"/>
                      <a:ext cx="6412939" cy="4912242"/>
                    </a:xfrm>
                    <a:prstGeom prst="rect"/>
                    <a:ln>
                      <a:noFill/>
                    </a:ln>
                  </pic:spPr>
                </pic:pic>
              </a:graphicData>
            </a:graphic>
          </wp:inline>
        </w:drawing>
      </w:r>
    </w:p>
    <w:p>
      <w:pPr>
        <w:pStyle w:val="style0"/>
        <w:spacing w:lineRule="auto" w:line="360"/>
        <w:jc w:val="both"/>
        <w:rPr>
          <w:rFonts w:ascii="Times New Roman" w:hAnsi="Times New Roman"/>
          <w:b/>
          <w:bCs/>
          <w:noProof/>
          <w:sz w:val="24"/>
          <w:szCs w:val="24"/>
          <w:lang w:eastAsia="en-US"/>
        </w:rPr>
      </w:pPr>
      <w:r>
        <w:rPr>
          <w:rFonts w:ascii="Times New Roman" w:hAnsi="Times New Roman"/>
          <w:b/>
          <w:bCs/>
          <w:noProof/>
          <w:sz w:val="24"/>
          <w:szCs w:val="24"/>
          <w:lang w:eastAsia="en-US"/>
        </w:rPr>
        <w:t>Mixing of laterite soil</w:t>
      </w:r>
    </w:p>
    <w:p>
      <w:pPr>
        <w:pStyle w:val="style0"/>
        <w:spacing w:lineRule="auto" w:line="360"/>
        <w:jc w:val="both"/>
        <w:rPr>
          <w:rFonts w:ascii="Times New Roman" w:hAnsi="Times New Roman"/>
          <w:noProof/>
          <w:sz w:val="24"/>
          <w:szCs w:val="24"/>
          <w:lang w:eastAsia="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2</w:t>
      </w:r>
    </w:p>
    <w:p>
      <w:pPr>
        <w:pStyle w:val="style0"/>
        <w:rPr/>
      </w:pPr>
    </w:p>
    <w:p>
      <w:pPr>
        <w:pStyle w:val="style0"/>
        <w:rPr/>
      </w:pPr>
      <w:r>
        <w:rPr>
          <w:noProof/>
          <w:lang w:eastAsia="en-US"/>
        </w:rPr>
        <w:drawing>
          <wp:inline distL="0" distT="0" distB="0" distR="0">
            <wp:extent cx="5882020" cy="5625534"/>
            <wp:effectExtent l="19050" t="0" r="4430" b="0"/>
            <wp:docPr id="1053" name="Picture 4" descr="C:\Users\dell\AppData\Local\Microsoft\Windows\Temporary Internet Files\Content.Word\IMG-20250618-WA007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21" cstate="print"/>
                    <a:srcRect l="0" t="0" r="0" b="0"/>
                    <a:stretch/>
                  </pic:blipFill>
                  <pic:spPr>
                    <a:xfrm rot="0">
                      <a:off x="0" y="0"/>
                      <a:ext cx="5882020" cy="5625534"/>
                    </a:xfrm>
                    <a:prstGeom prst="rect"/>
                    <a:ln>
                      <a:noFill/>
                    </a:ln>
                  </pic:spPr>
                </pic:pic>
              </a:graphicData>
            </a:graphic>
          </wp:inline>
        </w:drawing>
      </w:r>
    </w:p>
    <w:p>
      <w:pPr>
        <w:pStyle w:val="style0"/>
        <w:rPr>
          <w:b/>
          <w:bCs/>
        </w:rPr>
      </w:pPr>
      <w:r>
        <w:rPr>
          <w:b/>
          <w:bCs/>
        </w:rPr>
        <w:t xml:space="preserve">Sieve Analysis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3</w:t>
      </w:r>
    </w:p>
    <w:p>
      <w:pPr>
        <w:pStyle w:val="style0"/>
        <w:rPr/>
      </w:pPr>
      <w:r>
        <w:rPr>
          <w:noProof/>
          <w:lang w:eastAsia="en-US"/>
        </w:rPr>
        <w:drawing>
          <wp:inline distL="0" distT="0" distB="0" distR="0">
            <wp:extent cx="5882020" cy="5497033"/>
            <wp:effectExtent l="19050" t="0" r="4430" b="0"/>
            <wp:docPr id="1054" name="Picture 7" descr="C:\Users\dell\AppData\Local\Microsoft\Windows\Temporary Internet Files\Content.Word\IMG-20250618-WA007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22" cstate="print"/>
                    <a:srcRect l="0" t="0" r="0" b="0"/>
                    <a:stretch/>
                  </pic:blipFill>
                  <pic:spPr>
                    <a:xfrm rot="0">
                      <a:off x="0" y="0"/>
                      <a:ext cx="5882020" cy="5497033"/>
                    </a:xfrm>
                    <a:prstGeom prst="rect"/>
                    <a:ln>
                      <a:noFill/>
                    </a:ln>
                  </pic:spPr>
                </pic:pic>
              </a:graphicData>
            </a:graphic>
          </wp:inline>
        </w:drawing>
      </w:r>
    </w:p>
    <w:p>
      <w:pPr>
        <w:pStyle w:val="style0"/>
        <w:rPr>
          <w:b/>
          <w:bCs/>
        </w:rPr>
      </w:pPr>
      <w:r>
        <w:rPr>
          <w:b/>
          <w:bCs/>
        </w:rPr>
        <w:t xml:space="preserve">California bearing Ratio (CBR)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4</w:t>
      </w:r>
    </w:p>
    <w:p>
      <w:pPr>
        <w:pStyle w:val="style0"/>
        <w:rPr/>
      </w:pPr>
      <w:r>
        <w:rPr>
          <w:noProof/>
          <w:lang w:eastAsia="en-US"/>
        </w:rPr>
        <w:drawing>
          <wp:inline distL="0" distT="0" distB="0" distR="0">
            <wp:extent cx="6430138" cy="6018028"/>
            <wp:effectExtent l="19050" t="0" r="8762" b="0"/>
            <wp:docPr id="1055" name="Picture 10" descr="C:\Users\dell\AppData\Local\Microsoft\Windows\Temporary Internet Files\Content.Word\IMG-20250618-WA007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3" cstate="print"/>
                    <a:srcRect l="0" t="0" r="0" b="0"/>
                    <a:stretch/>
                  </pic:blipFill>
                  <pic:spPr>
                    <a:xfrm rot="0">
                      <a:off x="0" y="0"/>
                      <a:ext cx="6430138" cy="6018028"/>
                    </a:xfrm>
                    <a:prstGeom prst="rect"/>
                    <a:ln>
                      <a:noFill/>
                    </a:ln>
                  </pic:spPr>
                </pic:pic>
              </a:graphicData>
            </a:graphic>
          </wp:inline>
        </w:drawing>
      </w:r>
    </w:p>
    <w:p>
      <w:pPr>
        <w:pStyle w:val="style0"/>
        <w:rPr/>
      </w:pPr>
      <w:r>
        <w:t>Oven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w:t>
      </w:r>
      <w:r>
        <w:t xml:space="preserve"> </w:t>
      </w:r>
      <w:r>
        <w:t xml:space="preserve"> 5</w:t>
      </w:r>
    </w:p>
    <w:p>
      <w:pPr>
        <w:pStyle w:val="style0"/>
        <w:rPr/>
      </w:pPr>
      <w:r>
        <w:rPr>
          <w:noProof/>
          <w:lang w:eastAsia="en-US"/>
        </w:rPr>
        <w:drawing>
          <wp:anchor distT="0" distB="0" distL="114300" distR="114300" simplePos="false" relativeHeight="2" behindDoc="true" locked="false" layoutInCell="true" allowOverlap="true">
            <wp:simplePos x="0" y="0"/>
            <wp:positionH relativeFrom="column">
              <wp:posOffset>-2540</wp:posOffset>
            </wp:positionH>
            <wp:positionV relativeFrom="paragraph">
              <wp:posOffset>63500</wp:posOffset>
            </wp:positionV>
            <wp:extent cx="4892675" cy="5780405"/>
            <wp:effectExtent l="19050" t="0" r="3175" b="0"/>
            <wp:wrapTight wrapText="bothSides">
              <wp:wrapPolygon edited="false">
                <wp:start x="-84" y="0"/>
                <wp:lineTo x="-84" y="21498"/>
                <wp:lineTo x="21614" y="21498"/>
                <wp:lineTo x="21614" y="0"/>
                <wp:lineTo x="-84" y="0"/>
              </wp:wrapPolygon>
            </wp:wrapTight>
            <wp:docPr id="1056" name="Picture 1" descr="C:\Users\dell\AppData\Local\Microsoft\Windows\Temporary Internet Files\Content.Word\IMG-20250618-WA007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4" cstate="print"/>
                    <a:srcRect l="0" t="0" r="0" b="0"/>
                    <a:stretch/>
                  </pic:blipFill>
                  <pic:spPr>
                    <a:xfrm rot="0">
                      <a:off x="0" y="0"/>
                      <a:ext cx="4892675" cy="5780405"/>
                    </a:xfrm>
                    <a:prstGeom prst="rect"/>
                    <a:ln>
                      <a:noFill/>
                    </a:ln>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rPr>
        <w:t>Atterberg</w:t>
      </w:r>
      <w:r>
        <w:rPr>
          <w:b/>
          <w:bCs/>
        </w:rPr>
        <w:t xml:space="preserve"> limit process</w:t>
      </w:r>
    </w:p>
    <w:p>
      <w:pPr>
        <w:pStyle w:val="style0"/>
        <w:rPr/>
      </w:pPr>
    </w:p>
    <w:p>
      <w:pPr>
        <w:pStyle w:val="style0"/>
        <w:rPr/>
      </w:pPr>
    </w:p>
    <w:p>
      <w:pPr>
        <w:pStyle w:val="style0"/>
        <w:rPr/>
      </w:pPr>
    </w:p>
    <w:p>
      <w:pPr>
        <w:pStyle w:val="style0"/>
        <w:rPr/>
      </w:pPr>
    </w:p>
    <w:p>
      <w:pPr>
        <w:pStyle w:val="style0"/>
        <w:rPr/>
      </w:pPr>
    </w:p>
    <w:sectPr>
      <w:pgSz w:w="12240" w:h="15840" w:orient="portrait"/>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1"/>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2"/>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3"/>
    <w:multiLevelType w:val="hybridMultilevel"/>
    <w:tmpl w:val="65A2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B52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A3A2E26"/>
    <w:lvl w:ilvl="0" w:tplc="A12EFA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8"/>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3"/>
  </w:num>
  <w:num w:numId="5">
    <w:abstractNumId w:val="2"/>
  </w:num>
  <w:num w:numId="6">
    <w:abstractNumId w:val="7"/>
  </w:num>
  <w:num w:numId="7">
    <w:abstractNumId w:val="1"/>
  </w:num>
  <w:num w:numId="8">
    <w:abstractNumId w:val="9"/>
  </w:num>
  <w:num w:numId="9">
    <w:abstractNumId w:val="10"/>
  </w:num>
  <w:num w:numId="10">
    <w:abstractNumId w:val="12"/>
  </w:num>
  <w:num w:numId="11">
    <w:abstractNumId w:val="6"/>
  </w:num>
  <w:num w:numId="12">
    <w:abstractNumId w:val="5"/>
  </w:num>
  <w:num w:numId="13">
    <w:abstractNumId w:val="3"/>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544697f7-ff90-4760-a4b9-f5eed1a687b1"/>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2611aac9-6cb6-4604-b5ea-82c4dee93704"/>
    <w:basedOn w:val="style65"/>
    <w:next w:val="style4098"/>
    <w:link w:val="style32"/>
    <w:uiPriority w:val="99"/>
    <w:rPr>
      <w:rFonts w:ascii="Calibri" w:cs="Times New Roman" w:eastAsia="SimSun" w:hAnsi="Calibri"/>
      <w:lang w:eastAsia="zh-CN"/>
    </w:rPr>
  </w:style>
  <w:style w:type="paragraph" w:styleId="style157">
    <w:name w:val="No Spacing"/>
    <w:next w:val="style157"/>
    <w:qFormat/>
    <w:uiPriority w:val="1"/>
    <w:pPr>
      <w:spacing w:after="0" w:lineRule="auto" w:line="240"/>
    </w:pPr>
    <w:rPr>
      <w:rFonts w:cs="Times New Roman"/>
    </w:rPr>
  </w:style>
  <w:style w:type="paragraph" w:customStyle="1" w:styleId="style4099">
    <w:name w:val="paragraph"/>
    <w:basedOn w:val="style0"/>
    <w:next w:val="style4099"/>
    <w:pPr>
      <w:spacing w:before="100" w:beforeAutospacing="true" w:after="100" w:afterAutospacing="true" w:lineRule="auto" w:line="240"/>
    </w:pPr>
    <w:rPr>
      <w:rFonts w:ascii="Times New Roman" w:eastAsia="Times New Roman" w:hAnsi="Times New Roman"/>
      <w:sz w:val="24"/>
      <w:szCs w:val="24"/>
      <w:lang w:eastAsia="en-US"/>
    </w:rPr>
  </w:style>
  <w:style w:type="character" w:customStyle="1" w:styleId="style4100">
    <w:name w:val="citation"/>
    <w:next w:val="style4100"/>
  </w:style>
  <w:style w:type="character" w:customStyle="1" w:styleId="style4101">
    <w:name w:val="citation-link"/>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table" w:styleId="style154">
    <w:name w:val="Table Grid"/>
    <w:basedOn w:val="style105"/>
    <w:next w:val="style154"/>
    <w:uiPriority w:val="39"/>
    <w:pPr>
      <w:spacing w:after="0" w:lineRule="auto" w:line="240"/>
    </w:pPr>
    <w:rPr>
      <w:rFonts w:cs="Times New Roman"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74">
    <w:name w:val="Subtitle"/>
    <w:basedOn w:val="style0"/>
    <w:next w:val="style0"/>
    <w:link w:val="style4102"/>
    <w:qFormat/>
    <w:uiPriority w:val="11"/>
    <w:pPr>
      <w:numPr>
        <w:ilvl w:val="1"/>
        <w:numId w:val="0"/>
      </w:numPr>
      <w:spacing w:after="160" w:lineRule="auto" w:line="259"/>
    </w:pPr>
    <w:rPr>
      <w:rFonts w:cs="SimSun"/>
      <w:color w:val="5a5a5a"/>
      <w:spacing w:val="15"/>
      <w:lang w:eastAsia="en-US"/>
    </w:rPr>
  </w:style>
  <w:style w:type="character" w:customStyle="1" w:styleId="style4102">
    <w:name w:val="Subtitle Char"/>
    <w:basedOn w:val="style65"/>
    <w:next w:val="style4102"/>
    <w:link w:val="style74"/>
    <w:uiPriority w:val="11"/>
    <w:rPr>
      <w:rFonts w:eastAsia="SimSun"/>
      <w:color w:val="5a5a5a"/>
      <w:spacing w:val="15"/>
    </w:rPr>
  </w:style>
  <w:style w:type="paragraph" w:styleId="style179">
    <w:name w:val="List Paragraph"/>
    <w:basedOn w:val="style0"/>
    <w:next w:val="style179"/>
    <w:qFormat/>
    <w:uiPriority w:val="34"/>
    <w:pPr>
      <w:spacing w:after="160" w:lineRule="auto" w:line="259"/>
      <w:ind w:left="720"/>
      <w:contextualSpacing/>
    </w:pPr>
    <w:rPr>
      <w:rFonts w:cs="SimSun" w:eastAsia="Calibri"/>
      <w:lang w:eastAsia="en-US"/>
    </w:rPr>
  </w:style>
  <w:style w:type="character" w:styleId="style88">
    <w:name w:val="Emphasis"/>
    <w:basedOn w:val="style65"/>
    <w:next w:val="style88"/>
    <w:qFormat/>
    <w:uiPriority w:val="20"/>
    <w:rPr>
      <w:i/>
      <w:iCs/>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4">
    <w:name w:val="List Table 2"/>
    <w:basedOn w:val="style105"/>
    <w:next w:val="style4104"/>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SimSun" w:hAnsi="Tahoma"/>
      <w:sz w:val="16"/>
      <w:szCs w:val="16"/>
      <w:lang w:eastAsia="zh-CN"/>
    </w:rPr>
  </w:style>
  <w:style w:type="paragraph" w:styleId="style66">
    <w:name w:val="Body Text"/>
    <w:basedOn w:val="style0"/>
    <w:next w:val="style66"/>
    <w:link w:val="style4106"/>
    <w:qFormat/>
    <w:uiPriority w:val="1"/>
    <w:pPr/>
    <w:rPr>
      <w:i/>
      <w:sz w:val="26"/>
      <w:szCs w:val="26"/>
    </w:rPr>
  </w:style>
  <w:style w:type="character" w:customStyle="1" w:styleId="style4106">
    <w:name w:val="Body Text Char"/>
    <w:basedOn w:val="style65"/>
    <w:next w:val="style4106"/>
    <w:link w:val="style66"/>
    <w:uiPriority w:val="1"/>
    <w:rPr>
      <w:rFonts w:cs="Times New Roman" w:eastAsia="SimSun"/>
      <w:i/>
      <w:sz w:val="26"/>
      <w:szCs w:val="26"/>
      <w:lang w:eastAsia="zh-CN"/>
    </w:rPr>
  </w:style>
</w:styles>
</file>

<file path=word/_rels/document.xml.rels><?xml version="1.0" encoding="UTF-8"?>
<Relationships xmlns="http://schemas.openxmlformats.org/package/2006/relationships"><Relationship Id="rId20" Type="http://schemas.openxmlformats.org/officeDocument/2006/relationships/image" Target="media/image10.jpeg"/><Relationship Id="rId22" Type="http://schemas.openxmlformats.org/officeDocument/2006/relationships/image" Target="media/image12.jpeg"/><Relationship Id="rId21" Type="http://schemas.openxmlformats.org/officeDocument/2006/relationships/image" Target="media/image11.jpeg"/><Relationship Id="rId24" Type="http://schemas.openxmlformats.org/officeDocument/2006/relationships/image" Target="media/image14.jpeg"/><Relationship Id="rId23"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chart" Target="charts/chart7.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chart" Target="charts/chart3.xml"/><Relationship Id="rId6" Type="http://schemas.openxmlformats.org/officeDocument/2006/relationships/chart" Target="charts/chart4.xml"/><Relationship Id="rId29" Type="http://schemas.openxmlformats.org/officeDocument/2006/relationships/customXml" Target="../customXml/item1.xml"/><Relationship Id="rId7" Type="http://schemas.openxmlformats.org/officeDocument/2006/relationships/chart" Target="charts/chart5.xml"/><Relationship Id="rId8"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chart" Target="charts/chart8.xml"/><Relationship Id="rId13" Type="http://schemas.openxmlformats.org/officeDocument/2006/relationships/image" Target="media/image3.jpeg"/><Relationship Id="rId12" Type="http://schemas.openxmlformats.org/officeDocument/2006/relationships/oleObject" Target="embeddings/oleObject1.bin"/><Relationship Id="rId15" Type="http://schemas.openxmlformats.org/officeDocument/2006/relationships/image" Target="media/image5.jpeg"/><Relationship Id="rId14" Type="http://schemas.openxmlformats.org/officeDocument/2006/relationships/image" Target="media/image4.jpeg"/><Relationship Id="rId17" Type="http://schemas.openxmlformats.org/officeDocument/2006/relationships/image" Target="media/image7.jpeg"/><Relationship Id="rId16" Type="http://schemas.openxmlformats.org/officeDocument/2006/relationships/image" Target="media/image6.jpeg"/><Relationship Id="rId19" Type="http://schemas.openxmlformats.org/officeDocument/2006/relationships/image" Target="media/image9.jpeg"/><Relationship Id="rId18" Type="http://schemas.openxmlformats.org/officeDocument/2006/relationships/image" Target="media/image8.jpeg"/></Relationships>
</file>

<file path=word/charts/_rels/chart1.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2.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3.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4.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855849599532756"/>
          <c:h val="0.7548790007806405"/>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97.4</c:v>
                </c:pt>
                <c:pt idx="1">
                  <c:v>97.4</c:v>
                </c:pt>
                <c:pt idx="2">
                  <c:v>81.7</c:v>
                </c:pt>
                <c:pt idx="3">
                  <c:v>69.2</c:v>
                </c:pt>
                <c:pt idx="4">
                  <c:v>40.2</c:v>
                </c:pt>
                <c:pt idx="5">
                  <c:v>10.5</c:v>
                </c:pt>
                <c:pt idx="6">
                  <c:v>8.9</c:v>
                </c:pt>
                <c:pt idx="7">
                  <c:v>8.8</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1266371554301995"/>
                  <c:y val="-0.07479712576911496"/>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7070659586818953"/>
                  <c:y val="0.02411010099147431"/>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00732201554861"/>
                  <c:y val="0.02606182423918322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684568092489121"/>
                  <c:y val="-0.025928808079317956"/>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12280401856148"/>
                  <c:y val="0.02411010099147431"/>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854228024753353"/>
                  <c:y val="0.027232661491084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971918028563948"/>
                  <c:y val="0.0272326614910841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703241131493577"/>
                  <c:y val="0.02918438473879288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58318999134606"/>
                  <c:y val="0.02293926373957356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7047048223449692"/>
                  <c:y val="0.026061824239183226"/>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705116745074438"/>
                  <c:y val="0.022939263739573564"/>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900" b="1" i="0" u="none" strike="noStrike" baseline="0">
                        <a:solidFill>
                          <a:srgbClr val="000000"/>
                        </a:solidFill>
                        <a:latin typeface="Arial"/>
                        <a:ea typeface="Arial"/>
                        <a:cs typeface="Arial"/>
                      </a:defRPr>
                    </a:pPr>
                    <a:r>
                      <a:rPr lang="en-US" sz="9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900" b="1" i="0" u="none" strike="noStrike" baseline="0">
                        <a:solidFill>
                          <a:srgbClr val="000000"/>
                        </a:solidFill>
                        <a:latin typeface="Arial"/>
                        <a:ea typeface="Arial"/>
                        <a:cs typeface="Arial"/>
                      </a:defRPr>
                    </a:pPr>
                    <a:r>
                      <a:rPr lang="en-US" sz="9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900" b="1" i="0" u="none" strike="noStrike" baseline="0">
                        <a:solidFill>
                          <a:srgbClr val="000000"/>
                        </a:solidFill>
                        <a:latin typeface="Arial"/>
                        <a:ea typeface="Arial"/>
                        <a:cs typeface="Arial"/>
                      </a:defRPr>
                    </a:pPr>
                    <a:r>
                      <a:rPr lang="en-US" sz="9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97.4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9145216"/>
        <c:axId val="139147904"/>
      </c:scatterChart>
      <c:valAx>
        <c:axId val="1391452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9147904"/>
        <c:crossesAt val="-40.0"/>
        <c:crossBetween val="midCat"/>
      </c:valAx>
      <c:valAx>
        <c:axId val="13914790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2745376963"/>
              <c:y val="0.41569086651053866"/>
            </c:manualLayout>
          </c:layout>
          <c:overlay val="0"/>
          <c:spPr>
            <a:noFill/>
            <a:ln w="25400">
              <a:noFill/>
            </a:ln>
          </c:spPr>
        </c:title>
        <c:numFmt formatCode="General" sourceLinked="1"/>
        <c:majorTickMark val="none"/>
        <c:minorTickMark val="in"/>
        <c:tickLblPos val="none"/>
        <c:spPr>
          <a:ln w="9525">
            <a:noFill/>
          </a:ln>
        </c:spPr>
        <c:crossAx val="1391452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775229843017793"/>
          <c:h val="0.7467253827751459"/>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370407267220111"/>
                  <c:y val="-0.0802788115922950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5654986139739854"/>
                      <c:h val="0.02246139336735299"/>
                    </c:manualLayout>
                  </c15:layout>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424590166686917"/>
                  <c:y val="0.024110005298261933"/>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0732391481130962"/>
                  <c:y val="0.02293920810947001"/>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464964855439698"/>
                  <c:y val="-0.02318804297742899"/>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597872801261305"/>
                  <c:y val="0.026850857703359845"/>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0487932646915134"/>
                  <c:y val="0.024110005298261933"/>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1750791794994665"/>
                  <c:y val="0.024110005298261933"/>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048569396165023"/>
                  <c:y val="0.0229392081094700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079284157999693"/>
                  <c:y val="0.02293920810947001"/>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2416112265588804"/>
                  <c:y val="0.02568006051456809"/>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343359471849387"/>
                  <c:y val="0.02568006051456809"/>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28664704"/>
        <c:axId val="128667008"/>
      </c:scatterChart>
      <c:valAx>
        <c:axId val="128664704"/>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28667008"/>
        <c:crossesAt val="-40.0"/>
        <c:crossBetween val="midCat"/>
      </c:valAx>
      <c:valAx>
        <c:axId val="128667008"/>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3126526238"/>
              <c:y val="0.31647278326865413"/>
            </c:manualLayout>
          </c:layout>
          <c:overlay val="0"/>
          <c:spPr>
            <a:noFill/>
            <a:ln w="25400">
              <a:noFill/>
            </a:ln>
          </c:spPr>
        </c:title>
        <c:numFmt formatCode="General" sourceLinked="1"/>
        <c:majorTickMark val="none"/>
        <c:minorTickMark val="in"/>
        <c:tickLblPos val="none"/>
        <c:spPr>
          <a:ln w="9525">
            <a:noFill/>
          </a:ln>
        </c:spPr>
        <c:crossAx val="128664704"/>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417344101788002"/>
          <c:h val="0.793300341740277"/>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98.4</c:v>
                </c:pt>
                <c:pt idx="1">
                  <c:v>94.6</c:v>
                </c:pt>
                <c:pt idx="2">
                  <c:v>80.8</c:v>
                </c:pt>
                <c:pt idx="3">
                  <c:v>67.5</c:v>
                </c:pt>
                <c:pt idx="4">
                  <c:v>67.5</c:v>
                </c:pt>
                <c:pt idx="5">
                  <c:v>9.6</c:v>
                </c:pt>
                <c:pt idx="6">
                  <c:v>8.4</c:v>
                </c:pt>
                <c:pt idx="7">
                  <c:v>6.0</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50555043675252"/>
                  <c:y val="-0.0747970564126265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881782853280283"/>
                  <c:y val="0.02411019253342348"/>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1639087398183565"/>
                  <c:y val="0.02001901536289558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386963126798726"/>
                      <c:h val="0.033129038896419154"/>
                    </c:manualLayout>
                  </c15:layout>
                  <c15:showDataLabelsRange val="0"/>
                </c:ext>
              </c:extLst>
            </c:dLbl>
            <c:dLbl>
              <c:idx val="22"/>
              <c:layout>
                <c:manualLayout>
                  <c:x val="-0.06933663184794811"/>
                  <c:y val="-0.02884908768795494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5913863475292479"/>
                  <c:y val="0.02995046118578146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0982628193449"/>
                  <c:y val="0.027030326859602487"/>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486267461329734"/>
                  <c:y val="0.0241101925334234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947573045449039"/>
                  <c:y val="0.0229391496890746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978289696414433"/>
                  <c:y val="0.02293914968907461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848640598514871"/>
                  <c:y val="0.02293914968907461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662236969995515"/>
                  <c:y val="0.02293914968907461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b="1"/>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b="1"/>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b="1"/>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98.4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1072768"/>
        <c:axId val="131075072"/>
      </c:scatterChart>
      <c:valAx>
        <c:axId val="131072768"/>
        <c:scaling>
          <c:logBase val="10.0"/>
          <c:orientation val="minMax"/>
          <c:max val="1000.0"/>
          <c:min val="1.0000000000000025E-4"/>
        </c:scaling>
        <c:delete val="0"/>
        <c:axPos val="b"/>
        <c:title>
          <c:tx>
            <c:rich>
              <a:bodyPr/>
              <a:lstStyle/>
              <a:p>
                <a:pPr>
                  <a:defRPr sz="900" b="1" i="0" u="none" strike="noStrike" baseline="0">
                    <a:solidFill>
                      <a:srgbClr val="000000"/>
                    </a:solidFill>
                    <a:latin typeface="Arial"/>
                    <a:ea typeface="Arial"/>
                    <a:cs typeface="Arial"/>
                  </a:defRPr>
                </a:pPr>
                <a:r>
                  <a:rPr lang="en-US" sz="9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1075072"/>
        <c:crossesAt val="-40.0"/>
        <c:crossBetween val="midCat"/>
      </c:valAx>
      <c:valAx>
        <c:axId val="131075072"/>
        <c:scaling>
          <c:orientation val="minMax"/>
          <c:max val="110.0"/>
          <c:min val="-40.0"/>
        </c:scaling>
        <c:delete val="0"/>
        <c:axPos val="l"/>
        <c:title>
          <c:tx>
            <c:rich>
              <a:bodyPr/>
              <a:lstStyle/>
              <a:p>
                <a:pPr>
                  <a:defRPr sz="1425" b="1" i="0" u="none" strike="noStrike" baseline="0">
                    <a:solidFill>
                      <a:srgbClr val="000000"/>
                    </a:solidFill>
                    <a:latin typeface="Arial"/>
                    <a:ea typeface="Arial"/>
                    <a:cs typeface="Arial"/>
                  </a:defRPr>
                </a:pPr>
                <a:r>
                  <a:rPr lang="en-US"/>
                  <a:t>Percentage </a:t>
                </a:r>
                <a:r>
                  <a:rPr lang="en-US" sz="1000"/>
                  <a:t>Finer</a:t>
                </a:r>
                <a:r>
                  <a:rPr lang="en-US"/>
                  <a:t>  (%)</a:t>
                </a:r>
              </a:p>
            </c:rich>
          </c:tx>
          <c:layout>
            <c:manualLayout>
              <c:xMode val="edge"/>
              <c:yMode val="edge"/>
              <c:x val="0.02964298395445199"/>
              <c:y val="0.263320281906359"/>
            </c:manualLayout>
          </c:layout>
          <c:overlay val="0"/>
          <c:spPr>
            <a:noFill/>
            <a:ln w="25400">
              <a:noFill/>
            </a:ln>
          </c:spPr>
        </c:title>
        <c:numFmt formatCode="General" sourceLinked="1"/>
        <c:majorTickMark val="none"/>
        <c:minorTickMark val="in"/>
        <c:tickLblPos val="none"/>
        <c:spPr>
          <a:ln w="9525">
            <a:noFill/>
          </a:ln>
        </c:spPr>
        <c:crossAx val="131072768"/>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8270887442481929"/>
          <c:y val="0.16510545687846817"/>
          <c:w val="0.8606552159000419"/>
          <c:h val="0.7684570612231236"/>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7367420987533"/>
                  <c:y val="-0.0774597257355879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636042804824627"/>
                  <c:y val="0.02411015025731279"/>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361817438052346"/>
                  <c:y val="0.025601925574773754"/>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7018463877075312"/>
                  <c:y val="-0.0312543178141876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44649033841577"/>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79196429219793"/>
                  <c:y val="0.02144738897386198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6001340979011503"/>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578966477945253"/>
                  <c:y val="0.022939164291322776"/>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455978854164915"/>
                  <c:y val="0.025601925574773754"/>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464608078309314"/>
                  <c:y val="0.022939164291322776"/>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577901440463199"/>
                  <c:y val="0.022939164291322776"/>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34268416"/>
        <c:axId val="138993664"/>
      </c:scatterChart>
      <c:valAx>
        <c:axId val="1342684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8993664"/>
        <c:crossesAt val="-40.0"/>
        <c:crossBetween val="midCat"/>
      </c:valAx>
      <c:valAx>
        <c:axId val="13899366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1179937026070907"/>
              <c:y val="0.26332048745154935"/>
            </c:manualLayout>
          </c:layout>
          <c:overlay val="0"/>
          <c:spPr>
            <a:noFill/>
            <a:ln w="25400">
              <a:noFill/>
            </a:ln>
          </c:spPr>
        </c:title>
        <c:numFmt formatCode="General" sourceLinked="1"/>
        <c:majorTickMark val="none"/>
        <c:minorTickMark val="in"/>
        <c:tickLblPos val="none"/>
        <c:spPr>
          <a:ln w="9525">
            <a:noFill/>
          </a:ln>
        </c:spPr>
        <c:crossAx val="1342684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Liquid Limit A1</a:t>
            </a:r>
          </a:p>
        </c:rich>
      </c:tx>
      <c:layout>
        <c:manualLayout>
          <c:xMode val="edge"/>
          <c:yMode val="edge"/>
          <c:x val="0.38575678040245004"/>
          <c:y val="0.05045871559633029"/>
        </c:manualLayout>
      </c:layout>
      <c:overlay val="0"/>
      <c:spPr>
        <a:noFill/>
        <a:ln>
          <a:noFill/>
        </a:ln>
        <a:effectLst/>
      </c:spPr>
    </c:title>
    <c:autoTitleDeleted val="0"/>
    <c:view3D>
      <c:rotX val="15"/>
      <c:rotY val="20"/>
      <c:rAngAx val="0"/>
    </c:view3D>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olid"/>
              </a:ln>
              <a:effectLst/>
            </c:spPr>
            <c:trendlineType val="log"/>
          </c:trendline>
          <c:trendline>
            <c:spPr>
              <a:ln w="19050" cap="rnd">
                <a:solidFill>
                  <a:schemeClr val="accent1"/>
                </a:solidFill>
                <a:prstDash val="sysDot"/>
              </a:ln>
              <a:effectLst/>
            </c:spPr>
            <c:trendlineType val="log"/>
          </c:trendline>
          <c:trendline>
            <c:spPr>
              <a:ln w="19050" cap="rnd">
                <a:solidFill>
                  <a:schemeClr val="accent1"/>
                </a:solidFill>
                <a:prstDash val="sysDot"/>
              </a:ln>
              <a:effectLst/>
            </c:spPr>
            <c:trendlineType val="log"/>
          </c:trendline>
          <c:trendline>
            <c:spPr>
              <a:ln w="25400" cap="rnd">
                <a:solidFill>
                  <a:srgbClr val="FFFF00"/>
                </a:solidFill>
                <a:prstDash val="sysDot"/>
              </a:ln>
              <a:effectLst/>
            </c:spPr>
            <c:trendlineType val="log"/>
          </c:trendline>
          <c:trendline>
            <c:spPr>
              <a:ln w="19050" cap="rnd">
                <a:solidFill>
                  <a:schemeClr val="accent1"/>
                </a:solidFill>
                <a:prstDash val="sysDot"/>
              </a:ln>
              <a:effectLst/>
            </c:spPr>
            <c:trendlineType val="linear"/>
            <c:dispEq val="1"/>
            <c:trendlineLbl>
              <c:layout>
                <c:manualLayout>
                  <c:x val="0.22106846019247617"/>
                  <c:y val="-0.2601325579715377"/>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Sheet1!$B$21:$B$26</c:f>
              <c:numCache>
                <c:formatCode>General</c:formatCode>
                <c:ptCount val="6"/>
                <c:pt idx="0">
                  <c:v>37.0</c:v>
                </c:pt>
                <c:pt idx="1">
                  <c:v>24.0</c:v>
                </c:pt>
                <c:pt idx="2">
                  <c:v>30.0</c:v>
                </c:pt>
                <c:pt idx="3">
                  <c:v>28.0</c:v>
                </c:pt>
                <c:pt idx="4">
                  <c:v>24.0</c:v>
                </c:pt>
                <c:pt idx="5">
                  <c:v>20.0</c:v>
                </c:pt>
              </c:numCache>
            </c:numRef>
          </c:xVal>
          <c:yVal>
            <c:numRef>
              <c:f>Sheet1!$C$21:$C$26</c:f>
              <c:numCache>
                <c:formatCode>General</c:formatCode>
                <c:ptCount val="6"/>
                <c:pt idx="0">
                  <c:v>25.0</c:v>
                </c:pt>
                <c:pt idx="1">
                  <c:v>27.27</c:v>
                </c:pt>
                <c:pt idx="2">
                  <c:v>30.0</c:v>
                </c:pt>
                <c:pt idx="3">
                  <c:v>17.86</c:v>
                </c:pt>
                <c:pt idx="4">
                  <c:v>24.0</c:v>
                </c:pt>
                <c:pt idx="5">
                  <c:v>26.0</c:v>
                </c:pt>
              </c:numCache>
            </c:numRef>
          </c:yVal>
          <c:smooth val="1"/>
        </c:ser>
        <c:dLbls>
          <c:showLegendKey val="0"/>
          <c:showVal val="0"/>
          <c:showCatName val="0"/>
          <c:showSerName val="0"/>
          <c:showPercent val="0"/>
          <c:showBubbleSize val="0"/>
        </c:dLbls>
        <c:axId val="139855360"/>
        <c:axId val="139857280"/>
      </c:scatterChart>
      <c:scatterChart>
        <c:scatterStyle val="smoothMarker"/>
        <c:varyColors val="0"/>
        <c:ser>
          <c:idx val="1"/>
          <c:order val="1"/>
          <c:spPr>
            <a:ln w="19050" cap="rnd">
              <a:solidFill>
                <a:schemeClr val="tx1"/>
              </a:solidFill>
              <a:round/>
              <a:headEnd type="stealth"/>
            </a:ln>
            <a:effectLst/>
          </c:spPr>
          <c:marker>
            <c:symbol val="none"/>
          </c:marker>
          <c:xVal>
            <c:numRef>
              <c:f>Sheet1!$G$35:$G$36</c:f>
              <c:numCache>
                <c:formatCode>General</c:formatCode>
                <c:ptCount val="2"/>
                <c:pt idx="0">
                  <c:v>1.0</c:v>
                </c:pt>
                <c:pt idx="1">
                  <c:v>25.0</c:v>
                </c:pt>
              </c:numCache>
            </c:numRef>
          </c:xVal>
          <c:yVal>
            <c:numRef>
              <c:f>Sheet1!$H$35:$H$36</c:f>
              <c:numCache>
                <c:formatCode>General</c:formatCode>
                <c:ptCount val="2"/>
                <c:pt idx="0">
                  <c:v>25.058</c:v>
                </c:pt>
                <c:pt idx="1">
                  <c:v>25.058</c:v>
                </c:pt>
              </c:numCache>
            </c:numRef>
          </c:yVal>
          <c:smooth val="1"/>
        </c:ser>
        <c:ser>
          <c:idx val="2"/>
          <c:order val="2"/>
          <c:spPr>
            <a:ln w="19050" cap="rnd">
              <a:solidFill>
                <a:schemeClr val="tx1"/>
              </a:solidFill>
              <a:round/>
              <a:headEnd type="stealth"/>
            </a:ln>
            <a:effectLst/>
          </c:spPr>
          <c:marker>
            <c:symbol val="none"/>
          </c:marker>
          <c:xVal>
            <c:numRef>
              <c:f>Sheet1!$J$35:$J$36</c:f>
              <c:numCache>
                <c:formatCode>General</c:formatCode>
                <c:ptCount val="2"/>
                <c:pt idx="0">
                  <c:v>25.0</c:v>
                </c:pt>
                <c:pt idx="1">
                  <c:v>25.0</c:v>
                </c:pt>
              </c:numCache>
            </c:numRef>
          </c:xVal>
          <c:yVal>
            <c:numRef>
              <c:f>Sheet1!$K$35:$K$36</c:f>
              <c:numCache>
                <c:formatCode>General</c:formatCode>
                <c:ptCount val="2"/>
                <c:pt idx="0">
                  <c:v>15.0</c:v>
                </c:pt>
                <c:pt idx="1">
                  <c:v>25.058</c:v>
                </c:pt>
              </c:numCache>
            </c:numRef>
          </c:yVal>
          <c:smooth val="1"/>
        </c:ser>
        <c:dLbls>
          <c:showLegendKey val="0"/>
          <c:showVal val="0"/>
          <c:showCatName val="0"/>
          <c:showSerName val="0"/>
          <c:showPercent val="0"/>
          <c:showBubbleSize val="0"/>
        </c:dLbls>
        <c:axId val="139855360"/>
        <c:axId val="139857280"/>
      </c:scatterChart>
      <c:valAx>
        <c:axId val="139855360"/>
        <c:scaling>
          <c:logBase val="10.0"/>
          <c:orientation val="minMax"/>
          <c:min val="1.0"/>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7280"/>
        <c:crosses val="autoZero"/>
        <c:crossBetween val="midCat"/>
      </c:valAx>
      <c:valAx>
        <c:axId val="139857280"/>
        <c:scaling>
          <c:orientation val="minMax"/>
          <c:max val="30.0"/>
          <c:min val="1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5360"/>
        <c:crosses val="autoZero"/>
        <c:crossBetween val="midCat"/>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LIQUID</a:t>
            </a:r>
            <a:r>
              <a:rPr lang="en-US" b="1" baseline="0"/>
              <a:t> LIMIT A2</a:t>
            </a:r>
            <a:endParaRPr lang="en-US" b="1"/>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2655249343832032"/>
                  <c:y val="-0.591879966617076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Sheet2!$A$15:$A$20</c:f>
              <c:numCache>
                <c:formatCode>General</c:formatCode>
                <c:ptCount val="6"/>
                <c:pt idx="0">
                  <c:v>40.0</c:v>
                </c:pt>
                <c:pt idx="1">
                  <c:v>36.0</c:v>
                </c:pt>
                <c:pt idx="2">
                  <c:v>30.0</c:v>
                </c:pt>
                <c:pt idx="3">
                  <c:v>25.0</c:v>
                </c:pt>
                <c:pt idx="4">
                  <c:v>20.0</c:v>
                </c:pt>
                <c:pt idx="5">
                  <c:v>18.0</c:v>
                </c:pt>
              </c:numCache>
            </c:numRef>
          </c:xVal>
          <c:yVal>
            <c:numRef>
              <c:f>Sheet2!$B$15:$B$20</c:f>
              <c:numCache>
                <c:formatCode>General</c:formatCode>
                <c:ptCount val="6"/>
                <c:pt idx="0">
                  <c:v>27.01</c:v>
                </c:pt>
                <c:pt idx="1">
                  <c:v>30.84</c:v>
                </c:pt>
                <c:pt idx="2">
                  <c:v>27.27</c:v>
                </c:pt>
                <c:pt idx="3">
                  <c:v>45.45</c:v>
                </c:pt>
                <c:pt idx="4">
                  <c:v>83.33</c:v>
                </c:pt>
                <c:pt idx="5">
                  <c:v>50.0</c:v>
                </c:pt>
              </c:numCache>
            </c:numRef>
          </c:yVal>
          <c:smooth val="0"/>
        </c:ser>
        <c:ser>
          <c:idx val="1"/>
          <c:order val="1"/>
          <c:spPr>
            <a:ln w="19050" cap="rnd">
              <a:solidFill>
                <a:schemeClr val="tx1"/>
              </a:solidFill>
              <a:round/>
              <a:headEnd type="stealth"/>
            </a:ln>
            <a:effectLst/>
          </c:spPr>
          <c:marker>
            <c:symbol val="none"/>
          </c:marker>
          <c:xVal>
            <c:numRef>
              <c:f>Sheet2!$H$20:$H$21</c:f>
              <c:numCache>
                <c:formatCode>General</c:formatCode>
                <c:ptCount val="2"/>
                <c:pt idx="0">
                  <c:v>1.0</c:v>
                </c:pt>
                <c:pt idx="1">
                  <c:v>25.0</c:v>
                </c:pt>
              </c:numCache>
            </c:numRef>
          </c:xVal>
          <c:yVal>
            <c:numRef>
              <c:f>Sheet2!$I$20:$I$21</c:f>
              <c:numCache>
                <c:formatCode>General</c:formatCode>
                <c:ptCount val="2"/>
                <c:pt idx="0">
                  <c:v>49.9205</c:v>
                </c:pt>
                <c:pt idx="1">
                  <c:v>49.9205</c:v>
                </c:pt>
              </c:numCache>
            </c:numRef>
          </c:yVal>
          <c:smooth val="0"/>
        </c:ser>
        <c:ser>
          <c:idx val="2"/>
          <c:order val="2"/>
          <c:spPr>
            <a:ln w="19050" cap="rnd">
              <a:solidFill>
                <a:schemeClr val="tx1"/>
              </a:solidFill>
              <a:round/>
              <a:headEnd type="stealth"/>
            </a:ln>
            <a:effectLst/>
          </c:spPr>
          <c:marker>
            <c:symbol val="none"/>
          </c:marker>
          <c:xVal>
            <c:numRef>
              <c:f>Sheet2!$L$20:$L$21</c:f>
              <c:numCache>
                <c:formatCode>General</c:formatCode>
                <c:ptCount val="2"/>
                <c:pt idx="0">
                  <c:v>25.0</c:v>
                </c:pt>
                <c:pt idx="1">
                  <c:v>25.0</c:v>
                </c:pt>
              </c:numCache>
            </c:numRef>
          </c:xVal>
          <c:yVal>
            <c:numRef>
              <c:f>Sheet2!$M$20:$M$21</c:f>
              <c:numCache>
                <c:formatCode>General</c:formatCode>
                <c:ptCount val="2"/>
                <c:pt idx="0">
                  <c:v>10.0</c:v>
                </c:pt>
                <c:pt idx="1">
                  <c:v>49.9205</c:v>
                </c:pt>
              </c:numCache>
            </c:numRef>
          </c:yVal>
          <c:smooth val="0"/>
        </c:ser>
        <c:dLbls>
          <c:showLegendKey val="0"/>
          <c:showVal val="0"/>
          <c:showCatName val="0"/>
          <c:showSerName val="0"/>
          <c:showPercent val="0"/>
          <c:showBubbleSize val="0"/>
        </c:dLbls>
        <c:axId val="139978240"/>
        <c:axId val="139980160"/>
      </c:scatterChart>
      <c:valAx>
        <c:axId val="139978240"/>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0160"/>
        <c:crosses val="autoZero"/>
        <c:crossBetween val="midCat"/>
      </c:valAx>
      <c:valAx>
        <c:axId val="139980160"/>
        <c:scaling>
          <c:orientation val="minMax"/>
          <c:min val="10.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8240"/>
        <c:crosses val="autoZero"/>
        <c:crossBetween val="midCat"/>
        <c:majorUnit val="1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B1</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Sheet3!$B$15</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006738845144357"/>
                  <c:y val="-0.46863334791484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Sheet3!$A$16:$A$21</c:f>
              <c:numCache>
                <c:formatCode>General</c:formatCode>
                <c:ptCount val="6"/>
                <c:pt idx="0">
                  <c:v>30.0</c:v>
                </c:pt>
                <c:pt idx="1">
                  <c:v>28.0</c:v>
                </c:pt>
                <c:pt idx="2">
                  <c:v>26.0</c:v>
                </c:pt>
                <c:pt idx="3">
                  <c:v>24.0</c:v>
                </c:pt>
                <c:pt idx="4">
                  <c:v>22.0</c:v>
                </c:pt>
                <c:pt idx="5">
                  <c:v>18.0</c:v>
                </c:pt>
              </c:numCache>
            </c:numRef>
          </c:xVal>
          <c:yVal>
            <c:numRef>
              <c:f>Sheet3!$B$16:$B$21</c:f>
              <c:numCache>
                <c:formatCode>General</c:formatCode>
                <c:ptCount val="6"/>
                <c:pt idx="0">
                  <c:v>20.0</c:v>
                </c:pt>
                <c:pt idx="1">
                  <c:v>28.57</c:v>
                </c:pt>
                <c:pt idx="2">
                  <c:v>50.0</c:v>
                </c:pt>
                <c:pt idx="3">
                  <c:v>3.45</c:v>
                </c:pt>
                <c:pt idx="4">
                  <c:v>21.74</c:v>
                </c:pt>
                <c:pt idx="5">
                  <c:v>23.08</c:v>
                </c:pt>
              </c:numCache>
            </c:numRef>
          </c:yVal>
          <c:smooth val="0"/>
        </c:ser>
        <c:dLbls>
          <c:showLegendKey val="0"/>
          <c:showVal val="0"/>
          <c:showCatName val="0"/>
          <c:showSerName val="0"/>
          <c:showPercent val="0"/>
          <c:showBubbleSize val="0"/>
        </c:dLbls>
        <c:axId val="140031872"/>
        <c:axId val="140087296"/>
      </c:scatterChart>
      <c:scatterChart>
        <c:scatterStyle val="smoothMarker"/>
        <c:varyColors val="0"/>
        <c:ser>
          <c:idx val="1"/>
          <c:order val="1"/>
          <c:spPr>
            <a:ln w="19050" cap="rnd">
              <a:solidFill>
                <a:schemeClr val="tx1"/>
              </a:solidFill>
              <a:round/>
              <a:headEnd type="stealth"/>
            </a:ln>
            <a:effectLst/>
          </c:spPr>
          <c:marker>
            <c:symbol val="none"/>
          </c:marker>
          <c:xVal>
            <c:numRef>
              <c:f>Sheet3!$E$29:$E$30</c:f>
              <c:numCache>
                <c:formatCode>General</c:formatCode>
                <c:ptCount val="2"/>
                <c:pt idx="0">
                  <c:v>1.0</c:v>
                </c:pt>
                <c:pt idx="1">
                  <c:v>25.0</c:v>
                </c:pt>
              </c:numCache>
            </c:numRef>
          </c:xVal>
          <c:yVal>
            <c:numRef>
              <c:f>Sheet3!$F$29:$F$30</c:f>
              <c:numCache>
                <c:formatCode>General</c:formatCode>
                <c:ptCount val="2"/>
                <c:pt idx="0">
                  <c:v>24.6665</c:v>
                </c:pt>
                <c:pt idx="1">
                  <c:v>24.6665</c:v>
                </c:pt>
              </c:numCache>
            </c:numRef>
          </c:yVal>
          <c:smooth val="1"/>
        </c:ser>
        <c:ser>
          <c:idx val="2"/>
          <c:order val="2"/>
          <c:spPr>
            <a:ln w="19050" cap="rnd">
              <a:solidFill>
                <a:schemeClr val="tx1"/>
              </a:solidFill>
              <a:round/>
              <a:headEnd type="stealth"/>
            </a:ln>
            <a:effectLst/>
          </c:spPr>
          <c:marker>
            <c:symbol val="none"/>
          </c:marker>
          <c:xVal>
            <c:numRef>
              <c:f>Sheet3!$H$29:$H$30</c:f>
              <c:numCache>
                <c:formatCode>General</c:formatCode>
                <c:ptCount val="2"/>
                <c:pt idx="0">
                  <c:v>25.0</c:v>
                </c:pt>
                <c:pt idx="1">
                  <c:v>25.0</c:v>
                </c:pt>
              </c:numCache>
            </c:numRef>
          </c:xVal>
          <c:yVal>
            <c:numRef>
              <c:f>Sheet3!$I$29:$I$30</c:f>
              <c:numCache>
                <c:formatCode>General</c:formatCode>
                <c:ptCount val="2"/>
                <c:pt idx="0">
                  <c:v>0.0</c:v>
                </c:pt>
                <c:pt idx="1">
                  <c:v>24.6665</c:v>
                </c:pt>
              </c:numCache>
            </c:numRef>
          </c:yVal>
          <c:smooth val="1"/>
        </c:ser>
        <c:dLbls>
          <c:showLegendKey val="0"/>
          <c:showVal val="0"/>
          <c:showCatName val="0"/>
          <c:showSerName val="0"/>
          <c:showPercent val="0"/>
          <c:showBubbleSize val="0"/>
        </c:dLbls>
        <c:axId val="140031872"/>
        <c:axId val="140087296"/>
      </c:scatterChart>
      <c:valAx>
        <c:axId val="140031872"/>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Blows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87296"/>
        <c:crosses val="autoZero"/>
        <c:crossBetween val="midCat"/>
      </c:valAx>
      <c:valAx>
        <c:axId val="140087296"/>
        <c:scaling>
          <c:orientation val="minMax"/>
          <c:max val="5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31872"/>
        <c:crosses val="autoZero"/>
        <c:crossBetween val="midCat"/>
        <c:majorUnit val="1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B2</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Sheet4!$B$14</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18753521434820658"/>
                  <c:y val="-0.495027758626945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Sheet4!$A$15:$A$20</c:f>
              <c:numCache>
                <c:formatCode>General</c:formatCode>
                <c:ptCount val="6"/>
                <c:pt idx="0">
                  <c:v>30.0</c:v>
                </c:pt>
                <c:pt idx="1">
                  <c:v>35.0</c:v>
                </c:pt>
                <c:pt idx="2">
                  <c:v>20.0</c:v>
                </c:pt>
                <c:pt idx="3">
                  <c:v>15.0</c:v>
                </c:pt>
                <c:pt idx="4">
                  <c:v>14.0</c:v>
                </c:pt>
                <c:pt idx="5">
                  <c:v>10.0</c:v>
                </c:pt>
              </c:numCache>
            </c:numRef>
          </c:xVal>
          <c:yVal>
            <c:numRef>
              <c:f>Sheet4!$B$15:$B$20</c:f>
              <c:numCache>
                <c:formatCode>General</c:formatCode>
                <c:ptCount val="6"/>
                <c:pt idx="0">
                  <c:v>6.9</c:v>
                </c:pt>
                <c:pt idx="1">
                  <c:v>18.18</c:v>
                </c:pt>
                <c:pt idx="2">
                  <c:v>25.0</c:v>
                </c:pt>
                <c:pt idx="3">
                  <c:v>33.33</c:v>
                </c:pt>
                <c:pt idx="4">
                  <c:v>25.0</c:v>
                </c:pt>
                <c:pt idx="5">
                  <c:v>20.0</c:v>
                </c:pt>
              </c:numCache>
            </c:numRef>
          </c:yVal>
          <c:smooth val="0"/>
        </c:ser>
        <c:dLbls>
          <c:showLegendKey val="0"/>
          <c:showVal val="0"/>
          <c:showCatName val="0"/>
          <c:showSerName val="0"/>
          <c:showPercent val="0"/>
          <c:showBubbleSize val="0"/>
        </c:dLbls>
        <c:axId val="141302016"/>
        <c:axId val="141324672"/>
      </c:scatterChart>
      <c:scatterChart>
        <c:scatterStyle val="smoothMarker"/>
        <c:varyColors val="0"/>
        <c:ser>
          <c:idx val="1"/>
          <c:order val="1"/>
          <c:spPr>
            <a:ln w="19050" cap="rnd">
              <a:solidFill>
                <a:schemeClr val="tx1"/>
              </a:solidFill>
              <a:round/>
              <a:headEnd type="stealth"/>
            </a:ln>
            <a:effectLst/>
          </c:spPr>
          <c:marker>
            <c:symbol val="none"/>
          </c:marker>
          <c:xVal>
            <c:numRef>
              <c:f>Sheet4!$F$28:$F$29</c:f>
              <c:numCache>
                <c:formatCode>General</c:formatCode>
                <c:ptCount val="2"/>
                <c:pt idx="0">
                  <c:v>1.0</c:v>
                </c:pt>
                <c:pt idx="1">
                  <c:v>25.0</c:v>
                </c:pt>
              </c:numCache>
            </c:numRef>
          </c:xVal>
          <c:yVal>
            <c:numRef>
              <c:f>Sheet4!$G$28:$G$29</c:f>
              <c:numCache>
                <c:formatCode>0.00</c:formatCode>
                <c:ptCount val="2"/>
                <c:pt idx="0">
                  <c:v>19.0655</c:v>
                </c:pt>
                <c:pt idx="1">
                  <c:v>19.0655</c:v>
                </c:pt>
              </c:numCache>
            </c:numRef>
          </c:yVal>
          <c:smooth val="1"/>
        </c:ser>
        <c:ser>
          <c:idx val="2"/>
          <c:order val="2"/>
          <c:spPr>
            <a:ln w="19050" cap="rnd">
              <a:solidFill>
                <a:schemeClr val="tx1"/>
              </a:solidFill>
              <a:round/>
              <a:headEnd type="stealth"/>
            </a:ln>
            <a:effectLst/>
          </c:spPr>
          <c:marker>
            <c:symbol val="none"/>
          </c:marker>
          <c:xVal>
            <c:numRef>
              <c:f>Sheet4!$I$28:$I$29</c:f>
              <c:numCache>
                <c:formatCode>General</c:formatCode>
                <c:ptCount val="2"/>
                <c:pt idx="0">
                  <c:v>25.0</c:v>
                </c:pt>
                <c:pt idx="1">
                  <c:v>25.0</c:v>
                </c:pt>
              </c:numCache>
            </c:numRef>
          </c:xVal>
          <c:yVal>
            <c:numRef>
              <c:f>Sheet4!$J$28:$J$29</c:f>
              <c:numCache>
                <c:formatCode>0.00</c:formatCode>
                <c:ptCount val="2"/>
                <c:pt idx="0" formatCode="General">
                  <c:v>5.0</c:v>
                </c:pt>
                <c:pt idx="1">
                  <c:v>19.0655</c:v>
                </c:pt>
              </c:numCache>
            </c:numRef>
          </c:yVal>
          <c:smooth val="1"/>
        </c:ser>
        <c:dLbls>
          <c:showLegendKey val="0"/>
          <c:showVal val="0"/>
          <c:showCatName val="0"/>
          <c:showSerName val="0"/>
          <c:showPercent val="0"/>
          <c:showBubbleSize val="0"/>
        </c:dLbls>
        <c:axId val="141302016"/>
        <c:axId val="141324672"/>
      </c:scatterChart>
      <c:valAx>
        <c:axId val="141302016"/>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s of Blow</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4672"/>
        <c:crosses val="autoZero"/>
        <c:crossBetween val="midCat"/>
      </c:valAx>
      <c:valAx>
        <c:axId val="141324672"/>
        <c:scaling>
          <c:orientation val="minMax"/>
          <c:min val="5.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020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88C-192F-4E5D-B864-659427A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11249</Words>
  <Pages>75</Pages>
  <Characters>58935</Characters>
  <Application>WPS Office</Application>
  <DocSecurity>0</DocSecurity>
  <Paragraphs>2910</Paragraphs>
  <ScaleCrop>false</ScaleCrop>
  <Company>Grizli777</Company>
  <LinksUpToDate>false</LinksUpToDate>
  <CharactersWithSpaces>70331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2008-11-28T11:00:00Z</dcterms:created>
  <dc:creator>user</dc:creator>
  <lastModifiedBy>Infinix X6517</lastModifiedBy>
  <dcterms:modified xsi:type="dcterms:W3CDTF">2025-07-03T14:48:56Z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fd2dcd55b2654353800bc438bec678ba</vt:lpwstr>
  </property>
</Properties>
</file>