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DC17F" w14:textId="77777777" w:rsidR="00A66BAD" w:rsidRDefault="00A66BAD" w:rsidP="00322954">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t>IMPACT OF AUDITOR’S AUTONOMY AND AUDIT QUALITY ON THE CREDIBILITY OF FINANCIAL REPORTING IN NIGERIA</w:t>
      </w:r>
    </w:p>
    <w:p w14:paraId="370F54DC" w14:textId="0E32967B" w:rsidR="00322954" w:rsidRDefault="00A66BAD" w:rsidP="00322954">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t>(A CASE STUDY OF LISTED CONSUMER FOOD COMPANIES IN NIGERIA)</w:t>
      </w:r>
    </w:p>
    <w:p w14:paraId="45C3A8C7" w14:textId="77777777" w:rsidR="00322954" w:rsidRDefault="00322954" w:rsidP="00322954">
      <w:pPr>
        <w:spacing w:after="0" w:line="360" w:lineRule="auto"/>
        <w:jc w:val="center"/>
        <w:rPr>
          <w:rFonts w:asciiTheme="majorBidi" w:hAnsiTheme="majorBidi" w:cstheme="majorBidi"/>
          <w:b/>
          <w:sz w:val="24"/>
          <w:szCs w:val="24"/>
        </w:rPr>
      </w:pPr>
    </w:p>
    <w:p w14:paraId="05A609F1" w14:textId="77777777" w:rsidR="00322954" w:rsidRDefault="00322954" w:rsidP="007661A8">
      <w:pPr>
        <w:pStyle w:val="NoSpacing"/>
        <w:spacing w:before="240"/>
        <w:rPr>
          <w:rFonts w:asciiTheme="majorBidi" w:hAnsiTheme="majorBidi" w:cstheme="majorBidi"/>
          <w:b/>
          <w:bCs/>
          <w:sz w:val="24"/>
          <w:szCs w:val="24"/>
        </w:rPr>
      </w:pPr>
    </w:p>
    <w:p w14:paraId="4DD8216A" w14:textId="77777777" w:rsidR="00322954" w:rsidRDefault="00322954" w:rsidP="00322954">
      <w:pPr>
        <w:pStyle w:val="NoSpacing"/>
        <w:spacing w:before="240"/>
        <w:jc w:val="center"/>
        <w:rPr>
          <w:rFonts w:asciiTheme="majorBidi" w:hAnsiTheme="majorBidi" w:cstheme="majorBidi"/>
          <w:b/>
          <w:bCs/>
          <w:color w:val="000000" w:themeColor="text1"/>
          <w:sz w:val="24"/>
          <w:szCs w:val="24"/>
        </w:rPr>
      </w:pPr>
      <w:bookmarkStart w:id="0" w:name="_Hlk167758164"/>
      <w:r>
        <w:rPr>
          <w:rFonts w:asciiTheme="majorBidi" w:hAnsiTheme="majorBidi" w:cstheme="majorBidi"/>
          <w:b/>
          <w:bCs/>
          <w:color w:val="000000" w:themeColor="text1"/>
          <w:sz w:val="24"/>
          <w:szCs w:val="24"/>
        </w:rPr>
        <w:t>BY</w:t>
      </w:r>
    </w:p>
    <w:p w14:paraId="7786C88E" w14:textId="77777777" w:rsidR="00322954" w:rsidRDefault="00322954" w:rsidP="00322954">
      <w:pPr>
        <w:pStyle w:val="NoSpacing"/>
        <w:spacing w:before="240"/>
        <w:jc w:val="center"/>
        <w:rPr>
          <w:rFonts w:asciiTheme="majorBidi" w:hAnsiTheme="majorBidi" w:cstheme="majorBidi"/>
          <w:b/>
          <w:bCs/>
          <w:color w:val="000000" w:themeColor="text1"/>
          <w:sz w:val="24"/>
          <w:szCs w:val="24"/>
        </w:rPr>
      </w:pPr>
    </w:p>
    <w:p w14:paraId="08C8E2C1" w14:textId="39703052" w:rsidR="00322954" w:rsidRDefault="007661A8" w:rsidP="00322954">
      <w:pPr>
        <w:pStyle w:val="NoSpacing"/>
        <w:spacing w:before="240"/>
        <w:jc w:val="center"/>
        <w:rPr>
          <w:rFonts w:asciiTheme="majorBidi" w:hAnsiTheme="majorBidi" w:cstheme="majorBidi"/>
          <w:b/>
          <w:bCs/>
          <w:sz w:val="24"/>
          <w:szCs w:val="24"/>
        </w:rPr>
      </w:pPr>
      <w:r>
        <w:rPr>
          <w:rFonts w:asciiTheme="majorBidi" w:hAnsiTheme="majorBidi" w:cstheme="majorBidi"/>
          <w:b/>
          <w:bCs/>
          <w:color w:val="000000" w:themeColor="text1"/>
          <w:sz w:val="24"/>
          <w:szCs w:val="24"/>
        </w:rPr>
        <w:t>SALIMON MUYIDEEN OLAITAN</w:t>
      </w:r>
    </w:p>
    <w:p w14:paraId="1DAFC0A2" w14:textId="31D7AA97" w:rsidR="00322954" w:rsidRDefault="007661A8" w:rsidP="007661A8">
      <w:pPr>
        <w:pStyle w:val="NoSpacing"/>
        <w:spacing w:before="240"/>
        <w:jc w:val="center"/>
        <w:rPr>
          <w:rFonts w:asciiTheme="majorBidi" w:hAnsiTheme="majorBidi" w:cstheme="majorBidi"/>
          <w:b/>
          <w:bCs/>
          <w:sz w:val="24"/>
          <w:szCs w:val="24"/>
        </w:rPr>
      </w:pPr>
      <w:r>
        <w:rPr>
          <w:rFonts w:asciiTheme="majorBidi" w:hAnsiTheme="majorBidi" w:cstheme="majorBidi"/>
          <w:b/>
          <w:bCs/>
          <w:color w:val="000000" w:themeColor="text1"/>
          <w:sz w:val="24"/>
          <w:szCs w:val="24"/>
        </w:rPr>
        <w:t>HND/23</w:t>
      </w:r>
      <w:r w:rsidR="00322954">
        <w:rPr>
          <w:rFonts w:asciiTheme="majorBidi" w:hAnsiTheme="majorBidi" w:cstheme="majorBidi"/>
          <w:b/>
          <w:bCs/>
          <w:color w:val="000000" w:themeColor="text1"/>
          <w:sz w:val="24"/>
          <w:szCs w:val="24"/>
        </w:rPr>
        <w:t>/ACC/FT/</w:t>
      </w:r>
      <w:r>
        <w:rPr>
          <w:rFonts w:asciiTheme="majorBidi" w:hAnsiTheme="majorBidi" w:cstheme="majorBidi"/>
          <w:b/>
          <w:bCs/>
          <w:color w:val="000000" w:themeColor="text1"/>
          <w:sz w:val="24"/>
          <w:szCs w:val="24"/>
        </w:rPr>
        <w:t>0748</w:t>
      </w:r>
    </w:p>
    <w:p w14:paraId="7A7DDB5E" w14:textId="77777777" w:rsidR="00322954" w:rsidRDefault="00322954" w:rsidP="00322954">
      <w:pPr>
        <w:pStyle w:val="NoSpacing"/>
        <w:tabs>
          <w:tab w:val="left" w:pos="4949"/>
        </w:tabs>
        <w:spacing w:after="160" w:line="360"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ab/>
      </w:r>
    </w:p>
    <w:p w14:paraId="4955A128" w14:textId="77777777" w:rsidR="00322954" w:rsidRDefault="00322954" w:rsidP="00322954">
      <w:pPr>
        <w:pStyle w:val="NoSpacing"/>
        <w:tabs>
          <w:tab w:val="left" w:pos="4949"/>
        </w:tabs>
        <w:spacing w:after="160" w:line="360" w:lineRule="auto"/>
        <w:rPr>
          <w:rFonts w:asciiTheme="majorBidi" w:hAnsiTheme="majorBidi" w:cstheme="majorBidi"/>
          <w:b/>
          <w:bCs/>
          <w:color w:val="000000" w:themeColor="text1"/>
          <w:sz w:val="24"/>
          <w:szCs w:val="24"/>
        </w:rPr>
      </w:pPr>
    </w:p>
    <w:p w14:paraId="751446AE" w14:textId="77777777" w:rsidR="00322954" w:rsidRDefault="00322954" w:rsidP="00322954">
      <w:pPr>
        <w:pStyle w:val="NoSpacing"/>
        <w:spacing w:after="160" w:line="36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BEING A RESEARCH PROJECT SUBMITTED TO THE DEPARTMENT OF ACCOUNTANCY, INSTITUTE OF FINANCE AND MANAGEMENT STUDIES</w:t>
      </w:r>
    </w:p>
    <w:p w14:paraId="25E88889" w14:textId="77777777" w:rsidR="00322954" w:rsidRDefault="00322954" w:rsidP="00322954">
      <w:pPr>
        <w:pStyle w:val="NoSpacing"/>
        <w:spacing w:after="160" w:line="360" w:lineRule="auto"/>
        <w:jc w:val="center"/>
        <w:rPr>
          <w:rFonts w:asciiTheme="majorBidi" w:hAnsiTheme="majorBidi" w:cstheme="majorBidi"/>
          <w:b/>
          <w:bCs/>
          <w:color w:val="000000" w:themeColor="text1"/>
          <w:sz w:val="24"/>
          <w:szCs w:val="24"/>
        </w:rPr>
      </w:pPr>
    </w:p>
    <w:p w14:paraId="64CAA50B" w14:textId="77777777" w:rsidR="00322954" w:rsidRDefault="00322954" w:rsidP="00322954">
      <w:pPr>
        <w:pStyle w:val="NoSpacing"/>
        <w:spacing w:after="160" w:line="36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IN PARTIAL FULFILLMENT OF THE REQUIREMENT FOR THE AWARD OF HIGHER NATIONAL DIPLOMA (HND) IN ACCOUNTANCY, KWARA STATE POLYTECHNIC, ILORIN</w:t>
      </w:r>
    </w:p>
    <w:p w14:paraId="4D2A7674" w14:textId="77777777" w:rsidR="00322954" w:rsidRDefault="00322954" w:rsidP="00322954">
      <w:pPr>
        <w:pStyle w:val="NoSpacing"/>
        <w:spacing w:after="160" w:line="360" w:lineRule="auto"/>
        <w:rPr>
          <w:rFonts w:asciiTheme="majorBidi" w:hAnsiTheme="majorBidi" w:cstheme="majorBidi"/>
          <w:b/>
          <w:bCs/>
          <w:color w:val="000000" w:themeColor="text1"/>
          <w:sz w:val="24"/>
          <w:szCs w:val="24"/>
        </w:rPr>
      </w:pPr>
    </w:p>
    <w:p w14:paraId="710F29B6" w14:textId="77777777" w:rsidR="00322954" w:rsidRDefault="00322954" w:rsidP="00322954">
      <w:pPr>
        <w:pStyle w:val="NoSpacing"/>
        <w:spacing w:after="160" w:line="360" w:lineRule="auto"/>
        <w:ind w:firstLine="720"/>
        <w:jc w:val="center"/>
        <w:rPr>
          <w:rFonts w:asciiTheme="majorBidi" w:hAnsiTheme="majorBidi" w:cstheme="majorBidi"/>
          <w:b/>
          <w:bCs/>
          <w:color w:val="000000" w:themeColor="text1"/>
          <w:sz w:val="24"/>
          <w:szCs w:val="24"/>
        </w:rPr>
      </w:pPr>
    </w:p>
    <w:p w14:paraId="6DC028B2" w14:textId="77777777" w:rsidR="00322954" w:rsidRDefault="00322954" w:rsidP="00322954">
      <w:pPr>
        <w:pStyle w:val="NoSpacing"/>
        <w:spacing w:after="160" w:line="360" w:lineRule="auto"/>
        <w:ind w:firstLine="720"/>
        <w:jc w:val="center"/>
        <w:rPr>
          <w:rFonts w:asciiTheme="majorBidi" w:hAnsiTheme="majorBidi" w:cstheme="majorBidi"/>
          <w:b/>
          <w:bCs/>
          <w:color w:val="000000" w:themeColor="text1"/>
          <w:sz w:val="24"/>
          <w:szCs w:val="24"/>
        </w:rPr>
      </w:pPr>
    </w:p>
    <w:p w14:paraId="7FE61EFC" w14:textId="13B8E795" w:rsidR="00322954" w:rsidRDefault="007661A8" w:rsidP="00322954">
      <w:pPr>
        <w:pStyle w:val="NoSpacing"/>
        <w:spacing w:after="160" w:line="360" w:lineRule="auto"/>
        <w:ind w:left="5760" w:firstLine="720"/>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MAY, 2025.</w:t>
      </w:r>
    </w:p>
    <w:p w14:paraId="3A3FA029" w14:textId="77777777" w:rsidR="00322954" w:rsidRDefault="00322954" w:rsidP="00322954">
      <w:pPr>
        <w:pStyle w:val="NoSpacing"/>
        <w:spacing w:line="360" w:lineRule="auto"/>
        <w:jc w:val="both"/>
        <w:rPr>
          <w:rFonts w:asciiTheme="majorBidi" w:hAnsiTheme="majorBidi" w:cstheme="majorBidi"/>
          <w:color w:val="000000" w:themeColor="text1"/>
          <w:sz w:val="24"/>
          <w:szCs w:val="24"/>
        </w:rPr>
      </w:pPr>
    </w:p>
    <w:p w14:paraId="35F00D0D" w14:textId="77777777" w:rsidR="00322954" w:rsidRDefault="00322954" w:rsidP="00322954">
      <w:pPr>
        <w:pStyle w:val="NoSpacing"/>
        <w:spacing w:line="360" w:lineRule="auto"/>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br w:type="page"/>
      </w:r>
      <w:r>
        <w:rPr>
          <w:rFonts w:asciiTheme="majorBidi" w:hAnsiTheme="majorBidi" w:cstheme="majorBidi"/>
          <w:b/>
          <w:bCs/>
          <w:color w:val="000000" w:themeColor="text1"/>
          <w:sz w:val="24"/>
          <w:szCs w:val="24"/>
        </w:rPr>
        <w:lastRenderedPageBreak/>
        <w:t>CERTIFICATION</w:t>
      </w:r>
    </w:p>
    <w:p w14:paraId="5531827D" w14:textId="1C94C413" w:rsidR="00322954" w:rsidRDefault="00322954" w:rsidP="007758C6">
      <w:pPr>
        <w:spacing w:after="0" w:line="360" w:lineRule="auto"/>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 xml:space="preserve">This is to certify that this project was carried out by </w:t>
      </w:r>
      <w:r w:rsidR="007758C6">
        <w:rPr>
          <w:rFonts w:asciiTheme="majorBidi" w:hAnsiTheme="majorBidi" w:cstheme="majorBidi"/>
          <w:color w:val="000000" w:themeColor="text1"/>
          <w:sz w:val="24"/>
          <w:szCs w:val="24"/>
        </w:rPr>
        <w:t>Salimon Muyideen Olaitan</w:t>
      </w:r>
      <w:r>
        <w:rPr>
          <w:rFonts w:asciiTheme="majorBidi" w:hAnsiTheme="majorBidi" w:cstheme="majorBidi"/>
          <w:color w:val="000000" w:themeColor="text1"/>
          <w:sz w:val="24"/>
          <w:szCs w:val="24"/>
        </w:rPr>
        <w:t xml:space="preserve"> matric no HND/</w:t>
      </w:r>
      <w:r w:rsidR="007758C6">
        <w:rPr>
          <w:rFonts w:asciiTheme="majorBidi" w:hAnsiTheme="majorBidi" w:cstheme="majorBidi"/>
          <w:color w:val="000000" w:themeColor="text1"/>
          <w:sz w:val="24"/>
          <w:szCs w:val="24"/>
        </w:rPr>
        <w:t>23</w:t>
      </w:r>
      <w:r>
        <w:rPr>
          <w:rFonts w:asciiTheme="majorBidi" w:hAnsiTheme="majorBidi" w:cstheme="majorBidi"/>
          <w:color w:val="000000" w:themeColor="text1"/>
          <w:sz w:val="24"/>
          <w:szCs w:val="24"/>
        </w:rPr>
        <w:t>/ACC/FT/</w:t>
      </w:r>
      <w:r w:rsidR="007758C6">
        <w:rPr>
          <w:rFonts w:asciiTheme="majorBidi" w:hAnsiTheme="majorBidi" w:cstheme="majorBidi"/>
          <w:color w:val="000000" w:themeColor="text1"/>
          <w:sz w:val="24"/>
          <w:szCs w:val="24"/>
        </w:rPr>
        <w:t>0748</w:t>
      </w:r>
      <w:r>
        <w:rPr>
          <w:rFonts w:asciiTheme="majorBidi" w:hAnsiTheme="majorBidi" w:cstheme="majorBidi"/>
          <w:color w:val="000000" w:themeColor="text1"/>
          <w:sz w:val="24"/>
          <w:szCs w:val="24"/>
        </w:rPr>
        <w:t xml:space="preserve"> has been read and approved as meeting part of the requirement for the Award of Higher National Diploma in Department of Accountancy, Institute of Finance and Management Studies, Kwara State Polytechnic, Ilorin.</w:t>
      </w:r>
    </w:p>
    <w:p w14:paraId="6767DC49" w14:textId="77777777" w:rsidR="00322954" w:rsidRDefault="00322954" w:rsidP="00322954">
      <w:pPr>
        <w:pStyle w:val="NoSpacing"/>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p>
    <w:p w14:paraId="167AC56C" w14:textId="77777777" w:rsidR="00322954" w:rsidRDefault="00322954" w:rsidP="00322954">
      <w:pPr>
        <w:pStyle w:val="NoSpacing"/>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____________________</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________________</w:t>
      </w:r>
    </w:p>
    <w:p w14:paraId="7EF47F18" w14:textId="121461F5" w:rsidR="00322954" w:rsidRDefault="00322954" w:rsidP="0082262B">
      <w:pPr>
        <w:pStyle w:val="NoSpacing"/>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Mr. </w:t>
      </w:r>
      <w:r w:rsidR="0082262B">
        <w:rPr>
          <w:rFonts w:asciiTheme="majorBidi" w:hAnsiTheme="majorBidi" w:cstheme="majorBidi"/>
          <w:color w:val="000000" w:themeColor="text1"/>
          <w:sz w:val="24"/>
          <w:szCs w:val="24"/>
        </w:rPr>
        <w:t xml:space="preserve">Azeez </w:t>
      </w:r>
      <w:r>
        <w:rPr>
          <w:rFonts w:asciiTheme="majorBidi" w:hAnsiTheme="majorBidi" w:cstheme="majorBidi"/>
          <w:color w:val="000000" w:themeColor="text1"/>
          <w:sz w:val="24"/>
          <w:szCs w:val="24"/>
        </w:rPr>
        <w:t xml:space="preserve"> </w:t>
      </w:r>
      <w:r w:rsidR="0082262B">
        <w:rPr>
          <w:rFonts w:asciiTheme="majorBidi" w:hAnsiTheme="majorBidi" w:cstheme="majorBidi"/>
          <w:color w:val="000000" w:themeColor="text1"/>
          <w:sz w:val="24"/>
          <w:szCs w:val="24"/>
        </w:rPr>
        <w:t>Y.O</w:t>
      </w:r>
      <w:r w:rsidR="0082262B">
        <w:rPr>
          <w:rFonts w:asciiTheme="majorBidi" w:hAnsiTheme="majorBidi" w:cstheme="majorBidi"/>
          <w:color w:val="000000" w:themeColor="text1"/>
          <w:sz w:val="24"/>
          <w:szCs w:val="24"/>
        </w:rPr>
        <w:tab/>
      </w:r>
      <w:r w:rsidR="0082262B">
        <w:rPr>
          <w:rFonts w:asciiTheme="majorBidi" w:hAnsiTheme="majorBidi" w:cstheme="majorBidi"/>
          <w:color w:val="000000" w:themeColor="text1"/>
          <w:sz w:val="24"/>
          <w:szCs w:val="24"/>
        </w:rPr>
        <w:tab/>
      </w:r>
      <w:r w:rsidR="0082262B">
        <w:rPr>
          <w:rFonts w:asciiTheme="majorBidi" w:hAnsiTheme="majorBidi" w:cstheme="majorBidi"/>
          <w:color w:val="000000" w:themeColor="text1"/>
          <w:sz w:val="24"/>
          <w:szCs w:val="24"/>
        </w:rPr>
        <w:tab/>
      </w:r>
      <w:r w:rsidR="0082262B">
        <w:rPr>
          <w:rFonts w:asciiTheme="majorBidi" w:hAnsiTheme="majorBidi" w:cstheme="majorBidi"/>
          <w:color w:val="000000" w:themeColor="text1"/>
          <w:sz w:val="24"/>
          <w:szCs w:val="24"/>
        </w:rPr>
        <w:tab/>
      </w:r>
      <w:r w:rsidR="0082262B">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Date</w:t>
      </w:r>
    </w:p>
    <w:p w14:paraId="04BCCB23" w14:textId="77777777" w:rsidR="00322954" w:rsidRDefault="00322954" w:rsidP="00322954">
      <w:pPr>
        <w:pStyle w:val="NoSpacing"/>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Project Supervisor</w:t>
      </w:r>
    </w:p>
    <w:p w14:paraId="59C9A44D" w14:textId="77777777" w:rsidR="00322954" w:rsidRDefault="00322954" w:rsidP="00322954">
      <w:pPr>
        <w:pStyle w:val="NoSpacing"/>
        <w:spacing w:line="360" w:lineRule="auto"/>
        <w:jc w:val="both"/>
        <w:rPr>
          <w:rFonts w:asciiTheme="majorBidi" w:hAnsiTheme="majorBidi" w:cstheme="majorBidi"/>
          <w:color w:val="000000" w:themeColor="text1"/>
          <w:sz w:val="24"/>
          <w:szCs w:val="24"/>
        </w:rPr>
      </w:pPr>
    </w:p>
    <w:p w14:paraId="27B10CB8" w14:textId="77777777" w:rsidR="00322954" w:rsidRDefault="00322954" w:rsidP="00322954">
      <w:pPr>
        <w:pStyle w:val="NoSpacing"/>
        <w:spacing w:line="360" w:lineRule="auto"/>
        <w:jc w:val="both"/>
        <w:rPr>
          <w:rFonts w:asciiTheme="majorBidi" w:hAnsiTheme="majorBidi" w:cstheme="majorBidi"/>
          <w:color w:val="000000" w:themeColor="text1"/>
          <w:sz w:val="24"/>
          <w:szCs w:val="24"/>
        </w:rPr>
      </w:pPr>
    </w:p>
    <w:p w14:paraId="4E41B427" w14:textId="77777777" w:rsidR="00322954" w:rsidRDefault="00322954" w:rsidP="00322954">
      <w:pPr>
        <w:pStyle w:val="NoSpacing"/>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____________________</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__________________</w:t>
      </w:r>
    </w:p>
    <w:p w14:paraId="49A916AE" w14:textId="77777777" w:rsidR="00322954" w:rsidRDefault="00322954" w:rsidP="00322954">
      <w:pPr>
        <w:pStyle w:val="NoSpacing"/>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Mrs. Adegboye B.B</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Date</w:t>
      </w:r>
    </w:p>
    <w:p w14:paraId="76D7FB3B" w14:textId="77777777" w:rsidR="00322954" w:rsidRDefault="00322954" w:rsidP="00322954">
      <w:pPr>
        <w:pStyle w:val="NoSpacing"/>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Project Coordinator</w:t>
      </w:r>
    </w:p>
    <w:p w14:paraId="56CE0776" w14:textId="77777777" w:rsidR="00322954" w:rsidRDefault="00322954" w:rsidP="00322954">
      <w:pPr>
        <w:pStyle w:val="NoSpacing"/>
        <w:spacing w:line="360" w:lineRule="auto"/>
        <w:jc w:val="both"/>
        <w:rPr>
          <w:rFonts w:asciiTheme="majorBidi" w:hAnsiTheme="majorBidi" w:cstheme="majorBidi"/>
          <w:color w:val="000000" w:themeColor="text1"/>
          <w:sz w:val="24"/>
          <w:szCs w:val="24"/>
        </w:rPr>
      </w:pPr>
    </w:p>
    <w:p w14:paraId="39010B9D" w14:textId="77777777" w:rsidR="00322954" w:rsidRDefault="00322954" w:rsidP="00322954">
      <w:pPr>
        <w:pStyle w:val="NoSpacing"/>
        <w:spacing w:line="360" w:lineRule="auto"/>
        <w:jc w:val="both"/>
        <w:rPr>
          <w:rFonts w:asciiTheme="majorBidi" w:hAnsiTheme="majorBidi" w:cstheme="majorBidi"/>
          <w:color w:val="000000" w:themeColor="text1"/>
          <w:sz w:val="24"/>
          <w:szCs w:val="24"/>
        </w:rPr>
      </w:pPr>
    </w:p>
    <w:p w14:paraId="78276664" w14:textId="77777777" w:rsidR="00322954" w:rsidRDefault="00322954" w:rsidP="00322954">
      <w:pPr>
        <w:pStyle w:val="NoSpacing"/>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____________________</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 xml:space="preserve"> __________________</w:t>
      </w:r>
    </w:p>
    <w:p w14:paraId="1A8FFACC" w14:textId="33492E25" w:rsidR="00322954" w:rsidRDefault="00322954" w:rsidP="0082262B">
      <w:pPr>
        <w:pStyle w:val="NoSpacing"/>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Mr. </w:t>
      </w:r>
      <w:r w:rsidR="0082262B">
        <w:rPr>
          <w:rFonts w:asciiTheme="majorBidi" w:hAnsiTheme="majorBidi" w:cstheme="majorBidi"/>
          <w:color w:val="000000" w:themeColor="text1"/>
          <w:sz w:val="24"/>
          <w:szCs w:val="24"/>
        </w:rPr>
        <w:t xml:space="preserve">Elelu M.O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Date</w:t>
      </w:r>
    </w:p>
    <w:p w14:paraId="20953050" w14:textId="77777777" w:rsidR="00322954" w:rsidRDefault="00322954" w:rsidP="00322954">
      <w:pPr>
        <w:pStyle w:val="NoSpacing"/>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Head of Department</w:t>
      </w:r>
    </w:p>
    <w:p w14:paraId="166B3C7D" w14:textId="77777777" w:rsidR="00322954" w:rsidRDefault="00322954" w:rsidP="00322954">
      <w:pPr>
        <w:pStyle w:val="NoSpacing"/>
        <w:spacing w:line="360" w:lineRule="auto"/>
        <w:jc w:val="both"/>
        <w:rPr>
          <w:rFonts w:asciiTheme="majorBidi" w:hAnsiTheme="majorBidi" w:cstheme="majorBidi"/>
          <w:color w:val="000000" w:themeColor="text1"/>
          <w:sz w:val="24"/>
          <w:szCs w:val="24"/>
        </w:rPr>
      </w:pPr>
    </w:p>
    <w:p w14:paraId="2AFC4F91" w14:textId="77777777" w:rsidR="00322954" w:rsidRDefault="00322954" w:rsidP="00322954">
      <w:pPr>
        <w:pStyle w:val="NoSpacing"/>
        <w:spacing w:line="360" w:lineRule="auto"/>
        <w:jc w:val="both"/>
        <w:rPr>
          <w:rFonts w:asciiTheme="majorBidi" w:hAnsiTheme="majorBidi" w:cstheme="majorBidi"/>
          <w:color w:val="000000" w:themeColor="text1"/>
          <w:sz w:val="24"/>
          <w:szCs w:val="24"/>
        </w:rPr>
      </w:pPr>
    </w:p>
    <w:p w14:paraId="2C854472" w14:textId="77777777" w:rsidR="00322954" w:rsidRDefault="00322954" w:rsidP="00322954">
      <w:pPr>
        <w:pStyle w:val="NoSpacing"/>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____________________</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 xml:space="preserve"> __________________</w:t>
      </w:r>
    </w:p>
    <w:p w14:paraId="0F9F89EE" w14:textId="77777777" w:rsidR="00322954" w:rsidRDefault="00322954" w:rsidP="00322954">
      <w:pPr>
        <w:pStyle w:val="NoSpacing"/>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Ikhu Omoregbe Sunday (.F.C.A.)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Date</w:t>
      </w:r>
    </w:p>
    <w:p w14:paraId="767B31FF" w14:textId="77777777" w:rsidR="00322954" w:rsidRDefault="00322954" w:rsidP="00322954">
      <w:pPr>
        <w:pStyle w:val="NoSpacing"/>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External Examiner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14:paraId="6F39E8DD" w14:textId="77777777" w:rsidR="00322954" w:rsidRDefault="00322954" w:rsidP="00322954">
      <w:pPr>
        <w:pStyle w:val="NoSpacing"/>
        <w:spacing w:line="360" w:lineRule="auto"/>
        <w:jc w:val="both"/>
        <w:rPr>
          <w:rFonts w:asciiTheme="majorBidi" w:hAnsiTheme="majorBidi" w:cstheme="majorBidi"/>
          <w:sz w:val="24"/>
          <w:szCs w:val="24"/>
        </w:rPr>
      </w:pPr>
      <w:r>
        <w:rPr>
          <w:rFonts w:asciiTheme="majorBidi" w:hAnsiTheme="majorBidi" w:cstheme="majorBidi"/>
          <w:sz w:val="24"/>
          <w:szCs w:val="24"/>
        </w:rPr>
        <w:br w:type="page"/>
      </w:r>
    </w:p>
    <w:p w14:paraId="1BA74F69" w14:textId="77777777" w:rsidR="00322954" w:rsidRDefault="00322954" w:rsidP="00322954">
      <w:pPr>
        <w:pStyle w:val="NoSpacing"/>
        <w:spacing w:line="360" w:lineRule="auto"/>
        <w:jc w:val="center"/>
        <w:rPr>
          <w:rFonts w:asciiTheme="majorBidi" w:hAnsiTheme="majorBidi" w:cstheme="majorBidi"/>
          <w:b/>
          <w:bCs/>
          <w:color w:val="000000" w:themeColor="text1"/>
          <w:sz w:val="24"/>
          <w:szCs w:val="24"/>
        </w:rPr>
      </w:pPr>
      <w:r>
        <w:rPr>
          <w:rFonts w:asciiTheme="majorBidi" w:hAnsiTheme="majorBidi" w:cstheme="majorBidi"/>
          <w:b/>
          <w:bCs/>
          <w:sz w:val="24"/>
          <w:szCs w:val="24"/>
        </w:rPr>
        <w:lastRenderedPageBreak/>
        <w:t>DEDICATION</w:t>
      </w:r>
    </w:p>
    <w:p w14:paraId="7C9E42FC" w14:textId="4BB0D80A" w:rsidR="00322954" w:rsidRDefault="00322954" w:rsidP="007758C6">
      <w:pPr>
        <w:spacing w:after="0" w:line="360" w:lineRule="auto"/>
        <w:jc w:val="both"/>
        <w:rPr>
          <w:rFonts w:asciiTheme="majorBidi" w:hAnsiTheme="majorBidi" w:cstheme="majorBidi"/>
          <w:sz w:val="24"/>
          <w:szCs w:val="24"/>
        </w:rPr>
      </w:pPr>
      <w:r>
        <w:rPr>
          <w:rFonts w:asciiTheme="majorBidi" w:hAnsiTheme="majorBidi" w:cstheme="majorBidi"/>
          <w:sz w:val="24"/>
          <w:szCs w:val="24"/>
        </w:rPr>
        <w:t>I dedicated this pr</w:t>
      </w:r>
      <w:r w:rsidR="007758C6">
        <w:rPr>
          <w:rFonts w:asciiTheme="majorBidi" w:hAnsiTheme="majorBidi" w:cstheme="majorBidi"/>
          <w:sz w:val="24"/>
          <w:szCs w:val="24"/>
        </w:rPr>
        <w:t xml:space="preserve">oject to Almighty Allah (SWT), </w:t>
      </w:r>
      <w:r>
        <w:rPr>
          <w:rFonts w:asciiTheme="majorBidi" w:hAnsiTheme="majorBidi" w:cstheme="majorBidi"/>
          <w:sz w:val="24"/>
          <w:szCs w:val="24"/>
        </w:rPr>
        <w:t xml:space="preserve">and also to my parent Mr. and Mrs. </w:t>
      </w:r>
      <w:r w:rsidR="007758C6">
        <w:rPr>
          <w:rFonts w:asciiTheme="majorBidi" w:hAnsiTheme="majorBidi" w:cstheme="majorBidi"/>
          <w:sz w:val="24"/>
          <w:szCs w:val="24"/>
        </w:rPr>
        <w:t>Salimon</w:t>
      </w:r>
      <w:r>
        <w:rPr>
          <w:rFonts w:asciiTheme="majorBidi" w:hAnsiTheme="majorBidi" w:cstheme="majorBidi"/>
          <w:sz w:val="24"/>
          <w:szCs w:val="24"/>
        </w:rPr>
        <w:t>.</w:t>
      </w:r>
    </w:p>
    <w:p w14:paraId="5E7CC790" w14:textId="77777777" w:rsidR="00322954" w:rsidRDefault="00322954" w:rsidP="00322954">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7400CFA1" w14:textId="77777777" w:rsidR="00322954" w:rsidRDefault="00322954" w:rsidP="00322954">
      <w:pPr>
        <w:spacing w:after="0"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ACKNOWLEDGEMENT</w:t>
      </w:r>
    </w:p>
    <w:p w14:paraId="5E2A380A" w14:textId="77777777" w:rsidR="00322954" w:rsidRDefault="00322954" w:rsidP="0032295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All Glory and Adoration belong to The Almighty Allah for his love, guidance and protection, for the great thing he has done in my life, for sparing my life at this moment and for the wisdom knowledge and understanding he bestowed on me giving me the strength and opportunity complete this program. </w:t>
      </w:r>
    </w:p>
    <w:p w14:paraId="14B4CED9" w14:textId="50F2FC0F" w:rsidR="00322954" w:rsidRDefault="00322954" w:rsidP="0082262B">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My unreserved gratitude goes to my supervisor Mr. </w:t>
      </w:r>
      <w:r w:rsidR="0082262B">
        <w:rPr>
          <w:rFonts w:ascii="Times New Roman" w:hAnsi="Times New Roman"/>
          <w:color w:val="000000" w:themeColor="text1"/>
          <w:sz w:val="24"/>
          <w:szCs w:val="24"/>
        </w:rPr>
        <w:t xml:space="preserve">Muhammed KAG </w:t>
      </w:r>
      <w:r>
        <w:rPr>
          <w:rFonts w:ascii="Times New Roman" w:hAnsi="Times New Roman"/>
          <w:color w:val="000000" w:themeColor="text1"/>
          <w:sz w:val="24"/>
          <w:szCs w:val="24"/>
        </w:rPr>
        <w:t xml:space="preserve">for his Kindness, Patience, Advice and encouragement during my project. May Almighty Allah enrich, elevate and bless you sir. Ameen. Also, I also want to acknowledge </w:t>
      </w:r>
      <w:r w:rsidR="0082262B">
        <w:rPr>
          <w:rFonts w:ascii="Times New Roman" w:hAnsi="Times New Roman"/>
          <w:color w:val="000000" w:themeColor="text1"/>
          <w:sz w:val="24"/>
          <w:szCs w:val="24"/>
        </w:rPr>
        <w:t>Mr. Elelu M.O</w:t>
      </w:r>
      <w:r>
        <w:rPr>
          <w:rFonts w:ascii="Times New Roman" w:hAnsi="Times New Roman"/>
          <w:color w:val="000000" w:themeColor="text1"/>
          <w:sz w:val="24"/>
          <w:szCs w:val="24"/>
        </w:rPr>
        <w:t xml:space="preserve"> the head of department (HOD) Accountancy, The project coordinator </w:t>
      </w:r>
      <w:r w:rsidR="0082262B">
        <w:rPr>
          <w:rFonts w:asciiTheme="majorBidi" w:hAnsiTheme="majorBidi" w:cstheme="majorBidi"/>
          <w:color w:val="000000" w:themeColor="text1"/>
          <w:sz w:val="24"/>
          <w:szCs w:val="24"/>
        </w:rPr>
        <w:t xml:space="preserve">Mrs. Adegboye B.B </w:t>
      </w:r>
      <w:r>
        <w:rPr>
          <w:rFonts w:ascii="Times New Roman" w:hAnsi="Times New Roman"/>
          <w:color w:val="000000" w:themeColor="text1"/>
          <w:sz w:val="24"/>
          <w:szCs w:val="24"/>
        </w:rPr>
        <w:t xml:space="preserve">and all the lecturers in the department and The Genius Academy for impacting knowledge in me. May Almighty Allah bless you all. </w:t>
      </w:r>
    </w:p>
    <w:p w14:paraId="77700DEE" w14:textId="41B34476" w:rsidR="00322954" w:rsidRDefault="00322954" w:rsidP="0082262B">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I wish to express my deep appreciation and gratitude to my parents Mr. and Mrs. </w:t>
      </w:r>
      <w:r w:rsidR="0082262B">
        <w:rPr>
          <w:rFonts w:ascii="Times New Roman" w:hAnsi="Times New Roman" w:cs="Times New Roman"/>
          <w:color w:val="000000" w:themeColor="text1"/>
          <w:sz w:val="24"/>
          <w:szCs w:val="24"/>
        </w:rPr>
        <w:t>Salimon</w:t>
      </w:r>
      <w:r>
        <w:rPr>
          <w:rFonts w:ascii="Times New Roman" w:hAnsi="Times New Roman" w:cs="Times New Roman"/>
          <w:color w:val="000000" w:themeColor="text1"/>
          <w:sz w:val="24"/>
          <w:szCs w:val="24"/>
        </w:rPr>
        <w:t xml:space="preserve">, my siblings, my Grandma and my family as a whole for their prayer, Kind gesture, Moral support and financial assistance they gave to me throughout the writing of this project and towards the completion of my program. I pray to Almighty Allah to bless my parents in his mercy with good health, long life and enormous wealth and happiness. </w:t>
      </w:r>
    </w:p>
    <w:p w14:paraId="20D35F05" w14:textId="77777777" w:rsidR="00322954" w:rsidRDefault="00322954" w:rsidP="0032295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67F10A85" w14:textId="77777777" w:rsidR="00322954" w:rsidRDefault="00322954" w:rsidP="00322954">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ABSTRACT</w:t>
      </w:r>
    </w:p>
    <w:p w14:paraId="252D8A00" w14:textId="77777777" w:rsidR="00322954" w:rsidRDefault="00322954" w:rsidP="00322954">
      <w:pPr>
        <w:spacing w:after="0" w:line="240" w:lineRule="auto"/>
        <w:jc w:val="center"/>
        <w:rPr>
          <w:rFonts w:ascii="Times New Roman" w:hAnsi="Times New Roman" w:cs="Times New Roman"/>
          <w:b/>
          <w:bCs/>
          <w:color w:val="000000" w:themeColor="text1"/>
          <w:sz w:val="24"/>
          <w:szCs w:val="24"/>
        </w:rPr>
      </w:pPr>
    </w:p>
    <w:p w14:paraId="254B19CF" w14:textId="77777777" w:rsidR="00953DA7" w:rsidRPr="00F678E9" w:rsidRDefault="0047083F" w:rsidP="00953DA7">
      <w:pPr>
        <w:spacing w:line="360" w:lineRule="auto"/>
        <w:jc w:val="both"/>
        <w:rPr>
          <w:rFonts w:asciiTheme="majorBidi" w:hAnsiTheme="majorBidi" w:cstheme="majorBidi"/>
          <w:i/>
          <w:iCs/>
          <w:sz w:val="24"/>
          <w:szCs w:val="24"/>
        </w:rPr>
      </w:pPr>
      <w:r>
        <w:rPr>
          <w:rFonts w:asciiTheme="majorBidi" w:eastAsia="Times New Roman" w:hAnsiTheme="majorBidi" w:cstheme="majorBidi"/>
          <w:i/>
          <w:iCs/>
          <w:color w:val="0D0D0D"/>
          <w:sz w:val="24"/>
          <w:szCs w:val="24"/>
        </w:rPr>
        <w:t xml:space="preserve"> </w:t>
      </w:r>
      <w:r w:rsidR="00953DA7" w:rsidRPr="00F678E9">
        <w:rPr>
          <w:rFonts w:asciiTheme="majorBidi" w:hAnsiTheme="majorBidi" w:cstheme="majorBidi"/>
          <w:i/>
          <w:iCs/>
          <w:sz w:val="24"/>
          <w:szCs w:val="24"/>
        </w:rPr>
        <w:t>The credibility of financial reporting plays a crucial role in fostering investor confidence and ensuring the stability of capital markets. In Nigeria, where corporate financial scandals have raised concerns over the reliability of audited financial statements, the role of auditors’ autonomy and audit quality has become increasingly significant. This study examines the impact of auditor’s autonomy and audit quality on the credibility of financial reporting in Nigeria, using listed consumer food companies as a case study. The research adopts a descriptive survey design, utilizing both primary and secondary data sources. A structured questionnaire is administered to auditors, financial managers, and key stakeholders within selected firms, while financial reports are analyzed for audit quality indicators. Data collected is analyzed using statistical tools such as regression analysis and correlation tests to determine the strength and direction of relationships among variables. Findings reveal that auditor independence significantly enhances the credibility of financial reports, while high-quality audits serve as a strong mitigant against financial misrepresentation. The study also identifies challenges such as management interference, regulatory weaknesses, and inadequate enforcement mechanisms that undermine auditor autonomy and audit quality. Based on these findings, recommendations are made to strengthen legal frameworks, enhance professional standards, and promote transparency in audit practices. This research contributes to the ongoing discourse on financial accountability and provides insights for policymakers, regulators, and stakeholders interested in improving the integrity of financial reporting in Nigeria.</w:t>
      </w:r>
    </w:p>
    <w:p w14:paraId="4D29D731" w14:textId="77777777" w:rsidR="00953DA7" w:rsidRPr="00F678E9" w:rsidRDefault="00953DA7" w:rsidP="00953DA7">
      <w:pPr>
        <w:spacing w:line="360" w:lineRule="auto"/>
        <w:jc w:val="both"/>
        <w:rPr>
          <w:rFonts w:asciiTheme="majorBidi" w:hAnsiTheme="majorBidi" w:cstheme="majorBidi"/>
          <w:i/>
          <w:iCs/>
          <w:sz w:val="24"/>
          <w:szCs w:val="24"/>
        </w:rPr>
      </w:pPr>
    </w:p>
    <w:p w14:paraId="59314718" w14:textId="77777777" w:rsidR="00953DA7" w:rsidRPr="00F678E9" w:rsidRDefault="00953DA7" w:rsidP="00953DA7">
      <w:pPr>
        <w:spacing w:line="360" w:lineRule="auto"/>
        <w:jc w:val="both"/>
        <w:rPr>
          <w:rFonts w:asciiTheme="majorBidi" w:hAnsiTheme="majorBidi" w:cstheme="majorBidi"/>
          <w:i/>
          <w:iCs/>
          <w:sz w:val="24"/>
          <w:szCs w:val="24"/>
        </w:rPr>
      </w:pPr>
      <w:r w:rsidRPr="00F678E9">
        <w:rPr>
          <w:rFonts w:asciiTheme="majorBidi" w:hAnsiTheme="majorBidi" w:cstheme="majorBidi"/>
          <w:i/>
          <w:iCs/>
          <w:sz w:val="24"/>
          <w:szCs w:val="24"/>
        </w:rPr>
        <w:t>**Keywords:** Auditor Autonomy, Audit Quality, Financial Reporting, Credibility, Consumer Food Companies, Nigeria.</w:t>
      </w:r>
    </w:p>
    <w:p w14:paraId="5F13FB3D" w14:textId="0BC875C7" w:rsidR="00322954" w:rsidRDefault="00322954" w:rsidP="00322954">
      <w:pPr>
        <w:spacing w:after="0" w:line="360" w:lineRule="auto"/>
        <w:jc w:val="both"/>
        <w:rPr>
          <w:rFonts w:asciiTheme="majorBidi" w:hAnsiTheme="majorBidi" w:cstheme="majorBidi"/>
          <w:b/>
          <w:bCs/>
          <w:i/>
          <w:iCs/>
          <w:color w:val="000000" w:themeColor="text1"/>
          <w:sz w:val="24"/>
          <w:szCs w:val="24"/>
        </w:rPr>
      </w:pPr>
    </w:p>
    <w:p w14:paraId="63A8B48E" w14:textId="52814AD2" w:rsidR="00322954" w:rsidRDefault="00322954" w:rsidP="00322954">
      <w:pPr>
        <w:spacing w:after="0" w:line="360" w:lineRule="auto"/>
        <w:rPr>
          <w:rFonts w:ascii="Arial" w:eastAsia="Times New Roman" w:hAnsi="Arial" w:cs="Arial"/>
          <w:sz w:val="24"/>
          <w:szCs w:val="24"/>
        </w:rPr>
      </w:pPr>
      <w:bookmarkStart w:id="1" w:name="_GoBack"/>
      <w:bookmarkEnd w:id="1"/>
    </w:p>
    <w:bookmarkEnd w:id="0"/>
    <w:p w14:paraId="5A239D2D" w14:textId="77777777" w:rsidR="00322954" w:rsidRDefault="00322954" w:rsidP="00322954">
      <w:pPr>
        <w:spacing w:after="0" w:line="360" w:lineRule="auto"/>
        <w:rPr>
          <w:rFonts w:ascii="Arial" w:eastAsia="Times New Roman" w:hAnsi="Arial" w:cs="Arial"/>
          <w:vanish/>
          <w:sz w:val="24"/>
          <w:szCs w:val="24"/>
        </w:rPr>
      </w:pPr>
      <w:r>
        <w:rPr>
          <w:rFonts w:ascii="Arial" w:eastAsia="Times New Roman" w:hAnsi="Arial" w:cs="Arial"/>
          <w:vanish/>
          <w:sz w:val="24"/>
          <w:szCs w:val="24"/>
        </w:rPr>
        <w:lastRenderedPageBreak/>
        <w:t>Top of Form</w:t>
      </w:r>
    </w:p>
    <w:p w14:paraId="2351AF46" w14:textId="77777777" w:rsidR="00322954" w:rsidRDefault="00322954" w:rsidP="00322954">
      <w:pPr>
        <w:pStyle w:val="NoSpacing"/>
        <w:spacing w:line="360" w:lineRule="auto"/>
        <w:jc w:val="center"/>
        <w:rPr>
          <w:rFonts w:asciiTheme="majorBidi" w:hAnsiTheme="majorBidi" w:cstheme="majorBidi"/>
          <w:b/>
          <w:color w:val="000000" w:themeColor="text1"/>
          <w:sz w:val="24"/>
          <w:szCs w:val="24"/>
        </w:rPr>
      </w:pPr>
      <w:bookmarkStart w:id="2" w:name="_Hlk167758208"/>
      <w:r>
        <w:rPr>
          <w:rFonts w:asciiTheme="majorBidi" w:hAnsiTheme="majorBidi" w:cstheme="majorBidi"/>
          <w:b/>
          <w:color w:val="000000" w:themeColor="text1"/>
          <w:sz w:val="24"/>
          <w:szCs w:val="24"/>
        </w:rPr>
        <w:t>TABLE OF CONTENT</w:t>
      </w:r>
    </w:p>
    <w:p w14:paraId="0FBDE7CD" w14:textId="77777777" w:rsidR="00322954" w:rsidRDefault="00322954" w:rsidP="00322954">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Title page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 xml:space="preserve">    Pages</w:t>
      </w:r>
    </w:p>
    <w:p w14:paraId="03724F03" w14:textId="77777777" w:rsidR="00322954" w:rsidRDefault="00322954" w:rsidP="00322954">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Certification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i</w:t>
      </w:r>
    </w:p>
    <w:p w14:paraId="534DC7A8" w14:textId="77777777" w:rsidR="00322954" w:rsidRDefault="00322954" w:rsidP="00322954">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Dedication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ii</w:t>
      </w:r>
    </w:p>
    <w:p w14:paraId="69F16041" w14:textId="77777777" w:rsidR="00322954" w:rsidRDefault="00322954" w:rsidP="00322954">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Acknowledgement</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iii</w:t>
      </w:r>
    </w:p>
    <w:p w14:paraId="6C0690DA" w14:textId="77777777" w:rsidR="00322954" w:rsidRDefault="00322954" w:rsidP="00322954">
      <w:pPr>
        <w:pStyle w:val="NoSpacing"/>
        <w:spacing w:line="360" w:lineRule="auto"/>
        <w:ind w:right="-396"/>
        <w:jc w:val="center"/>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CHAPTER ONE: INTRODUCTION</w:t>
      </w:r>
    </w:p>
    <w:p w14:paraId="52EFE2F8" w14:textId="77777777" w:rsidR="00322954" w:rsidRDefault="00322954" w:rsidP="00322954">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1.1</w:t>
      </w:r>
      <w:r>
        <w:rPr>
          <w:rFonts w:asciiTheme="majorBidi" w:hAnsiTheme="majorBidi" w:cstheme="majorBidi"/>
          <w:color w:val="000000" w:themeColor="text1"/>
          <w:sz w:val="24"/>
          <w:szCs w:val="24"/>
        </w:rPr>
        <w:tab/>
        <w:t>Background to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1</w:t>
      </w:r>
    </w:p>
    <w:p w14:paraId="57E333F6" w14:textId="77777777" w:rsidR="00322954" w:rsidRDefault="00322954" w:rsidP="00322954">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1.2</w:t>
      </w:r>
      <w:r>
        <w:rPr>
          <w:rFonts w:asciiTheme="majorBidi" w:hAnsiTheme="majorBidi" w:cstheme="majorBidi"/>
          <w:color w:val="000000" w:themeColor="text1"/>
          <w:sz w:val="24"/>
          <w:szCs w:val="24"/>
        </w:rPr>
        <w:tab/>
        <w:t>Statement of the problems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1</w:t>
      </w:r>
    </w:p>
    <w:p w14:paraId="424D4579" w14:textId="77777777" w:rsidR="00322954" w:rsidRDefault="00322954" w:rsidP="00322954">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1.3</w:t>
      </w:r>
      <w:r>
        <w:rPr>
          <w:rFonts w:asciiTheme="majorBidi" w:hAnsiTheme="majorBidi" w:cstheme="majorBidi"/>
          <w:color w:val="000000" w:themeColor="text1"/>
          <w:sz w:val="24"/>
          <w:szCs w:val="24"/>
        </w:rPr>
        <w:tab/>
        <w:t>Research question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w:t>
      </w:r>
    </w:p>
    <w:p w14:paraId="296F1C62" w14:textId="77777777" w:rsidR="00322954" w:rsidRDefault="00322954" w:rsidP="00322954">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1.4</w:t>
      </w:r>
      <w:r>
        <w:rPr>
          <w:rFonts w:asciiTheme="majorBidi" w:hAnsiTheme="majorBidi" w:cstheme="majorBidi"/>
          <w:color w:val="000000" w:themeColor="text1"/>
          <w:sz w:val="24"/>
          <w:szCs w:val="24"/>
        </w:rPr>
        <w:tab/>
        <w:t>Objective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w:t>
      </w:r>
    </w:p>
    <w:p w14:paraId="26A0A4E2" w14:textId="77777777" w:rsidR="00322954" w:rsidRDefault="00322954" w:rsidP="00322954">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1.5</w:t>
      </w:r>
      <w:r>
        <w:rPr>
          <w:rFonts w:asciiTheme="majorBidi" w:hAnsiTheme="majorBidi" w:cstheme="majorBidi"/>
          <w:color w:val="000000" w:themeColor="text1"/>
          <w:sz w:val="24"/>
          <w:szCs w:val="24"/>
        </w:rPr>
        <w:tab/>
        <w:t>Research hypothesis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5</w:t>
      </w:r>
    </w:p>
    <w:p w14:paraId="7BE23E4D" w14:textId="77777777" w:rsidR="00322954" w:rsidRDefault="00322954" w:rsidP="00322954">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1.6</w:t>
      </w:r>
      <w:r>
        <w:rPr>
          <w:rFonts w:asciiTheme="majorBidi" w:hAnsiTheme="majorBidi" w:cstheme="majorBidi"/>
          <w:color w:val="000000" w:themeColor="text1"/>
          <w:sz w:val="24"/>
          <w:szCs w:val="24"/>
        </w:rPr>
        <w:tab/>
        <w:t>Significance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5</w:t>
      </w:r>
    </w:p>
    <w:p w14:paraId="317D05C3" w14:textId="77777777" w:rsidR="00322954" w:rsidRDefault="00322954" w:rsidP="00322954">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1.7</w:t>
      </w:r>
      <w:r>
        <w:rPr>
          <w:rFonts w:asciiTheme="majorBidi" w:hAnsiTheme="majorBidi" w:cstheme="majorBidi"/>
          <w:color w:val="000000" w:themeColor="text1"/>
          <w:sz w:val="24"/>
          <w:szCs w:val="24"/>
        </w:rPr>
        <w:tab/>
        <w:t>Scope and limitation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5</w:t>
      </w:r>
    </w:p>
    <w:p w14:paraId="2452D1FF" w14:textId="77777777" w:rsidR="00322954" w:rsidRDefault="00322954" w:rsidP="00322954">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1.8</w:t>
      </w:r>
      <w:r>
        <w:rPr>
          <w:rFonts w:asciiTheme="majorBidi" w:hAnsiTheme="majorBidi" w:cstheme="majorBidi"/>
          <w:color w:val="000000" w:themeColor="text1"/>
          <w:sz w:val="24"/>
          <w:szCs w:val="24"/>
        </w:rPr>
        <w:tab/>
        <w:t>Definition of Terms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6</w:t>
      </w:r>
    </w:p>
    <w:p w14:paraId="184EFA68" w14:textId="77777777" w:rsidR="00322954" w:rsidRDefault="00322954" w:rsidP="00322954">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1.9</w:t>
      </w:r>
      <w:r>
        <w:rPr>
          <w:rFonts w:asciiTheme="majorBidi" w:hAnsiTheme="majorBidi" w:cstheme="majorBidi"/>
          <w:color w:val="000000" w:themeColor="text1"/>
          <w:sz w:val="24"/>
          <w:szCs w:val="24"/>
        </w:rPr>
        <w:tab/>
        <w:t>Plan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7</w:t>
      </w:r>
    </w:p>
    <w:p w14:paraId="28E9284C" w14:textId="77777777" w:rsidR="00322954" w:rsidRDefault="00322954" w:rsidP="00322954">
      <w:pPr>
        <w:pStyle w:val="NoSpacing"/>
        <w:spacing w:line="360" w:lineRule="auto"/>
        <w:ind w:right="-396"/>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CHAPTER TWO: LITERATURE REVIEW</w:t>
      </w:r>
    </w:p>
    <w:p w14:paraId="13BBAE26" w14:textId="77777777" w:rsidR="00322954" w:rsidRDefault="00322954" w:rsidP="00322954">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2.1</w:t>
      </w:r>
      <w:r>
        <w:rPr>
          <w:rFonts w:asciiTheme="majorBidi" w:hAnsiTheme="majorBidi" w:cstheme="majorBidi"/>
          <w:color w:val="000000" w:themeColor="text1"/>
          <w:sz w:val="24"/>
          <w:szCs w:val="24"/>
        </w:rPr>
        <w:tab/>
        <w:t>Conceptual framework</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8</w:t>
      </w:r>
    </w:p>
    <w:p w14:paraId="2214A6AC" w14:textId="77777777" w:rsidR="00322954" w:rsidRDefault="00322954" w:rsidP="00322954">
      <w:pPr>
        <w:pStyle w:val="NoSpacing"/>
        <w:numPr>
          <w:ilvl w:val="1"/>
          <w:numId w:val="26"/>
        </w:numPr>
        <w:spacing w:line="360" w:lineRule="auto"/>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Theoretical framework</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8</w:t>
      </w:r>
    </w:p>
    <w:p w14:paraId="0D4AD72D" w14:textId="77777777" w:rsidR="00322954" w:rsidRDefault="00322954" w:rsidP="00322954">
      <w:pPr>
        <w:pStyle w:val="NoSpacing"/>
        <w:numPr>
          <w:ilvl w:val="1"/>
          <w:numId w:val="26"/>
        </w:numPr>
        <w:spacing w:line="360" w:lineRule="auto"/>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Empirical framework</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20</w:t>
      </w:r>
    </w:p>
    <w:p w14:paraId="0B2D7FCA" w14:textId="77777777" w:rsidR="00322954" w:rsidRDefault="00322954" w:rsidP="00322954">
      <w:pPr>
        <w:pStyle w:val="NoSpacing"/>
        <w:spacing w:line="360" w:lineRule="auto"/>
        <w:ind w:right="-396"/>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CHAPTER THREE: RESEARCH METHODS</w:t>
      </w:r>
    </w:p>
    <w:p w14:paraId="6B8C22D3" w14:textId="77777777" w:rsidR="00322954" w:rsidRDefault="00322954" w:rsidP="00322954">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3.0</w:t>
      </w:r>
      <w:r>
        <w:rPr>
          <w:rFonts w:asciiTheme="majorBidi" w:hAnsiTheme="majorBidi" w:cstheme="majorBidi"/>
          <w:color w:val="000000" w:themeColor="text1"/>
          <w:sz w:val="24"/>
          <w:szCs w:val="24"/>
        </w:rPr>
        <w:tab/>
        <w:t>Research Methodology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23</w:t>
      </w:r>
    </w:p>
    <w:p w14:paraId="7A20EC90" w14:textId="77777777" w:rsidR="00322954" w:rsidRDefault="00322954" w:rsidP="00322954">
      <w:pPr>
        <w:pStyle w:val="NoSpacing"/>
        <w:numPr>
          <w:ilvl w:val="1"/>
          <w:numId w:val="15"/>
        </w:numPr>
        <w:spacing w:line="360" w:lineRule="auto"/>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Population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24</w:t>
      </w:r>
    </w:p>
    <w:p w14:paraId="5C205083" w14:textId="77777777" w:rsidR="00322954" w:rsidRDefault="00322954" w:rsidP="00322954">
      <w:pPr>
        <w:pStyle w:val="NoSpacing"/>
        <w:numPr>
          <w:ilvl w:val="1"/>
          <w:numId w:val="15"/>
        </w:numPr>
        <w:spacing w:line="360" w:lineRule="auto"/>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Sample size</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24</w:t>
      </w:r>
    </w:p>
    <w:p w14:paraId="5EBDA9B3" w14:textId="77777777" w:rsidR="00322954" w:rsidRDefault="00322954" w:rsidP="00322954">
      <w:pPr>
        <w:pStyle w:val="NoSpacing"/>
        <w:numPr>
          <w:ilvl w:val="1"/>
          <w:numId w:val="15"/>
        </w:numPr>
        <w:spacing w:line="360" w:lineRule="auto"/>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Source of Data</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24</w:t>
      </w:r>
    </w:p>
    <w:p w14:paraId="2D241863" w14:textId="77777777" w:rsidR="00322954" w:rsidRDefault="00322954" w:rsidP="00322954">
      <w:pPr>
        <w:pStyle w:val="NoSpacing"/>
        <w:numPr>
          <w:ilvl w:val="1"/>
          <w:numId w:val="15"/>
        </w:numPr>
        <w:spacing w:line="360" w:lineRule="auto"/>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Method of Data collection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25</w:t>
      </w:r>
    </w:p>
    <w:p w14:paraId="5CC85811" w14:textId="77777777" w:rsidR="00322954" w:rsidRDefault="00322954" w:rsidP="00322954">
      <w:pPr>
        <w:pStyle w:val="NoSpacing"/>
        <w:numPr>
          <w:ilvl w:val="1"/>
          <w:numId w:val="15"/>
        </w:numPr>
        <w:spacing w:line="360" w:lineRule="auto"/>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Validity of instruments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25</w:t>
      </w:r>
    </w:p>
    <w:p w14:paraId="0CE776AB" w14:textId="77777777" w:rsidR="00322954" w:rsidRDefault="00322954" w:rsidP="00322954">
      <w:pPr>
        <w:pStyle w:val="NoSpacing"/>
        <w:numPr>
          <w:ilvl w:val="1"/>
          <w:numId w:val="15"/>
        </w:numPr>
        <w:spacing w:line="360" w:lineRule="auto"/>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Method of Data analysis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25</w:t>
      </w:r>
    </w:p>
    <w:p w14:paraId="26C04694" w14:textId="77777777" w:rsidR="00322954" w:rsidRDefault="00322954" w:rsidP="00322954">
      <w:pPr>
        <w:pStyle w:val="NoSpacing"/>
        <w:spacing w:line="360" w:lineRule="auto"/>
        <w:ind w:right="-396"/>
        <w:jc w:val="center"/>
        <w:rPr>
          <w:rFonts w:asciiTheme="majorBidi" w:hAnsiTheme="majorBidi" w:cstheme="majorBidi"/>
          <w:b/>
          <w:color w:val="000000" w:themeColor="text1"/>
          <w:sz w:val="24"/>
          <w:szCs w:val="24"/>
        </w:rPr>
      </w:pPr>
    </w:p>
    <w:p w14:paraId="3960680B" w14:textId="77777777" w:rsidR="00322954" w:rsidRDefault="00322954" w:rsidP="00322954">
      <w:pPr>
        <w:pStyle w:val="NoSpacing"/>
        <w:spacing w:line="360" w:lineRule="auto"/>
        <w:ind w:right="-396"/>
        <w:jc w:val="center"/>
        <w:rPr>
          <w:rFonts w:asciiTheme="majorBidi" w:hAnsiTheme="majorBidi" w:cstheme="majorBidi"/>
          <w:b/>
          <w:color w:val="000000" w:themeColor="text1"/>
          <w:sz w:val="24"/>
          <w:szCs w:val="24"/>
        </w:rPr>
      </w:pPr>
    </w:p>
    <w:p w14:paraId="42844463" w14:textId="77777777" w:rsidR="00322954" w:rsidRDefault="00322954" w:rsidP="00322954">
      <w:pPr>
        <w:pStyle w:val="NoSpacing"/>
        <w:spacing w:line="360" w:lineRule="auto"/>
        <w:ind w:right="-396"/>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CHAPTER FOUR: DATA ANALYSIS DISCUSSION</w:t>
      </w:r>
    </w:p>
    <w:p w14:paraId="6740745C" w14:textId="77777777" w:rsidR="00322954" w:rsidRDefault="00322954" w:rsidP="00322954">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4.0</w:t>
      </w:r>
      <w:r>
        <w:rPr>
          <w:rFonts w:asciiTheme="majorBidi" w:hAnsiTheme="majorBidi" w:cstheme="majorBidi"/>
          <w:color w:val="000000" w:themeColor="text1"/>
          <w:sz w:val="24"/>
          <w:szCs w:val="24"/>
        </w:rPr>
        <w:tab/>
        <w:t>Data presentation, analysis and interpretation of statistical data</w:t>
      </w:r>
      <w:r>
        <w:rPr>
          <w:rFonts w:asciiTheme="majorBidi" w:hAnsiTheme="majorBidi" w:cstheme="majorBidi"/>
          <w:color w:val="000000" w:themeColor="text1"/>
          <w:sz w:val="24"/>
          <w:szCs w:val="24"/>
        </w:rPr>
        <w:tab/>
        <w:t>26</w:t>
      </w:r>
    </w:p>
    <w:p w14:paraId="2EBCEAEE" w14:textId="77777777" w:rsidR="00322954" w:rsidRDefault="00322954" w:rsidP="00322954">
      <w:pPr>
        <w:pStyle w:val="NoSpacing"/>
        <w:numPr>
          <w:ilvl w:val="1"/>
          <w:numId w:val="16"/>
        </w:numPr>
        <w:spacing w:line="360" w:lineRule="auto"/>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Data presentation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26</w:t>
      </w:r>
    </w:p>
    <w:p w14:paraId="208D6974" w14:textId="77777777" w:rsidR="00322954" w:rsidRDefault="00322954" w:rsidP="00322954">
      <w:pPr>
        <w:pStyle w:val="NoSpacing"/>
        <w:numPr>
          <w:ilvl w:val="1"/>
          <w:numId w:val="16"/>
        </w:numPr>
        <w:spacing w:line="360" w:lineRule="auto"/>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Data analysis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36</w:t>
      </w:r>
    </w:p>
    <w:p w14:paraId="6C135B6F" w14:textId="77777777" w:rsidR="00322954" w:rsidRDefault="00322954" w:rsidP="00322954">
      <w:pPr>
        <w:pStyle w:val="NoSpacing"/>
        <w:numPr>
          <w:ilvl w:val="1"/>
          <w:numId w:val="16"/>
        </w:numPr>
        <w:spacing w:line="360" w:lineRule="auto"/>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Interpretation of data</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41</w:t>
      </w:r>
    </w:p>
    <w:p w14:paraId="3DA7986D" w14:textId="77777777" w:rsidR="00322954" w:rsidRDefault="00322954" w:rsidP="00322954">
      <w:pPr>
        <w:pStyle w:val="NoSpacing"/>
        <w:spacing w:line="360" w:lineRule="auto"/>
        <w:ind w:right="-396"/>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CHAPTER FIVE: SUMMARY, CONCLUSION AND RECOMMENDATIONS</w:t>
      </w:r>
    </w:p>
    <w:p w14:paraId="618F650A" w14:textId="77777777" w:rsidR="00322954" w:rsidRDefault="00322954" w:rsidP="00322954">
      <w:pPr>
        <w:pStyle w:val="NoSpacing"/>
        <w:numPr>
          <w:ilvl w:val="1"/>
          <w:numId w:val="17"/>
        </w:numPr>
        <w:spacing w:line="360" w:lineRule="auto"/>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Summary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46</w:t>
      </w:r>
    </w:p>
    <w:p w14:paraId="5524097F" w14:textId="77777777" w:rsidR="00322954" w:rsidRDefault="00322954" w:rsidP="00322954">
      <w:pPr>
        <w:pStyle w:val="NoSpacing"/>
        <w:numPr>
          <w:ilvl w:val="1"/>
          <w:numId w:val="17"/>
        </w:numPr>
        <w:spacing w:line="360" w:lineRule="auto"/>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Conclusion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46</w:t>
      </w:r>
    </w:p>
    <w:p w14:paraId="628D374F" w14:textId="77777777" w:rsidR="00322954" w:rsidRDefault="00322954" w:rsidP="00322954">
      <w:pPr>
        <w:pStyle w:val="NoSpacing"/>
        <w:numPr>
          <w:ilvl w:val="1"/>
          <w:numId w:val="17"/>
        </w:numPr>
        <w:spacing w:line="360" w:lineRule="auto"/>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Recommendations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47</w:t>
      </w:r>
    </w:p>
    <w:p w14:paraId="5E8FBA4C" w14:textId="77777777" w:rsidR="00322954" w:rsidRDefault="00322954" w:rsidP="00322954">
      <w:pPr>
        <w:pStyle w:val="NoSpacing"/>
        <w:spacing w:line="360" w:lineRule="auto"/>
        <w:ind w:right="-396"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References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50</w:t>
      </w:r>
    </w:p>
    <w:p w14:paraId="14853192" w14:textId="77777777" w:rsidR="007758C6" w:rsidRDefault="00322954" w:rsidP="007758C6">
      <w:pPr>
        <w:pStyle w:val="NoSpacing"/>
        <w:spacing w:line="360" w:lineRule="auto"/>
        <w:ind w:right="-396" w:firstLine="720"/>
        <w:jc w:val="both"/>
        <w:rPr>
          <w:rFonts w:asciiTheme="majorBidi" w:hAnsiTheme="majorBidi" w:cstheme="majorBidi"/>
          <w:color w:val="000000" w:themeColor="text1"/>
          <w:sz w:val="24"/>
          <w:szCs w:val="24"/>
        </w:rPr>
        <w:sectPr w:rsidR="007758C6" w:rsidSect="007758C6">
          <w:footerReference w:type="even" r:id="rId8"/>
          <w:footerReference w:type="default" r:id="rId9"/>
          <w:pgSz w:w="11952" w:h="14688" w:code="9"/>
          <w:pgMar w:top="1440" w:right="1728" w:bottom="1440" w:left="1728" w:header="720" w:footer="720" w:gutter="0"/>
          <w:pgNumType w:fmt="lowerRoman" w:start="1"/>
          <w:cols w:space="720"/>
          <w:docGrid w:linePitch="360"/>
        </w:sectPr>
      </w:pPr>
      <w:r>
        <w:rPr>
          <w:rFonts w:asciiTheme="majorBidi" w:hAnsiTheme="majorBidi" w:cstheme="majorBidi"/>
          <w:color w:val="000000" w:themeColor="text1"/>
          <w:sz w:val="24"/>
          <w:szCs w:val="24"/>
        </w:rPr>
        <w:t>Appendix</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52</w:t>
      </w:r>
      <w:bookmarkEnd w:id="2"/>
    </w:p>
    <w:p w14:paraId="63AFC9EF" w14:textId="714238AD" w:rsidR="00A66BAD" w:rsidRPr="007758C6" w:rsidRDefault="00A66BAD" w:rsidP="0047083F">
      <w:pPr>
        <w:pStyle w:val="NoSpacing"/>
        <w:spacing w:line="360" w:lineRule="auto"/>
        <w:ind w:right="-396"/>
        <w:jc w:val="center"/>
        <w:rPr>
          <w:rFonts w:asciiTheme="majorBidi" w:hAnsiTheme="majorBidi" w:cstheme="majorBidi"/>
          <w:color w:val="000000" w:themeColor="text1"/>
          <w:sz w:val="24"/>
          <w:szCs w:val="24"/>
        </w:rPr>
      </w:pPr>
      <w:r w:rsidRPr="007E3F92">
        <w:rPr>
          <w:rFonts w:asciiTheme="majorBidi" w:hAnsiTheme="majorBidi" w:cstheme="majorBidi"/>
          <w:b/>
          <w:sz w:val="24"/>
          <w:szCs w:val="24"/>
        </w:rPr>
        <w:lastRenderedPageBreak/>
        <w:t>CHAPTER ONE</w:t>
      </w:r>
    </w:p>
    <w:p w14:paraId="69E2B79B" w14:textId="77777777" w:rsidR="00A66BAD" w:rsidRPr="007E3F92" w:rsidRDefault="00A66BAD" w:rsidP="00322954">
      <w:pPr>
        <w:spacing w:after="0" w:line="360" w:lineRule="auto"/>
        <w:jc w:val="center"/>
        <w:rPr>
          <w:rFonts w:asciiTheme="majorBidi" w:hAnsiTheme="majorBidi" w:cstheme="majorBidi"/>
          <w:b/>
          <w:sz w:val="24"/>
          <w:szCs w:val="24"/>
        </w:rPr>
      </w:pPr>
      <w:r w:rsidRPr="007E3F92">
        <w:rPr>
          <w:rFonts w:asciiTheme="majorBidi" w:hAnsiTheme="majorBidi" w:cstheme="majorBidi"/>
          <w:b/>
          <w:sz w:val="24"/>
          <w:szCs w:val="24"/>
        </w:rPr>
        <w:t>INTRODUCTION</w:t>
      </w:r>
    </w:p>
    <w:p w14:paraId="39AAA7BA" w14:textId="63B46CEA" w:rsidR="00A66BAD" w:rsidRPr="007E3F92" w:rsidRDefault="00A66BAD" w:rsidP="00322954">
      <w:pPr>
        <w:pStyle w:val="ListParagraph"/>
        <w:numPr>
          <w:ilvl w:val="1"/>
          <w:numId w:val="6"/>
        </w:numPr>
        <w:spacing w:after="0" w:line="360" w:lineRule="auto"/>
        <w:jc w:val="both"/>
        <w:rPr>
          <w:rFonts w:asciiTheme="majorBidi" w:hAnsiTheme="majorBidi" w:cstheme="majorBidi"/>
          <w:b/>
          <w:sz w:val="24"/>
          <w:szCs w:val="24"/>
        </w:rPr>
      </w:pPr>
      <w:r w:rsidRPr="007E3F92">
        <w:rPr>
          <w:rFonts w:asciiTheme="majorBidi" w:hAnsiTheme="majorBidi" w:cstheme="majorBidi"/>
          <w:b/>
          <w:sz w:val="24"/>
          <w:szCs w:val="24"/>
        </w:rPr>
        <w:t>Background To the Study</w:t>
      </w:r>
    </w:p>
    <w:p w14:paraId="62F14C0E" w14:textId="57BB01B8" w:rsidR="00A66BAD" w:rsidRPr="00634E9A" w:rsidRDefault="00A66BAD" w:rsidP="00322954">
      <w:pPr>
        <w:spacing w:after="0" w:line="360" w:lineRule="auto"/>
        <w:jc w:val="both"/>
        <w:rPr>
          <w:rFonts w:asciiTheme="majorBidi" w:hAnsiTheme="majorBidi" w:cstheme="majorBidi"/>
          <w:color w:val="000000"/>
          <w:sz w:val="24"/>
          <w:szCs w:val="24"/>
        </w:rPr>
      </w:pPr>
      <w:r w:rsidRPr="00634E9A">
        <w:rPr>
          <w:rFonts w:asciiTheme="majorBidi" w:hAnsiTheme="majorBidi" w:cstheme="majorBidi"/>
          <w:sz w:val="24"/>
          <w:szCs w:val="24"/>
        </w:rPr>
        <w:t>The credibility of financial reporting is a critical aspect of maintaining transparency and trust in the financial markets. It ensures that investors, creditors, and other stakeholders can rely on the information presented in financial statements to make informed decisions. In Nigeria, like many other countries, concerns about the credibility of financial reporting have been raised due to various financial scandals and corporate failures</w:t>
      </w:r>
      <w:r w:rsidRPr="00634E9A">
        <w:rPr>
          <w:rStyle w:val="fontstyle01"/>
          <w:rFonts w:asciiTheme="majorBidi" w:hAnsiTheme="majorBidi" w:cstheme="majorBidi"/>
        </w:rPr>
        <w:t xml:space="preserve"> (Basiruddeen, </w:t>
      </w:r>
      <w:r>
        <w:rPr>
          <w:rStyle w:val="fontstyle01"/>
          <w:rFonts w:asciiTheme="majorBidi" w:hAnsiTheme="majorBidi" w:cstheme="majorBidi"/>
        </w:rPr>
        <w:t>2019</w:t>
      </w:r>
      <w:r w:rsidRPr="00634E9A">
        <w:rPr>
          <w:rStyle w:val="fontstyle01"/>
          <w:rFonts w:asciiTheme="majorBidi" w:hAnsiTheme="majorBidi" w:cstheme="majorBidi"/>
        </w:rPr>
        <w:t>).</w:t>
      </w:r>
    </w:p>
    <w:p w14:paraId="5DFFABD9" w14:textId="6FC02659" w:rsidR="00A66BAD" w:rsidRPr="00634E9A" w:rsidRDefault="00A66BAD" w:rsidP="00322954">
      <w:pPr>
        <w:spacing w:after="0" w:line="360" w:lineRule="auto"/>
        <w:jc w:val="both"/>
        <w:rPr>
          <w:rStyle w:val="fontstyle01"/>
          <w:rFonts w:asciiTheme="majorBidi" w:hAnsiTheme="majorBidi" w:cstheme="majorBidi"/>
        </w:rPr>
      </w:pPr>
      <w:r w:rsidRPr="00634E9A">
        <w:rPr>
          <w:rStyle w:val="fontstyle01"/>
          <w:rFonts w:asciiTheme="majorBidi" w:hAnsiTheme="majorBidi" w:cstheme="majorBidi"/>
        </w:rPr>
        <w:t>Investors and all stakeholders use financial statements which provide information about the</w:t>
      </w:r>
      <w:r w:rsidRPr="00634E9A">
        <w:rPr>
          <w:rFonts w:asciiTheme="majorBidi" w:hAnsiTheme="majorBidi" w:cstheme="majorBidi"/>
          <w:color w:val="000000"/>
          <w:sz w:val="24"/>
          <w:szCs w:val="24"/>
        </w:rPr>
        <w:t xml:space="preserve"> </w:t>
      </w:r>
      <w:r w:rsidRPr="00634E9A">
        <w:rPr>
          <w:rStyle w:val="fontstyle01"/>
          <w:rFonts w:asciiTheme="majorBidi" w:hAnsiTheme="majorBidi" w:cstheme="majorBidi"/>
        </w:rPr>
        <w:t>economic activities of an entity for major decision making. One of the vital variables of financial</w:t>
      </w:r>
      <w:r w:rsidRPr="00634E9A">
        <w:rPr>
          <w:rFonts w:asciiTheme="majorBidi" w:hAnsiTheme="majorBidi" w:cstheme="majorBidi"/>
          <w:color w:val="000000"/>
          <w:sz w:val="24"/>
          <w:szCs w:val="24"/>
        </w:rPr>
        <w:t xml:space="preserve"> </w:t>
      </w:r>
      <w:r w:rsidRPr="00634E9A">
        <w:rPr>
          <w:rStyle w:val="fontstyle01"/>
          <w:rFonts w:asciiTheme="majorBidi" w:hAnsiTheme="majorBidi" w:cstheme="majorBidi"/>
        </w:rPr>
        <w:t>report that investors, creditors, employees, shareholders, financial expertise and regulators use</w:t>
      </w:r>
      <w:r w:rsidRPr="00634E9A">
        <w:rPr>
          <w:rFonts w:asciiTheme="majorBidi" w:hAnsiTheme="majorBidi" w:cstheme="majorBidi"/>
          <w:color w:val="000000"/>
          <w:sz w:val="24"/>
          <w:szCs w:val="24"/>
        </w:rPr>
        <w:t xml:space="preserve"> </w:t>
      </w:r>
      <w:r w:rsidRPr="00634E9A">
        <w:rPr>
          <w:rStyle w:val="fontstyle01"/>
          <w:rFonts w:asciiTheme="majorBidi" w:hAnsiTheme="majorBidi" w:cstheme="majorBidi"/>
        </w:rPr>
        <w:t>for efficient decision making is the accounting earnings which are expected to be reliable,</w:t>
      </w:r>
      <w:r w:rsidRPr="00634E9A">
        <w:rPr>
          <w:rFonts w:asciiTheme="majorBidi" w:hAnsiTheme="majorBidi" w:cstheme="majorBidi"/>
          <w:color w:val="000000"/>
          <w:sz w:val="24"/>
          <w:szCs w:val="24"/>
        </w:rPr>
        <w:t xml:space="preserve"> </w:t>
      </w:r>
      <w:r w:rsidRPr="00634E9A">
        <w:rPr>
          <w:rStyle w:val="fontstyle01"/>
          <w:rFonts w:asciiTheme="majorBidi" w:hAnsiTheme="majorBidi" w:cstheme="majorBidi"/>
        </w:rPr>
        <w:t>verifiable, understandable and timely. A quality accounting information gives certainty that the</w:t>
      </w:r>
      <w:r w:rsidRPr="00634E9A">
        <w:rPr>
          <w:rFonts w:asciiTheme="majorBidi" w:hAnsiTheme="majorBidi" w:cstheme="majorBidi"/>
          <w:color w:val="000000"/>
          <w:sz w:val="24"/>
          <w:szCs w:val="24"/>
        </w:rPr>
        <w:t xml:space="preserve"> </w:t>
      </w:r>
      <w:r w:rsidRPr="00634E9A">
        <w:rPr>
          <w:rStyle w:val="fontstyle01"/>
          <w:rFonts w:asciiTheme="majorBidi" w:hAnsiTheme="majorBidi" w:cstheme="majorBidi"/>
        </w:rPr>
        <w:t>report provided is sensibly free from error and bias and it truly represents what it intends to</w:t>
      </w:r>
      <w:r w:rsidRPr="00634E9A">
        <w:rPr>
          <w:rFonts w:asciiTheme="majorBidi" w:hAnsiTheme="majorBidi" w:cstheme="majorBidi"/>
          <w:color w:val="000000"/>
          <w:sz w:val="24"/>
          <w:szCs w:val="24"/>
        </w:rPr>
        <w:t xml:space="preserve"> </w:t>
      </w:r>
      <w:r w:rsidRPr="00634E9A">
        <w:rPr>
          <w:rStyle w:val="fontstyle01"/>
          <w:rFonts w:asciiTheme="majorBidi" w:hAnsiTheme="majorBidi" w:cstheme="majorBidi"/>
        </w:rPr>
        <w:t xml:space="preserve">represent, and the presentation is not misleading or ambiguous to Users (Shehu, </w:t>
      </w:r>
      <w:r w:rsidR="00EE7935">
        <w:rPr>
          <w:rStyle w:val="fontstyle01"/>
          <w:rFonts w:asciiTheme="majorBidi" w:hAnsiTheme="majorBidi" w:cstheme="majorBidi"/>
        </w:rPr>
        <w:t>2022</w:t>
      </w:r>
      <w:r w:rsidRPr="00634E9A">
        <w:rPr>
          <w:rStyle w:val="fontstyle01"/>
          <w:rFonts w:asciiTheme="majorBidi" w:hAnsiTheme="majorBidi" w:cstheme="majorBidi"/>
        </w:rPr>
        <w:t xml:space="preserve">). </w:t>
      </w:r>
    </w:p>
    <w:p w14:paraId="347079DA" w14:textId="4FFDD1F8" w:rsidR="00A66BAD" w:rsidRPr="00634E9A" w:rsidRDefault="00A66BAD" w:rsidP="00322954">
      <w:pPr>
        <w:pStyle w:val="NormalWeb"/>
        <w:spacing w:before="0" w:beforeAutospacing="0" w:after="0" w:afterAutospacing="0" w:line="360" w:lineRule="auto"/>
        <w:jc w:val="both"/>
        <w:rPr>
          <w:rFonts w:asciiTheme="majorBidi" w:hAnsiTheme="majorBidi" w:cstheme="majorBidi"/>
        </w:rPr>
      </w:pPr>
      <w:r w:rsidRPr="00634E9A">
        <w:rPr>
          <w:rFonts w:asciiTheme="majorBidi" w:hAnsiTheme="majorBidi" w:cstheme="majorBidi"/>
        </w:rPr>
        <w:t>One of the factors that significantly impact the credibility of financial reporting is the role of auditors and the quality of their audits. Auditors are entrusted with the responsibility of examining and expressing an opinion on the fairness of financial statements. They are expected to act independently and exercise professional judgment to enhance the reliability and accuracy of financial reporting</w:t>
      </w:r>
      <w:r w:rsidRPr="00634E9A">
        <w:rPr>
          <w:rStyle w:val="Heading4Char"/>
          <w:rFonts w:asciiTheme="majorBidi" w:hAnsiTheme="majorBidi"/>
        </w:rPr>
        <w:t xml:space="preserve"> (</w:t>
      </w:r>
      <w:r w:rsidRPr="00634E9A">
        <w:rPr>
          <w:rStyle w:val="fontstyle01"/>
          <w:rFonts w:asciiTheme="majorBidi" w:hAnsiTheme="majorBidi" w:cstheme="majorBidi"/>
        </w:rPr>
        <w:t xml:space="preserve">Kantudu &amp; Samaila, </w:t>
      </w:r>
      <w:r w:rsidR="00EE7935">
        <w:rPr>
          <w:rStyle w:val="fontstyle01"/>
          <w:rFonts w:asciiTheme="majorBidi" w:hAnsiTheme="majorBidi" w:cstheme="majorBidi"/>
        </w:rPr>
        <w:t>2022</w:t>
      </w:r>
      <w:r w:rsidRPr="00634E9A">
        <w:rPr>
          <w:rStyle w:val="fontstyle01"/>
          <w:rFonts w:asciiTheme="majorBidi" w:hAnsiTheme="majorBidi" w:cstheme="majorBidi"/>
        </w:rPr>
        <w:t>)</w:t>
      </w:r>
      <w:r w:rsidRPr="00634E9A">
        <w:rPr>
          <w:rFonts w:asciiTheme="majorBidi" w:hAnsiTheme="majorBidi" w:cstheme="majorBidi"/>
        </w:rPr>
        <w:t>.</w:t>
      </w:r>
    </w:p>
    <w:p w14:paraId="59FF67C0" w14:textId="436D2840" w:rsidR="00A66BAD" w:rsidRDefault="00A66BAD" w:rsidP="0047083F">
      <w:pPr>
        <w:pStyle w:val="NormalWeb"/>
        <w:spacing w:before="240" w:beforeAutospacing="0" w:after="0" w:afterAutospacing="0" w:line="360" w:lineRule="auto"/>
        <w:jc w:val="both"/>
        <w:rPr>
          <w:rFonts w:asciiTheme="majorBidi" w:hAnsiTheme="majorBidi" w:cstheme="majorBidi"/>
        </w:rPr>
      </w:pPr>
      <w:r w:rsidRPr="00634E9A">
        <w:rPr>
          <w:rFonts w:asciiTheme="majorBidi" w:hAnsiTheme="majorBidi" w:cstheme="majorBidi"/>
        </w:rPr>
        <w:t>The autonomy of auditors is a crucial aspect of their role in ensuring credible financial reporting. Auditor autonomy refers to the independence and freedom auditors have to conduct their work without any undue influence or interference. It allows auditors to objectively assess the financial statements and express their professional judgment without bias</w:t>
      </w:r>
      <w:r w:rsidRPr="00634E9A">
        <w:rPr>
          <w:rStyle w:val="fontstyle01"/>
          <w:rFonts w:asciiTheme="majorBidi" w:hAnsiTheme="majorBidi" w:cstheme="majorBidi"/>
        </w:rPr>
        <w:t xml:space="preserve"> (Baxter &amp; Cotter </w:t>
      </w:r>
      <w:r w:rsidR="00EE7935">
        <w:rPr>
          <w:rStyle w:val="fontstyle01"/>
          <w:rFonts w:asciiTheme="majorBidi" w:hAnsiTheme="majorBidi" w:cstheme="majorBidi"/>
        </w:rPr>
        <w:t>2020</w:t>
      </w:r>
      <w:r w:rsidRPr="00634E9A">
        <w:rPr>
          <w:rStyle w:val="fontstyle01"/>
          <w:rFonts w:asciiTheme="majorBidi" w:hAnsiTheme="majorBidi" w:cstheme="majorBidi"/>
        </w:rPr>
        <w:t xml:space="preserve">; Lin &amp; Hwang </w:t>
      </w:r>
      <w:r w:rsidR="00EE7935">
        <w:rPr>
          <w:rStyle w:val="fontstyle01"/>
          <w:rFonts w:asciiTheme="majorBidi" w:hAnsiTheme="majorBidi" w:cstheme="majorBidi"/>
        </w:rPr>
        <w:t>2020</w:t>
      </w:r>
      <w:r w:rsidRPr="00634E9A">
        <w:rPr>
          <w:rStyle w:val="fontstyle01"/>
          <w:rFonts w:asciiTheme="majorBidi" w:hAnsiTheme="majorBidi" w:cstheme="majorBidi"/>
        </w:rPr>
        <w:t>)</w:t>
      </w:r>
      <w:r w:rsidRPr="00634E9A">
        <w:rPr>
          <w:rFonts w:asciiTheme="majorBidi" w:hAnsiTheme="majorBidi" w:cstheme="majorBidi"/>
        </w:rPr>
        <w:t>.</w:t>
      </w:r>
    </w:p>
    <w:p w14:paraId="363C1C7F" w14:textId="7630B35A" w:rsidR="00A66BAD" w:rsidRDefault="00A66BAD" w:rsidP="00322954">
      <w:pPr>
        <w:pStyle w:val="NormalWeb"/>
        <w:spacing w:before="0" w:beforeAutospacing="0" w:after="0" w:afterAutospacing="0" w:line="360" w:lineRule="auto"/>
        <w:jc w:val="both"/>
        <w:rPr>
          <w:rStyle w:val="fontstyle01"/>
          <w:rFonts w:asciiTheme="majorBidi" w:hAnsiTheme="majorBidi" w:cstheme="majorBidi"/>
        </w:rPr>
      </w:pPr>
      <w:r w:rsidRPr="00634E9A">
        <w:rPr>
          <w:rStyle w:val="fontstyle01"/>
          <w:rFonts w:asciiTheme="majorBidi" w:hAnsiTheme="majorBidi" w:cstheme="majorBidi"/>
        </w:rPr>
        <w:lastRenderedPageBreak/>
        <w:t>The need for auditors to ensure high quality in the financial report prepared by managers</w:t>
      </w:r>
      <w:r>
        <w:rPr>
          <w:rStyle w:val="fontstyle01"/>
          <w:rFonts w:asciiTheme="majorBidi" w:hAnsiTheme="majorBidi" w:cstheme="majorBidi"/>
        </w:rPr>
        <w:t xml:space="preserve"> </w:t>
      </w:r>
      <w:r w:rsidRPr="00634E9A">
        <w:rPr>
          <w:rStyle w:val="fontstyle01"/>
          <w:rFonts w:asciiTheme="majorBidi" w:hAnsiTheme="majorBidi" w:cstheme="majorBidi"/>
        </w:rPr>
        <w:t>is of</w:t>
      </w:r>
      <w:r>
        <w:rPr>
          <w:rFonts w:asciiTheme="majorBidi" w:hAnsiTheme="majorBidi" w:cstheme="majorBidi"/>
          <w:color w:val="000000"/>
        </w:rPr>
        <w:t xml:space="preserve"> </w:t>
      </w:r>
      <w:r w:rsidRPr="00634E9A">
        <w:rPr>
          <w:rStyle w:val="fontstyle01"/>
          <w:rFonts w:asciiTheme="majorBidi" w:hAnsiTheme="majorBidi" w:cstheme="majorBidi"/>
        </w:rPr>
        <w:t>great importance to regulators, as a result the International Auditing and Assurance Standards</w:t>
      </w:r>
      <w:r w:rsidRPr="00634E9A">
        <w:rPr>
          <w:rFonts w:asciiTheme="majorBidi" w:hAnsiTheme="majorBidi" w:cstheme="majorBidi"/>
          <w:color w:val="000000"/>
        </w:rPr>
        <w:t xml:space="preserve"> </w:t>
      </w:r>
      <w:r w:rsidRPr="00634E9A">
        <w:rPr>
          <w:rStyle w:val="fontstyle01"/>
          <w:rFonts w:asciiTheme="majorBidi" w:hAnsiTheme="majorBidi" w:cstheme="majorBidi"/>
        </w:rPr>
        <w:t xml:space="preserve">Board (IAASB, </w:t>
      </w:r>
      <w:r w:rsidR="00EE7935">
        <w:rPr>
          <w:rStyle w:val="fontstyle01"/>
          <w:rFonts w:asciiTheme="majorBidi" w:hAnsiTheme="majorBidi" w:cstheme="majorBidi"/>
        </w:rPr>
        <w:t>2021</w:t>
      </w:r>
      <w:r w:rsidRPr="00634E9A">
        <w:rPr>
          <w:rStyle w:val="fontstyle01"/>
          <w:rFonts w:asciiTheme="majorBidi" w:hAnsiTheme="majorBidi" w:cstheme="majorBidi"/>
        </w:rPr>
        <w:t>) stated that audit service gives an assurance that the financial report</w:t>
      </w:r>
      <w:r w:rsidRPr="00634E9A">
        <w:rPr>
          <w:rFonts w:asciiTheme="majorBidi" w:hAnsiTheme="majorBidi" w:cstheme="majorBidi"/>
          <w:color w:val="000000"/>
        </w:rPr>
        <w:t xml:space="preserve"> </w:t>
      </w:r>
      <w:r w:rsidRPr="00634E9A">
        <w:rPr>
          <w:rStyle w:val="fontstyle01"/>
          <w:rFonts w:asciiTheme="majorBidi" w:hAnsiTheme="majorBidi" w:cstheme="majorBidi"/>
        </w:rPr>
        <w:t>prepared by managers is true, fair and free of both intentional and unintentional errors. Auditing</w:t>
      </w:r>
      <w:r w:rsidRPr="00634E9A">
        <w:rPr>
          <w:rFonts w:asciiTheme="majorBidi" w:hAnsiTheme="majorBidi" w:cstheme="majorBidi"/>
          <w:color w:val="000000"/>
        </w:rPr>
        <w:t xml:space="preserve"> </w:t>
      </w:r>
      <w:r w:rsidRPr="00634E9A">
        <w:rPr>
          <w:rStyle w:val="fontstyle01"/>
          <w:rFonts w:asciiTheme="majorBidi" w:hAnsiTheme="majorBidi" w:cstheme="majorBidi"/>
        </w:rPr>
        <w:t>mechanism has been considered useful in ensuring integrity of the financial report by scrutiny</w:t>
      </w:r>
      <w:r>
        <w:rPr>
          <w:rFonts w:asciiTheme="majorBidi" w:hAnsiTheme="majorBidi" w:cstheme="majorBidi"/>
          <w:color w:val="000000"/>
        </w:rPr>
        <w:t xml:space="preserve"> </w:t>
      </w:r>
      <w:r w:rsidRPr="00634E9A">
        <w:rPr>
          <w:rStyle w:val="fontstyle01"/>
          <w:rFonts w:asciiTheme="majorBidi" w:hAnsiTheme="majorBidi" w:cstheme="majorBidi"/>
        </w:rPr>
        <w:t xml:space="preserve">managers’ excesses that usually arise as a result of information asymmetry (Abubakar, </w:t>
      </w:r>
      <w:r w:rsidR="00EE7935">
        <w:rPr>
          <w:rStyle w:val="fontstyle01"/>
          <w:rFonts w:asciiTheme="majorBidi" w:hAnsiTheme="majorBidi" w:cstheme="majorBidi"/>
        </w:rPr>
        <w:t>2019</w:t>
      </w:r>
      <w:r w:rsidRPr="00634E9A">
        <w:rPr>
          <w:rStyle w:val="fontstyle01"/>
          <w:rFonts w:asciiTheme="majorBidi" w:hAnsiTheme="majorBidi" w:cstheme="majorBidi"/>
        </w:rPr>
        <w:t>).</w:t>
      </w:r>
      <w:r w:rsidRPr="00634E9A">
        <w:rPr>
          <w:rFonts w:asciiTheme="majorBidi" w:hAnsiTheme="majorBidi" w:cstheme="majorBidi"/>
          <w:color w:val="000000"/>
        </w:rPr>
        <w:t xml:space="preserve"> </w:t>
      </w:r>
      <w:r w:rsidRPr="00634E9A">
        <w:rPr>
          <w:rStyle w:val="fontstyle01"/>
          <w:rFonts w:asciiTheme="majorBidi" w:hAnsiTheme="majorBidi" w:cstheme="majorBidi"/>
        </w:rPr>
        <w:t>External auditors have been commended in playing a highly crucial role in ensuring the</w:t>
      </w:r>
      <w:r w:rsidRPr="00634E9A">
        <w:rPr>
          <w:rFonts w:asciiTheme="majorBidi" w:hAnsiTheme="majorBidi" w:cstheme="majorBidi"/>
          <w:color w:val="000000"/>
        </w:rPr>
        <w:t xml:space="preserve"> </w:t>
      </w:r>
      <w:r w:rsidRPr="00634E9A">
        <w:rPr>
          <w:rStyle w:val="fontstyle01"/>
          <w:rFonts w:asciiTheme="majorBidi" w:hAnsiTheme="majorBidi" w:cstheme="majorBidi"/>
        </w:rPr>
        <w:t>credibility, validity and reliability of the financial report, as such shareholders employs external</w:t>
      </w:r>
      <w:r w:rsidRPr="00634E9A">
        <w:rPr>
          <w:rFonts w:asciiTheme="majorBidi" w:hAnsiTheme="majorBidi" w:cstheme="majorBidi"/>
          <w:color w:val="000000"/>
        </w:rPr>
        <w:t xml:space="preserve"> </w:t>
      </w:r>
      <w:r w:rsidRPr="00634E9A">
        <w:rPr>
          <w:rStyle w:val="fontstyle01"/>
          <w:rFonts w:asciiTheme="majorBidi" w:hAnsiTheme="majorBidi" w:cstheme="majorBidi"/>
        </w:rPr>
        <w:t>auditors who will serve as third parties in providing assurance that the financial report is</w:t>
      </w:r>
      <w:r w:rsidRPr="00634E9A">
        <w:rPr>
          <w:rFonts w:asciiTheme="majorBidi" w:hAnsiTheme="majorBidi" w:cstheme="majorBidi"/>
          <w:color w:val="000000"/>
        </w:rPr>
        <w:t xml:space="preserve"> </w:t>
      </w:r>
      <w:r w:rsidRPr="00634E9A">
        <w:rPr>
          <w:rStyle w:val="fontstyle01"/>
          <w:rFonts w:asciiTheme="majorBidi" w:hAnsiTheme="majorBidi" w:cstheme="majorBidi"/>
        </w:rPr>
        <w:t>accurate (Wallace,</w:t>
      </w:r>
      <w:r w:rsidR="00EE7935">
        <w:rPr>
          <w:rStyle w:val="fontstyle01"/>
          <w:rFonts w:asciiTheme="majorBidi" w:hAnsiTheme="majorBidi" w:cstheme="majorBidi"/>
        </w:rPr>
        <w:t xml:space="preserve"> 2019 </w:t>
      </w:r>
      <w:r w:rsidRPr="00634E9A">
        <w:rPr>
          <w:rStyle w:val="fontstyle01"/>
          <w:rFonts w:asciiTheme="majorBidi" w:hAnsiTheme="majorBidi" w:cstheme="majorBidi"/>
        </w:rPr>
        <w:t>&amp;</w:t>
      </w:r>
      <w:r w:rsidR="00EE7935">
        <w:rPr>
          <w:rStyle w:val="fontstyle01"/>
          <w:rFonts w:asciiTheme="majorBidi" w:hAnsiTheme="majorBidi" w:cstheme="majorBidi"/>
        </w:rPr>
        <w:t xml:space="preserve"> </w:t>
      </w:r>
      <w:r w:rsidRPr="00634E9A">
        <w:rPr>
          <w:rStyle w:val="fontstyle01"/>
          <w:rFonts w:asciiTheme="majorBidi" w:hAnsiTheme="majorBidi" w:cstheme="majorBidi"/>
        </w:rPr>
        <w:t>Larcker,</w:t>
      </w:r>
      <w:r>
        <w:rPr>
          <w:rStyle w:val="fontstyle01"/>
          <w:rFonts w:asciiTheme="majorBidi" w:hAnsiTheme="majorBidi" w:cstheme="majorBidi"/>
        </w:rPr>
        <w:t>2019</w:t>
      </w:r>
      <w:r w:rsidRPr="00634E9A">
        <w:rPr>
          <w:rStyle w:val="fontstyle01"/>
          <w:rFonts w:asciiTheme="majorBidi" w:hAnsiTheme="majorBidi" w:cstheme="majorBidi"/>
        </w:rPr>
        <w:t xml:space="preserve">). </w:t>
      </w:r>
    </w:p>
    <w:p w14:paraId="3B1E159E" w14:textId="7B7C1D15" w:rsidR="00A66BAD" w:rsidRPr="00634E9A" w:rsidRDefault="00A66BAD" w:rsidP="0047083F">
      <w:pPr>
        <w:pStyle w:val="NormalWeb"/>
        <w:spacing w:before="240" w:beforeAutospacing="0" w:after="0" w:afterAutospacing="0" w:line="360" w:lineRule="auto"/>
        <w:jc w:val="both"/>
        <w:rPr>
          <w:rStyle w:val="fontstyle01"/>
          <w:rFonts w:asciiTheme="majorBidi" w:hAnsiTheme="majorBidi" w:cstheme="majorBidi"/>
          <w:color w:val="auto"/>
        </w:rPr>
      </w:pPr>
      <w:r w:rsidRPr="00634E9A">
        <w:rPr>
          <w:rStyle w:val="fontstyle01"/>
          <w:rFonts w:asciiTheme="majorBidi" w:hAnsiTheme="majorBidi" w:cstheme="majorBidi"/>
        </w:rPr>
        <w:t>The ability of auditors to report managers opportunistic behavior in the financial statement</w:t>
      </w:r>
      <w:r>
        <w:rPr>
          <w:rFonts w:asciiTheme="majorBidi" w:hAnsiTheme="majorBidi" w:cstheme="majorBidi"/>
          <w:color w:val="000000"/>
        </w:rPr>
        <w:t xml:space="preserve"> </w:t>
      </w:r>
      <w:r w:rsidRPr="00634E9A">
        <w:rPr>
          <w:rStyle w:val="fontstyle01"/>
          <w:rFonts w:asciiTheme="majorBidi" w:hAnsiTheme="majorBidi" w:cstheme="majorBidi"/>
        </w:rPr>
        <w:t xml:space="preserve">depend on the quality of the auditor and auditor independence (DeAngelo, </w:t>
      </w:r>
      <w:r w:rsidR="00171335">
        <w:rPr>
          <w:rStyle w:val="fontstyle01"/>
          <w:rFonts w:asciiTheme="majorBidi" w:hAnsiTheme="majorBidi" w:cstheme="majorBidi"/>
        </w:rPr>
        <w:t>2020</w:t>
      </w:r>
      <w:r w:rsidRPr="00634E9A">
        <w:rPr>
          <w:rStyle w:val="fontstyle01"/>
          <w:rFonts w:asciiTheme="majorBidi" w:hAnsiTheme="majorBidi" w:cstheme="majorBidi"/>
        </w:rPr>
        <w:t>).</w:t>
      </w:r>
    </w:p>
    <w:p w14:paraId="0C30344E" w14:textId="07F1032F" w:rsidR="00A66BAD" w:rsidRPr="00634E9A" w:rsidRDefault="00A66BAD" w:rsidP="00322954">
      <w:pPr>
        <w:pStyle w:val="NormalWeb"/>
        <w:spacing w:before="0" w:beforeAutospacing="0" w:after="0" w:afterAutospacing="0" w:line="360" w:lineRule="auto"/>
        <w:jc w:val="both"/>
        <w:rPr>
          <w:rFonts w:asciiTheme="majorBidi" w:hAnsiTheme="majorBidi" w:cstheme="majorBidi"/>
        </w:rPr>
      </w:pPr>
      <w:r w:rsidRPr="00634E9A">
        <w:rPr>
          <w:rFonts w:asciiTheme="majorBidi" w:hAnsiTheme="majorBidi" w:cstheme="majorBidi"/>
        </w:rPr>
        <w:t>In addition to auditor autonomy, the quality of audits also plays a significant role in determining the credibility of financial reporting. Audit quality encompasses various dimensions such as the competence, objectivity, and diligence of auditors in performing their work. High-quality audits involve thorough examination of financial statements, adherence to professional standards, and the detection of material misstatements (</w:t>
      </w:r>
      <w:r w:rsidRPr="00634E9A">
        <w:rPr>
          <w:rStyle w:val="fontstyle01"/>
          <w:rFonts w:asciiTheme="majorBidi" w:hAnsiTheme="majorBidi" w:cstheme="majorBidi"/>
        </w:rPr>
        <w:t xml:space="preserve">Jessen, Willian, Mark &amp; Mohan, </w:t>
      </w:r>
      <w:r w:rsidR="00EE7935">
        <w:rPr>
          <w:rStyle w:val="fontstyle01"/>
          <w:rFonts w:asciiTheme="majorBidi" w:hAnsiTheme="majorBidi" w:cstheme="majorBidi"/>
        </w:rPr>
        <w:t>2022</w:t>
      </w:r>
      <w:r w:rsidRPr="00634E9A">
        <w:rPr>
          <w:rStyle w:val="fontstyle01"/>
          <w:rFonts w:asciiTheme="majorBidi" w:hAnsiTheme="majorBidi" w:cstheme="majorBidi"/>
        </w:rPr>
        <w:t>)</w:t>
      </w:r>
      <w:r w:rsidRPr="00634E9A">
        <w:rPr>
          <w:rFonts w:asciiTheme="majorBidi" w:hAnsiTheme="majorBidi" w:cstheme="majorBidi"/>
        </w:rPr>
        <w:t>.</w:t>
      </w:r>
    </w:p>
    <w:p w14:paraId="30534903" w14:textId="5CA5F435" w:rsidR="00A66BAD" w:rsidRPr="00634E9A" w:rsidRDefault="00A66BAD" w:rsidP="0047083F">
      <w:pPr>
        <w:pStyle w:val="NormalWeb"/>
        <w:spacing w:before="240" w:beforeAutospacing="0" w:after="0" w:afterAutospacing="0" w:line="360" w:lineRule="auto"/>
        <w:jc w:val="both"/>
        <w:rPr>
          <w:rFonts w:asciiTheme="majorBidi" w:hAnsiTheme="majorBidi" w:cstheme="majorBidi"/>
        </w:rPr>
      </w:pPr>
      <w:r w:rsidRPr="00634E9A">
        <w:rPr>
          <w:rFonts w:asciiTheme="majorBidi" w:hAnsiTheme="majorBidi" w:cstheme="majorBidi"/>
        </w:rPr>
        <w:t>Several studies have examined the relationship between auditor autonomy, audit quality, and the credibility of financial reporting. For example, a study by De</w:t>
      </w:r>
      <w:r w:rsidR="00EE7935">
        <w:rPr>
          <w:rFonts w:asciiTheme="majorBidi" w:hAnsiTheme="majorBidi" w:cstheme="majorBidi"/>
        </w:rPr>
        <w:t xml:space="preserve"> </w:t>
      </w:r>
      <w:r w:rsidRPr="00634E9A">
        <w:rPr>
          <w:rFonts w:asciiTheme="majorBidi" w:hAnsiTheme="majorBidi" w:cstheme="majorBidi"/>
        </w:rPr>
        <w:t>Angelo (</w:t>
      </w:r>
      <w:r w:rsidR="00171335">
        <w:rPr>
          <w:rFonts w:asciiTheme="majorBidi" w:hAnsiTheme="majorBidi" w:cstheme="majorBidi"/>
        </w:rPr>
        <w:t>2020</w:t>
      </w:r>
      <w:r w:rsidRPr="00634E9A">
        <w:rPr>
          <w:rFonts w:asciiTheme="majorBidi" w:hAnsiTheme="majorBidi" w:cstheme="majorBidi"/>
        </w:rPr>
        <w:t>) found that auditor independence and the absence of conflicts of interest are essential for credible financial reporting. Another study by Simunic (</w:t>
      </w:r>
      <w:r w:rsidR="00EE7935">
        <w:rPr>
          <w:rFonts w:asciiTheme="majorBidi" w:hAnsiTheme="majorBidi" w:cstheme="majorBidi"/>
        </w:rPr>
        <w:t>2022</w:t>
      </w:r>
      <w:r w:rsidRPr="00634E9A">
        <w:rPr>
          <w:rFonts w:asciiTheme="majorBidi" w:hAnsiTheme="majorBidi" w:cstheme="majorBidi"/>
        </w:rPr>
        <w:t>) emphasized the importance of auditor expertise and professional judgment in ensuring high-quality audits.</w:t>
      </w:r>
    </w:p>
    <w:p w14:paraId="0624C62B" w14:textId="77777777" w:rsidR="00A66BAD" w:rsidRPr="00634E9A" w:rsidRDefault="00A66BAD" w:rsidP="00322954">
      <w:pPr>
        <w:pStyle w:val="NormalWeb"/>
        <w:spacing w:before="0" w:beforeAutospacing="0" w:after="0" w:afterAutospacing="0" w:line="360" w:lineRule="auto"/>
        <w:jc w:val="both"/>
        <w:rPr>
          <w:rFonts w:asciiTheme="majorBidi" w:hAnsiTheme="majorBidi" w:cstheme="majorBidi"/>
        </w:rPr>
      </w:pPr>
      <w:r w:rsidRPr="00634E9A">
        <w:rPr>
          <w:rFonts w:asciiTheme="majorBidi" w:hAnsiTheme="majorBidi" w:cstheme="majorBidi"/>
        </w:rPr>
        <w:lastRenderedPageBreak/>
        <w:t>In the Nigerian context, the credibility of financial reporting has been a subject of concern. The country has faced challenges related to weak corporate governance practices, financial misconduct, and inadequate regulatory oversight. These factors have raised questions about the independence of auditors and the quality of audits performed in Nigeria.</w:t>
      </w:r>
    </w:p>
    <w:p w14:paraId="4BD31D70" w14:textId="77777777" w:rsidR="00A66BAD" w:rsidRPr="00634E9A" w:rsidRDefault="00A66BAD" w:rsidP="00322954">
      <w:pPr>
        <w:pStyle w:val="NormalWeb"/>
        <w:spacing w:before="0" w:beforeAutospacing="0" w:after="0" w:afterAutospacing="0" w:line="360" w:lineRule="auto"/>
        <w:jc w:val="both"/>
        <w:rPr>
          <w:rFonts w:asciiTheme="majorBidi" w:hAnsiTheme="majorBidi" w:cstheme="majorBidi"/>
        </w:rPr>
      </w:pPr>
      <w:r w:rsidRPr="00634E9A">
        <w:rPr>
          <w:rFonts w:asciiTheme="majorBidi" w:hAnsiTheme="majorBidi" w:cstheme="majorBidi"/>
        </w:rPr>
        <w:t>Therefore, it is essential to conduct a comprehensive investigation into the impact of auditor autonomy and audit quality on the credibility of financial reporting in Nigeria. Such a study will contribute to the existing body of knowledge and provide insights into the effectiveness of current regulatory mechanisms. It can also inform policymakers, regulators, auditors, and other stakeholders about the measures needed to enhance the credibility of financial reporting in Nigeria.</w:t>
      </w:r>
    </w:p>
    <w:p w14:paraId="7D1D25E7" w14:textId="77777777" w:rsidR="00A66BAD" w:rsidRPr="00634E9A" w:rsidRDefault="00A66BAD" w:rsidP="0047083F">
      <w:pPr>
        <w:pStyle w:val="NormalWeb"/>
        <w:spacing w:before="240" w:beforeAutospacing="0" w:after="0" w:afterAutospacing="0" w:line="360" w:lineRule="auto"/>
        <w:jc w:val="both"/>
        <w:rPr>
          <w:rFonts w:asciiTheme="majorBidi" w:hAnsiTheme="majorBidi" w:cstheme="majorBidi"/>
          <w:b/>
          <w:bCs/>
        </w:rPr>
      </w:pPr>
      <w:r w:rsidRPr="00634E9A">
        <w:rPr>
          <w:rFonts w:asciiTheme="majorBidi" w:hAnsiTheme="majorBidi" w:cstheme="majorBidi"/>
          <w:b/>
          <w:bCs/>
        </w:rPr>
        <w:t xml:space="preserve">1.2. Statement of Research problem: </w:t>
      </w:r>
    </w:p>
    <w:p w14:paraId="6244156A" w14:textId="77777777" w:rsidR="00A66BAD" w:rsidRPr="00634E9A" w:rsidRDefault="00A66BAD" w:rsidP="00322954">
      <w:pPr>
        <w:pStyle w:val="NormalWeb"/>
        <w:spacing w:before="0" w:beforeAutospacing="0" w:after="0" w:afterAutospacing="0" w:line="360" w:lineRule="auto"/>
        <w:jc w:val="both"/>
        <w:rPr>
          <w:rFonts w:asciiTheme="majorBidi" w:hAnsiTheme="majorBidi" w:cstheme="majorBidi"/>
        </w:rPr>
      </w:pPr>
      <w:r w:rsidRPr="00634E9A">
        <w:rPr>
          <w:rFonts w:asciiTheme="majorBidi" w:hAnsiTheme="majorBidi" w:cstheme="majorBidi"/>
        </w:rPr>
        <w:t>Despite the importance of auditor autonomy and audit quality in ensuring credible financial reporting, there is a need to investigate their impact in the context of Nigeria. The Nigerian financial reporting environment is characterized by unique challenges, including weak corporate governance practices and a history of financial misconduct. These challenges may affect the extent to which auditors can act independently and perform high-quality audits.</w:t>
      </w:r>
    </w:p>
    <w:p w14:paraId="68F65F25" w14:textId="77777777" w:rsidR="00A66BAD" w:rsidRPr="00634E9A" w:rsidRDefault="00A66BAD" w:rsidP="00322954">
      <w:pPr>
        <w:pStyle w:val="NormalWeb"/>
        <w:spacing w:before="0" w:beforeAutospacing="0" w:after="0" w:afterAutospacing="0" w:line="360" w:lineRule="auto"/>
        <w:jc w:val="both"/>
        <w:rPr>
          <w:rFonts w:asciiTheme="majorBidi" w:hAnsiTheme="majorBidi" w:cstheme="majorBidi"/>
        </w:rPr>
      </w:pPr>
      <w:r w:rsidRPr="00634E9A">
        <w:rPr>
          <w:rFonts w:asciiTheme="majorBidi" w:hAnsiTheme="majorBidi" w:cstheme="majorBidi"/>
        </w:rPr>
        <w:t>Therefore, the research problem of this study is to examine the impact of auditor's autonomy and audit quality on the credibility of financial reporting in Nigeria, considering the specific characteristics and challenges of the Nigerian financial reporting environment.</w:t>
      </w:r>
    </w:p>
    <w:p w14:paraId="4EACEDE6" w14:textId="10F7BD14" w:rsidR="00A66BAD" w:rsidRPr="00634E9A" w:rsidRDefault="00A66BAD" w:rsidP="0047083F">
      <w:pPr>
        <w:spacing w:before="240" w:after="0" w:line="360" w:lineRule="auto"/>
        <w:jc w:val="both"/>
        <w:rPr>
          <w:rFonts w:asciiTheme="majorBidi" w:hAnsiTheme="majorBidi" w:cstheme="majorBidi"/>
          <w:b/>
          <w:sz w:val="24"/>
          <w:szCs w:val="24"/>
        </w:rPr>
      </w:pPr>
      <w:r w:rsidRPr="00634E9A">
        <w:rPr>
          <w:rFonts w:asciiTheme="majorBidi" w:hAnsiTheme="majorBidi" w:cstheme="majorBidi"/>
          <w:b/>
          <w:sz w:val="24"/>
          <w:szCs w:val="24"/>
        </w:rPr>
        <w:t>1.3</w:t>
      </w:r>
      <w:r w:rsidRPr="00634E9A">
        <w:rPr>
          <w:rFonts w:asciiTheme="majorBidi" w:hAnsiTheme="majorBidi" w:cstheme="majorBidi"/>
          <w:sz w:val="24"/>
          <w:szCs w:val="24"/>
        </w:rPr>
        <w:tab/>
      </w:r>
      <w:r w:rsidRPr="00634E9A">
        <w:rPr>
          <w:rFonts w:asciiTheme="majorBidi" w:hAnsiTheme="majorBidi" w:cstheme="majorBidi"/>
          <w:b/>
          <w:sz w:val="24"/>
          <w:szCs w:val="24"/>
        </w:rPr>
        <w:t xml:space="preserve">Objectives </w:t>
      </w:r>
      <w:r w:rsidR="0047083F" w:rsidRPr="00634E9A">
        <w:rPr>
          <w:rFonts w:asciiTheme="majorBidi" w:hAnsiTheme="majorBidi" w:cstheme="majorBidi"/>
          <w:b/>
          <w:sz w:val="24"/>
          <w:szCs w:val="24"/>
        </w:rPr>
        <w:t xml:space="preserve">of the </w:t>
      </w:r>
      <w:r w:rsidRPr="00634E9A">
        <w:rPr>
          <w:rFonts w:asciiTheme="majorBidi" w:hAnsiTheme="majorBidi" w:cstheme="majorBidi"/>
          <w:b/>
          <w:sz w:val="24"/>
          <w:szCs w:val="24"/>
        </w:rPr>
        <w:t>Study</w:t>
      </w:r>
    </w:p>
    <w:p w14:paraId="5B2F7A21" w14:textId="77777777" w:rsidR="00A66BAD" w:rsidRPr="00634E9A" w:rsidRDefault="00A66BAD" w:rsidP="00322954">
      <w:pPr>
        <w:pStyle w:val="Default"/>
        <w:spacing w:line="360" w:lineRule="auto"/>
        <w:jc w:val="both"/>
        <w:rPr>
          <w:rFonts w:asciiTheme="majorBidi" w:hAnsiTheme="majorBidi" w:cstheme="majorBidi"/>
          <w:color w:val="auto"/>
        </w:rPr>
      </w:pPr>
      <w:r w:rsidRPr="00634E9A">
        <w:rPr>
          <w:rFonts w:asciiTheme="majorBidi" w:hAnsiTheme="majorBidi" w:cstheme="majorBidi"/>
          <w:color w:val="auto"/>
        </w:rPr>
        <w:t xml:space="preserve">The major objective of the study is to assess the impact of audit quality on value of listed food product companies in Nigeria. The specific objectives are to: </w:t>
      </w:r>
    </w:p>
    <w:p w14:paraId="476D1B34" w14:textId="77777777" w:rsidR="00A66BAD" w:rsidRPr="00634E9A" w:rsidRDefault="00A66BAD" w:rsidP="00322954">
      <w:pPr>
        <w:pStyle w:val="Default"/>
        <w:numPr>
          <w:ilvl w:val="0"/>
          <w:numId w:val="1"/>
        </w:numPr>
        <w:spacing w:line="360" w:lineRule="auto"/>
        <w:jc w:val="both"/>
        <w:rPr>
          <w:rFonts w:asciiTheme="majorBidi" w:hAnsiTheme="majorBidi" w:cstheme="majorBidi"/>
          <w:color w:val="auto"/>
        </w:rPr>
      </w:pPr>
      <w:r w:rsidRPr="00634E9A">
        <w:rPr>
          <w:rFonts w:asciiTheme="majorBidi" w:hAnsiTheme="majorBidi" w:cstheme="majorBidi"/>
          <w:color w:val="auto"/>
        </w:rPr>
        <w:t>To Examine the relationship between Audit Firm Size (AFS) and firm value of listed Foods Product companies in Nigeria.</w:t>
      </w:r>
    </w:p>
    <w:p w14:paraId="3FB98437" w14:textId="77777777" w:rsidR="00A66BAD" w:rsidRPr="00634E9A" w:rsidRDefault="00A66BAD" w:rsidP="00322954">
      <w:pPr>
        <w:pStyle w:val="Default"/>
        <w:numPr>
          <w:ilvl w:val="0"/>
          <w:numId w:val="1"/>
        </w:numPr>
        <w:spacing w:line="360" w:lineRule="auto"/>
        <w:jc w:val="both"/>
        <w:rPr>
          <w:rFonts w:asciiTheme="majorBidi" w:hAnsiTheme="majorBidi" w:cstheme="majorBidi"/>
          <w:color w:val="auto"/>
        </w:rPr>
      </w:pPr>
      <w:r w:rsidRPr="00634E9A">
        <w:rPr>
          <w:rFonts w:asciiTheme="majorBidi" w:hAnsiTheme="majorBidi" w:cstheme="majorBidi"/>
          <w:color w:val="auto"/>
        </w:rPr>
        <w:lastRenderedPageBreak/>
        <w:t>To Evaluate the relationship between Audit Tenure (AT) and firm value of listed Food Product Companies in Nigeria</w:t>
      </w:r>
    </w:p>
    <w:p w14:paraId="4B120227" w14:textId="77777777" w:rsidR="00A66BAD" w:rsidRPr="00634E9A" w:rsidRDefault="00A66BAD" w:rsidP="00322954">
      <w:pPr>
        <w:pStyle w:val="Default"/>
        <w:numPr>
          <w:ilvl w:val="0"/>
          <w:numId w:val="1"/>
        </w:numPr>
        <w:spacing w:line="360" w:lineRule="auto"/>
        <w:jc w:val="both"/>
        <w:rPr>
          <w:rFonts w:asciiTheme="majorBidi" w:hAnsiTheme="majorBidi" w:cstheme="majorBidi"/>
          <w:color w:val="auto"/>
        </w:rPr>
      </w:pPr>
      <w:r w:rsidRPr="00634E9A">
        <w:rPr>
          <w:rFonts w:asciiTheme="majorBidi" w:hAnsiTheme="majorBidi" w:cstheme="majorBidi"/>
          <w:color w:val="auto"/>
        </w:rPr>
        <w:t>To Assess the relationship between Audit Fee (AFEE) and firm value of listed Food Product Companies in Nigeria.</w:t>
      </w:r>
    </w:p>
    <w:p w14:paraId="0CE979A6" w14:textId="77777777" w:rsidR="00A66BAD" w:rsidRPr="00634E9A" w:rsidRDefault="00A66BAD" w:rsidP="00322954">
      <w:pPr>
        <w:pStyle w:val="Default"/>
        <w:spacing w:line="360" w:lineRule="auto"/>
        <w:jc w:val="both"/>
        <w:rPr>
          <w:rFonts w:asciiTheme="majorBidi" w:hAnsiTheme="majorBidi" w:cstheme="majorBidi"/>
          <w:b/>
          <w:color w:val="auto"/>
        </w:rPr>
      </w:pPr>
      <w:r w:rsidRPr="00634E9A">
        <w:rPr>
          <w:rFonts w:asciiTheme="majorBidi" w:hAnsiTheme="majorBidi" w:cstheme="majorBidi"/>
          <w:b/>
          <w:color w:val="auto"/>
        </w:rPr>
        <w:t>1.4</w:t>
      </w:r>
      <w:r w:rsidRPr="00634E9A">
        <w:rPr>
          <w:rFonts w:asciiTheme="majorBidi" w:hAnsiTheme="majorBidi" w:cstheme="majorBidi"/>
          <w:b/>
          <w:color w:val="auto"/>
        </w:rPr>
        <w:tab/>
        <w:t xml:space="preserve">Research question </w:t>
      </w:r>
    </w:p>
    <w:p w14:paraId="73EC82DC" w14:textId="77777777" w:rsidR="00A66BAD" w:rsidRPr="00634E9A" w:rsidRDefault="00A66BAD" w:rsidP="00322954">
      <w:pPr>
        <w:numPr>
          <w:ilvl w:val="0"/>
          <w:numId w:val="20"/>
        </w:numPr>
        <w:spacing w:after="0" w:line="360" w:lineRule="auto"/>
        <w:jc w:val="both"/>
        <w:rPr>
          <w:rFonts w:asciiTheme="majorBidi" w:eastAsia="Times New Roman" w:hAnsiTheme="majorBidi" w:cstheme="majorBidi"/>
          <w:sz w:val="24"/>
          <w:szCs w:val="24"/>
        </w:rPr>
      </w:pPr>
      <w:r w:rsidRPr="00634E9A">
        <w:rPr>
          <w:rFonts w:asciiTheme="majorBidi" w:eastAsia="Times New Roman" w:hAnsiTheme="majorBidi" w:cstheme="majorBidi"/>
          <w:sz w:val="24"/>
          <w:szCs w:val="24"/>
        </w:rPr>
        <w:t>Is there a relationship between Audit Firm Size (AFS) and firm value of listed Foods Product companies in Nigeria?</w:t>
      </w:r>
    </w:p>
    <w:p w14:paraId="53651C8B" w14:textId="77777777" w:rsidR="00A66BAD" w:rsidRPr="00634E9A" w:rsidRDefault="00A66BAD" w:rsidP="00322954">
      <w:pPr>
        <w:numPr>
          <w:ilvl w:val="0"/>
          <w:numId w:val="20"/>
        </w:numPr>
        <w:spacing w:after="0" w:line="360" w:lineRule="auto"/>
        <w:jc w:val="both"/>
        <w:rPr>
          <w:rFonts w:asciiTheme="majorBidi" w:eastAsia="Times New Roman" w:hAnsiTheme="majorBidi" w:cstheme="majorBidi"/>
          <w:sz w:val="24"/>
          <w:szCs w:val="24"/>
        </w:rPr>
      </w:pPr>
      <w:r w:rsidRPr="00634E9A">
        <w:rPr>
          <w:rFonts w:asciiTheme="majorBidi" w:eastAsia="Times New Roman" w:hAnsiTheme="majorBidi" w:cstheme="majorBidi"/>
          <w:sz w:val="24"/>
          <w:szCs w:val="24"/>
        </w:rPr>
        <w:t>What is the impact of Audit Tenure (AT) on the firm value of listed Food Product Companies in Nigeria?</w:t>
      </w:r>
    </w:p>
    <w:p w14:paraId="6904EC9E" w14:textId="77777777" w:rsidR="00A66BAD" w:rsidRPr="007E3F92" w:rsidRDefault="00A66BAD" w:rsidP="00322954">
      <w:pPr>
        <w:numPr>
          <w:ilvl w:val="0"/>
          <w:numId w:val="20"/>
        </w:numPr>
        <w:spacing w:after="0" w:line="360" w:lineRule="auto"/>
        <w:rPr>
          <w:rFonts w:asciiTheme="majorBidi" w:eastAsia="Times New Roman" w:hAnsiTheme="majorBidi" w:cstheme="majorBidi"/>
          <w:sz w:val="24"/>
          <w:szCs w:val="24"/>
        </w:rPr>
      </w:pPr>
      <w:r w:rsidRPr="007E3F92">
        <w:rPr>
          <w:rFonts w:asciiTheme="majorBidi" w:eastAsia="Times New Roman" w:hAnsiTheme="majorBidi" w:cstheme="majorBidi"/>
          <w:sz w:val="24"/>
          <w:szCs w:val="24"/>
        </w:rPr>
        <w:t>How does the Audit Fee (AFEE) influence the firm value of listed Food Product Companies in Nigeria?</w:t>
      </w:r>
    </w:p>
    <w:p w14:paraId="7CF6475B" w14:textId="77777777" w:rsidR="00A66BAD" w:rsidRPr="007E3F92" w:rsidRDefault="00A66BAD" w:rsidP="0047083F">
      <w:pPr>
        <w:pStyle w:val="Default"/>
        <w:spacing w:before="240" w:line="360" w:lineRule="auto"/>
        <w:jc w:val="both"/>
        <w:rPr>
          <w:rFonts w:asciiTheme="majorBidi" w:hAnsiTheme="majorBidi" w:cstheme="majorBidi"/>
          <w:b/>
          <w:color w:val="auto"/>
        </w:rPr>
      </w:pPr>
      <w:r w:rsidRPr="007E3F92">
        <w:rPr>
          <w:rFonts w:asciiTheme="majorBidi" w:hAnsiTheme="majorBidi" w:cstheme="majorBidi"/>
          <w:b/>
          <w:color w:val="auto"/>
        </w:rPr>
        <w:t>1.5</w:t>
      </w:r>
      <w:r w:rsidRPr="007E3F92">
        <w:rPr>
          <w:rFonts w:asciiTheme="majorBidi" w:hAnsiTheme="majorBidi" w:cstheme="majorBidi"/>
          <w:b/>
          <w:color w:val="auto"/>
        </w:rPr>
        <w:tab/>
        <w:t>Research Hypotheses</w:t>
      </w:r>
    </w:p>
    <w:p w14:paraId="0F1C65B9" w14:textId="77777777" w:rsidR="00A66BAD" w:rsidRPr="007E3F92" w:rsidRDefault="00A66BAD" w:rsidP="00322954">
      <w:pPr>
        <w:pStyle w:val="Default"/>
        <w:spacing w:line="360" w:lineRule="auto"/>
        <w:jc w:val="both"/>
        <w:rPr>
          <w:rFonts w:asciiTheme="majorBidi" w:hAnsiTheme="majorBidi" w:cstheme="majorBidi"/>
          <w:b/>
          <w:color w:val="auto"/>
        </w:rPr>
      </w:pPr>
      <w:r w:rsidRPr="007E3F92">
        <w:rPr>
          <w:rFonts w:asciiTheme="majorBidi" w:hAnsiTheme="majorBidi" w:cstheme="majorBidi"/>
          <w:color w:val="auto"/>
        </w:rPr>
        <w:t>Based on the objectives of the study, the following null hypotheses are formed to guide the study:</w:t>
      </w:r>
    </w:p>
    <w:p w14:paraId="4F7720D4" w14:textId="77777777" w:rsidR="00A66BAD" w:rsidRPr="007E3F92" w:rsidRDefault="00A66BAD" w:rsidP="00322954">
      <w:pPr>
        <w:pStyle w:val="Default"/>
        <w:spacing w:line="360" w:lineRule="auto"/>
        <w:jc w:val="both"/>
        <w:rPr>
          <w:rFonts w:asciiTheme="majorBidi" w:hAnsiTheme="majorBidi" w:cstheme="majorBidi"/>
          <w:color w:val="auto"/>
        </w:rPr>
      </w:pPr>
      <w:r w:rsidRPr="007E3F92">
        <w:rPr>
          <w:rFonts w:asciiTheme="majorBidi" w:hAnsiTheme="majorBidi" w:cstheme="majorBidi"/>
          <w:color w:val="auto"/>
        </w:rPr>
        <w:t>H</w:t>
      </w:r>
      <w:r w:rsidRPr="007E3F92">
        <w:rPr>
          <w:rFonts w:asciiTheme="majorBidi" w:hAnsiTheme="majorBidi" w:cstheme="majorBidi"/>
          <w:color w:val="auto"/>
          <w:vertAlign w:val="subscript"/>
        </w:rPr>
        <w:t>01</w:t>
      </w:r>
      <w:r w:rsidRPr="007E3F92">
        <w:rPr>
          <w:rFonts w:asciiTheme="majorBidi" w:hAnsiTheme="majorBidi" w:cstheme="majorBidi"/>
          <w:color w:val="auto"/>
        </w:rPr>
        <w:t>:</w:t>
      </w:r>
      <w:r w:rsidRPr="007E3F92">
        <w:rPr>
          <w:rFonts w:asciiTheme="majorBidi" w:hAnsiTheme="majorBidi" w:cstheme="majorBidi"/>
          <w:color w:val="auto"/>
        </w:rPr>
        <w:tab/>
        <w:t>There is no significant relationship between Audit Firm Size (AFS) and firm value of listed food product companies in Nigeria.</w:t>
      </w:r>
    </w:p>
    <w:p w14:paraId="28334ED1" w14:textId="77777777" w:rsidR="00A66BAD" w:rsidRPr="007E3F92" w:rsidRDefault="00A66BAD" w:rsidP="00322954">
      <w:pPr>
        <w:pStyle w:val="Default"/>
        <w:spacing w:line="360" w:lineRule="auto"/>
        <w:jc w:val="both"/>
        <w:rPr>
          <w:rFonts w:asciiTheme="majorBidi" w:hAnsiTheme="majorBidi" w:cstheme="majorBidi"/>
          <w:color w:val="auto"/>
        </w:rPr>
      </w:pPr>
      <w:r w:rsidRPr="007E3F92">
        <w:rPr>
          <w:rFonts w:asciiTheme="majorBidi" w:hAnsiTheme="majorBidi" w:cstheme="majorBidi"/>
          <w:color w:val="auto"/>
        </w:rPr>
        <w:t>H</w:t>
      </w:r>
      <w:r w:rsidRPr="007E3F92">
        <w:rPr>
          <w:rFonts w:asciiTheme="majorBidi" w:hAnsiTheme="majorBidi" w:cstheme="majorBidi"/>
          <w:color w:val="auto"/>
          <w:vertAlign w:val="subscript"/>
        </w:rPr>
        <w:t>02</w:t>
      </w:r>
      <w:r w:rsidRPr="007E3F92">
        <w:rPr>
          <w:rFonts w:asciiTheme="majorBidi" w:hAnsiTheme="majorBidi" w:cstheme="majorBidi"/>
          <w:color w:val="auto"/>
        </w:rPr>
        <w:t>:</w:t>
      </w:r>
      <w:r w:rsidRPr="007E3F92">
        <w:rPr>
          <w:rFonts w:asciiTheme="majorBidi" w:hAnsiTheme="majorBidi" w:cstheme="majorBidi"/>
          <w:color w:val="auto"/>
        </w:rPr>
        <w:tab/>
        <w:t>Audit Tenure (AT) has no significant relationship with food product companies in Nigeria.</w:t>
      </w:r>
    </w:p>
    <w:p w14:paraId="53636DAF" w14:textId="77777777" w:rsidR="00A66BAD" w:rsidRPr="007E3F92" w:rsidRDefault="00A66BAD" w:rsidP="00322954">
      <w:pPr>
        <w:pStyle w:val="Default"/>
        <w:spacing w:line="360" w:lineRule="auto"/>
        <w:jc w:val="both"/>
        <w:rPr>
          <w:rFonts w:asciiTheme="majorBidi" w:hAnsiTheme="majorBidi" w:cstheme="majorBidi"/>
          <w:color w:val="auto"/>
        </w:rPr>
      </w:pPr>
      <w:r w:rsidRPr="007E3F92">
        <w:rPr>
          <w:rFonts w:asciiTheme="majorBidi" w:hAnsiTheme="majorBidi" w:cstheme="majorBidi"/>
          <w:color w:val="auto"/>
        </w:rPr>
        <w:t>H</w:t>
      </w:r>
      <w:r w:rsidRPr="007E3F92">
        <w:rPr>
          <w:rFonts w:asciiTheme="majorBidi" w:hAnsiTheme="majorBidi" w:cstheme="majorBidi"/>
          <w:color w:val="auto"/>
          <w:vertAlign w:val="subscript"/>
        </w:rPr>
        <w:t>03</w:t>
      </w:r>
      <w:r w:rsidRPr="007E3F92">
        <w:rPr>
          <w:rFonts w:asciiTheme="majorBidi" w:hAnsiTheme="majorBidi" w:cstheme="majorBidi"/>
          <w:color w:val="auto"/>
        </w:rPr>
        <w:t>:</w:t>
      </w:r>
      <w:r w:rsidRPr="007E3F92">
        <w:rPr>
          <w:rFonts w:asciiTheme="majorBidi" w:hAnsiTheme="majorBidi" w:cstheme="majorBidi"/>
          <w:color w:val="auto"/>
        </w:rPr>
        <w:tab/>
        <w:t>Audit Fee (AFEE) has no significant relationship with food product companies in Nigeria.</w:t>
      </w:r>
      <w:r w:rsidRPr="007E3F92">
        <w:rPr>
          <w:rFonts w:asciiTheme="majorBidi" w:hAnsiTheme="majorBidi" w:cstheme="majorBidi"/>
          <w:color w:val="auto"/>
          <w:vertAlign w:val="subscript"/>
        </w:rPr>
        <w:tab/>
      </w:r>
    </w:p>
    <w:p w14:paraId="6527EE16" w14:textId="160FBFC9" w:rsidR="00A66BAD" w:rsidRPr="007E3F92" w:rsidRDefault="00304AB3" w:rsidP="0047083F">
      <w:pPr>
        <w:pStyle w:val="Default"/>
        <w:spacing w:before="240" w:line="360" w:lineRule="auto"/>
        <w:jc w:val="both"/>
        <w:rPr>
          <w:rFonts w:asciiTheme="majorBidi" w:hAnsiTheme="majorBidi" w:cstheme="majorBidi"/>
          <w:b/>
          <w:color w:val="auto"/>
        </w:rPr>
      </w:pPr>
      <w:r>
        <w:rPr>
          <w:rFonts w:asciiTheme="majorBidi" w:hAnsiTheme="majorBidi" w:cstheme="majorBidi"/>
          <w:b/>
          <w:color w:val="auto"/>
        </w:rPr>
        <w:t>1.6</w:t>
      </w:r>
      <w:r w:rsidR="00A66BAD" w:rsidRPr="007E3F92">
        <w:rPr>
          <w:rFonts w:asciiTheme="majorBidi" w:hAnsiTheme="majorBidi" w:cstheme="majorBidi"/>
          <w:b/>
          <w:color w:val="auto"/>
        </w:rPr>
        <w:tab/>
        <w:t xml:space="preserve">Significance </w:t>
      </w:r>
      <w:r w:rsidR="0047083F" w:rsidRPr="007E3F92">
        <w:rPr>
          <w:rFonts w:asciiTheme="majorBidi" w:hAnsiTheme="majorBidi" w:cstheme="majorBidi"/>
          <w:b/>
          <w:color w:val="auto"/>
        </w:rPr>
        <w:t xml:space="preserve">of the </w:t>
      </w:r>
      <w:r w:rsidR="00A66BAD" w:rsidRPr="007E3F92">
        <w:rPr>
          <w:rFonts w:asciiTheme="majorBidi" w:hAnsiTheme="majorBidi" w:cstheme="majorBidi"/>
          <w:b/>
          <w:color w:val="auto"/>
        </w:rPr>
        <w:t>Study</w:t>
      </w:r>
    </w:p>
    <w:p w14:paraId="47E5A4D3" w14:textId="77777777" w:rsidR="00A66BAD" w:rsidRDefault="00A66BAD" w:rsidP="00322954">
      <w:pPr>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This study as mentioned earlier in the objective of the study, the research is design to assess the impact of audit quality on value of listed Food product companies in Nigeria. The research will be of important to Auditors who aspire to be relevant to the auditing profession by stressing the need to embrace impact of audit quality on value of the food product company in Nigeria, because with audit quality it will help to determine the effectiveness of auditors. Also the studies is beneficial to Professional Bodies such as </w:t>
      </w:r>
      <w:r w:rsidRPr="007E3F92">
        <w:rPr>
          <w:rFonts w:asciiTheme="majorBidi" w:hAnsiTheme="majorBidi" w:cstheme="majorBidi"/>
          <w:sz w:val="24"/>
          <w:szCs w:val="24"/>
        </w:rPr>
        <w:lastRenderedPageBreak/>
        <w:t>the Institute of Chartered Accountants of Nigeria (ICAN) and Association of National Accountants of Nigeria (ANAN) may wish to rely on findings of this research in order to take appropriate action with regards to accounting firms who are reluctant to maintain their technical competence .This study is also important to investors which rely on the auditor’s unqualified report of a company for the investors to invest their fund in to that company. It is also beneficial to stakeholders and General Public who will use it to serve as background information to any stakeholder or general public who wish to know about audit quality on firm value. In addition, it will be beneficial to students in accounting in various institutions of learning and other researchers could benefit from the study as it may serve as a library material for reference.</w:t>
      </w:r>
    </w:p>
    <w:p w14:paraId="21DCD05F" w14:textId="2056A75B" w:rsidR="00304AB3" w:rsidRPr="007E3F92" w:rsidRDefault="00304AB3" w:rsidP="0047083F">
      <w:pPr>
        <w:autoSpaceDE w:val="0"/>
        <w:autoSpaceDN w:val="0"/>
        <w:adjustRightInd w:val="0"/>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1.7</w:t>
      </w:r>
      <w:r w:rsidRPr="007E3F92">
        <w:rPr>
          <w:rFonts w:asciiTheme="majorBidi" w:hAnsiTheme="majorBidi" w:cstheme="majorBidi"/>
          <w:b/>
          <w:sz w:val="24"/>
          <w:szCs w:val="24"/>
        </w:rPr>
        <w:tab/>
        <w:t>Scope of the Study</w:t>
      </w:r>
    </w:p>
    <w:p w14:paraId="2F32A3CE" w14:textId="4861C5AF" w:rsidR="00304AB3" w:rsidRPr="007E3F92" w:rsidRDefault="00304AB3" w:rsidP="00322954">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The study focuses on Audit quality and firm value of listed Food Product companies in Nigeria. The scope of the research work covers all the Food product companies in Nigeria over a period of 10 years (</w:t>
      </w:r>
      <w:r w:rsidR="00EE7935">
        <w:rPr>
          <w:rFonts w:asciiTheme="majorBidi" w:hAnsiTheme="majorBidi" w:cstheme="majorBidi"/>
          <w:sz w:val="24"/>
          <w:szCs w:val="24"/>
        </w:rPr>
        <w:t>2021</w:t>
      </w:r>
      <w:r w:rsidRPr="007E3F92">
        <w:rPr>
          <w:rFonts w:asciiTheme="majorBidi" w:hAnsiTheme="majorBidi" w:cstheme="majorBidi"/>
          <w:sz w:val="24"/>
          <w:szCs w:val="24"/>
        </w:rPr>
        <w:t xml:space="preserve"> – 2016) to reflect the current development in the study area. The technique of data analysis used is regression analysis. The variables of the study are dependent and independent variable, the independent variable is firm value which will be proxied using share price while the independent variable of the study is Audit quality which will be measure using Audit Firm Size (AFS) Audit Tenure (AT) and Audit Fee (AFEE) lastly the control variable is company Age and Size. The analysis is done using SPSS version 16.</w:t>
      </w:r>
    </w:p>
    <w:p w14:paraId="5D4331D3" w14:textId="77777777" w:rsidR="00564945" w:rsidRDefault="008534D1" w:rsidP="0047083F">
      <w:pPr>
        <w:spacing w:before="240" w:after="0" w:line="360" w:lineRule="auto"/>
        <w:jc w:val="both"/>
        <w:rPr>
          <w:rFonts w:ascii="Times New Roman" w:eastAsia="Times New Roman" w:hAnsi="Times New Roman" w:cs="Times New Roman"/>
          <w:b/>
          <w:bCs/>
          <w:sz w:val="24"/>
          <w:szCs w:val="24"/>
        </w:rPr>
      </w:pPr>
      <w:r w:rsidRPr="00564945">
        <w:rPr>
          <w:rFonts w:asciiTheme="majorBidi" w:hAnsiTheme="majorBidi" w:cstheme="majorBidi"/>
          <w:b/>
          <w:sz w:val="24"/>
          <w:szCs w:val="24"/>
        </w:rPr>
        <w:t>1.8</w:t>
      </w:r>
      <w:r w:rsidRPr="00564945">
        <w:rPr>
          <w:rFonts w:asciiTheme="majorBidi" w:hAnsiTheme="majorBidi" w:cstheme="majorBidi"/>
          <w:b/>
          <w:sz w:val="24"/>
          <w:szCs w:val="24"/>
        </w:rPr>
        <w:tab/>
      </w:r>
      <w:r w:rsidR="00564945" w:rsidRPr="00564945">
        <w:rPr>
          <w:rFonts w:asciiTheme="majorBidi" w:hAnsiTheme="majorBidi" w:cstheme="majorBidi"/>
          <w:b/>
          <w:sz w:val="24"/>
          <w:szCs w:val="24"/>
        </w:rPr>
        <w:t xml:space="preserve">Limitations </w:t>
      </w:r>
      <w:r w:rsidRPr="00564945">
        <w:rPr>
          <w:rFonts w:asciiTheme="majorBidi" w:hAnsiTheme="majorBidi" w:cstheme="majorBidi"/>
          <w:b/>
          <w:sz w:val="24"/>
          <w:szCs w:val="24"/>
        </w:rPr>
        <w:t xml:space="preserve">of the </w:t>
      </w:r>
      <w:r w:rsidR="00564945" w:rsidRPr="00564945">
        <w:rPr>
          <w:rFonts w:asciiTheme="majorBidi" w:hAnsiTheme="majorBidi" w:cstheme="majorBidi"/>
          <w:b/>
          <w:sz w:val="24"/>
          <w:szCs w:val="24"/>
        </w:rPr>
        <w:t>Study</w:t>
      </w:r>
    </w:p>
    <w:p w14:paraId="57C38FD6" w14:textId="1D1D8B6D" w:rsidR="00712AF6" w:rsidRPr="00EA1896" w:rsidRDefault="008534D1" w:rsidP="00322954">
      <w:pPr>
        <w:spacing w:after="0" w:line="360" w:lineRule="auto"/>
        <w:jc w:val="both"/>
        <w:rPr>
          <w:rFonts w:ascii="Times New Roman" w:eastAsia="Times New Roman" w:hAnsi="Times New Roman" w:cs="Times New Roman"/>
          <w:sz w:val="24"/>
          <w:szCs w:val="24"/>
        </w:rPr>
      </w:pPr>
      <w:r w:rsidRPr="008534D1">
        <w:rPr>
          <w:rFonts w:ascii="Times New Roman" w:eastAsia="Times New Roman" w:hAnsi="Times New Roman" w:cs="Times New Roman"/>
          <w:sz w:val="24"/>
          <w:szCs w:val="24"/>
        </w:rPr>
        <w:t>The study may be limited by the number of consumer food companies included in the sample. The findings may not be generalizable to all types of companies in the Nigerian market. The study might be restricted by time limitations, which could affect the depth and breadth of the research. A more extensive time frame could provide a more comprehensive understanding of the factors under investigation.</w:t>
      </w:r>
      <w:r w:rsidR="00EA1896">
        <w:rPr>
          <w:rFonts w:ascii="Times New Roman" w:eastAsia="Times New Roman" w:hAnsi="Times New Roman" w:cs="Times New Roman"/>
          <w:sz w:val="24"/>
          <w:szCs w:val="24"/>
        </w:rPr>
        <w:t xml:space="preserve"> </w:t>
      </w:r>
      <w:r w:rsidRPr="008534D1">
        <w:rPr>
          <w:rFonts w:ascii="Times New Roman" w:eastAsia="Times New Roman" w:hAnsi="Times New Roman" w:cs="Times New Roman"/>
          <w:sz w:val="24"/>
          <w:szCs w:val="24"/>
        </w:rPr>
        <w:t xml:space="preserve">The accuracy and reliability of the findings may be influenced by challenges in data collection. While </w:t>
      </w:r>
      <w:r w:rsidRPr="008534D1">
        <w:rPr>
          <w:rFonts w:ascii="Times New Roman" w:eastAsia="Times New Roman" w:hAnsi="Times New Roman" w:cs="Times New Roman"/>
          <w:sz w:val="24"/>
          <w:szCs w:val="24"/>
        </w:rPr>
        <w:lastRenderedPageBreak/>
        <w:t>focusing on consumer food companies provides specific insights, it may limit the study's applicability to other industries. Different researchers or practitioners might have varying interpretations of these concepts, introducing a degree of subjectivity into the study.</w:t>
      </w:r>
      <w:r w:rsidR="00712AF6" w:rsidRPr="00EA1896">
        <w:rPr>
          <w:rFonts w:ascii="Times New Roman" w:eastAsia="Times New Roman" w:hAnsi="Times New Roman" w:cs="Times New Roman"/>
          <w:sz w:val="24"/>
          <w:szCs w:val="24"/>
        </w:rPr>
        <w:t xml:space="preserve"> </w:t>
      </w:r>
    </w:p>
    <w:p w14:paraId="77A7ADE0" w14:textId="4FD62049" w:rsidR="008534D1" w:rsidRPr="00712AF6" w:rsidRDefault="00767106" w:rsidP="0047083F">
      <w:pPr>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r>
        <w:rPr>
          <w:rFonts w:ascii="Times New Roman" w:eastAsia="Times New Roman" w:hAnsi="Times New Roman" w:cs="Times New Roman"/>
          <w:b/>
          <w:sz w:val="24"/>
          <w:szCs w:val="24"/>
        </w:rPr>
        <w:tab/>
      </w:r>
      <w:r w:rsidR="00712AF6" w:rsidRPr="00712AF6">
        <w:rPr>
          <w:rFonts w:ascii="Times New Roman" w:eastAsia="Times New Roman" w:hAnsi="Times New Roman" w:cs="Times New Roman"/>
          <w:b/>
          <w:sz w:val="24"/>
          <w:szCs w:val="24"/>
        </w:rPr>
        <w:t xml:space="preserve">Definition </w:t>
      </w:r>
      <w:r w:rsidR="008534D1" w:rsidRPr="008534D1">
        <w:rPr>
          <w:rFonts w:ascii="Times New Roman" w:eastAsia="Times New Roman" w:hAnsi="Times New Roman" w:cs="Times New Roman"/>
          <w:b/>
          <w:sz w:val="24"/>
          <w:szCs w:val="24"/>
        </w:rPr>
        <w:t xml:space="preserve">of </w:t>
      </w:r>
      <w:r w:rsidR="00712AF6" w:rsidRPr="00712AF6">
        <w:rPr>
          <w:rFonts w:ascii="Times New Roman" w:eastAsia="Times New Roman" w:hAnsi="Times New Roman" w:cs="Times New Roman"/>
          <w:b/>
          <w:sz w:val="24"/>
          <w:szCs w:val="24"/>
        </w:rPr>
        <w:t>Terms</w:t>
      </w:r>
    </w:p>
    <w:p w14:paraId="0A8A6D5D" w14:textId="77777777" w:rsidR="005053C7" w:rsidRDefault="008534D1" w:rsidP="00322954">
      <w:pPr>
        <w:spacing w:after="0" w:line="360" w:lineRule="auto"/>
        <w:jc w:val="both"/>
        <w:rPr>
          <w:rFonts w:ascii="Times New Roman" w:eastAsia="Times New Roman" w:hAnsi="Times New Roman" w:cs="Times New Roman"/>
          <w:sz w:val="24"/>
          <w:szCs w:val="24"/>
        </w:rPr>
      </w:pPr>
      <w:r w:rsidRPr="008534D1">
        <w:rPr>
          <w:rFonts w:ascii="Times New Roman" w:eastAsia="Times New Roman" w:hAnsi="Times New Roman" w:cs="Times New Roman"/>
          <w:b/>
          <w:bCs/>
          <w:sz w:val="24"/>
          <w:szCs w:val="24"/>
        </w:rPr>
        <w:t>Auditor's Autonomy:</w:t>
      </w:r>
      <w:r w:rsidRPr="008534D1">
        <w:rPr>
          <w:rFonts w:ascii="Times New Roman" w:eastAsia="Times New Roman" w:hAnsi="Times New Roman" w:cs="Times New Roman"/>
          <w:sz w:val="24"/>
          <w:szCs w:val="24"/>
        </w:rPr>
        <w:t xml:space="preserve"> Auditor's autonomy refers to the independence and freedom of auditors to make objective and unbiased judgments in the performance of their auditing responsibilities. It implies the absence of undue influence or interference that could compromise the integrity of the audit process.</w:t>
      </w:r>
    </w:p>
    <w:p w14:paraId="15840FF1" w14:textId="7B92445A" w:rsidR="008534D1" w:rsidRPr="008534D1" w:rsidRDefault="008534D1" w:rsidP="00322954">
      <w:pPr>
        <w:spacing w:after="0" w:line="360" w:lineRule="auto"/>
        <w:jc w:val="both"/>
        <w:rPr>
          <w:rFonts w:ascii="Times New Roman" w:eastAsia="Times New Roman" w:hAnsi="Times New Roman" w:cs="Times New Roman"/>
          <w:sz w:val="24"/>
          <w:szCs w:val="24"/>
        </w:rPr>
      </w:pPr>
      <w:r w:rsidRPr="008534D1">
        <w:rPr>
          <w:rFonts w:ascii="Times New Roman" w:eastAsia="Times New Roman" w:hAnsi="Times New Roman" w:cs="Times New Roman"/>
          <w:b/>
          <w:bCs/>
          <w:sz w:val="24"/>
          <w:szCs w:val="24"/>
        </w:rPr>
        <w:t>Audit Quality:</w:t>
      </w:r>
      <w:r w:rsidRPr="008534D1">
        <w:rPr>
          <w:rFonts w:ascii="Times New Roman" w:eastAsia="Times New Roman" w:hAnsi="Times New Roman" w:cs="Times New Roman"/>
          <w:sz w:val="24"/>
          <w:szCs w:val="24"/>
        </w:rPr>
        <w:t xml:space="preserve"> Audit quality encompasses the effectiveness and reliability of the audit process in ensuring that financial statements are free from material misstatements. High audit quality indicates a thorough, independent, and professional examination of financial information.</w:t>
      </w:r>
    </w:p>
    <w:p w14:paraId="04C14CA0" w14:textId="213D3DE3" w:rsidR="008534D1" w:rsidRPr="008534D1" w:rsidRDefault="008534D1" w:rsidP="0047083F">
      <w:pPr>
        <w:spacing w:after="0" w:line="360" w:lineRule="auto"/>
        <w:jc w:val="both"/>
        <w:rPr>
          <w:rFonts w:ascii="Times New Roman" w:eastAsia="Times New Roman" w:hAnsi="Times New Roman" w:cs="Times New Roman"/>
          <w:sz w:val="24"/>
          <w:szCs w:val="24"/>
        </w:rPr>
      </w:pPr>
      <w:r w:rsidRPr="008534D1">
        <w:rPr>
          <w:rFonts w:ascii="Times New Roman" w:eastAsia="Times New Roman" w:hAnsi="Times New Roman" w:cs="Times New Roman"/>
          <w:b/>
          <w:bCs/>
          <w:sz w:val="24"/>
          <w:szCs w:val="24"/>
        </w:rPr>
        <w:t>Listed Consumer Food Companies:</w:t>
      </w:r>
      <w:r w:rsidRPr="008534D1">
        <w:rPr>
          <w:rFonts w:ascii="Times New Roman" w:eastAsia="Times New Roman" w:hAnsi="Times New Roman" w:cs="Times New Roman"/>
          <w:sz w:val="24"/>
          <w:szCs w:val="24"/>
        </w:rPr>
        <w:t xml:space="preserve"> Listed consumer food companies are entities operating in the consumer food industry that have their shares traded on a stock exchange. These companies are subject to regulatory requirements and public disclosure obligations due to their listing status.</w:t>
      </w:r>
    </w:p>
    <w:p w14:paraId="0F0AFEDA" w14:textId="457BFDA3" w:rsidR="008534D1" w:rsidRPr="008534D1" w:rsidRDefault="008534D1" w:rsidP="0047083F">
      <w:pPr>
        <w:spacing w:after="0" w:line="360" w:lineRule="auto"/>
        <w:jc w:val="both"/>
        <w:rPr>
          <w:rFonts w:ascii="Times New Roman" w:eastAsia="Times New Roman" w:hAnsi="Times New Roman" w:cs="Times New Roman"/>
          <w:sz w:val="24"/>
          <w:szCs w:val="24"/>
        </w:rPr>
      </w:pPr>
      <w:r w:rsidRPr="008534D1">
        <w:rPr>
          <w:rFonts w:ascii="Times New Roman" w:eastAsia="Times New Roman" w:hAnsi="Times New Roman" w:cs="Times New Roman"/>
          <w:b/>
          <w:bCs/>
          <w:sz w:val="24"/>
          <w:szCs w:val="24"/>
        </w:rPr>
        <w:t>Financial Reporting:</w:t>
      </w:r>
      <w:r w:rsidRPr="008534D1">
        <w:rPr>
          <w:rFonts w:ascii="Times New Roman" w:eastAsia="Times New Roman" w:hAnsi="Times New Roman" w:cs="Times New Roman"/>
          <w:sz w:val="24"/>
          <w:szCs w:val="24"/>
        </w:rPr>
        <w:t xml:space="preserve"> Financial reporting involves the communication of an entity's financial information, including its financial position, performance, and cash flows, to external users such as investors, creditors, and regulatory bodies. Financial reporting is typically done through financial statements like the balance sheet, income statement, and cash flow statement.</w:t>
      </w:r>
    </w:p>
    <w:p w14:paraId="6C2A563D" w14:textId="77777777" w:rsidR="008534D1" w:rsidRPr="007E3F92" w:rsidRDefault="008534D1" w:rsidP="00322954">
      <w:pPr>
        <w:spacing w:after="0" w:line="360" w:lineRule="auto"/>
        <w:jc w:val="both"/>
        <w:rPr>
          <w:rFonts w:asciiTheme="majorBidi" w:hAnsiTheme="majorBidi" w:cstheme="majorBidi"/>
          <w:b/>
          <w:sz w:val="24"/>
          <w:szCs w:val="24"/>
        </w:rPr>
      </w:pPr>
    </w:p>
    <w:p w14:paraId="4FF0FC88" w14:textId="77777777" w:rsidR="00A66BAD" w:rsidRPr="007E3F92" w:rsidRDefault="00A66BAD" w:rsidP="00322954">
      <w:pPr>
        <w:spacing w:after="0" w:line="360" w:lineRule="auto"/>
        <w:jc w:val="both"/>
        <w:rPr>
          <w:rFonts w:asciiTheme="majorBidi" w:hAnsiTheme="majorBidi" w:cstheme="majorBidi"/>
          <w:b/>
          <w:sz w:val="24"/>
          <w:szCs w:val="24"/>
        </w:rPr>
      </w:pPr>
      <w:r w:rsidRPr="007E3F92">
        <w:rPr>
          <w:rFonts w:asciiTheme="majorBidi" w:hAnsiTheme="majorBidi" w:cstheme="majorBidi"/>
          <w:b/>
          <w:sz w:val="24"/>
          <w:szCs w:val="24"/>
        </w:rPr>
        <w:br w:type="page"/>
      </w:r>
    </w:p>
    <w:p w14:paraId="6B14CAFD" w14:textId="77777777" w:rsidR="00A66BAD" w:rsidRPr="007E3F92" w:rsidRDefault="00A66BAD" w:rsidP="00322954">
      <w:pPr>
        <w:spacing w:after="0" w:line="360" w:lineRule="auto"/>
        <w:jc w:val="center"/>
        <w:rPr>
          <w:rFonts w:asciiTheme="majorBidi" w:hAnsiTheme="majorBidi" w:cstheme="majorBidi"/>
          <w:b/>
          <w:sz w:val="24"/>
          <w:szCs w:val="24"/>
        </w:rPr>
      </w:pPr>
      <w:r w:rsidRPr="007E3F92">
        <w:rPr>
          <w:rFonts w:asciiTheme="majorBidi" w:hAnsiTheme="majorBidi" w:cstheme="majorBidi"/>
          <w:b/>
          <w:sz w:val="24"/>
          <w:szCs w:val="24"/>
        </w:rPr>
        <w:lastRenderedPageBreak/>
        <w:t>CHAPTER TWO</w:t>
      </w:r>
    </w:p>
    <w:p w14:paraId="17BC4718" w14:textId="77777777" w:rsidR="00A66BAD" w:rsidRPr="007E3F92" w:rsidRDefault="00A66BAD" w:rsidP="00322954">
      <w:pPr>
        <w:spacing w:after="0" w:line="360" w:lineRule="auto"/>
        <w:jc w:val="center"/>
        <w:rPr>
          <w:rFonts w:asciiTheme="majorBidi" w:hAnsiTheme="majorBidi" w:cstheme="majorBidi"/>
          <w:b/>
          <w:sz w:val="24"/>
          <w:szCs w:val="24"/>
        </w:rPr>
      </w:pPr>
      <w:r w:rsidRPr="007E3F92">
        <w:rPr>
          <w:rFonts w:asciiTheme="majorBidi" w:hAnsiTheme="majorBidi" w:cstheme="majorBidi"/>
          <w:b/>
          <w:sz w:val="24"/>
          <w:szCs w:val="24"/>
        </w:rPr>
        <w:t>LITERATURE REVIEW</w:t>
      </w:r>
    </w:p>
    <w:p w14:paraId="2D002EE0" w14:textId="1A369C11" w:rsidR="00A66BAD" w:rsidRPr="007E3F92" w:rsidRDefault="00C06F87" w:rsidP="00322954">
      <w:pPr>
        <w:spacing w:after="0" w:line="360" w:lineRule="auto"/>
        <w:jc w:val="both"/>
        <w:rPr>
          <w:rFonts w:asciiTheme="majorBidi" w:hAnsiTheme="majorBidi" w:cstheme="majorBidi"/>
          <w:b/>
          <w:sz w:val="24"/>
          <w:szCs w:val="24"/>
        </w:rPr>
      </w:pPr>
      <w:r>
        <w:rPr>
          <w:rFonts w:asciiTheme="majorBidi" w:hAnsiTheme="majorBidi" w:cstheme="majorBidi"/>
          <w:b/>
          <w:sz w:val="24"/>
          <w:szCs w:val="24"/>
        </w:rPr>
        <w:t>2.1</w:t>
      </w:r>
      <w:r>
        <w:rPr>
          <w:rFonts w:asciiTheme="majorBidi" w:hAnsiTheme="majorBidi" w:cstheme="majorBidi"/>
          <w:b/>
          <w:sz w:val="24"/>
          <w:szCs w:val="24"/>
        </w:rPr>
        <w:tab/>
        <w:t>Preamble</w:t>
      </w:r>
    </w:p>
    <w:p w14:paraId="7B1301F7" w14:textId="77777777" w:rsidR="00A66BAD" w:rsidRPr="007E3F92" w:rsidRDefault="00A66BAD" w:rsidP="00322954">
      <w:pPr>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This chapter reviews existing literatures relevant to the study. The review also covers empirical studies that were previously conducted on audit quality and firm value. The rationale is to get acquainted with the findings and conclusions of the prior studies. Thus, this assists in filling the gap created by existing literature.</w:t>
      </w:r>
    </w:p>
    <w:p w14:paraId="233F6295" w14:textId="77777777" w:rsidR="00A66BAD" w:rsidRPr="007E3F92" w:rsidRDefault="00A66BAD" w:rsidP="00322954">
      <w:pPr>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In social science research, the use and application of concepts is of paramount importance since the way they are used in research could be different from its general application and interpretation. Therefore, this chapter will also define relevant concepts of the study, their characteristics and measurements, as well as theoretical framework where relevant theories that underpin the study will be discussed.</w:t>
      </w:r>
    </w:p>
    <w:p w14:paraId="55E82DC6" w14:textId="01C4E16A" w:rsidR="00546D15" w:rsidRDefault="00C06F87" w:rsidP="0047083F">
      <w:pPr>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2.2</w:t>
      </w:r>
      <w:r w:rsidR="00A66BAD" w:rsidRPr="007E3F92">
        <w:rPr>
          <w:rFonts w:asciiTheme="majorBidi" w:hAnsiTheme="majorBidi" w:cstheme="majorBidi"/>
          <w:b/>
          <w:sz w:val="24"/>
          <w:szCs w:val="24"/>
        </w:rPr>
        <w:t xml:space="preserve">. </w:t>
      </w:r>
      <w:r w:rsidR="00546D15">
        <w:rPr>
          <w:rFonts w:asciiTheme="majorBidi" w:hAnsiTheme="majorBidi" w:cstheme="majorBidi"/>
          <w:b/>
          <w:sz w:val="24"/>
          <w:szCs w:val="24"/>
        </w:rPr>
        <w:t>Conceptual Review</w:t>
      </w:r>
    </w:p>
    <w:p w14:paraId="51B5BFBA" w14:textId="7EB57DD2" w:rsidR="00A66BAD" w:rsidRPr="007E3F92" w:rsidRDefault="004C5B6A" w:rsidP="00322954">
      <w:pPr>
        <w:spacing w:after="0" w:line="360" w:lineRule="auto"/>
        <w:jc w:val="both"/>
        <w:rPr>
          <w:rFonts w:asciiTheme="majorBidi" w:hAnsiTheme="majorBidi" w:cstheme="majorBidi"/>
          <w:b/>
          <w:sz w:val="24"/>
          <w:szCs w:val="24"/>
        </w:rPr>
      </w:pPr>
      <w:r>
        <w:rPr>
          <w:rFonts w:asciiTheme="majorBidi" w:hAnsiTheme="majorBidi" w:cstheme="majorBidi"/>
          <w:b/>
          <w:sz w:val="24"/>
          <w:szCs w:val="24"/>
        </w:rPr>
        <w:t>2.2.1</w:t>
      </w:r>
      <w:r>
        <w:rPr>
          <w:rFonts w:asciiTheme="majorBidi" w:hAnsiTheme="majorBidi" w:cstheme="majorBidi"/>
          <w:b/>
          <w:sz w:val="24"/>
          <w:szCs w:val="24"/>
        </w:rPr>
        <w:tab/>
      </w:r>
      <w:r w:rsidR="00A66BAD" w:rsidRPr="007E3F92">
        <w:rPr>
          <w:rFonts w:asciiTheme="majorBidi" w:hAnsiTheme="majorBidi" w:cstheme="majorBidi"/>
          <w:b/>
          <w:sz w:val="24"/>
          <w:szCs w:val="24"/>
        </w:rPr>
        <w:t xml:space="preserve">The Concept </w:t>
      </w:r>
      <w:r w:rsidR="00546D15" w:rsidRPr="007E3F92">
        <w:rPr>
          <w:rFonts w:asciiTheme="majorBidi" w:hAnsiTheme="majorBidi" w:cstheme="majorBidi"/>
          <w:b/>
          <w:sz w:val="24"/>
          <w:szCs w:val="24"/>
        </w:rPr>
        <w:t xml:space="preserve">of </w:t>
      </w:r>
      <w:r w:rsidR="00A66BAD" w:rsidRPr="007E3F92">
        <w:rPr>
          <w:rFonts w:asciiTheme="majorBidi" w:hAnsiTheme="majorBidi" w:cstheme="majorBidi"/>
          <w:b/>
          <w:sz w:val="24"/>
          <w:szCs w:val="24"/>
        </w:rPr>
        <w:t>Audit Quality</w:t>
      </w:r>
    </w:p>
    <w:p w14:paraId="448914FE" w14:textId="07ACFCC9" w:rsidR="00A66BAD" w:rsidRPr="007E3F92" w:rsidRDefault="00A66BAD" w:rsidP="00322954">
      <w:pPr>
        <w:spacing w:after="0" w:line="360" w:lineRule="auto"/>
        <w:jc w:val="both"/>
        <w:rPr>
          <w:rFonts w:asciiTheme="majorBidi" w:eastAsia="Times New Roman" w:hAnsiTheme="majorBidi" w:cstheme="majorBidi"/>
          <w:sz w:val="24"/>
          <w:szCs w:val="24"/>
        </w:rPr>
      </w:pPr>
      <w:r w:rsidRPr="007E3F92">
        <w:rPr>
          <w:rFonts w:asciiTheme="majorBidi" w:eastAsia="Times New Roman" w:hAnsiTheme="majorBidi" w:cstheme="majorBidi"/>
          <w:sz w:val="24"/>
          <w:szCs w:val="24"/>
        </w:rPr>
        <w:t xml:space="preserve">According to International Auditing and Assurance Standards Board (IAASB, </w:t>
      </w:r>
      <w:r>
        <w:rPr>
          <w:rFonts w:asciiTheme="majorBidi" w:eastAsia="Times New Roman" w:hAnsiTheme="majorBidi" w:cstheme="majorBidi"/>
          <w:sz w:val="24"/>
          <w:szCs w:val="24"/>
        </w:rPr>
        <w:t>2019</w:t>
      </w:r>
      <w:r w:rsidRPr="007E3F92">
        <w:rPr>
          <w:rFonts w:asciiTheme="majorBidi" w:eastAsia="Times New Roman" w:hAnsiTheme="majorBidi" w:cstheme="majorBidi"/>
          <w:sz w:val="24"/>
          <w:szCs w:val="24"/>
        </w:rPr>
        <w:t>), there has been a number of attempts to conceptualize “audit quality” in the past. However, none has result in a definition that has achieved universal recognition and acceptance. Audit quality is, in essence, a complex and multi-faceted concept. The classic definition of audit quality that is cited by most audit researchers is that of DeAngelo (</w:t>
      </w:r>
      <w:r w:rsidR="00171335">
        <w:rPr>
          <w:rFonts w:asciiTheme="majorBidi" w:eastAsia="Times New Roman" w:hAnsiTheme="majorBidi" w:cstheme="majorBidi"/>
          <w:sz w:val="24"/>
          <w:szCs w:val="24"/>
        </w:rPr>
        <w:t>2020</w:t>
      </w:r>
      <w:r w:rsidRPr="007E3F92">
        <w:rPr>
          <w:rFonts w:asciiTheme="majorBidi" w:eastAsia="Times New Roman" w:hAnsiTheme="majorBidi" w:cstheme="majorBidi"/>
          <w:sz w:val="24"/>
          <w:szCs w:val="24"/>
        </w:rPr>
        <w:t>) which states that audit quality is the market-assessed joint probability that a given auditor will both (a) discover a breach in the client’s accounting system and (b) report the breach. The definition highlights two important aspects of audit quality: (1) the competence of the audit firm that determines how likely it is that a misstatement will be detected and (2) the independence and objectivity of the auditor that determines what the auditor is likely to do about a detected misstatement. This definition hasbeen quite useful to audit quality studies. The import of DeAngelo (</w:t>
      </w:r>
      <w:r w:rsidR="00171335">
        <w:rPr>
          <w:rFonts w:asciiTheme="majorBidi" w:eastAsia="Times New Roman" w:hAnsiTheme="majorBidi" w:cstheme="majorBidi"/>
          <w:sz w:val="24"/>
          <w:szCs w:val="24"/>
        </w:rPr>
        <w:t>2020</w:t>
      </w:r>
      <w:r w:rsidRPr="007E3F92">
        <w:rPr>
          <w:rFonts w:asciiTheme="majorBidi" w:eastAsia="Times New Roman" w:hAnsiTheme="majorBidi" w:cstheme="majorBidi"/>
          <w:sz w:val="24"/>
          <w:szCs w:val="24"/>
        </w:rPr>
        <w:t>) definition is that audit quality is a probability that an auditor will discover and truthfully report material errors,</w:t>
      </w:r>
    </w:p>
    <w:p w14:paraId="59F7269E" w14:textId="77777777" w:rsidR="00A66BAD" w:rsidRPr="007E3F92" w:rsidRDefault="00A66BAD" w:rsidP="00322954">
      <w:pPr>
        <w:spacing w:after="0" w:line="360" w:lineRule="auto"/>
        <w:jc w:val="both"/>
        <w:rPr>
          <w:rFonts w:asciiTheme="majorBidi" w:hAnsiTheme="majorBidi" w:cstheme="majorBidi"/>
          <w:sz w:val="24"/>
          <w:szCs w:val="24"/>
        </w:rPr>
      </w:pPr>
      <w:r w:rsidRPr="007E3F92">
        <w:rPr>
          <w:rFonts w:asciiTheme="majorBidi" w:eastAsia="Times New Roman" w:hAnsiTheme="majorBidi" w:cstheme="majorBidi"/>
          <w:sz w:val="24"/>
          <w:szCs w:val="24"/>
        </w:rPr>
        <w:lastRenderedPageBreak/>
        <w:t xml:space="preserve">Misrepresentations or omissions in the client’s financial statements. </w:t>
      </w:r>
      <w:r w:rsidRPr="007E3F92">
        <w:rPr>
          <w:rFonts w:asciiTheme="majorBidi" w:hAnsiTheme="majorBidi" w:cstheme="majorBidi"/>
          <w:sz w:val="24"/>
          <w:szCs w:val="24"/>
        </w:rPr>
        <w:t>Audit quality on its own referred to as the joint probability in which an auditor finds and reports errors contained in the audited financial statements to comply with general auditing standards in performing their duties so that credibility is maintained (Rahmina&amp;Agoes, 2014).</w:t>
      </w:r>
    </w:p>
    <w:p w14:paraId="79916D23" w14:textId="5FD3D89B" w:rsidR="00A66BAD" w:rsidRPr="007E3F92" w:rsidRDefault="00A66BAD" w:rsidP="00322954">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The Public Company Accounting Oversight Board (2013) defines audit quality as meeting investor’s needs for independent and reliable audits and robust audit committee’s communications on financial statements, including related disclosures, assurance about internal control, and going concern warnings. This definition views the audit quality from the perception of financial statements’ users. According to Arens, Elder, Beasly, Best, Shailer and Fielder (</w:t>
      </w:r>
      <w:r>
        <w:rPr>
          <w:rFonts w:asciiTheme="majorBidi" w:hAnsiTheme="majorBidi" w:cstheme="majorBidi"/>
          <w:sz w:val="24"/>
          <w:szCs w:val="24"/>
        </w:rPr>
        <w:t>2019</w:t>
      </w:r>
      <w:r w:rsidRPr="007E3F92">
        <w:rPr>
          <w:rFonts w:asciiTheme="majorBidi" w:hAnsiTheme="majorBidi" w:cstheme="majorBidi"/>
          <w:sz w:val="24"/>
          <w:szCs w:val="24"/>
        </w:rPr>
        <w:t>), audit quality means how well an auditor detects and reports material misstatements in the financial statements. The detection aspects are a reflection of auditor’s competence, while reporting is a reflection of ethics or auditor’s integrity particularly independence.</w:t>
      </w:r>
    </w:p>
    <w:p w14:paraId="5B14CD93" w14:textId="77777777" w:rsidR="00A66BAD" w:rsidRPr="007E3F92" w:rsidRDefault="00A66BAD" w:rsidP="0047083F">
      <w:pPr>
        <w:spacing w:before="240"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Jackson, Moldrich and Roebuck (2008) view the quality of audits from actual and perceived quality. Actual quality shows levels of risk of material errors in financial statements that can be reduced by the auditor. Perceived quality indicates the level of confidence of users in financial statement and the auditor’s effectiveness in reducing material misstatement in financial statements prepared by management. In a clear term, audit quality has to do with a display of professionalism, diligence and care by auditor in audit process which should lead to a true and fair view of financial statement (Arrunada, 2000). These definitions suggest that audit quality has to do with detecting misstatements and correcting them so that what is reported in the financial statement becomes the true position of the firm so audited. Therefore Onaolapo, Ajulo and Onifade (2017) averred that the existence of audit quality is validated when a financial statement is free from information asymmetry. This implies that audit quality will bring actual quality and perceived quality to be the same in context and value. Arguably, the concept of audit quality implies that the necessary actions that will ensure the report of </w:t>
      </w:r>
      <w:r w:rsidRPr="007E3F92">
        <w:rPr>
          <w:rFonts w:asciiTheme="majorBidi" w:hAnsiTheme="majorBidi" w:cstheme="majorBidi"/>
          <w:sz w:val="24"/>
          <w:szCs w:val="24"/>
        </w:rPr>
        <w:lastRenderedPageBreak/>
        <w:t xml:space="preserve">the true financial position of a firm has been put in place. The expertise needed to do these is believed to lie with the big and well-established firms. </w:t>
      </w:r>
    </w:p>
    <w:p w14:paraId="481F75F7" w14:textId="3DF1E821" w:rsidR="00A66BAD" w:rsidRPr="007E3F92" w:rsidRDefault="004C5B6A" w:rsidP="0047083F">
      <w:pPr>
        <w:autoSpaceDE w:val="0"/>
        <w:autoSpaceDN w:val="0"/>
        <w:adjustRightInd w:val="0"/>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2.2</w:t>
      </w:r>
      <w:r w:rsidR="00A66BAD" w:rsidRPr="007E3F92">
        <w:rPr>
          <w:rFonts w:asciiTheme="majorBidi" w:hAnsiTheme="majorBidi" w:cstheme="majorBidi"/>
          <w:b/>
          <w:sz w:val="24"/>
          <w:szCs w:val="24"/>
        </w:rPr>
        <w:t>.2. Measures of Audit Quality</w:t>
      </w:r>
    </w:p>
    <w:p w14:paraId="1F6422C2" w14:textId="67E23E5D" w:rsidR="00546D15" w:rsidRPr="0047083F" w:rsidRDefault="00A66BAD" w:rsidP="0047083F">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A large body of research investigates the antecedents and consequences of poor audit quality. Much of this research relies on some variation of the following five proxies use to measure audit quality which include: (i) Audit firm size (ii) Audit rotation (iii) Audit tenure (iv)Audit fees, and (v) Joint audit. The use of these proxies is presumably motivated by cost-benefit considerations. These measures are relatively easy to compute from machine readable databases.</w:t>
      </w:r>
    </w:p>
    <w:p w14:paraId="4AB059E9" w14:textId="69F0A72F" w:rsidR="00A66BAD" w:rsidRPr="007E3F92" w:rsidRDefault="004C5B6A" w:rsidP="0047083F">
      <w:pPr>
        <w:autoSpaceDE w:val="0"/>
        <w:autoSpaceDN w:val="0"/>
        <w:adjustRightInd w:val="0"/>
        <w:spacing w:before="240" w:after="0" w:line="360" w:lineRule="auto"/>
        <w:jc w:val="both"/>
        <w:rPr>
          <w:rFonts w:asciiTheme="majorBidi" w:hAnsiTheme="majorBidi" w:cstheme="majorBidi"/>
          <w:b/>
          <w:bCs/>
          <w:iCs/>
          <w:sz w:val="24"/>
          <w:szCs w:val="24"/>
        </w:rPr>
      </w:pPr>
      <w:r>
        <w:rPr>
          <w:rFonts w:asciiTheme="majorBidi" w:hAnsiTheme="majorBidi" w:cstheme="majorBidi"/>
          <w:b/>
          <w:sz w:val="24"/>
          <w:szCs w:val="24"/>
        </w:rPr>
        <w:t>2.2</w:t>
      </w:r>
      <w:r w:rsidR="00A66BAD" w:rsidRPr="007E3F92">
        <w:rPr>
          <w:rFonts w:asciiTheme="majorBidi" w:hAnsiTheme="majorBidi" w:cstheme="majorBidi"/>
          <w:b/>
          <w:sz w:val="24"/>
          <w:szCs w:val="24"/>
        </w:rPr>
        <w:t xml:space="preserve">.3. </w:t>
      </w:r>
      <w:r w:rsidR="00A66BAD" w:rsidRPr="007E3F92">
        <w:rPr>
          <w:rFonts w:asciiTheme="majorBidi" w:hAnsiTheme="majorBidi" w:cstheme="majorBidi"/>
          <w:b/>
          <w:bCs/>
          <w:iCs/>
          <w:sz w:val="24"/>
          <w:szCs w:val="24"/>
        </w:rPr>
        <w:t>Audit Fees</w:t>
      </w:r>
    </w:p>
    <w:p w14:paraId="6A7613B6" w14:textId="708E1543" w:rsidR="00A66BAD" w:rsidRDefault="00A66BAD" w:rsidP="00322954">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The official assignment of the audit attracts service charge. The amount of money that make up this charge is called audit fee. This fee according to The Securities and Exchange Commission, Final Rule (in Yuniarti, </w:t>
      </w:r>
      <w:r>
        <w:rPr>
          <w:rFonts w:asciiTheme="majorBidi" w:hAnsiTheme="majorBidi" w:cstheme="majorBidi"/>
          <w:sz w:val="24"/>
          <w:szCs w:val="24"/>
        </w:rPr>
        <w:t>2019</w:t>
      </w:r>
      <w:r w:rsidRPr="007E3F92">
        <w:rPr>
          <w:rFonts w:asciiTheme="majorBidi" w:hAnsiTheme="majorBidi" w:cstheme="majorBidi"/>
          <w:sz w:val="24"/>
          <w:szCs w:val="24"/>
        </w:rPr>
        <w:t xml:space="preserve">), is paid for annual audits and reviews of financial statements for the most recent fiscal year. The total fee paid is usually the amount of all costs covered for audit (Hoitash, Markelevich&amp;Barragato, </w:t>
      </w:r>
      <w:r w:rsidR="00EE7935">
        <w:rPr>
          <w:rFonts w:asciiTheme="majorBidi" w:hAnsiTheme="majorBidi" w:cstheme="majorBidi"/>
          <w:sz w:val="24"/>
          <w:szCs w:val="24"/>
        </w:rPr>
        <w:t>2021</w:t>
      </w:r>
      <w:r w:rsidRPr="007E3F92">
        <w:rPr>
          <w:rFonts w:asciiTheme="majorBidi" w:hAnsiTheme="majorBidi" w:cstheme="majorBidi"/>
          <w:sz w:val="24"/>
          <w:szCs w:val="24"/>
        </w:rPr>
        <w:t xml:space="preserve">); thus, it equally reflects the cost of the efforts of the public editors and litigation risks (Choi, Kim, Liu &amp;Simunic, </w:t>
      </w:r>
      <w:r w:rsidR="00EE7935">
        <w:rPr>
          <w:rFonts w:asciiTheme="majorBidi" w:hAnsiTheme="majorBidi" w:cstheme="majorBidi"/>
          <w:sz w:val="24"/>
          <w:szCs w:val="24"/>
        </w:rPr>
        <w:t>2021</w:t>
      </w:r>
      <w:r w:rsidRPr="007E3F92">
        <w:rPr>
          <w:rFonts w:asciiTheme="majorBidi" w:hAnsiTheme="majorBidi" w:cstheme="majorBidi"/>
          <w:sz w:val="24"/>
          <w:szCs w:val="24"/>
        </w:rPr>
        <w:t xml:space="preserve">). By this explanation however, audit fee would vary depending on the audit size and how complex the auditing process is (Lyon &amp; Maher, </w:t>
      </w:r>
      <w:r w:rsidR="00171335">
        <w:rPr>
          <w:rFonts w:asciiTheme="majorBidi" w:hAnsiTheme="majorBidi" w:cstheme="majorBidi"/>
          <w:sz w:val="24"/>
          <w:szCs w:val="24"/>
        </w:rPr>
        <w:t>2018</w:t>
      </w:r>
      <w:r w:rsidRPr="007E3F92">
        <w:rPr>
          <w:rFonts w:asciiTheme="majorBidi" w:hAnsiTheme="majorBidi" w:cstheme="majorBidi"/>
          <w:sz w:val="24"/>
          <w:szCs w:val="24"/>
        </w:rPr>
        <w:t>). However, several authors seem to suggest that audit fee influences audit quality and hence they tend to use audit fee as proxy for audit quality. Yassin and Nelson (</w:t>
      </w:r>
      <w:r>
        <w:rPr>
          <w:rFonts w:asciiTheme="majorBidi" w:hAnsiTheme="majorBidi" w:cstheme="majorBidi"/>
          <w:sz w:val="24"/>
          <w:szCs w:val="24"/>
        </w:rPr>
        <w:t>2022</w:t>
      </w:r>
      <w:r w:rsidRPr="007E3F92">
        <w:rPr>
          <w:rFonts w:asciiTheme="majorBidi" w:hAnsiTheme="majorBidi" w:cstheme="majorBidi"/>
          <w:sz w:val="24"/>
          <w:szCs w:val="24"/>
        </w:rPr>
        <w:t xml:space="preserve">) asserted that a higher audit fee indicates that auditors provide more efficient audit services to the companies compared to lower audit fees. Since the audit market is tightly regulated wherein the opportunities to earn rents is limited, auditor efforts are more likely reflected by audit fees (Kanagaretnam, Krishnan, Lobo, &amp; Mathieu, </w:t>
      </w:r>
      <w:r>
        <w:rPr>
          <w:rFonts w:asciiTheme="majorBidi" w:hAnsiTheme="majorBidi" w:cstheme="majorBidi"/>
          <w:sz w:val="24"/>
          <w:szCs w:val="24"/>
        </w:rPr>
        <w:t>2019</w:t>
      </w:r>
      <w:r w:rsidRPr="007E3F92">
        <w:rPr>
          <w:rFonts w:asciiTheme="majorBidi" w:hAnsiTheme="majorBidi" w:cstheme="majorBidi"/>
          <w:sz w:val="24"/>
          <w:szCs w:val="24"/>
        </w:rPr>
        <w:t xml:space="preserve">). Moreover, for a more thorough investigation, more audit hours and more specialized audit staff are required, thus higher audit fees would be expected (O'Sullivan &amp;Diacon, </w:t>
      </w:r>
      <w:r>
        <w:rPr>
          <w:rFonts w:asciiTheme="majorBidi" w:hAnsiTheme="majorBidi" w:cstheme="majorBidi"/>
          <w:sz w:val="24"/>
          <w:szCs w:val="24"/>
        </w:rPr>
        <w:t>2021</w:t>
      </w:r>
      <w:r w:rsidRPr="007E3F92">
        <w:rPr>
          <w:rFonts w:asciiTheme="majorBidi" w:hAnsiTheme="majorBidi" w:cstheme="majorBidi"/>
          <w:sz w:val="24"/>
          <w:szCs w:val="24"/>
        </w:rPr>
        <w:t xml:space="preserve">). Hence, it is expected that higher audit fees indicate a </w:t>
      </w:r>
      <w:r w:rsidRPr="007E3F92">
        <w:rPr>
          <w:rFonts w:asciiTheme="majorBidi" w:hAnsiTheme="majorBidi" w:cstheme="majorBidi"/>
          <w:sz w:val="24"/>
          <w:szCs w:val="24"/>
        </w:rPr>
        <w:lastRenderedPageBreak/>
        <w:t>higher quality audit, as more audit work is required to ensure that the financial statements are free from material misstatement.</w:t>
      </w:r>
    </w:p>
    <w:p w14:paraId="4EDF25AD" w14:textId="5934C205" w:rsidR="00A66BAD" w:rsidRPr="007E3F92" w:rsidRDefault="004C5B6A" w:rsidP="0047083F">
      <w:pPr>
        <w:autoSpaceDE w:val="0"/>
        <w:autoSpaceDN w:val="0"/>
        <w:adjustRightInd w:val="0"/>
        <w:spacing w:before="240" w:after="0" w:line="360" w:lineRule="auto"/>
        <w:jc w:val="both"/>
        <w:rPr>
          <w:rFonts w:asciiTheme="majorBidi" w:hAnsiTheme="majorBidi" w:cstheme="majorBidi"/>
          <w:b/>
          <w:bCs/>
          <w:iCs/>
          <w:sz w:val="24"/>
          <w:szCs w:val="24"/>
        </w:rPr>
      </w:pPr>
      <w:r>
        <w:rPr>
          <w:rFonts w:asciiTheme="majorBidi" w:hAnsiTheme="majorBidi" w:cstheme="majorBidi"/>
          <w:b/>
          <w:sz w:val="24"/>
          <w:szCs w:val="24"/>
        </w:rPr>
        <w:t>2.2</w:t>
      </w:r>
      <w:r w:rsidR="00A66BAD" w:rsidRPr="007E3F92">
        <w:rPr>
          <w:rFonts w:asciiTheme="majorBidi" w:hAnsiTheme="majorBidi" w:cstheme="majorBidi"/>
          <w:b/>
          <w:sz w:val="24"/>
          <w:szCs w:val="24"/>
        </w:rPr>
        <w:t>.4.</w:t>
      </w:r>
      <w:r w:rsidR="00A66BAD" w:rsidRPr="007E3F92">
        <w:rPr>
          <w:rFonts w:asciiTheme="majorBidi" w:hAnsiTheme="majorBidi" w:cstheme="majorBidi"/>
          <w:b/>
          <w:sz w:val="24"/>
          <w:szCs w:val="24"/>
        </w:rPr>
        <w:tab/>
        <w:t>Audit Tenure</w:t>
      </w:r>
    </w:p>
    <w:p w14:paraId="61B541A7" w14:textId="497CB9C0" w:rsidR="00A66BAD" w:rsidRPr="007E3F92" w:rsidRDefault="00A66BAD" w:rsidP="00322954">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sz w:val="24"/>
          <w:szCs w:val="24"/>
        </w:rPr>
        <w:t>Firstly, tenure is the number of time period that a body can carry out a function in a consecutive sequence. In the view of Nuratama (</w:t>
      </w:r>
      <w:r>
        <w:rPr>
          <w:rFonts w:asciiTheme="majorBidi" w:hAnsiTheme="majorBidi" w:cstheme="majorBidi"/>
          <w:sz w:val="24"/>
          <w:szCs w:val="24"/>
        </w:rPr>
        <w:t>2019</w:t>
      </w:r>
      <w:r w:rsidRPr="007E3F92">
        <w:rPr>
          <w:rFonts w:asciiTheme="majorBidi" w:hAnsiTheme="majorBidi" w:cstheme="majorBidi"/>
          <w:sz w:val="24"/>
          <w:szCs w:val="24"/>
        </w:rPr>
        <w:t>) and Hartadi (</w:t>
      </w:r>
      <w:r w:rsidR="00EE7935">
        <w:rPr>
          <w:rFonts w:asciiTheme="majorBidi" w:hAnsiTheme="majorBidi" w:cstheme="majorBidi"/>
          <w:sz w:val="24"/>
          <w:szCs w:val="24"/>
        </w:rPr>
        <w:t>2020</w:t>
      </w:r>
      <w:r w:rsidRPr="007E3F92">
        <w:rPr>
          <w:rFonts w:asciiTheme="majorBidi" w:hAnsiTheme="majorBidi" w:cstheme="majorBidi"/>
          <w:sz w:val="24"/>
          <w:szCs w:val="24"/>
        </w:rPr>
        <w:t xml:space="preserve">), audit tenure is the agreed period of engagement between the auditor and client. </w:t>
      </w:r>
      <w:r w:rsidRPr="007E3F92">
        <w:rPr>
          <w:rFonts w:asciiTheme="majorBidi" w:hAnsiTheme="majorBidi" w:cstheme="majorBidi"/>
          <w:color w:val="000000"/>
          <w:sz w:val="24"/>
          <w:szCs w:val="24"/>
        </w:rPr>
        <w:t>It is to note that auditor reporting quality is a basic ingredient to enhance the credibility of financial statements to those interested parties. However, this could not be seen if the auditor is not independent. Without independence, the process of auditing can be argued to the extent that the auditor would give bias opinion to their clients. One of the factors that would adversely influence external auditor in giving their opinion is a close relationship between auditor and clients, namely long audit tenure.</w:t>
      </w:r>
    </w:p>
    <w:p w14:paraId="01A47B6A" w14:textId="741F64E1" w:rsidR="00A66BAD" w:rsidRPr="007E3F92" w:rsidRDefault="00A66BAD" w:rsidP="00322954">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For example, Deis and Giroux (</w:t>
      </w:r>
      <w:r w:rsidR="00EE7935">
        <w:rPr>
          <w:rFonts w:asciiTheme="majorBidi" w:hAnsiTheme="majorBidi" w:cstheme="majorBidi"/>
          <w:color w:val="000000"/>
          <w:sz w:val="24"/>
          <w:szCs w:val="24"/>
        </w:rPr>
        <w:t>2021</w:t>
      </w:r>
      <w:r w:rsidRPr="007E3F92">
        <w:rPr>
          <w:rFonts w:asciiTheme="majorBidi" w:hAnsiTheme="majorBidi" w:cstheme="majorBidi"/>
          <w:color w:val="000000"/>
          <w:sz w:val="24"/>
          <w:szCs w:val="24"/>
        </w:rPr>
        <w:t>) found in their study that when the auditors audit their clients for long, it leads to a closer relationship between the audit firms and clients and consequently decrease audit quality. Prior studies like Geiger and Raghunandan (</w:t>
      </w:r>
      <w:r>
        <w:rPr>
          <w:rFonts w:asciiTheme="majorBidi" w:hAnsiTheme="majorBidi" w:cstheme="majorBidi"/>
          <w:color w:val="000000"/>
          <w:sz w:val="24"/>
          <w:szCs w:val="24"/>
        </w:rPr>
        <w:t>2021</w:t>
      </w:r>
      <w:r w:rsidRPr="007E3F92">
        <w:rPr>
          <w:rFonts w:asciiTheme="majorBidi" w:hAnsiTheme="majorBidi" w:cstheme="majorBidi"/>
          <w:color w:val="000000"/>
          <w:sz w:val="24"/>
          <w:szCs w:val="24"/>
        </w:rPr>
        <w:t xml:space="preserve">) have documented two viewpoints of the effect of audit tenure on the credibility of financial statements; regulators view and economic view. In the point of regulatory view, long association between a client and an audit firm may lead to impair their independence. For example, in the United States, the Metcalf Committee report argued that long association between a corporation and an accounting firm may lead to such close identification of the accounting firm with the interests of its client’s management that truly independent action by the accounting firm becomes difficult. </w:t>
      </w:r>
    </w:p>
    <w:p w14:paraId="1E1F3986" w14:textId="5F4B9431" w:rsidR="00A66BAD" w:rsidRPr="007E3F92" w:rsidRDefault="00A66BAD" w:rsidP="00322954">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Barbadillo and Aguilar (</w:t>
      </w:r>
      <w:r w:rsidR="00EE7935">
        <w:rPr>
          <w:rFonts w:asciiTheme="majorBidi" w:hAnsiTheme="majorBidi" w:cstheme="majorBidi"/>
          <w:color w:val="000000"/>
          <w:sz w:val="24"/>
          <w:szCs w:val="24"/>
        </w:rPr>
        <w:t>2020</w:t>
      </w:r>
      <w:r w:rsidRPr="007E3F92">
        <w:rPr>
          <w:rFonts w:asciiTheme="majorBidi" w:hAnsiTheme="majorBidi" w:cstheme="majorBidi"/>
          <w:color w:val="000000"/>
          <w:sz w:val="24"/>
          <w:szCs w:val="24"/>
        </w:rPr>
        <w:t>) reveal an inverse relationship between auditor tenure and audit quality and suggest that auditors tend to be more dependent in the first years of the auditing engagement. The study concludes that the shorter the auditor’s tenure, the more they behave in a dependent fashion. In rider to this, Ebimobowei &amp; Oyadonghan (</w:t>
      </w:r>
      <w:r>
        <w:rPr>
          <w:rFonts w:asciiTheme="majorBidi" w:hAnsiTheme="majorBidi" w:cstheme="majorBidi"/>
          <w:color w:val="000000"/>
          <w:sz w:val="24"/>
          <w:szCs w:val="24"/>
        </w:rPr>
        <w:t>2019</w:t>
      </w:r>
      <w:r w:rsidRPr="007E3F92">
        <w:rPr>
          <w:rFonts w:asciiTheme="majorBidi" w:hAnsiTheme="majorBidi" w:cstheme="majorBidi"/>
          <w:color w:val="000000"/>
          <w:sz w:val="24"/>
          <w:szCs w:val="24"/>
        </w:rPr>
        <w:t xml:space="preserve">), concludes that a policy favoring mandatory rotation of auditors could have positive effects on the quality of audit reports as it would allow for fresh approach and </w:t>
      </w:r>
      <w:r w:rsidRPr="007E3F92">
        <w:rPr>
          <w:rFonts w:asciiTheme="majorBidi" w:hAnsiTheme="majorBidi" w:cstheme="majorBidi"/>
          <w:color w:val="000000"/>
          <w:sz w:val="24"/>
          <w:szCs w:val="24"/>
        </w:rPr>
        <w:lastRenderedPageBreak/>
        <w:t>restore public confidence in the audit function. Adeyemi and Okpala (</w:t>
      </w:r>
      <w:r>
        <w:rPr>
          <w:rFonts w:asciiTheme="majorBidi" w:hAnsiTheme="majorBidi" w:cstheme="majorBidi"/>
          <w:color w:val="000000"/>
          <w:sz w:val="24"/>
          <w:szCs w:val="24"/>
        </w:rPr>
        <w:t>2019</w:t>
      </w:r>
      <w:r w:rsidRPr="007E3F92">
        <w:rPr>
          <w:rFonts w:asciiTheme="majorBidi" w:hAnsiTheme="majorBidi" w:cstheme="majorBidi"/>
          <w:color w:val="000000"/>
          <w:sz w:val="24"/>
          <w:szCs w:val="24"/>
        </w:rPr>
        <w:t xml:space="preserve">) note that an audit firm’s tenure can result in a loss of auditor’s independence. In fact, a long audit-client relationship could lead to an alignment of the auditors’ interest and that of its client which makes truly independent behaviour of the auditor a probability. </w:t>
      </w:r>
    </w:p>
    <w:p w14:paraId="2EEE7D02" w14:textId="1891BA1F" w:rsidR="00A66BAD" w:rsidRPr="007E3F92" w:rsidRDefault="00A66BAD" w:rsidP="00322954">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color w:val="000000"/>
          <w:sz w:val="24"/>
          <w:szCs w:val="24"/>
        </w:rPr>
        <w:t>According to Johnson et al (</w:t>
      </w:r>
      <w:r>
        <w:rPr>
          <w:rFonts w:asciiTheme="majorBidi" w:hAnsiTheme="majorBidi" w:cstheme="majorBidi"/>
          <w:color w:val="000000"/>
          <w:sz w:val="24"/>
          <w:szCs w:val="24"/>
        </w:rPr>
        <w:t>2021</w:t>
      </w:r>
      <w:r w:rsidRPr="007E3F92">
        <w:rPr>
          <w:rFonts w:asciiTheme="majorBidi" w:hAnsiTheme="majorBidi" w:cstheme="majorBidi"/>
          <w:color w:val="000000"/>
          <w:sz w:val="24"/>
          <w:szCs w:val="24"/>
        </w:rPr>
        <w:t>), as the auditor-client relationship lengthens, there is the tendency that auditor may develop a “learned confidence” in the client which may result in the auditor not performing religiously, the required testing of financial reports. This learned confidence results in the auditor making a</w:t>
      </w:r>
      <w:r w:rsidRPr="007E3F92">
        <w:rPr>
          <w:rFonts w:asciiTheme="majorBidi" w:hAnsiTheme="majorBidi" w:cstheme="majorBidi"/>
          <w:sz w:val="24"/>
          <w:szCs w:val="24"/>
        </w:rPr>
        <w:t>ssumptions about outcomes and using less rigorous audit procedures or static audit programmes. Dopuch, King and Schwartz (</w:t>
      </w:r>
      <w:r w:rsidR="00EE7935">
        <w:rPr>
          <w:rFonts w:asciiTheme="majorBidi" w:hAnsiTheme="majorBidi" w:cstheme="majorBidi"/>
          <w:sz w:val="24"/>
          <w:szCs w:val="24"/>
        </w:rPr>
        <w:t>2022</w:t>
      </w:r>
      <w:r w:rsidRPr="007E3F92">
        <w:rPr>
          <w:rFonts w:asciiTheme="majorBidi" w:hAnsiTheme="majorBidi" w:cstheme="majorBidi"/>
          <w:sz w:val="24"/>
          <w:szCs w:val="24"/>
        </w:rPr>
        <w:t>) also examine the impact of auditor tenure on audit quality. The result is consistent with the hypothesis that the auditor compromises his independence most often in a long-term auditor contract and suggests that afterall auditor tenure may have significant effect on the audit quality. Copley and Doucet, (1993) opined that the longer the period of engagement, the higher the risk of lower audit quality. Geiger and Raghunandan (</w:t>
      </w:r>
      <w:r>
        <w:rPr>
          <w:rFonts w:asciiTheme="majorBidi" w:hAnsiTheme="majorBidi" w:cstheme="majorBidi"/>
          <w:sz w:val="24"/>
          <w:szCs w:val="24"/>
        </w:rPr>
        <w:t>2021</w:t>
      </w:r>
      <w:r w:rsidRPr="007E3F92">
        <w:rPr>
          <w:rFonts w:asciiTheme="majorBidi" w:hAnsiTheme="majorBidi" w:cstheme="majorBidi"/>
          <w:sz w:val="24"/>
          <w:szCs w:val="24"/>
        </w:rPr>
        <w:t xml:space="preserve">) investigate the relationship between the length of the auditor-client relationship and audit reporting failures. </w:t>
      </w:r>
    </w:p>
    <w:p w14:paraId="0E3E84F7" w14:textId="333E79FE" w:rsidR="00A66BAD" w:rsidRPr="007E3F92" w:rsidRDefault="004C5B6A" w:rsidP="0047083F">
      <w:pPr>
        <w:autoSpaceDE w:val="0"/>
        <w:autoSpaceDN w:val="0"/>
        <w:adjustRightInd w:val="0"/>
        <w:spacing w:before="240" w:after="0" w:line="360" w:lineRule="auto"/>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2.2</w:t>
      </w:r>
      <w:r w:rsidR="00A66BAD" w:rsidRPr="007E3F92">
        <w:rPr>
          <w:rFonts w:asciiTheme="majorBidi" w:hAnsiTheme="majorBidi" w:cstheme="majorBidi"/>
          <w:b/>
          <w:bCs/>
          <w:color w:val="000000"/>
          <w:sz w:val="24"/>
          <w:szCs w:val="24"/>
        </w:rPr>
        <w:t>.5.</w:t>
      </w:r>
      <w:r w:rsidR="00A66BAD" w:rsidRPr="007E3F92">
        <w:rPr>
          <w:rFonts w:asciiTheme="majorBidi" w:hAnsiTheme="majorBidi" w:cstheme="majorBidi"/>
          <w:b/>
          <w:bCs/>
          <w:color w:val="000000"/>
          <w:sz w:val="24"/>
          <w:szCs w:val="24"/>
        </w:rPr>
        <w:tab/>
        <w:t>Audit Firm Size</w:t>
      </w:r>
    </w:p>
    <w:p w14:paraId="0F7FC1A7" w14:textId="7180FCD5" w:rsidR="00A66BAD" w:rsidRPr="007E3F92" w:rsidRDefault="00A66BAD" w:rsidP="00322954">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Firth and Tan (</w:t>
      </w:r>
      <w:r w:rsidR="00171335">
        <w:rPr>
          <w:rFonts w:asciiTheme="majorBidi" w:hAnsiTheme="majorBidi" w:cstheme="majorBidi"/>
          <w:color w:val="000000"/>
          <w:sz w:val="24"/>
          <w:szCs w:val="24"/>
        </w:rPr>
        <w:t>2021</w:t>
      </w:r>
      <w:r w:rsidRPr="007E3F92">
        <w:rPr>
          <w:rFonts w:asciiTheme="majorBidi" w:hAnsiTheme="majorBidi" w:cstheme="majorBidi"/>
          <w:color w:val="000000"/>
          <w:sz w:val="24"/>
          <w:szCs w:val="24"/>
        </w:rPr>
        <w:t>) in Wibowo and Rosienta (2009) state that audit quality is often tied to an audit firm scale. While DeAngelo (</w:t>
      </w:r>
      <w:r w:rsidR="00171335">
        <w:rPr>
          <w:rFonts w:asciiTheme="majorBidi" w:hAnsiTheme="majorBidi" w:cstheme="majorBidi"/>
          <w:color w:val="000000"/>
          <w:sz w:val="24"/>
          <w:szCs w:val="24"/>
        </w:rPr>
        <w:t>2020</w:t>
      </w:r>
      <w:r w:rsidRPr="007E3F92">
        <w:rPr>
          <w:rFonts w:asciiTheme="majorBidi" w:hAnsiTheme="majorBidi" w:cstheme="majorBidi"/>
          <w:color w:val="000000"/>
          <w:sz w:val="24"/>
          <w:szCs w:val="24"/>
        </w:rPr>
        <w:t>) maintains that big audit firms have a superior audit quality, since they already have invested in large audit technology and staff training, and thus they are more competent and more accurate in detecting the problems related to misstatement and going concern assumptions than small audit firms. Besides, Hartley and Ross (1972), and Shockley (</w:t>
      </w:r>
      <w:r w:rsidR="00171335">
        <w:rPr>
          <w:rFonts w:asciiTheme="majorBidi" w:hAnsiTheme="majorBidi" w:cstheme="majorBidi"/>
          <w:color w:val="000000"/>
          <w:sz w:val="24"/>
          <w:szCs w:val="24"/>
        </w:rPr>
        <w:t>2020</w:t>
      </w:r>
      <w:r w:rsidRPr="007E3F92">
        <w:rPr>
          <w:rFonts w:asciiTheme="majorBidi" w:hAnsiTheme="majorBidi" w:cstheme="majorBidi"/>
          <w:color w:val="000000"/>
          <w:sz w:val="24"/>
          <w:szCs w:val="24"/>
        </w:rPr>
        <w:t xml:space="preserve">) in) mentions two key reasons for why big audit firms are more independent than that small one, namely: (i) separation of a department that delivers audit services and one that delivers non-audit services and (ii) the revenues gained by an accounting firm is influenced by not only one client. </w:t>
      </w:r>
      <w:r w:rsidRPr="007E3F92">
        <w:rPr>
          <w:rFonts w:asciiTheme="majorBidi" w:hAnsiTheme="majorBidi" w:cstheme="majorBidi"/>
          <w:sz w:val="24"/>
          <w:szCs w:val="24"/>
        </w:rPr>
        <w:t xml:space="preserve">Thus, in Nigeria, audit quality has been denoted with the likelihood that a sampled company employs the services of one of the big audit firms. The variables is </w:t>
      </w:r>
      <w:r w:rsidRPr="007E3F92">
        <w:rPr>
          <w:rFonts w:asciiTheme="majorBidi" w:hAnsiTheme="majorBidi" w:cstheme="majorBidi"/>
          <w:sz w:val="24"/>
          <w:szCs w:val="24"/>
        </w:rPr>
        <w:lastRenderedPageBreak/>
        <w:t>represented using dummy of the audit firm size where the big 4 audit firms are assigned to represent quality audit and non-big 4 implies otherwise. The big 4 audit firms in Nigeria are Akintola Williams Deloitte, PwC Nigeria, Ernst &amp; Young, and KPMG. This criterion has been adopted by studies like (Onaolapo, Ajulo&amp;Onifade, 2017; Oladipupo &amp; Monye- Emina, 2016; Adeniyi&amp;Mieseighana, 2013). To them, the tools for measuring audit quality include the following Audit Fees, Audit Tenure, Client or Firm Size.</w:t>
      </w:r>
    </w:p>
    <w:p w14:paraId="3334CB32"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 xml:space="preserve">Lee et al. (1993) in Febrianto and Widiastuty (2010) stated that if both auditors and their clients have equally relatively small size, then there is a high probability that the income of the auditors relies on the audit fee they gain from their clients. Conversely, big audit firms incline to be more independent of their clients, either the clients are big or small. On his own part, Lennox (1999) suggested that big audit firms are more capable in detecting signs of financial frauds that occur and disclose them in their audit opinion. This is confirmed in a research by Krishnan (2003) that state that big audit firms may perceivably reduce questionable accounting practices and report any error the management committed. </w:t>
      </w:r>
    </w:p>
    <w:p w14:paraId="0B63FCBF" w14:textId="2BD6C26B" w:rsidR="00A66BAD" w:rsidRPr="007E3F92" w:rsidRDefault="004C5B6A" w:rsidP="0047083F">
      <w:pPr>
        <w:autoSpaceDE w:val="0"/>
        <w:autoSpaceDN w:val="0"/>
        <w:adjustRightInd w:val="0"/>
        <w:spacing w:before="240" w:after="0" w:line="360" w:lineRule="auto"/>
        <w:jc w:val="both"/>
        <w:rPr>
          <w:rFonts w:asciiTheme="majorBidi" w:hAnsiTheme="majorBidi" w:cstheme="majorBidi"/>
          <w:b/>
          <w:bCs/>
          <w:sz w:val="24"/>
          <w:szCs w:val="24"/>
        </w:rPr>
      </w:pPr>
      <w:r>
        <w:rPr>
          <w:rFonts w:asciiTheme="majorBidi" w:hAnsiTheme="majorBidi" w:cstheme="majorBidi"/>
          <w:b/>
          <w:bCs/>
          <w:sz w:val="24"/>
          <w:szCs w:val="24"/>
        </w:rPr>
        <w:t>2.2</w:t>
      </w:r>
      <w:r w:rsidR="00A66BAD" w:rsidRPr="007E3F92">
        <w:rPr>
          <w:rFonts w:asciiTheme="majorBidi" w:hAnsiTheme="majorBidi" w:cstheme="majorBidi"/>
          <w:b/>
          <w:bCs/>
          <w:sz w:val="24"/>
          <w:szCs w:val="24"/>
        </w:rPr>
        <w:t>.6.</w:t>
      </w:r>
      <w:r w:rsidR="00A66BAD" w:rsidRPr="007E3F92">
        <w:rPr>
          <w:rFonts w:asciiTheme="majorBidi" w:hAnsiTheme="majorBidi" w:cstheme="majorBidi"/>
          <w:b/>
          <w:bCs/>
          <w:sz w:val="24"/>
          <w:szCs w:val="24"/>
        </w:rPr>
        <w:tab/>
        <w:t>Audit Firm Rotation</w:t>
      </w:r>
    </w:p>
    <w:p w14:paraId="15E3D05E" w14:textId="449AB725" w:rsidR="00A66BAD" w:rsidRPr="007E3F92" w:rsidRDefault="00A66BAD" w:rsidP="00322954">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A lot of investigations have been done about audit firm and partner rotation in United States. Regulators and other financial markets in the U.S. extremely assert that audit quality and auditor independence may decline over long auditor-client relationships. Therefore, the mandatory audit firm rotation is focused on how auditor and firms affect audit quality. Some prior empirical study analyzed the effect of auditor tenure on audit quality under regime of mandatory rotation. Prior studies’ finding suggests that there is a positive correlation between rotation of auditor and audit quality (Anis, 2014; Chi et al., 2009; Ghosh and Moon, </w:t>
      </w:r>
      <w:r w:rsidR="00171335">
        <w:rPr>
          <w:rFonts w:asciiTheme="majorBidi" w:hAnsiTheme="majorBidi" w:cstheme="majorBidi"/>
          <w:sz w:val="24"/>
          <w:szCs w:val="24"/>
        </w:rPr>
        <w:t>2018</w:t>
      </w:r>
      <w:r w:rsidRPr="007E3F92">
        <w:rPr>
          <w:rFonts w:asciiTheme="majorBidi" w:hAnsiTheme="majorBidi" w:cstheme="majorBidi"/>
          <w:sz w:val="24"/>
          <w:szCs w:val="24"/>
        </w:rPr>
        <w:t xml:space="preserve">; Johnson et al., </w:t>
      </w:r>
      <w:r>
        <w:rPr>
          <w:rFonts w:asciiTheme="majorBidi" w:hAnsiTheme="majorBidi" w:cstheme="majorBidi"/>
          <w:sz w:val="24"/>
          <w:szCs w:val="24"/>
        </w:rPr>
        <w:t>2021</w:t>
      </w:r>
      <w:r w:rsidRPr="007E3F92">
        <w:rPr>
          <w:rFonts w:asciiTheme="majorBidi" w:hAnsiTheme="majorBidi" w:cstheme="majorBidi"/>
          <w:sz w:val="24"/>
          <w:szCs w:val="24"/>
        </w:rPr>
        <w:t>; Kwon et al., 2014). Zawawi (</w:t>
      </w:r>
      <w:r w:rsidR="00EE7935">
        <w:rPr>
          <w:rFonts w:asciiTheme="majorBidi" w:hAnsiTheme="majorBidi" w:cstheme="majorBidi"/>
          <w:sz w:val="24"/>
          <w:szCs w:val="24"/>
        </w:rPr>
        <w:t>2021</w:t>
      </w:r>
      <w:r w:rsidRPr="007E3F92">
        <w:rPr>
          <w:rFonts w:asciiTheme="majorBidi" w:hAnsiTheme="majorBidi" w:cstheme="majorBidi"/>
          <w:sz w:val="24"/>
          <w:szCs w:val="24"/>
        </w:rPr>
        <w:t>) believed that the idea of compulsory audit rotation was a consequence of very famous corporate failures that were the cause of litigations as well as Asein (</w:t>
      </w:r>
      <w:r w:rsidR="00EE7935">
        <w:rPr>
          <w:rFonts w:asciiTheme="majorBidi" w:hAnsiTheme="majorBidi" w:cstheme="majorBidi"/>
          <w:sz w:val="24"/>
          <w:szCs w:val="24"/>
        </w:rPr>
        <w:t>2021</w:t>
      </w:r>
      <w:r w:rsidRPr="007E3F92">
        <w:rPr>
          <w:rFonts w:asciiTheme="majorBidi" w:hAnsiTheme="majorBidi" w:cstheme="majorBidi"/>
          <w:sz w:val="24"/>
          <w:szCs w:val="24"/>
        </w:rPr>
        <w:t xml:space="preserve">) </w:t>
      </w:r>
      <w:r w:rsidRPr="007E3F92">
        <w:rPr>
          <w:rFonts w:asciiTheme="majorBidi" w:hAnsiTheme="majorBidi" w:cstheme="majorBidi"/>
          <w:sz w:val="24"/>
          <w:szCs w:val="24"/>
        </w:rPr>
        <w:lastRenderedPageBreak/>
        <w:t>suggested that rotation of external auditors can be a solution to the potential problem of familiarity between the audit company personnel and the client.</w:t>
      </w:r>
    </w:p>
    <w:p w14:paraId="5FBD5EFB" w14:textId="29AACD30" w:rsidR="00A66BAD" w:rsidRPr="007E3F92" w:rsidRDefault="00A66BAD" w:rsidP="00322954">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Dopuch et al. (</w:t>
      </w:r>
      <w:r w:rsidR="00EE7935">
        <w:rPr>
          <w:rFonts w:asciiTheme="majorBidi" w:hAnsiTheme="majorBidi" w:cstheme="majorBidi"/>
          <w:sz w:val="24"/>
          <w:szCs w:val="24"/>
        </w:rPr>
        <w:t>2022</w:t>
      </w:r>
      <w:r w:rsidRPr="007E3F92">
        <w:rPr>
          <w:rFonts w:asciiTheme="majorBidi" w:hAnsiTheme="majorBidi" w:cstheme="majorBidi"/>
          <w:sz w:val="24"/>
          <w:szCs w:val="24"/>
        </w:rPr>
        <w:t>) examined whether mandatory audit rotation increase independence. They used multi - period interaction between a manager and auditor. The result support that the auditor comprises his independence most often in the no rotation regimes. Regulators of mandatory audit rotation believe that in the long tenure the auditors are close relationship with the company and agree with the management on reporting and the rotation of auditors would have beneficial impact on audit quality</w:t>
      </w:r>
      <w:r w:rsidR="00EE7935">
        <w:rPr>
          <w:rFonts w:asciiTheme="majorBidi" w:hAnsiTheme="majorBidi" w:cstheme="majorBidi"/>
          <w:sz w:val="24"/>
          <w:szCs w:val="24"/>
        </w:rPr>
        <w:t xml:space="preserve">. </w:t>
      </w:r>
      <w:r w:rsidR="00EE7935" w:rsidRPr="007E3F92">
        <w:rPr>
          <w:rFonts w:asciiTheme="majorBidi" w:hAnsiTheme="majorBidi" w:cstheme="majorBidi"/>
          <w:sz w:val="24"/>
          <w:szCs w:val="24"/>
        </w:rPr>
        <w:t>However</w:t>
      </w:r>
      <w:r w:rsidRPr="007E3F92">
        <w:rPr>
          <w:rFonts w:asciiTheme="majorBidi" w:hAnsiTheme="majorBidi" w:cstheme="majorBidi"/>
          <w:sz w:val="24"/>
          <w:szCs w:val="24"/>
        </w:rPr>
        <w:t>, opponents believe that cost of mandatory rotation more than its benefits and several studies found that there is positive associated with audit firm tenure and audit quality.</w:t>
      </w:r>
    </w:p>
    <w:p w14:paraId="7EF1A78C" w14:textId="1269E8C3" w:rsidR="00A66BAD" w:rsidRPr="007E3F92" w:rsidRDefault="00A66BAD" w:rsidP="0047083F">
      <w:pPr>
        <w:autoSpaceDE w:val="0"/>
        <w:autoSpaceDN w:val="0"/>
        <w:adjustRightInd w:val="0"/>
        <w:spacing w:before="240" w:after="0" w:line="360" w:lineRule="auto"/>
        <w:jc w:val="both"/>
        <w:rPr>
          <w:rFonts w:asciiTheme="majorBidi" w:hAnsiTheme="majorBidi" w:cstheme="majorBidi"/>
          <w:sz w:val="24"/>
          <w:szCs w:val="24"/>
        </w:rPr>
      </w:pPr>
      <w:r w:rsidRPr="007E3F92">
        <w:rPr>
          <w:rFonts w:asciiTheme="majorBidi" w:hAnsiTheme="majorBidi" w:cstheme="majorBidi"/>
          <w:sz w:val="24"/>
          <w:szCs w:val="24"/>
        </w:rPr>
        <w:t>There is some perception for mandatory audit rotation from regulators, auditors, audit clients and shareholders. Regulators believe that with increase audit firm tenure the audit quality is decrease. This reduces for audit quality caused by familiarity with the management and lack of attention to redundancy and staleness. PWC (</w:t>
      </w:r>
      <w:r>
        <w:rPr>
          <w:rFonts w:asciiTheme="majorBidi" w:hAnsiTheme="majorBidi" w:cstheme="majorBidi"/>
          <w:sz w:val="24"/>
          <w:szCs w:val="24"/>
        </w:rPr>
        <w:t>2022</w:t>
      </w:r>
      <w:r w:rsidRPr="007E3F92">
        <w:rPr>
          <w:rFonts w:asciiTheme="majorBidi" w:hAnsiTheme="majorBidi" w:cstheme="majorBidi"/>
          <w:sz w:val="24"/>
          <w:szCs w:val="24"/>
        </w:rPr>
        <w:t xml:space="preserve">) argued that auditor relationship with company will be decrease when mandatory audit firm rotation happens. In the other hand, auditors’ distress that mandatory audit firm rotation increases the risk of audit failure for the period before auditors can build company-specific knowledge (Capitol Federal Financial Inc., </w:t>
      </w:r>
      <w:r>
        <w:rPr>
          <w:rFonts w:asciiTheme="majorBidi" w:hAnsiTheme="majorBidi" w:cstheme="majorBidi"/>
          <w:sz w:val="24"/>
          <w:szCs w:val="24"/>
        </w:rPr>
        <w:t>2019</w:t>
      </w:r>
      <w:r w:rsidRPr="007E3F92">
        <w:rPr>
          <w:rFonts w:asciiTheme="majorBidi" w:hAnsiTheme="majorBidi" w:cstheme="majorBidi"/>
          <w:sz w:val="24"/>
          <w:szCs w:val="24"/>
        </w:rPr>
        <w:t>).</w:t>
      </w:r>
    </w:p>
    <w:p w14:paraId="2198F42C" w14:textId="7250C730" w:rsidR="00546D15" w:rsidRPr="0047083F" w:rsidRDefault="00A66BAD" w:rsidP="0047083F">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One of the negative aspects of audit firm rotation is loss in attraction of the audit profession. For instance, auditors worry about increase in indecision regarding capacity of audit needs and where to best locate talented employees with skill sets (Ewelt-Knauer et al., </w:t>
      </w:r>
      <w:r>
        <w:rPr>
          <w:rFonts w:asciiTheme="majorBidi" w:hAnsiTheme="majorBidi" w:cstheme="majorBidi"/>
          <w:sz w:val="24"/>
          <w:szCs w:val="24"/>
        </w:rPr>
        <w:t>2022</w:t>
      </w:r>
      <w:r w:rsidRPr="007E3F92">
        <w:rPr>
          <w:rFonts w:asciiTheme="majorBidi" w:hAnsiTheme="majorBidi" w:cstheme="majorBidi"/>
          <w:sz w:val="24"/>
          <w:szCs w:val="24"/>
        </w:rPr>
        <w:t xml:space="preserve">). Audit clients have different view on mandatory audit firm rotation. On the other hand, several companies share concerns of auditors regarding the expertise of audit teams. Managements of some companies believe that when the new auditors come to company the employees might be very reserved towards them and fraud detection (MBA, </w:t>
      </w:r>
      <w:r w:rsidR="00EE7935">
        <w:rPr>
          <w:rFonts w:asciiTheme="majorBidi" w:hAnsiTheme="majorBidi" w:cstheme="majorBidi"/>
          <w:sz w:val="24"/>
          <w:szCs w:val="24"/>
        </w:rPr>
        <w:t>2019</w:t>
      </w:r>
      <w:r w:rsidRPr="007E3F92">
        <w:rPr>
          <w:rFonts w:asciiTheme="majorBidi" w:hAnsiTheme="majorBidi" w:cstheme="majorBidi"/>
          <w:sz w:val="24"/>
          <w:szCs w:val="24"/>
        </w:rPr>
        <w:t xml:space="preserve">). Finally, the last perspective for mandatory audit rotation from is shareholders perspective. They believe that in the mandatory audit rotation, an </w:t>
      </w:r>
      <w:r w:rsidRPr="007E3F92">
        <w:rPr>
          <w:rFonts w:asciiTheme="majorBidi" w:hAnsiTheme="majorBidi" w:cstheme="majorBidi"/>
          <w:sz w:val="24"/>
          <w:szCs w:val="24"/>
        </w:rPr>
        <w:lastRenderedPageBreak/>
        <w:t>investor might no longer be able to separate a voluntary change of the audit firm(Opinion shopping of management) from a compulsory rotation, eventually raising the cost of information. For the purpose of this study, the study will concentrate on three dependent variable which include audit fee,</w:t>
      </w:r>
      <w:r w:rsidR="0047083F">
        <w:rPr>
          <w:rFonts w:asciiTheme="majorBidi" w:hAnsiTheme="majorBidi" w:cstheme="majorBidi"/>
          <w:sz w:val="24"/>
          <w:szCs w:val="24"/>
        </w:rPr>
        <w:t xml:space="preserve"> audit firm size, audit tenure.</w:t>
      </w:r>
    </w:p>
    <w:p w14:paraId="2D93F24A" w14:textId="72CB9DA7" w:rsidR="00A66BAD" w:rsidRPr="007E3F92" w:rsidRDefault="004C5B6A" w:rsidP="0047083F">
      <w:pPr>
        <w:autoSpaceDE w:val="0"/>
        <w:autoSpaceDN w:val="0"/>
        <w:adjustRightInd w:val="0"/>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2.2</w:t>
      </w:r>
      <w:r w:rsidR="00A66BAD" w:rsidRPr="007E3F92">
        <w:rPr>
          <w:rFonts w:asciiTheme="majorBidi" w:hAnsiTheme="majorBidi" w:cstheme="majorBidi"/>
          <w:b/>
          <w:sz w:val="24"/>
          <w:szCs w:val="24"/>
        </w:rPr>
        <w:t>.7</w:t>
      </w:r>
      <w:r w:rsidR="00A66BAD" w:rsidRPr="007E3F92">
        <w:rPr>
          <w:rFonts w:asciiTheme="majorBidi" w:hAnsiTheme="majorBidi" w:cstheme="majorBidi"/>
          <w:b/>
          <w:sz w:val="24"/>
          <w:szCs w:val="24"/>
        </w:rPr>
        <w:tab/>
        <w:t>Concept of Firm Value</w:t>
      </w:r>
    </w:p>
    <w:p w14:paraId="1FC2CC43"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According to Fama (1978) the firm value will be reflected in the share price, the market price of shares of the company formed between the buyer and the seller when the transaction is called the value of the enterprise market, because the market price of the stock is considered a reflection of the true value of the company's assets. Some of the indicators used by investors to assess the company such as by using size: (1) Price Book Value (PBV). This ratio measures the value given to the management of financial markets and corporate organizations as a company that continues to grow (Brigham, 1996). Value of the firm is determined by market price of the firm’s common stock, which in turn is reflection of the firm’s investment, financial and dividend decisions (Van Home, 1992). Firm’s investment is reflected from fixed asset possessed; financing decisions depends upon debt-equity and WACC (Weighted Average Cost of Capital) whereas dividend payout ratio is the indicator of firm’s dividend decisions.</w:t>
      </w:r>
    </w:p>
    <w:p w14:paraId="0F22F5D8" w14:textId="31A192AD" w:rsidR="00A66BAD" w:rsidRPr="007E3F92" w:rsidRDefault="004C5B6A" w:rsidP="0047083F">
      <w:pPr>
        <w:autoSpaceDE w:val="0"/>
        <w:autoSpaceDN w:val="0"/>
        <w:adjustRightInd w:val="0"/>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2.2</w:t>
      </w:r>
      <w:r w:rsidR="00A66BAD" w:rsidRPr="007E3F92">
        <w:rPr>
          <w:rFonts w:asciiTheme="majorBidi" w:hAnsiTheme="majorBidi" w:cstheme="majorBidi"/>
          <w:b/>
          <w:sz w:val="24"/>
          <w:szCs w:val="24"/>
        </w:rPr>
        <w:t>.8.</w:t>
      </w:r>
      <w:r w:rsidR="00A66BAD" w:rsidRPr="007E3F92">
        <w:rPr>
          <w:rFonts w:asciiTheme="majorBidi" w:hAnsiTheme="majorBidi" w:cstheme="majorBidi"/>
          <w:b/>
          <w:sz w:val="24"/>
          <w:szCs w:val="24"/>
        </w:rPr>
        <w:tab/>
        <w:t>Measurement of Firm Value</w:t>
      </w:r>
    </w:p>
    <w:p w14:paraId="4B3E083B" w14:textId="28081068" w:rsidR="00A66BAD" w:rsidRPr="007E3F92" w:rsidRDefault="00A66BAD" w:rsidP="00322954">
      <w:pPr>
        <w:autoSpaceDE w:val="0"/>
        <w:autoSpaceDN w:val="0"/>
        <w:adjustRightInd w:val="0"/>
        <w:spacing w:after="0" w:line="360" w:lineRule="auto"/>
        <w:jc w:val="both"/>
        <w:rPr>
          <w:rFonts w:asciiTheme="majorBidi" w:hAnsiTheme="majorBidi" w:cstheme="majorBidi"/>
          <w:b/>
          <w:sz w:val="24"/>
          <w:szCs w:val="24"/>
        </w:rPr>
      </w:pPr>
      <w:r w:rsidRPr="007E3F92">
        <w:rPr>
          <w:rFonts w:asciiTheme="majorBidi" w:hAnsiTheme="majorBidi" w:cstheme="majorBidi"/>
          <w:color w:val="000000"/>
          <w:sz w:val="24"/>
          <w:szCs w:val="24"/>
        </w:rPr>
        <w:t xml:space="preserve">Firm valuation is essential for deriving stock prices, an item of significance in many simulations (Keys &amp; Biggs, </w:t>
      </w:r>
      <w:r w:rsidR="00EE7935">
        <w:rPr>
          <w:rFonts w:asciiTheme="majorBidi" w:hAnsiTheme="majorBidi" w:cstheme="majorBidi"/>
          <w:color w:val="000000"/>
          <w:sz w:val="24"/>
          <w:szCs w:val="24"/>
        </w:rPr>
        <w:t>2023</w:t>
      </w:r>
      <w:r w:rsidRPr="007E3F92">
        <w:rPr>
          <w:rFonts w:asciiTheme="majorBidi" w:hAnsiTheme="majorBidi" w:cstheme="majorBidi"/>
          <w:color w:val="000000"/>
          <w:sz w:val="24"/>
          <w:szCs w:val="24"/>
        </w:rPr>
        <w:t xml:space="preserve">). Sometimes, stock price is the sole measure of performance in the simulation (Biggs, </w:t>
      </w:r>
      <w:r w:rsidR="00EE7935">
        <w:rPr>
          <w:rFonts w:asciiTheme="majorBidi" w:hAnsiTheme="majorBidi" w:cstheme="majorBidi"/>
          <w:color w:val="000000"/>
          <w:sz w:val="24"/>
          <w:szCs w:val="24"/>
        </w:rPr>
        <w:t>2023</w:t>
      </w:r>
      <w:r w:rsidRPr="007E3F92">
        <w:rPr>
          <w:rFonts w:asciiTheme="majorBidi" w:hAnsiTheme="majorBidi" w:cstheme="majorBidi"/>
          <w:color w:val="000000"/>
          <w:sz w:val="24"/>
          <w:szCs w:val="24"/>
        </w:rPr>
        <w:t>). More commonly it is major component of a weighted average that includes other measures. Certainly, no total enterprise simulation can be complete without a measure of the value of firms.</w:t>
      </w:r>
      <w:r w:rsidRPr="007E3F92">
        <w:rPr>
          <w:rFonts w:asciiTheme="majorBidi" w:hAnsiTheme="majorBidi" w:cstheme="majorBidi"/>
          <w:sz w:val="24"/>
          <w:szCs w:val="24"/>
        </w:rPr>
        <w:t xml:space="preserve">Firm </w:t>
      </w:r>
      <w:r w:rsidRPr="007E3F92">
        <w:rPr>
          <w:rFonts w:asciiTheme="majorBidi" w:hAnsiTheme="majorBidi" w:cstheme="majorBidi"/>
          <w:color w:val="000000"/>
          <w:sz w:val="24"/>
          <w:szCs w:val="24"/>
        </w:rPr>
        <w:t xml:space="preserve">valuation can be obtained through different measures, each of which is likely to give a value that differs from that obtained by another measure; the measure is design to establish the measures that best fit the requirements of the particular situation. To guide the task, this </w:t>
      </w:r>
      <w:r w:rsidRPr="007E3F92">
        <w:rPr>
          <w:rFonts w:asciiTheme="majorBidi" w:hAnsiTheme="majorBidi" w:cstheme="majorBidi"/>
          <w:color w:val="000000"/>
          <w:sz w:val="24"/>
          <w:szCs w:val="24"/>
        </w:rPr>
        <w:lastRenderedPageBreak/>
        <w:t xml:space="preserve">paper presents a firm-valuation classification based on types consisting of five measures, and shows the measure that fits the study. </w:t>
      </w:r>
    </w:p>
    <w:p w14:paraId="25CE9215" w14:textId="7C996524" w:rsidR="00A66BAD" w:rsidRPr="007E3F92" w:rsidRDefault="00A66BAD" w:rsidP="00322954">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 xml:space="preserve">The first and most readily available measure of the value of a firm is its accounting net worth, or book value. This measure is problematic, however, because the accounting rules in a simulation may be at variance with generally accepted principles of financial accounting (Goosen, Jensen, &amp; Wells, </w:t>
      </w:r>
      <w:r w:rsidR="00EE7935">
        <w:rPr>
          <w:rFonts w:asciiTheme="majorBidi" w:hAnsiTheme="majorBidi" w:cstheme="majorBidi"/>
          <w:color w:val="000000"/>
          <w:sz w:val="24"/>
          <w:szCs w:val="24"/>
        </w:rPr>
        <w:t>2020</w:t>
      </w:r>
      <w:r w:rsidRPr="007E3F92">
        <w:rPr>
          <w:rFonts w:asciiTheme="majorBidi" w:hAnsiTheme="majorBidi" w:cstheme="majorBidi"/>
          <w:color w:val="000000"/>
          <w:sz w:val="24"/>
          <w:szCs w:val="24"/>
        </w:rPr>
        <w:t xml:space="preserve">), and because conformance with some generally accepted principles, such as historical cost and conservatism, can lead to values that are far removed from what is reasonable. </w:t>
      </w:r>
    </w:p>
    <w:p w14:paraId="00C6F085" w14:textId="19D424C5" w:rsidR="00A66BAD" w:rsidRPr="007E3F92" w:rsidRDefault="00A66BAD" w:rsidP="00322954">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The second measure is the capitalized value of its projected future performance. Miller and Modigliani (</w:t>
      </w:r>
      <w:r w:rsidR="00EE7935">
        <w:rPr>
          <w:rFonts w:asciiTheme="majorBidi" w:hAnsiTheme="majorBidi" w:cstheme="majorBidi"/>
          <w:color w:val="000000"/>
          <w:sz w:val="24"/>
          <w:szCs w:val="24"/>
        </w:rPr>
        <w:t>2020</w:t>
      </w:r>
      <w:r w:rsidRPr="007E3F92">
        <w:rPr>
          <w:rFonts w:asciiTheme="majorBidi" w:hAnsiTheme="majorBidi" w:cstheme="majorBidi"/>
          <w:color w:val="000000"/>
          <w:sz w:val="24"/>
          <w:szCs w:val="24"/>
        </w:rPr>
        <w:t xml:space="preserve">) pointed out that although four distinct methods of capitalization can be applied for this purpose, all four give rise to precisely the same valuation when markets are perfect, people are completely rational, and the future is known with perfect certainty. </w:t>
      </w:r>
    </w:p>
    <w:p w14:paraId="6B05DD54"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 xml:space="preserve">The third measure is the deductive application of human judgment. With this method, firms are rated along a psychometric scale. The results are then converted by formula to monetary values. </w:t>
      </w:r>
    </w:p>
    <w:p w14:paraId="5B08D680"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The fourth measure is the firm’s accounting net worth adjusted for intangibles and the idiosyncrasies of the accounting rules used in the simulation. Although general principles can be laid out for the adjustment, the specific must depend upon the particulars of the simulation.</w:t>
      </w:r>
    </w:p>
    <w:p w14:paraId="7D19E2F5"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 xml:space="preserve">The fifth measure is the market value of all its outstanding shares. This is popular for day-day method of valuating public corporations. Its application, however, requires an efficient real market for shares, and is always available because market share is issue on a daily basis in capital market and can easily be obtain by researcher through different means such as Nigerian Stock Exchange (NSE) and websites. For the purpose of this study market value form of measurement is adopted because it is easily obtaining.  </w:t>
      </w:r>
    </w:p>
    <w:p w14:paraId="6AC8DAE3" w14:textId="77777777" w:rsidR="0047083F" w:rsidRDefault="0047083F" w:rsidP="00322954">
      <w:pPr>
        <w:spacing w:after="0" w:line="360" w:lineRule="auto"/>
        <w:jc w:val="both"/>
        <w:rPr>
          <w:rFonts w:asciiTheme="majorBidi" w:hAnsiTheme="majorBidi" w:cstheme="majorBidi"/>
          <w:b/>
          <w:sz w:val="24"/>
          <w:szCs w:val="24"/>
        </w:rPr>
      </w:pPr>
    </w:p>
    <w:p w14:paraId="368221FD" w14:textId="77777777" w:rsidR="0047083F" w:rsidRDefault="0047083F" w:rsidP="00322954">
      <w:pPr>
        <w:spacing w:after="0" w:line="360" w:lineRule="auto"/>
        <w:jc w:val="both"/>
        <w:rPr>
          <w:rFonts w:asciiTheme="majorBidi" w:hAnsiTheme="majorBidi" w:cstheme="majorBidi"/>
          <w:b/>
          <w:sz w:val="24"/>
          <w:szCs w:val="24"/>
        </w:rPr>
      </w:pPr>
    </w:p>
    <w:p w14:paraId="6524D7DF" w14:textId="69469619" w:rsidR="00A66BAD" w:rsidRPr="007E3F92" w:rsidRDefault="004C5B6A" w:rsidP="00322954">
      <w:pPr>
        <w:spacing w:after="0" w:line="360" w:lineRule="auto"/>
        <w:jc w:val="both"/>
        <w:rPr>
          <w:rFonts w:asciiTheme="majorBidi" w:hAnsiTheme="majorBidi" w:cstheme="majorBidi"/>
          <w:b/>
          <w:sz w:val="24"/>
          <w:szCs w:val="24"/>
        </w:rPr>
      </w:pPr>
      <w:r>
        <w:rPr>
          <w:rFonts w:asciiTheme="majorBidi" w:hAnsiTheme="majorBidi" w:cstheme="majorBidi"/>
          <w:b/>
          <w:sz w:val="24"/>
          <w:szCs w:val="24"/>
        </w:rPr>
        <w:lastRenderedPageBreak/>
        <w:t>2.3</w:t>
      </w:r>
      <w:r w:rsidR="00A66BAD" w:rsidRPr="007E3F92">
        <w:rPr>
          <w:rFonts w:asciiTheme="majorBidi" w:hAnsiTheme="majorBidi" w:cstheme="majorBidi"/>
          <w:b/>
          <w:sz w:val="24"/>
          <w:szCs w:val="24"/>
        </w:rPr>
        <w:tab/>
        <w:t>Theoretical Framework</w:t>
      </w:r>
    </w:p>
    <w:p w14:paraId="517A846A" w14:textId="720FA924" w:rsidR="00A66BAD" w:rsidRPr="007E3F92" w:rsidRDefault="00A66BAD" w:rsidP="00322954">
      <w:pPr>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A theoretical review is a set of statements that explain a group of facts or phenomena especially one that has been repeatedly tested or is widely accepted and can be used to make predictions about natural phenomena (Kothari. </w:t>
      </w:r>
      <w:r w:rsidR="00171335">
        <w:rPr>
          <w:rFonts w:asciiTheme="majorBidi" w:hAnsiTheme="majorBidi" w:cstheme="majorBidi"/>
          <w:sz w:val="24"/>
          <w:szCs w:val="24"/>
        </w:rPr>
        <w:t>2018</w:t>
      </w:r>
      <w:r w:rsidRPr="007E3F92">
        <w:rPr>
          <w:rFonts w:asciiTheme="majorBidi" w:hAnsiTheme="majorBidi" w:cstheme="majorBidi"/>
          <w:sz w:val="24"/>
          <w:szCs w:val="24"/>
        </w:rPr>
        <w:t>). Theories are analytical tools for understanding, explaining, and making predictions about a given subject matter. The theories review in these studies include stakeholder theory, management theory and agency theory.</w:t>
      </w:r>
    </w:p>
    <w:p w14:paraId="6436C0C1" w14:textId="1866B116" w:rsidR="00A66BAD" w:rsidRPr="007E3F92" w:rsidRDefault="004C5B6A" w:rsidP="0047083F">
      <w:pPr>
        <w:autoSpaceDE w:val="0"/>
        <w:autoSpaceDN w:val="0"/>
        <w:adjustRightInd w:val="0"/>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2.3</w:t>
      </w:r>
      <w:r w:rsidR="00A66BAD" w:rsidRPr="007E3F92">
        <w:rPr>
          <w:rFonts w:asciiTheme="majorBidi" w:hAnsiTheme="majorBidi" w:cstheme="majorBidi"/>
          <w:b/>
          <w:sz w:val="24"/>
          <w:szCs w:val="24"/>
        </w:rPr>
        <w:t>.1.</w:t>
      </w:r>
      <w:r w:rsidR="00A66BAD" w:rsidRPr="007E3F92">
        <w:rPr>
          <w:rFonts w:asciiTheme="majorBidi" w:hAnsiTheme="majorBidi" w:cstheme="majorBidi"/>
          <w:b/>
          <w:sz w:val="24"/>
          <w:szCs w:val="24"/>
        </w:rPr>
        <w:tab/>
        <w:t>Stakeholder Theory</w:t>
      </w:r>
    </w:p>
    <w:p w14:paraId="238D9BAF" w14:textId="2ACD1CC3" w:rsidR="00A66BAD" w:rsidRPr="007E3F92" w:rsidRDefault="00A66BAD" w:rsidP="00322954">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Stakeholder is defined by (Freeman </w:t>
      </w:r>
      <w:r w:rsidR="00EE7935">
        <w:rPr>
          <w:rFonts w:asciiTheme="majorBidi" w:hAnsiTheme="majorBidi" w:cstheme="majorBidi"/>
          <w:sz w:val="24"/>
          <w:szCs w:val="24"/>
        </w:rPr>
        <w:t>2020</w:t>
      </w:r>
      <w:r w:rsidRPr="007E3F92">
        <w:rPr>
          <w:rFonts w:asciiTheme="majorBidi" w:hAnsiTheme="majorBidi" w:cstheme="majorBidi"/>
          <w:sz w:val="24"/>
          <w:szCs w:val="24"/>
        </w:rPr>
        <w:t>) as any group or individual who can affect or is affected by the achievement of the organization’s objectives”. Stakeholders include shareholders, employees, suppliers, customers, creditors, communities in the vicinity of the company’s operations and the general public. Managers are treated differently in the literature. Some regard them as stakeholders others embody them in the organization’s actions and responsibilities. A very interesting view of managers came from Aoki (1984), who saw managers as referees between investors and employees.</w:t>
      </w:r>
      <w:r w:rsidR="00EE7935">
        <w:rPr>
          <w:rFonts w:asciiTheme="majorBidi" w:hAnsiTheme="majorBidi" w:cstheme="majorBidi"/>
          <w:sz w:val="24"/>
          <w:szCs w:val="24"/>
        </w:rPr>
        <w:t xml:space="preserve"> </w:t>
      </w:r>
      <w:r w:rsidRPr="007E3F92">
        <w:rPr>
          <w:rFonts w:asciiTheme="majorBidi" w:hAnsiTheme="majorBidi" w:cstheme="majorBidi"/>
          <w:sz w:val="24"/>
          <w:szCs w:val="24"/>
        </w:rPr>
        <w:t>The general idea of the Stakeholder concept is a redefinition of the organization; In general the concept is about what the organization should be andhow it should be conceptualized. Friedman (</w:t>
      </w:r>
      <w:r w:rsidR="00171335">
        <w:rPr>
          <w:rFonts w:asciiTheme="majorBidi" w:hAnsiTheme="majorBidi" w:cstheme="majorBidi"/>
          <w:sz w:val="24"/>
          <w:szCs w:val="24"/>
        </w:rPr>
        <w:t>2019</w:t>
      </w:r>
      <w:r w:rsidRPr="007E3F92">
        <w:rPr>
          <w:rFonts w:asciiTheme="majorBidi" w:hAnsiTheme="majorBidi" w:cstheme="majorBidi"/>
          <w:sz w:val="24"/>
          <w:szCs w:val="24"/>
        </w:rPr>
        <w:t>) states that the organization itself should be thought of as grouping of stakeholders and the purpose of the organization should be to manage their interests, needs and viewpoints. This stakeholder management is thought to be fulfilled by the managers of a firm. The managers should on the one hand manage the corporation for the benefit of its stakeholders in order to ensure their rights and the participation in decision making and on the other hand the management must act as the stockholder’s agent to ensure the survival of the firm to safeguard the long term stakes of each group.</w:t>
      </w:r>
    </w:p>
    <w:p w14:paraId="0A9A4DD0" w14:textId="5C652332" w:rsidR="00A66BAD" w:rsidRPr="007E3F92" w:rsidRDefault="00A66BAD" w:rsidP="00322954">
      <w:pPr>
        <w:autoSpaceDE w:val="0"/>
        <w:autoSpaceDN w:val="0"/>
        <w:adjustRightInd w:val="0"/>
        <w:spacing w:after="0" w:line="360" w:lineRule="auto"/>
        <w:jc w:val="both"/>
        <w:rPr>
          <w:rFonts w:asciiTheme="majorBidi" w:hAnsiTheme="majorBidi" w:cstheme="majorBidi"/>
          <w:bCs/>
          <w:iCs/>
          <w:sz w:val="24"/>
          <w:szCs w:val="24"/>
        </w:rPr>
      </w:pPr>
      <w:r w:rsidRPr="007E3F92">
        <w:rPr>
          <w:rFonts w:asciiTheme="majorBidi" w:hAnsiTheme="majorBidi" w:cstheme="majorBidi"/>
          <w:bCs/>
          <w:iCs/>
          <w:sz w:val="24"/>
          <w:szCs w:val="24"/>
        </w:rPr>
        <w:t xml:space="preserve">Stakeholder theory represents that the company is a separate organizational entity and it is connected to different parties in achieving wide range of purpose (Donaldson and Preston, </w:t>
      </w:r>
      <w:r w:rsidR="00EE7935">
        <w:rPr>
          <w:rFonts w:asciiTheme="majorBidi" w:hAnsiTheme="majorBidi" w:cstheme="majorBidi"/>
          <w:bCs/>
          <w:iCs/>
          <w:sz w:val="24"/>
          <w:szCs w:val="24"/>
        </w:rPr>
        <w:t>2021</w:t>
      </w:r>
      <w:r w:rsidRPr="007E3F92">
        <w:rPr>
          <w:rFonts w:asciiTheme="majorBidi" w:hAnsiTheme="majorBidi" w:cstheme="majorBidi"/>
          <w:bCs/>
          <w:iCs/>
          <w:sz w:val="24"/>
          <w:szCs w:val="24"/>
        </w:rPr>
        <w:t xml:space="preserve">). The theory highlights interests of different groups and argues on the </w:t>
      </w:r>
      <w:r w:rsidRPr="007E3F92">
        <w:rPr>
          <w:rFonts w:asciiTheme="majorBidi" w:hAnsiTheme="majorBidi" w:cstheme="majorBidi"/>
          <w:bCs/>
          <w:iCs/>
          <w:sz w:val="24"/>
          <w:szCs w:val="24"/>
        </w:rPr>
        <w:lastRenderedPageBreak/>
        <w:t xml:space="preserve">possibility of favoring one group’s interest over that of the other (Jones and Wicks, </w:t>
      </w:r>
      <w:r w:rsidR="00EE7935">
        <w:rPr>
          <w:rFonts w:asciiTheme="majorBidi" w:hAnsiTheme="majorBidi" w:cstheme="majorBidi"/>
          <w:bCs/>
          <w:iCs/>
          <w:sz w:val="24"/>
          <w:szCs w:val="24"/>
        </w:rPr>
        <w:t>2020</w:t>
      </w:r>
      <w:r w:rsidRPr="007E3F92">
        <w:rPr>
          <w:rFonts w:asciiTheme="majorBidi" w:hAnsiTheme="majorBidi" w:cstheme="majorBidi"/>
          <w:bCs/>
          <w:iCs/>
          <w:sz w:val="24"/>
          <w:szCs w:val="24"/>
        </w:rPr>
        <w:t>).</w:t>
      </w:r>
    </w:p>
    <w:p w14:paraId="5CA7D1BE" w14:textId="6C7317C6" w:rsidR="00A66BAD" w:rsidRPr="007E3F92" w:rsidRDefault="00A66BAD" w:rsidP="00322954">
      <w:pPr>
        <w:autoSpaceDE w:val="0"/>
        <w:autoSpaceDN w:val="0"/>
        <w:adjustRightInd w:val="0"/>
        <w:spacing w:after="0" w:line="360" w:lineRule="auto"/>
        <w:jc w:val="both"/>
        <w:rPr>
          <w:rFonts w:asciiTheme="majorBidi" w:hAnsiTheme="majorBidi" w:cstheme="majorBidi"/>
          <w:bCs/>
          <w:iCs/>
          <w:sz w:val="24"/>
          <w:szCs w:val="24"/>
        </w:rPr>
      </w:pPr>
      <w:r w:rsidRPr="007E3F92">
        <w:rPr>
          <w:rFonts w:asciiTheme="majorBidi" w:hAnsiTheme="majorBidi" w:cstheme="majorBidi"/>
          <w:bCs/>
          <w:iCs/>
          <w:sz w:val="24"/>
          <w:szCs w:val="24"/>
        </w:rPr>
        <w:t>Donaldson and Preston (</w:t>
      </w:r>
      <w:r w:rsidR="00EE7935">
        <w:rPr>
          <w:rFonts w:asciiTheme="majorBidi" w:hAnsiTheme="majorBidi" w:cstheme="majorBidi"/>
          <w:bCs/>
          <w:iCs/>
          <w:sz w:val="24"/>
          <w:szCs w:val="24"/>
        </w:rPr>
        <w:t>2021</w:t>
      </w:r>
      <w:r w:rsidRPr="007E3F92">
        <w:rPr>
          <w:rFonts w:asciiTheme="majorBidi" w:hAnsiTheme="majorBidi" w:cstheme="majorBidi"/>
          <w:bCs/>
          <w:iCs/>
          <w:sz w:val="24"/>
          <w:szCs w:val="24"/>
        </w:rPr>
        <w:t>) pointed out that managers are responsible to deploy their wise decisions and best efforts in obtaining benefits for all stakeholders. The board of directors cannot ignore its responsibilities in safeguarding stakeholder’s interests</w:t>
      </w:r>
      <w:r w:rsidR="00EE7935">
        <w:rPr>
          <w:rFonts w:asciiTheme="majorBidi" w:hAnsiTheme="majorBidi" w:cstheme="majorBidi"/>
          <w:bCs/>
          <w:iCs/>
          <w:sz w:val="24"/>
          <w:szCs w:val="24"/>
        </w:rPr>
        <w:t>.</w:t>
      </w:r>
      <w:r w:rsidRPr="007E3F92">
        <w:rPr>
          <w:rFonts w:asciiTheme="majorBidi" w:hAnsiTheme="majorBidi" w:cstheme="majorBidi"/>
          <w:bCs/>
          <w:iCs/>
          <w:sz w:val="24"/>
          <w:szCs w:val="24"/>
        </w:rPr>
        <w:t xml:space="preserve"> Hillman (</w:t>
      </w:r>
      <w:r w:rsidR="00EE7935">
        <w:rPr>
          <w:rFonts w:asciiTheme="majorBidi" w:hAnsiTheme="majorBidi" w:cstheme="majorBidi"/>
          <w:bCs/>
          <w:iCs/>
          <w:sz w:val="24"/>
          <w:szCs w:val="24"/>
        </w:rPr>
        <w:t>2022</w:t>
      </w:r>
      <w:r w:rsidRPr="007E3F92">
        <w:rPr>
          <w:rFonts w:asciiTheme="majorBidi" w:hAnsiTheme="majorBidi" w:cstheme="majorBidi"/>
          <w:bCs/>
          <w:iCs/>
          <w:sz w:val="24"/>
          <w:szCs w:val="24"/>
        </w:rPr>
        <w:t xml:space="preserve">) found inclusion of stakeholder’s in the board merely improves their relation and performance. In this regards they emphasized on board effectiveness. </w:t>
      </w:r>
    </w:p>
    <w:p w14:paraId="2D26542B" w14:textId="5ABFAA9D" w:rsidR="00A66BAD" w:rsidRPr="007E3F92" w:rsidRDefault="004C5B6A" w:rsidP="0047083F">
      <w:pPr>
        <w:autoSpaceDE w:val="0"/>
        <w:autoSpaceDN w:val="0"/>
        <w:adjustRightInd w:val="0"/>
        <w:spacing w:before="240" w:after="0" w:line="360" w:lineRule="auto"/>
        <w:jc w:val="both"/>
        <w:rPr>
          <w:rFonts w:asciiTheme="majorBidi" w:hAnsiTheme="majorBidi" w:cstheme="majorBidi"/>
          <w:b/>
          <w:bCs/>
          <w:iCs/>
          <w:sz w:val="24"/>
          <w:szCs w:val="24"/>
        </w:rPr>
      </w:pPr>
      <w:r>
        <w:rPr>
          <w:rFonts w:asciiTheme="majorBidi" w:hAnsiTheme="majorBidi" w:cstheme="majorBidi"/>
          <w:b/>
          <w:bCs/>
          <w:iCs/>
          <w:sz w:val="24"/>
          <w:szCs w:val="24"/>
        </w:rPr>
        <w:t>2.3</w:t>
      </w:r>
      <w:r w:rsidR="00A66BAD" w:rsidRPr="007E3F92">
        <w:rPr>
          <w:rFonts w:asciiTheme="majorBidi" w:hAnsiTheme="majorBidi" w:cstheme="majorBidi"/>
          <w:b/>
          <w:bCs/>
          <w:iCs/>
          <w:sz w:val="24"/>
          <w:szCs w:val="24"/>
        </w:rPr>
        <w:t>.2</w:t>
      </w:r>
      <w:r w:rsidR="00A66BAD" w:rsidRPr="007E3F92">
        <w:rPr>
          <w:rFonts w:asciiTheme="majorBidi" w:hAnsiTheme="majorBidi" w:cstheme="majorBidi"/>
          <w:b/>
          <w:bCs/>
          <w:iCs/>
          <w:sz w:val="24"/>
          <w:szCs w:val="24"/>
        </w:rPr>
        <w:tab/>
        <w:t>Agency Theory</w:t>
      </w:r>
    </w:p>
    <w:p w14:paraId="3277CFE9" w14:textId="77777777" w:rsidR="00A66BAD" w:rsidRPr="007E3F92" w:rsidRDefault="00A66BAD" w:rsidP="00322954">
      <w:pPr>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Agency problem is one of the age-old problems that persisted since the evolution of the joint stock companies. It cannot be ignored since every organization possibly suffered from this problem in different forms. With the change in the time, the agency problem has taken different shapes and the literature has evidence about it. The discussion on the literature of agency theory is very much in need to understand the agency problem, its various forms and the various costs involved in it to minimize the problem (Panda and Leepsa 2017).</w:t>
      </w:r>
    </w:p>
    <w:p w14:paraId="396FF2C4" w14:textId="228392DA" w:rsidR="00A66BAD" w:rsidRPr="007E3F92" w:rsidRDefault="00A66BAD" w:rsidP="00322954">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Sarens and Abdolmohhamadi (</w:t>
      </w:r>
      <w:r w:rsidR="00EE7935">
        <w:rPr>
          <w:rFonts w:asciiTheme="majorBidi" w:hAnsiTheme="majorBidi" w:cstheme="majorBidi"/>
          <w:sz w:val="24"/>
          <w:szCs w:val="24"/>
        </w:rPr>
        <w:t>2021</w:t>
      </w:r>
      <w:r w:rsidRPr="007E3F92">
        <w:rPr>
          <w:rFonts w:asciiTheme="majorBidi" w:hAnsiTheme="majorBidi" w:cstheme="majorBidi"/>
          <w:sz w:val="24"/>
          <w:szCs w:val="24"/>
        </w:rPr>
        <w:t>), opines that an assumption of agency theory is that principals and agents act rationally and use contracting to maximize their wealth. A consequence of this is the moral hazard issue. Jensen and Meckling (</w:t>
      </w:r>
      <w:r w:rsidR="00EE7935">
        <w:rPr>
          <w:rFonts w:asciiTheme="majorBidi" w:hAnsiTheme="majorBidi" w:cstheme="majorBidi"/>
          <w:sz w:val="24"/>
          <w:szCs w:val="24"/>
        </w:rPr>
        <w:t>2021</w:t>
      </w:r>
      <w:r w:rsidRPr="007E3F92">
        <w:rPr>
          <w:rFonts w:asciiTheme="majorBidi" w:hAnsiTheme="majorBidi" w:cstheme="majorBidi"/>
          <w:sz w:val="24"/>
          <w:szCs w:val="24"/>
        </w:rPr>
        <w:t>), opine that moral hazard constitutes a situation where to maximize their own wealth, agents may face the dilemma of acting against the interests of their principals. Since principals do not have access to all available information at the time a decision is being made by an agent, they are unable to determine whether the agent’s actions are in the best interest of the firm. To reduce the likelihood of the moral hazard, principals and agents engage in contracting to achieve optimality, including the establishment of monitoring processes such as auditing.</w:t>
      </w:r>
    </w:p>
    <w:p w14:paraId="16C109DE" w14:textId="610C3BE3" w:rsidR="00A66BAD" w:rsidRPr="007E3F92" w:rsidRDefault="00A66BAD" w:rsidP="0047083F">
      <w:pPr>
        <w:autoSpaceDE w:val="0"/>
        <w:autoSpaceDN w:val="0"/>
        <w:adjustRightInd w:val="0"/>
        <w:spacing w:before="240" w:after="0" w:line="360" w:lineRule="auto"/>
        <w:jc w:val="both"/>
        <w:rPr>
          <w:rFonts w:asciiTheme="majorBidi" w:hAnsiTheme="majorBidi" w:cstheme="majorBidi"/>
          <w:sz w:val="24"/>
          <w:szCs w:val="24"/>
        </w:rPr>
      </w:pPr>
      <w:r w:rsidRPr="007E3F92">
        <w:rPr>
          <w:rFonts w:asciiTheme="majorBidi" w:hAnsiTheme="majorBidi" w:cstheme="majorBidi"/>
          <w:sz w:val="24"/>
          <w:szCs w:val="24"/>
        </w:rPr>
        <w:t>Defond (</w:t>
      </w:r>
      <w:r w:rsidR="00EE7935">
        <w:rPr>
          <w:rFonts w:asciiTheme="majorBidi" w:hAnsiTheme="majorBidi" w:cstheme="majorBidi"/>
          <w:sz w:val="24"/>
          <w:szCs w:val="24"/>
        </w:rPr>
        <w:t>2022</w:t>
      </w:r>
      <w:r w:rsidRPr="007E3F92">
        <w:rPr>
          <w:rFonts w:asciiTheme="majorBidi" w:hAnsiTheme="majorBidi" w:cstheme="majorBidi"/>
          <w:sz w:val="24"/>
          <w:szCs w:val="24"/>
        </w:rPr>
        <w:t xml:space="preserve">), discusses the importance of the separation of ownership and control. He states that the more diffused the ownership of a company, the higher the divergence in </w:t>
      </w:r>
      <w:r w:rsidRPr="007E3F92">
        <w:rPr>
          <w:rFonts w:asciiTheme="majorBidi" w:hAnsiTheme="majorBidi" w:cstheme="majorBidi"/>
          <w:sz w:val="24"/>
          <w:szCs w:val="24"/>
        </w:rPr>
        <w:lastRenderedPageBreak/>
        <w:t>preferences of the owners and managers, and the higher the observe ability and control of agents’ actions by the principals. Thus, as the diffusion of ownership increases, so does the demand for monitoring. Thus, numerous auditing processes will be needed to monitor the agent’s actions in more diffused ownership structures. Louise (</w:t>
      </w:r>
      <w:r w:rsidR="00171335">
        <w:rPr>
          <w:rFonts w:asciiTheme="majorBidi" w:hAnsiTheme="majorBidi" w:cstheme="majorBidi"/>
          <w:sz w:val="24"/>
          <w:szCs w:val="24"/>
        </w:rPr>
        <w:t>2018</w:t>
      </w:r>
      <w:r w:rsidRPr="007E3F92">
        <w:rPr>
          <w:rFonts w:asciiTheme="majorBidi" w:hAnsiTheme="majorBidi" w:cstheme="majorBidi"/>
          <w:sz w:val="24"/>
          <w:szCs w:val="24"/>
        </w:rPr>
        <w:t>), states that audits serve as a fundamental purpose in promoting confidence and reinforcing trust in financial information. The principal-agent relationship as depicted in agency theory is important to understanding how the role of an auditor has developed. Principals appoint agents and delegate some decision making authority to them. In so doing, the principals place their trust in their agents to act in the principals’ best interests. The presence of agency issues has been widely witnessed in different academic fields. The evidences found in different fields like accounting</w:t>
      </w:r>
      <w:r w:rsidR="00EE7935">
        <w:rPr>
          <w:rFonts w:asciiTheme="majorBidi" w:hAnsiTheme="majorBidi" w:cstheme="majorBidi"/>
          <w:sz w:val="24"/>
          <w:szCs w:val="24"/>
        </w:rPr>
        <w:t xml:space="preserve">. </w:t>
      </w:r>
      <w:r w:rsidRPr="007E3F92">
        <w:rPr>
          <w:rFonts w:asciiTheme="majorBidi" w:hAnsiTheme="majorBidi" w:cstheme="majorBidi"/>
          <w:sz w:val="24"/>
          <w:szCs w:val="24"/>
        </w:rPr>
        <w:t>The wide existence of the agency problem in different types of organizations has made this theory as one of the most important theory in the finance and economic literature.</w:t>
      </w:r>
    </w:p>
    <w:p w14:paraId="0522671F" w14:textId="0F8B7F8E" w:rsidR="004C5B6A" w:rsidRPr="0047083F" w:rsidRDefault="00A66BAD" w:rsidP="0047083F">
      <w:pPr>
        <w:autoSpaceDE w:val="0"/>
        <w:autoSpaceDN w:val="0"/>
        <w:adjustRightInd w:val="0"/>
        <w:spacing w:before="240" w:after="0" w:line="360" w:lineRule="auto"/>
        <w:jc w:val="both"/>
        <w:rPr>
          <w:rFonts w:asciiTheme="majorBidi" w:hAnsiTheme="majorBidi" w:cstheme="majorBidi"/>
          <w:sz w:val="24"/>
          <w:szCs w:val="24"/>
        </w:rPr>
      </w:pPr>
      <w:r w:rsidRPr="007E3F92">
        <w:rPr>
          <w:rFonts w:asciiTheme="majorBidi" w:hAnsiTheme="majorBidi" w:cstheme="majorBidi"/>
          <w:sz w:val="24"/>
          <w:szCs w:val="24"/>
        </w:rPr>
        <w:t>However, as a result of information asymmetries between principals and agents differing motives, principals may lack trust in their agents and may therefore need to put in place mechanisms, such as the audit, to reinforce this trust. Agency theory therefore, is a useful economic theory of accountability, which helps to explain the development of audit quality. Therefore for the purpose of this study, agency theory is deemed to be the most relevant to the work. Since agency theory implies, principals do not trust agents to provide them with reliable and relevant information, then they will hire an external experts, who are independent of these agents. This, however, introduces the concept of auditors as agents of principals, which leads to new concerns about trust, threats t</w:t>
      </w:r>
      <w:r w:rsidR="0047083F">
        <w:rPr>
          <w:rFonts w:asciiTheme="majorBidi" w:hAnsiTheme="majorBidi" w:cstheme="majorBidi"/>
          <w:sz w:val="24"/>
          <w:szCs w:val="24"/>
        </w:rPr>
        <w:t>o objectivity and independence.</w:t>
      </w:r>
    </w:p>
    <w:p w14:paraId="6A22343F" w14:textId="77AEB9FF" w:rsidR="00A66BAD" w:rsidRPr="007E3F92" w:rsidRDefault="004C5B6A" w:rsidP="0047083F">
      <w:pPr>
        <w:autoSpaceDE w:val="0"/>
        <w:autoSpaceDN w:val="0"/>
        <w:adjustRightInd w:val="0"/>
        <w:spacing w:before="240" w:after="0" w:line="360" w:lineRule="auto"/>
        <w:jc w:val="both"/>
        <w:rPr>
          <w:rFonts w:asciiTheme="majorBidi" w:hAnsiTheme="majorBidi" w:cstheme="majorBidi"/>
          <w:b/>
          <w:color w:val="000000"/>
          <w:sz w:val="24"/>
          <w:szCs w:val="24"/>
        </w:rPr>
      </w:pPr>
      <w:r>
        <w:rPr>
          <w:rFonts w:asciiTheme="majorBidi" w:hAnsiTheme="majorBidi" w:cstheme="majorBidi"/>
          <w:b/>
          <w:color w:val="000000"/>
          <w:sz w:val="24"/>
          <w:szCs w:val="24"/>
        </w:rPr>
        <w:t>2.4</w:t>
      </w:r>
      <w:r w:rsidR="00A66BAD" w:rsidRPr="007E3F92">
        <w:rPr>
          <w:rFonts w:asciiTheme="majorBidi" w:hAnsiTheme="majorBidi" w:cstheme="majorBidi"/>
          <w:b/>
          <w:color w:val="000000"/>
          <w:sz w:val="24"/>
          <w:szCs w:val="24"/>
        </w:rPr>
        <w:tab/>
      </w:r>
      <w:r w:rsidR="00546D15">
        <w:rPr>
          <w:rFonts w:asciiTheme="majorBidi" w:hAnsiTheme="majorBidi" w:cstheme="majorBidi"/>
          <w:b/>
          <w:color w:val="000000"/>
          <w:sz w:val="24"/>
          <w:szCs w:val="24"/>
        </w:rPr>
        <w:t>Empirical Review</w:t>
      </w:r>
    </w:p>
    <w:p w14:paraId="3D3B3EB0"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 xml:space="preserve">The purpose of this section is to examine the previous studies on Audit quality and firm value that have been conducted in different countries using different industry. This study will provide comparative data in the basis of which the researcher will evaluate </w:t>
      </w:r>
      <w:r w:rsidRPr="007E3F92">
        <w:rPr>
          <w:rFonts w:asciiTheme="majorBidi" w:hAnsiTheme="majorBidi" w:cstheme="majorBidi"/>
          <w:color w:val="000000"/>
          <w:sz w:val="24"/>
          <w:szCs w:val="24"/>
        </w:rPr>
        <w:lastRenderedPageBreak/>
        <w:t xml:space="preserve">and interpret the significance of his findings. However, the findings from the studies are mixed and inconclusive. This calls for further researches on the subject matter like the present studies. </w:t>
      </w:r>
    </w:p>
    <w:p w14:paraId="3EA3306C" w14:textId="65DF128F" w:rsidR="00A66BAD" w:rsidRPr="007E3F92" w:rsidRDefault="00A66BAD" w:rsidP="0047083F">
      <w:pPr>
        <w:autoSpaceDE w:val="0"/>
        <w:autoSpaceDN w:val="0"/>
        <w:adjustRightInd w:val="0"/>
        <w:spacing w:before="240" w:after="0" w:line="360" w:lineRule="auto"/>
        <w:jc w:val="both"/>
        <w:rPr>
          <w:rFonts w:asciiTheme="majorBidi" w:hAnsiTheme="majorBidi" w:cstheme="majorBidi"/>
          <w:color w:val="222222"/>
          <w:sz w:val="24"/>
          <w:szCs w:val="24"/>
        </w:rPr>
      </w:pPr>
      <w:r w:rsidRPr="007E3F92">
        <w:rPr>
          <w:rFonts w:asciiTheme="majorBidi" w:hAnsiTheme="majorBidi" w:cstheme="majorBidi"/>
          <w:color w:val="000000"/>
          <w:sz w:val="24"/>
          <w:szCs w:val="24"/>
        </w:rPr>
        <w:t>Ayorinde, Osarenren, and Emmanuel (2018), this study empirically examines Auditor’s Independence and Audit Quality: A Study of Selected Deposit Money Banks in Nigeria The dependent variable is audit quality and the independent variable is proxies of audit fee, audit rotation and audit tenure, the variables of the study is source from annual report of seven sample bank from 2009 – 2013 the study adopted the following Data analysis techniques that were adopted for this study consist of multiple regression using ordinary least square method of estimation (OLS) and correlation. The study showed that there is positive relationship between audit fee and audit quality and this indicate that audit quality is dependent on audit fee; the higher the audit fee, the more qualitative the audit work will be, The relationship between audit firm rotation and audit quality is also positive and this signify that the rotation of audit firms on a regular basis engenders audit quality because regular rotation of auditors will help checkmate some of the threats to the independence of auditors which could adversely affect or jeopardize the quality of audit and There exist negative relationship between audit firm tenure and audit quality and this imply that the shorter the tenure of the auditor, the more qualitative the audit is likely to be.</w:t>
      </w:r>
    </w:p>
    <w:p w14:paraId="35A57C87" w14:textId="4530193A" w:rsidR="004074D7" w:rsidRDefault="00A66BAD" w:rsidP="0047083F">
      <w:pPr>
        <w:pStyle w:val="Default"/>
        <w:spacing w:before="240" w:line="360" w:lineRule="auto"/>
        <w:jc w:val="both"/>
        <w:rPr>
          <w:rFonts w:asciiTheme="majorBidi" w:hAnsiTheme="majorBidi" w:cstheme="majorBidi"/>
        </w:rPr>
      </w:pPr>
      <w:r w:rsidRPr="007E3F92">
        <w:rPr>
          <w:rFonts w:asciiTheme="majorBidi" w:hAnsiTheme="majorBidi" w:cstheme="majorBidi"/>
          <w:bCs/>
        </w:rPr>
        <w:t xml:space="preserve">Alsmairat, Yusoff, MdSalleh, and Basnan (2019), International Diversification, Audit Quality and Firm Value of Jordanian Public Listed Firm, the dependent variable of the study is total sales and the independent variables are Firm size, </w:t>
      </w:r>
      <w:r w:rsidRPr="007E3F92">
        <w:rPr>
          <w:rFonts w:asciiTheme="majorBidi" w:hAnsiTheme="majorBidi" w:cstheme="majorBidi"/>
        </w:rPr>
        <w:t xml:space="preserve">Profitability, Leverage and Dividend Yield, the sample of the study is obtained from annual reports and DataStream database which contained a set of annual financial data for Jordan publicly listed firms over the period of 2016. The study concluded that the study is mainly motivated by the lack of attention given to one of the MENA countries despite the steady growth of diversification taken by firms from these countries. This paper, by all </w:t>
      </w:r>
      <w:r w:rsidRPr="007E3F92">
        <w:rPr>
          <w:rFonts w:asciiTheme="majorBidi" w:hAnsiTheme="majorBidi" w:cstheme="majorBidi"/>
        </w:rPr>
        <w:lastRenderedPageBreak/>
        <w:t>means, lays the foundations for any further research in this topic on MENA countries with more focus on audit characteristic dimensions. This paper extends the existing studies on diversification and firm value nexus. We adopted the model developed by Berger and Ofek (1995) &amp;Fauver et al. (</w:t>
      </w:r>
      <w:r w:rsidR="00171335">
        <w:rPr>
          <w:rFonts w:asciiTheme="majorBidi" w:hAnsiTheme="majorBidi" w:cstheme="majorBidi"/>
        </w:rPr>
        <w:t>2018</w:t>
      </w:r>
      <w:r w:rsidRPr="007E3F92">
        <w:rPr>
          <w:rFonts w:asciiTheme="majorBidi" w:hAnsiTheme="majorBidi" w:cstheme="majorBidi"/>
        </w:rPr>
        <w:t>) with slight modifications in measures and definitions. Our results bring implications about certain conceptualized frameworks that show the differences between international diversification in advanced countries and emerging countries within the context of this research area. In addition, our study also controls for the audit quality as a proxy for agency problems in Jordan’s public listed diversified firm by extending it further to include the audit firm size. Another contributing aspect of our study is that we compare financial and non-financial industries in the same study. However, all our findings need to be validated by further research on other MENA countries in order to verify some facts about certain common characteristics embedded in the emerging markets a</w:t>
      </w:r>
      <w:r w:rsidR="0047083F">
        <w:rPr>
          <w:rFonts w:asciiTheme="majorBidi" w:hAnsiTheme="majorBidi" w:cstheme="majorBidi"/>
        </w:rPr>
        <w:t>s compared to advanced markets.</w:t>
      </w:r>
    </w:p>
    <w:p w14:paraId="3CF87A46" w14:textId="77777777" w:rsidR="00A66BAD" w:rsidRPr="007E3F92" w:rsidRDefault="00A66BAD" w:rsidP="0047083F">
      <w:pPr>
        <w:pStyle w:val="NormalWeb"/>
        <w:spacing w:before="240" w:beforeAutospacing="0" w:after="0" w:afterAutospacing="0" w:line="360" w:lineRule="auto"/>
        <w:jc w:val="both"/>
        <w:rPr>
          <w:rFonts w:asciiTheme="majorBidi" w:hAnsiTheme="majorBidi" w:cstheme="majorBidi"/>
        </w:rPr>
      </w:pPr>
      <w:r w:rsidRPr="007E3F92">
        <w:rPr>
          <w:rFonts w:asciiTheme="majorBidi" w:hAnsiTheme="majorBidi" w:cstheme="majorBidi"/>
        </w:rPr>
        <w:t>Similarly, in a study of the food industry in Taiwan, Chen et al. (2019) examined the impact of audit quality on the value relevance of earnings. The study found that audit quality has a positive impact on the value relevance of earnings, indicating that higher audit quality leads to more reliable and informative financial statements. The study also found that the effect of audit quality on value relevance is more pronounced for firms with lower earnings quality.</w:t>
      </w:r>
    </w:p>
    <w:p w14:paraId="23779950" w14:textId="47113E1C" w:rsidR="00A66BAD" w:rsidRPr="007E3F92" w:rsidRDefault="00A66BAD" w:rsidP="0047083F">
      <w:pPr>
        <w:pStyle w:val="NormalWeb"/>
        <w:spacing w:before="240" w:beforeAutospacing="0" w:after="0" w:afterAutospacing="0" w:line="360" w:lineRule="auto"/>
        <w:jc w:val="both"/>
        <w:rPr>
          <w:rFonts w:asciiTheme="majorBidi" w:hAnsiTheme="majorBidi" w:cstheme="majorBidi"/>
        </w:rPr>
      </w:pPr>
      <w:r w:rsidRPr="007E3F92">
        <w:rPr>
          <w:rFonts w:asciiTheme="majorBidi" w:hAnsiTheme="majorBidi" w:cstheme="majorBidi"/>
        </w:rPr>
        <w:t>Moreover, a study by Abeysekera et al. (</w:t>
      </w:r>
      <w:r w:rsidR="00EE7935">
        <w:rPr>
          <w:rFonts w:asciiTheme="majorBidi" w:hAnsiTheme="majorBidi" w:cstheme="majorBidi"/>
        </w:rPr>
        <w:t>2022</w:t>
      </w:r>
      <w:r w:rsidRPr="007E3F92">
        <w:rPr>
          <w:rFonts w:asciiTheme="majorBidi" w:hAnsiTheme="majorBidi" w:cstheme="majorBidi"/>
        </w:rPr>
        <w:t>) examined the impact of audit quality on the market value of listed food and beverage companies in Sri Lanka. The study found that audit quality has a significant positive impact on market value, indicating that investors value high-quality audits and rely on them to make investment decisions.</w:t>
      </w:r>
    </w:p>
    <w:p w14:paraId="3E414949" w14:textId="77777777" w:rsidR="00A66BAD" w:rsidRPr="007E3F92" w:rsidRDefault="00A66BAD" w:rsidP="00322954">
      <w:pPr>
        <w:pStyle w:val="NormalWeb"/>
        <w:spacing w:before="0" w:beforeAutospacing="0" w:after="0" w:afterAutospacing="0" w:line="360" w:lineRule="auto"/>
        <w:jc w:val="both"/>
        <w:rPr>
          <w:rFonts w:asciiTheme="majorBidi" w:hAnsiTheme="majorBidi" w:cstheme="majorBidi"/>
        </w:rPr>
      </w:pPr>
      <w:r w:rsidRPr="007E3F92">
        <w:rPr>
          <w:rFonts w:asciiTheme="majorBidi" w:hAnsiTheme="majorBidi" w:cstheme="majorBidi"/>
        </w:rPr>
        <w:t>Overall, these studies provide evidence of a positive relationship between audit quality and the value of financial performance in the food product industry. The findings suggest that higher audit quality leads to more reliable financial statements, which in turn leads to greater investor confidence and higher market value.</w:t>
      </w:r>
    </w:p>
    <w:p w14:paraId="69A54A56" w14:textId="77777777" w:rsidR="00A66BAD" w:rsidRPr="007E3F92" w:rsidRDefault="00A66BAD" w:rsidP="00322954">
      <w:pPr>
        <w:pStyle w:val="NormalWeb"/>
        <w:spacing w:before="0" w:beforeAutospacing="0" w:after="0" w:afterAutospacing="0" w:line="360" w:lineRule="auto"/>
        <w:jc w:val="both"/>
        <w:rPr>
          <w:rFonts w:asciiTheme="majorBidi" w:hAnsiTheme="majorBidi" w:cstheme="majorBidi"/>
        </w:rPr>
      </w:pPr>
      <w:r w:rsidRPr="007E3F92">
        <w:rPr>
          <w:rFonts w:asciiTheme="majorBidi" w:hAnsiTheme="majorBidi" w:cstheme="majorBidi"/>
        </w:rPr>
        <w:lastRenderedPageBreak/>
        <w:t>Another study that explored the impact of audit quality on financial performance in the food industry is the work of Choong et al. (2017) in Malaysia. The study analyzed the financial statements of 50 food manufacturing firms and found that audit quality positively influences financial performance, as measured by return on investment (ROI). The study also found that audit quality has a significant impact on the efficiency of financial management practices.</w:t>
      </w:r>
    </w:p>
    <w:p w14:paraId="0521B6C3" w14:textId="77777777" w:rsidR="00A66BAD" w:rsidRPr="007E3F92" w:rsidRDefault="00A66BAD" w:rsidP="0047083F">
      <w:pPr>
        <w:pStyle w:val="NormalWeb"/>
        <w:spacing w:before="240" w:beforeAutospacing="0" w:after="0" w:afterAutospacing="0" w:line="360" w:lineRule="auto"/>
        <w:jc w:val="both"/>
        <w:rPr>
          <w:rFonts w:asciiTheme="majorBidi" w:hAnsiTheme="majorBidi" w:cstheme="majorBidi"/>
        </w:rPr>
      </w:pPr>
      <w:r w:rsidRPr="007E3F92">
        <w:rPr>
          <w:rFonts w:asciiTheme="majorBidi" w:hAnsiTheme="majorBidi" w:cstheme="majorBidi"/>
        </w:rPr>
        <w:t>In a similar study conducted in the Nigerian context, Olatunji et al. (2018) examined the relationship between audit quality and financial performance of listed firms in the food and beverage sector. The study found a significant positive association between audit quality and financial performance, as measured by return on assets (ROA) and return on equity (ROE). The study also found that audit quality has a significant impact on the quality of financial reporting, which enhances the credibility of financial statements.</w:t>
      </w:r>
    </w:p>
    <w:p w14:paraId="796D116E" w14:textId="77777777" w:rsidR="00A66BAD" w:rsidRPr="007E3F92" w:rsidRDefault="00A66BAD" w:rsidP="00322954">
      <w:pPr>
        <w:pStyle w:val="NormalWeb"/>
        <w:spacing w:before="0" w:beforeAutospacing="0" w:after="0" w:afterAutospacing="0" w:line="360" w:lineRule="auto"/>
        <w:jc w:val="both"/>
        <w:rPr>
          <w:rFonts w:asciiTheme="majorBidi" w:hAnsiTheme="majorBidi" w:cstheme="majorBidi"/>
        </w:rPr>
      </w:pPr>
      <w:r w:rsidRPr="007E3F92">
        <w:rPr>
          <w:rFonts w:asciiTheme="majorBidi" w:hAnsiTheme="majorBidi" w:cstheme="majorBidi"/>
        </w:rPr>
        <w:t>Furthermore, a study by Adegbite et al. (2016) examined the impact of audit quality on the value relevance of accounting information in the Nigerian food and beverage industry. The study found that audit quality has a positive impact on the value relevance of accounting information, suggesting that high-quality audits enhance the usefulness of financial information for investment decisions.</w:t>
      </w:r>
    </w:p>
    <w:p w14:paraId="6842AACF" w14:textId="77777777" w:rsidR="00A66BAD" w:rsidRPr="007E3F92" w:rsidRDefault="00A66BAD" w:rsidP="0047083F">
      <w:pPr>
        <w:pStyle w:val="NormalWeb"/>
        <w:spacing w:before="240" w:beforeAutospacing="0" w:after="0" w:afterAutospacing="0" w:line="360" w:lineRule="auto"/>
        <w:jc w:val="both"/>
        <w:rPr>
          <w:rFonts w:asciiTheme="majorBidi" w:hAnsiTheme="majorBidi" w:cstheme="majorBidi"/>
        </w:rPr>
      </w:pPr>
      <w:r w:rsidRPr="007E3F92">
        <w:rPr>
          <w:rFonts w:asciiTheme="majorBidi" w:hAnsiTheme="majorBidi" w:cstheme="majorBidi"/>
        </w:rPr>
        <w:t>A study by Adeniji and Isibor (2017) examined the effect of audit quality on the financial performance of listed food product companies in Nigeria. The study used a sample of ten companies and found that audit quality has a significant positive impact on financial performance. The study also revealed that the size of the audit firm and the experience of the auditor positively affect audit quality.</w:t>
      </w:r>
    </w:p>
    <w:p w14:paraId="609FBF28" w14:textId="77777777" w:rsidR="00A66BAD" w:rsidRPr="007E3F92" w:rsidRDefault="00A66BAD" w:rsidP="0047083F">
      <w:pPr>
        <w:pStyle w:val="NormalWeb"/>
        <w:spacing w:before="240" w:beforeAutospacing="0" w:after="0" w:afterAutospacing="0" w:line="360" w:lineRule="auto"/>
        <w:jc w:val="both"/>
        <w:rPr>
          <w:rFonts w:asciiTheme="majorBidi" w:hAnsiTheme="majorBidi" w:cstheme="majorBidi"/>
        </w:rPr>
      </w:pPr>
      <w:r w:rsidRPr="007E3F92">
        <w:rPr>
          <w:rFonts w:asciiTheme="majorBidi" w:hAnsiTheme="majorBidi" w:cstheme="majorBidi"/>
        </w:rPr>
        <w:t>In another study, Olagunju et al. (2018) investigated the relationship between audit quality and financial performance of listed firms in Nigeria. The study used a sample of 14 listed food product companies and found that audit quality has a significant positive impact on financial performance. The study also revealed that there is a significant positive relationship between the size of the audit firm and audit quality.</w:t>
      </w:r>
    </w:p>
    <w:p w14:paraId="6B755A50" w14:textId="77777777" w:rsidR="00A66BAD" w:rsidRPr="007E3F92" w:rsidRDefault="00A66BAD" w:rsidP="00322954">
      <w:pPr>
        <w:pStyle w:val="NormalWeb"/>
        <w:spacing w:before="0" w:beforeAutospacing="0" w:after="0" w:afterAutospacing="0" w:line="360" w:lineRule="auto"/>
        <w:jc w:val="both"/>
        <w:rPr>
          <w:rFonts w:asciiTheme="majorBidi" w:hAnsiTheme="majorBidi" w:cstheme="majorBidi"/>
        </w:rPr>
      </w:pPr>
      <w:r w:rsidRPr="007E3F92">
        <w:rPr>
          <w:rFonts w:asciiTheme="majorBidi" w:hAnsiTheme="majorBidi" w:cstheme="majorBidi"/>
        </w:rPr>
        <w:lastRenderedPageBreak/>
        <w:t>Similarly, Alkali and Mainoma (2019) examined the impact of audit quality on financial performance of listed firms in Nigeria. The study used a sample of 12 listed food product companies and found that audit quality has a significant positive impact on financial performance. The study also revealed that there is a positive relationship between the size of the audit firm and audit quality.</w:t>
      </w:r>
    </w:p>
    <w:p w14:paraId="1016A7C6" w14:textId="77777777" w:rsidR="00A66BAD" w:rsidRPr="007E3F92" w:rsidRDefault="00A66BAD" w:rsidP="0047083F">
      <w:pPr>
        <w:pStyle w:val="NormalWeb"/>
        <w:spacing w:before="240" w:beforeAutospacing="0" w:after="0" w:afterAutospacing="0" w:line="360" w:lineRule="auto"/>
        <w:jc w:val="both"/>
        <w:rPr>
          <w:rFonts w:asciiTheme="majorBidi" w:hAnsiTheme="majorBidi" w:cstheme="majorBidi"/>
        </w:rPr>
      </w:pPr>
      <w:r w:rsidRPr="007E3F92">
        <w:rPr>
          <w:rFonts w:asciiTheme="majorBidi" w:hAnsiTheme="majorBidi" w:cstheme="majorBidi"/>
        </w:rPr>
        <w:t>A study by Oke and Adediran (2020) examined the impact of audit quality on the financial performance of listed firms in Nigeria. The study used a sample of 13 listed food product companies and found that audit quality has a significant positive impact on financial performance. The study also revealed that there is a positive relationship between the experience of the auditor and audit quality.</w:t>
      </w:r>
    </w:p>
    <w:p w14:paraId="502F2262" w14:textId="77777777" w:rsidR="00A66BAD" w:rsidRPr="007E3F92" w:rsidRDefault="00A66BAD" w:rsidP="00322954">
      <w:pPr>
        <w:pStyle w:val="NormalWeb"/>
        <w:spacing w:before="0" w:beforeAutospacing="0" w:after="0" w:afterAutospacing="0" w:line="360" w:lineRule="auto"/>
        <w:jc w:val="both"/>
        <w:rPr>
          <w:rFonts w:asciiTheme="majorBidi" w:hAnsiTheme="majorBidi" w:cstheme="majorBidi"/>
        </w:rPr>
      </w:pPr>
      <w:r w:rsidRPr="007E3F92">
        <w:rPr>
          <w:rFonts w:asciiTheme="majorBidi" w:hAnsiTheme="majorBidi" w:cstheme="majorBidi"/>
        </w:rPr>
        <w:t>In summary, previous studies have consistently shown that audit quality has a significant positive impact on the financial performance of listed food product companies in Nigeria. The size and experience of the audit firm were also found to positively affect audit quality.</w:t>
      </w:r>
    </w:p>
    <w:p w14:paraId="3B46E012" w14:textId="77777777" w:rsidR="00A66BAD" w:rsidRPr="007E3F92" w:rsidRDefault="00A66BAD" w:rsidP="0047083F">
      <w:pPr>
        <w:spacing w:before="240" w:after="0" w:line="360" w:lineRule="auto"/>
        <w:jc w:val="both"/>
        <w:rPr>
          <w:rFonts w:asciiTheme="majorBidi" w:eastAsia="Times New Roman" w:hAnsiTheme="majorBidi" w:cstheme="majorBidi"/>
          <w:sz w:val="24"/>
          <w:szCs w:val="24"/>
        </w:rPr>
      </w:pPr>
      <w:r w:rsidRPr="007E3F92">
        <w:rPr>
          <w:rFonts w:asciiTheme="majorBidi" w:eastAsia="Times New Roman" w:hAnsiTheme="majorBidi" w:cstheme="majorBidi"/>
          <w:sz w:val="24"/>
          <w:szCs w:val="24"/>
        </w:rPr>
        <w:t>Furthermore, a study by Adegbie et al. (2019) explored the impact of audit quality on the value of financial performance of listed firms in Nigeria. The study used a sample of 15 food product companies and found that audit quality has a significant positive impact on financial performance. The study also revealed that there is a positive relationship between the size of the audit firm and audit quality.</w:t>
      </w:r>
    </w:p>
    <w:p w14:paraId="290EDD8B" w14:textId="77777777" w:rsidR="00A66BAD" w:rsidRPr="007E3F92" w:rsidRDefault="00A66BAD" w:rsidP="0047083F">
      <w:pPr>
        <w:spacing w:before="240" w:after="0" w:line="360" w:lineRule="auto"/>
        <w:jc w:val="both"/>
        <w:rPr>
          <w:rFonts w:asciiTheme="majorBidi" w:eastAsia="Times New Roman" w:hAnsiTheme="majorBidi" w:cstheme="majorBidi"/>
          <w:sz w:val="24"/>
          <w:szCs w:val="24"/>
        </w:rPr>
      </w:pPr>
      <w:r w:rsidRPr="007E3F92">
        <w:rPr>
          <w:rFonts w:asciiTheme="majorBidi" w:eastAsia="Times New Roman" w:hAnsiTheme="majorBidi" w:cstheme="majorBidi"/>
          <w:sz w:val="24"/>
          <w:szCs w:val="24"/>
        </w:rPr>
        <w:t>Similarly, a study by Oladipupo and Oyewole (2021) investigated the impact of audit quality on the financial performance of food product companies in Nigeria. The study used a sample of 17 listed firms and found that audit quality has a significant positive impact on financial performance. The study also revealed that there is a positive relationship between the experience of the auditor and audit quality.</w:t>
      </w:r>
    </w:p>
    <w:p w14:paraId="3A55F084" w14:textId="77777777" w:rsidR="00A66BAD" w:rsidRPr="007E3F92" w:rsidRDefault="00A66BAD" w:rsidP="00322954">
      <w:pPr>
        <w:spacing w:after="0" w:line="360" w:lineRule="auto"/>
        <w:jc w:val="both"/>
        <w:rPr>
          <w:rFonts w:asciiTheme="majorBidi" w:eastAsia="Times New Roman" w:hAnsiTheme="majorBidi" w:cstheme="majorBidi"/>
          <w:sz w:val="24"/>
          <w:szCs w:val="24"/>
        </w:rPr>
      </w:pPr>
      <w:r w:rsidRPr="007E3F92">
        <w:rPr>
          <w:rFonts w:asciiTheme="majorBidi" w:eastAsia="Times New Roman" w:hAnsiTheme="majorBidi" w:cstheme="majorBidi"/>
          <w:sz w:val="24"/>
          <w:szCs w:val="24"/>
        </w:rPr>
        <w:t xml:space="preserve">In a related study, Adegbie et al. (2021) examined the effect of audit quality on the financial performance of listed firms in Nigeria, with a focus on the moderating effect of board independence. The study used a sample of 15 food product companies and </w:t>
      </w:r>
      <w:r w:rsidRPr="007E3F92">
        <w:rPr>
          <w:rFonts w:asciiTheme="majorBidi" w:eastAsia="Times New Roman" w:hAnsiTheme="majorBidi" w:cstheme="majorBidi"/>
          <w:sz w:val="24"/>
          <w:szCs w:val="24"/>
        </w:rPr>
        <w:lastRenderedPageBreak/>
        <w:t>found that audit quality has a significant positive impact on financial performance. The study also revealed that board independence moderates the relationship between audit quality and financial performance.</w:t>
      </w:r>
    </w:p>
    <w:p w14:paraId="0DF8DBB0" w14:textId="77777777" w:rsidR="00A66BAD" w:rsidRPr="007E3F92" w:rsidRDefault="00A66BAD" w:rsidP="0047083F">
      <w:pPr>
        <w:spacing w:before="240" w:after="0" w:line="360" w:lineRule="auto"/>
        <w:jc w:val="both"/>
        <w:rPr>
          <w:rFonts w:asciiTheme="majorBidi" w:eastAsia="Times New Roman" w:hAnsiTheme="majorBidi" w:cstheme="majorBidi"/>
          <w:sz w:val="24"/>
          <w:szCs w:val="24"/>
        </w:rPr>
      </w:pPr>
      <w:r w:rsidRPr="007E3F92">
        <w:rPr>
          <w:rFonts w:asciiTheme="majorBidi" w:eastAsia="Times New Roman" w:hAnsiTheme="majorBidi" w:cstheme="majorBidi"/>
          <w:sz w:val="24"/>
          <w:szCs w:val="24"/>
        </w:rPr>
        <w:t>Moreover, a study by Onakoya et al. (2021) investigated the relationship between audit quality and the value of financial performance of listed firms in Nigeria, with a focus on the moderating effect of firm size. The study used a sample of 16 food product companies and found that audit quality has a significant positive impact on financial performance. The study also revealed that firm size moderates the relationship between audit quality and financial performance.</w:t>
      </w:r>
    </w:p>
    <w:p w14:paraId="1F109959" w14:textId="77777777" w:rsidR="00A66BAD" w:rsidRPr="007E3F92" w:rsidRDefault="00A66BAD" w:rsidP="00322954">
      <w:pPr>
        <w:pBdr>
          <w:bottom w:val="single" w:sz="6" w:space="1" w:color="auto"/>
        </w:pBdr>
        <w:spacing w:after="0" w:line="360" w:lineRule="auto"/>
        <w:jc w:val="both"/>
        <w:rPr>
          <w:rFonts w:asciiTheme="majorBidi" w:eastAsia="Times New Roman" w:hAnsiTheme="majorBidi" w:cstheme="majorBidi"/>
          <w:vanish/>
          <w:sz w:val="24"/>
          <w:szCs w:val="24"/>
        </w:rPr>
      </w:pPr>
      <w:r w:rsidRPr="007E3F92">
        <w:rPr>
          <w:rFonts w:asciiTheme="majorBidi" w:eastAsia="Times New Roman" w:hAnsiTheme="majorBidi" w:cstheme="majorBidi"/>
          <w:vanish/>
          <w:sz w:val="24"/>
          <w:szCs w:val="24"/>
        </w:rPr>
        <w:t>Top of Form</w:t>
      </w:r>
    </w:p>
    <w:p w14:paraId="5AD7BDD4" w14:textId="77777777" w:rsidR="00A66BAD" w:rsidRPr="007E3F92" w:rsidRDefault="00A66BAD" w:rsidP="00322954">
      <w:pPr>
        <w:pBdr>
          <w:top w:val="single" w:sz="6" w:space="1" w:color="auto"/>
        </w:pBdr>
        <w:spacing w:after="0" w:line="360" w:lineRule="auto"/>
        <w:jc w:val="both"/>
        <w:rPr>
          <w:rFonts w:asciiTheme="majorBidi" w:eastAsia="Times New Roman" w:hAnsiTheme="majorBidi" w:cstheme="majorBidi"/>
          <w:vanish/>
          <w:sz w:val="24"/>
          <w:szCs w:val="24"/>
        </w:rPr>
      </w:pPr>
      <w:r w:rsidRPr="007E3F92">
        <w:rPr>
          <w:rFonts w:asciiTheme="majorBidi" w:eastAsia="Times New Roman" w:hAnsiTheme="majorBidi" w:cstheme="majorBidi"/>
          <w:vanish/>
          <w:sz w:val="24"/>
          <w:szCs w:val="24"/>
        </w:rPr>
        <w:t>Bottom of Form</w:t>
      </w:r>
    </w:p>
    <w:p w14:paraId="219A4755" w14:textId="77777777" w:rsidR="00A66BAD" w:rsidRPr="007E3F92" w:rsidRDefault="00A66BAD" w:rsidP="00322954">
      <w:pPr>
        <w:pStyle w:val="NormalWeb"/>
        <w:spacing w:before="0" w:beforeAutospacing="0" w:after="0" w:afterAutospacing="0" w:line="360" w:lineRule="auto"/>
        <w:jc w:val="both"/>
        <w:rPr>
          <w:rFonts w:asciiTheme="majorBidi" w:hAnsiTheme="majorBidi" w:cstheme="majorBidi"/>
        </w:rPr>
      </w:pPr>
    </w:p>
    <w:p w14:paraId="36AF4F23" w14:textId="77777777" w:rsidR="00A66BAD" w:rsidRDefault="00A66BAD" w:rsidP="00322954">
      <w:pPr>
        <w:pStyle w:val="Default"/>
        <w:spacing w:line="360" w:lineRule="auto"/>
        <w:jc w:val="both"/>
        <w:rPr>
          <w:rFonts w:asciiTheme="majorBidi" w:hAnsiTheme="majorBidi" w:cstheme="majorBidi"/>
        </w:rPr>
      </w:pPr>
    </w:p>
    <w:p w14:paraId="7E7BC196" w14:textId="77777777" w:rsidR="00A66BAD" w:rsidRDefault="00A66BAD" w:rsidP="00322954">
      <w:pPr>
        <w:pStyle w:val="Default"/>
        <w:spacing w:line="360" w:lineRule="auto"/>
        <w:jc w:val="both"/>
        <w:rPr>
          <w:rFonts w:asciiTheme="majorBidi" w:hAnsiTheme="majorBidi" w:cstheme="majorBidi"/>
        </w:rPr>
      </w:pPr>
    </w:p>
    <w:p w14:paraId="6CBE8975" w14:textId="77777777" w:rsidR="00A66BAD" w:rsidRPr="007E3F92" w:rsidRDefault="00A66BAD" w:rsidP="00322954">
      <w:pPr>
        <w:pStyle w:val="Default"/>
        <w:spacing w:line="360" w:lineRule="auto"/>
        <w:jc w:val="both"/>
        <w:rPr>
          <w:rFonts w:asciiTheme="majorBidi" w:hAnsiTheme="majorBidi" w:cstheme="majorBidi"/>
        </w:rPr>
      </w:pPr>
    </w:p>
    <w:p w14:paraId="64AC31FB"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b/>
          <w:sz w:val="24"/>
          <w:szCs w:val="24"/>
        </w:rPr>
      </w:pPr>
    </w:p>
    <w:p w14:paraId="33472C12" w14:textId="77777777" w:rsidR="00A31B11" w:rsidRDefault="00A31B11" w:rsidP="00322954">
      <w:pPr>
        <w:spacing w:line="360" w:lineRule="auto"/>
        <w:rPr>
          <w:rFonts w:asciiTheme="majorBidi" w:hAnsiTheme="majorBidi" w:cstheme="majorBidi"/>
          <w:b/>
          <w:sz w:val="24"/>
          <w:szCs w:val="24"/>
        </w:rPr>
      </w:pPr>
      <w:r>
        <w:rPr>
          <w:rFonts w:asciiTheme="majorBidi" w:hAnsiTheme="majorBidi" w:cstheme="majorBidi"/>
          <w:b/>
          <w:sz w:val="24"/>
          <w:szCs w:val="24"/>
        </w:rPr>
        <w:br w:type="page"/>
      </w:r>
    </w:p>
    <w:p w14:paraId="3D065A5A" w14:textId="189BFD0A" w:rsidR="00A66BAD" w:rsidRPr="007E3F92" w:rsidRDefault="00A66BAD" w:rsidP="00322954">
      <w:pPr>
        <w:autoSpaceDE w:val="0"/>
        <w:autoSpaceDN w:val="0"/>
        <w:adjustRightInd w:val="0"/>
        <w:spacing w:after="0" w:line="360" w:lineRule="auto"/>
        <w:jc w:val="center"/>
        <w:rPr>
          <w:rFonts w:asciiTheme="majorBidi" w:hAnsiTheme="majorBidi" w:cstheme="majorBidi"/>
          <w:b/>
          <w:sz w:val="24"/>
          <w:szCs w:val="24"/>
        </w:rPr>
      </w:pPr>
      <w:r w:rsidRPr="007E3F92">
        <w:rPr>
          <w:rFonts w:asciiTheme="majorBidi" w:hAnsiTheme="majorBidi" w:cstheme="majorBidi"/>
          <w:b/>
          <w:sz w:val="24"/>
          <w:szCs w:val="24"/>
        </w:rPr>
        <w:lastRenderedPageBreak/>
        <w:t>CHAPTER THREE</w:t>
      </w:r>
    </w:p>
    <w:p w14:paraId="37C50550" w14:textId="77777777" w:rsidR="00A66BAD" w:rsidRPr="007E3F92" w:rsidRDefault="00A66BAD" w:rsidP="00322954">
      <w:pPr>
        <w:autoSpaceDE w:val="0"/>
        <w:autoSpaceDN w:val="0"/>
        <w:adjustRightInd w:val="0"/>
        <w:spacing w:after="0" w:line="360" w:lineRule="auto"/>
        <w:jc w:val="center"/>
        <w:rPr>
          <w:rFonts w:asciiTheme="majorBidi" w:hAnsiTheme="majorBidi" w:cstheme="majorBidi"/>
          <w:b/>
          <w:sz w:val="24"/>
          <w:szCs w:val="24"/>
        </w:rPr>
      </w:pPr>
      <w:r w:rsidRPr="007E3F92">
        <w:rPr>
          <w:rFonts w:asciiTheme="majorBidi" w:hAnsiTheme="majorBidi" w:cstheme="majorBidi"/>
          <w:b/>
          <w:sz w:val="24"/>
          <w:szCs w:val="24"/>
        </w:rPr>
        <w:t>METHODOLOGY</w:t>
      </w:r>
    </w:p>
    <w:p w14:paraId="1C69A701" w14:textId="5DB33F1A" w:rsidR="00A66BAD" w:rsidRPr="007E3F92" w:rsidRDefault="00A66BAD" w:rsidP="0047083F">
      <w:pPr>
        <w:autoSpaceDE w:val="0"/>
        <w:autoSpaceDN w:val="0"/>
        <w:adjustRightInd w:val="0"/>
        <w:spacing w:before="240" w:after="0" w:line="360" w:lineRule="auto"/>
        <w:jc w:val="both"/>
        <w:rPr>
          <w:rFonts w:asciiTheme="majorBidi" w:hAnsiTheme="majorBidi" w:cstheme="majorBidi"/>
          <w:b/>
          <w:sz w:val="24"/>
          <w:szCs w:val="24"/>
        </w:rPr>
      </w:pPr>
      <w:r w:rsidRPr="007E3F92">
        <w:rPr>
          <w:rFonts w:asciiTheme="majorBidi" w:hAnsiTheme="majorBidi" w:cstheme="majorBidi"/>
          <w:b/>
          <w:sz w:val="24"/>
          <w:szCs w:val="24"/>
        </w:rPr>
        <w:t>3.1</w:t>
      </w:r>
      <w:r w:rsidRPr="007E3F92">
        <w:rPr>
          <w:rFonts w:asciiTheme="majorBidi" w:hAnsiTheme="majorBidi" w:cstheme="majorBidi"/>
          <w:b/>
          <w:sz w:val="24"/>
          <w:szCs w:val="24"/>
        </w:rPr>
        <w:tab/>
      </w:r>
      <w:r w:rsidR="004C29D6">
        <w:rPr>
          <w:rFonts w:asciiTheme="majorBidi" w:hAnsiTheme="majorBidi" w:cstheme="majorBidi"/>
          <w:b/>
          <w:sz w:val="24"/>
          <w:szCs w:val="24"/>
        </w:rPr>
        <w:t>Preamble</w:t>
      </w:r>
    </w:p>
    <w:p w14:paraId="1C389C25"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This chapter presents the methodology that was adopted for assessing the impact of audit quality on value of listed food product companies in Nigeria. It highlights the study design and source of data collection. It also presents the population and sample of consumer goods firms under study, method of data collection, techniques of data analysis, justification for the techniques and method employed and variables names and their measurement.</w:t>
      </w:r>
    </w:p>
    <w:p w14:paraId="42CAF58F" w14:textId="77777777" w:rsidR="00A66BAD" w:rsidRPr="007E3F92" w:rsidRDefault="00A66BAD" w:rsidP="0047083F">
      <w:pPr>
        <w:autoSpaceDE w:val="0"/>
        <w:autoSpaceDN w:val="0"/>
        <w:adjustRightInd w:val="0"/>
        <w:spacing w:before="240" w:after="0" w:line="360" w:lineRule="auto"/>
        <w:jc w:val="both"/>
        <w:rPr>
          <w:rFonts w:asciiTheme="majorBidi" w:hAnsiTheme="majorBidi" w:cstheme="majorBidi"/>
          <w:b/>
          <w:sz w:val="24"/>
          <w:szCs w:val="24"/>
        </w:rPr>
      </w:pPr>
      <w:r w:rsidRPr="007E3F92">
        <w:rPr>
          <w:rFonts w:asciiTheme="majorBidi" w:hAnsiTheme="majorBidi" w:cstheme="majorBidi"/>
          <w:b/>
          <w:sz w:val="24"/>
          <w:szCs w:val="24"/>
        </w:rPr>
        <w:t>3.2</w:t>
      </w:r>
      <w:r w:rsidRPr="007E3F92">
        <w:rPr>
          <w:rFonts w:asciiTheme="majorBidi" w:hAnsiTheme="majorBidi" w:cstheme="majorBidi"/>
          <w:b/>
          <w:sz w:val="24"/>
          <w:szCs w:val="24"/>
        </w:rPr>
        <w:tab/>
        <w:t>Research Design</w:t>
      </w:r>
    </w:p>
    <w:p w14:paraId="7F3B38AD" w14:textId="5692F5A2" w:rsidR="00A66BAD" w:rsidRPr="007E3F92" w:rsidRDefault="00A66BAD" w:rsidP="00322954">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Research design preparation is appropriate to a particular research problem which involves the consideration of the following: Objective of the study, method of data collection to be adopted, sources of information, tools for data collection and analysis (Asika </w:t>
      </w:r>
      <w:r w:rsidR="00171335">
        <w:rPr>
          <w:rFonts w:asciiTheme="majorBidi" w:hAnsiTheme="majorBidi" w:cstheme="majorBidi"/>
          <w:sz w:val="24"/>
          <w:szCs w:val="24"/>
        </w:rPr>
        <w:t>2018</w:t>
      </w:r>
      <w:r w:rsidRPr="007E3F92">
        <w:rPr>
          <w:rFonts w:asciiTheme="majorBidi" w:hAnsiTheme="majorBidi" w:cstheme="majorBidi"/>
          <w:sz w:val="24"/>
          <w:szCs w:val="24"/>
        </w:rPr>
        <w:t xml:space="preserve">). The research design adopted by this study is ex-post factor which is otherwise called the casual comparative design according to Denga and Ali </w:t>
      </w:r>
      <w:r w:rsidR="00171335">
        <w:rPr>
          <w:rFonts w:asciiTheme="majorBidi" w:hAnsiTheme="majorBidi" w:cstheme="majorBidi"/>
          <w:sz w:val="24"/>
          <w:szCs w:val="24"/>
        </w:rPr>
        <w:t>2021</w:t>
      </w:r>
      <w:r w:rsidRPr="007E3F92">
        <w:rPr>
          <w:rFonts w:asciiTheme="majorBidi" w:hAnsiTheme="majorBidi" w:cstheme="majorBidi"/>
          <w:sz w:val="24"/>
          <w:szCs w:val="24"/>
        </w:rPr>
        <w:t>.</w:t>
      </w:r>
      <w:r w:rsidR="00D26A64">
        <w:rPr>
          <w:rFonts w:asciiTheme="majorBidi" w:hAnsiTheme="majorBidi" w:cstheme="majorBidi"/>
          <w:sz w:val="24"/>
          <w:szCs w:val="24"/>
        </w:rPr>
        <w:t xml:space="preserve"> </w:t>
      </w:r>
      <w:r w:rsidRPr="007E3F92">
        <w:rPr>
          <w:rFonts w:asciiTheme="majorBidi" w:hAnsiTheme="majorBidi" w:cstheme="majorBidi"/>
          <w:sz w:val="24"/>
          <w:szCs w:val="24"/>
        </w:rPr>
        <w:t>(Longitudinal panel) design. This is because the data for the study is documentary in nature.</w:t>
      </w:r>
    </w:p>
    <w:p w14:paraId="1DFA3ADD" w14:textId="63A6A8B0" w:rsidR="00A66BAD" w:rsidRPr="007E3F92" w:rsidRDefault="00A66BAD" w:rsidP="0047083F">
      <w:pPr>
        <w:autoSpaceDE w:val="0"/>
        <w:autoSpaceDN w:val="0"/>
        <w:adjustRightInd w:val="0"/>
        <w:spacing w:before="240" w:after="0" w:line="360" w:lineRule="auto"/>
        <w:jc w:val="both"/>
        <w:rPr>
          <w:rFonts w:asciiTheme="majorBidi" w:hAnsiTheme="majorBidi" w:cstheme="majorBidi"/>
          <w:b/>
          <w:sz w:val="24"/>
          <w:szCs w:val="24"/>
        </w:rPr>
      </w:pPr>
      <w:r w:rsidRPr="007E3F92">
        <w:rPr>
          <w:rFonts w:asciiTheme="majorBidi" w:hAnsiTheme="majorBidi" w:cstheme="majorBidi"/>
          <w:b/>
          <w:sz w:val="24"/>
          <w:szCs w:val="24"/>
        </w:rPr>
        <w:t>3.3</w:t>
      </w:r>
      <w:r w:rsidRPr="007E3F92">
        <w:rPr>
          <w:rFonts w:asciiTheme="majorBidi" w:hAnsiTheme="majorBidi" w:cstheme="majorBidi"/>
          <w:b/>
          <w:sz w:val="24"/>
          <w:szCs w:val="24"/>
        </w:rPr>
        <w:tab/>
        <w:t xml:space="preserve">Population </w:t>
      </w:r>
      <w:r w:rsidR="00AC7B9E" w:rsidRPr="007E3F92">
        <w:rPr>
          <w:rFonts w:asciiTheme="majorBidi" w:hAnsiTheme="majorBidi" w:cstheme="majorBidi"/>
          <w:b/>
          <w:sz w:val="24"/>
          <w:szCs w:val="24"/>
        </w:rPr>
        <w:t xml:space="preserve">of the </w:t>
      </w:r>
      <w:r w:rsidRPr="007E3F92">
        <w:rPr>
          <w:rFonts w:asciiTheme="majorBidi" w:hAnsiTheme="majorBidi" w:cstheme="majorBidi"/>
          <w:b/>
          <w:sz w:val="24"/>
          <w:szCs w:val="24"/>
        </w:rPr>
        <w:t>Study</w:t>
      </w:r>
    </w:p>
    <w:p w14:paraId="6FA87DAE" w14:textId="54601B86" w:rsidR="00A66BAD" w:rsidRPr="00AC7B9E" w:rsidRDefault="00A66BAD" w:rsidP="00322954">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The population of this study comprises all the food product companies quoted on the Nigerian Stock Exchange (NSE) for the period of </w:t>
      </w:r>
      <w:r w:rsidR="00CA6084">
        <w:rPr>
          <w:rFonts w:asciiTheme="majorBidi" w:hAnsiTheme="majorBidi" w:cstheme="majorBidi"/>
          <w:sz w:val="24"/>
          <w:szCs w:val="24"/>
        </w:rPr>
        <w:t>ten (10) years from 2014 to 2024</w:t>
      </w:r>
      <w:r w:rsidRPr="007E3F92">
        <w:rPr>
          <w:rFonts w:asciiTheme="majorBidi" w:hAnsiTheme="majorBidi" w:cstheme="majorBidi"/>
          <w:sz w:val="24"/>
          <w:szCs w:val="24"/>
        </w:rPr>
        <w:t xml:space="preserve">. At present, there are 21 quoted food product companies in Nigeria in the Nigerian Stock Exchange as at 31st October, 2019. </w:t>
      </w:r>
    </w:p>
    <w:p w14:paraId="2DEA7166" w14:textId="10837630" w:rsidR="00A66BAD" w:rsidRPr="007E3F92" w:rsidRDefault="00A66BAD" w:rsidP="0047083F">
      <w:pPr>
        <w:autoSpaceDE w:val="0"/>
        <w:autoSpaceDN w:val="0"/>
        <w:adjustRightInd w:val="0"/>
        <w:spacing w:before="240" w:after="0" w:line="360" w:lineRule="auto"/>
        <w:jc w:val="both"/>
        <w:rPr>
          <w:rFonts w:asciiTheme="majorBidi" w:hAnsiTheme="majorBidi" w:cstheme="majorBidi"/>
          <w:b/>
          <w:sz w:val="24"/>
          <w:szCs w:val="24"/>
        </w:rPr>
      </w:pPr>
      <w:r w:rsidRPr="007E3F92">
        <w:rPr>
          <w:rFonts w:asciiTheme="majorBidi" w:hAnsiTheme="majorBidi" w:cstheme="majorBidi"/>
          <w:b/>
          <w:sz w:val="24"/>
          <w:szCs w:val="24"/>
        </w:rPr>
        <w:t>3.4</w:t>
      </w:r>
      <w:r w:rsidRPr="007E3F92">
        <w:rPr>
          <w:rFonts w:asciiTheme="majorBidi" w:hAnsiTheme="majorBidi" w:cstheme="majorBidi"/>
          <w:b/>
          <w:sz w:val="24"/>
          <w:szCs w:val="24"/>
        </w:rPr>
        <w:tab/>
        <w:t xml:space="preserve">Sampling Size </w:t>
      </w:r>
      <w:r w:rsidR="00AC7B9E" w:rsidRPr="007E3F92">
        <w:rPr>
          <w:rFonts w:asciiTheme="majorBidi" w:hAnsiTheme="majorBidi" w:cstheme="majorBidi"/>
          <w:b/>
          <w:sz w:val="24"/>
          <w:szCs w:val="24"/>
        </w:rPr>
        <w:t xml:space="preserve">and </w:t>
      </w:r>
      <w:r w:rsidRPr="007E3F92">
        <w:rPr>
          <w:rFonts w:asciiTheme="majorBidi" w:hAnsiTheme="majorBidi" w:cstheme="majorBidi"/>
          <w:b/>
          <w:sz w:val="24"/>
          <w:szCs w:val="24"/>
        </w:rPr>
        <w:t>Sampling Technique</w:t>
      </w:r>
    </w:p>
    <w:p w14:paraId="160D3332" w14:textId="4FDC27B2" w:rsidR="00A66BAD" w:rsidRPr="007E3F92" w:rsidRDefault="00A66BAD" w:rsidP="00322954">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Samples are taken in research work due to inability of the researcher to conduct the research on all the population of the study. Meanwhile, a filter is used in determining the sample to be used. The filter depends upon a listed food product companies in </w:t>
      </w:r>
      <w:r w:rsidRPr="007E3F92">
        <w:rPr>
          <w:rFonts w:asciiTheme="majorBidi" w:hAnsiTheme="majorBidi" w:cstheme="majorBidi"/>
          <w:sz w:val="24"/>
          <w:szCs w:val="24"/>
        </w:rPr>
        <w:lastRenderedPageBreak/>
        <w:t>Nigeria for</w:t>
      </w:r>
      <w:r w:rsidR="00CA6084">
        <w:rPr>
          <w:rFonts w:asciiTheme="majorBidi" w:hAnsiTheme="majorBidi" w:cstheme="majorBidi"/>
          <w:sz w:val="24"/>
          <w:szCs w:val="24"/>
        </w:rPr>
        <w:t xml:space="preserve"> a period of 10 years (2014-2024</w:t>
      </w:r>
      <w:r w:rsidRPr="007E3F92">
        <w:rPr>
          <w:rFonts w:asciiTheme="majorBidi" w:hAnsiTheme="majorBidi" w:cstheme="majorBidi"/>
          <w:sz w:val="24"/>
          <w:szCs w:val="24"/>
        </w:rPr>
        <w:t>) as well as accessibility of the company’s financial report. The selected food product companies are selected because of availability of up to date information in the stock exchange.</w:t>
      </w:r>
    </w:p>
    <w:p w14:paraId="540799AD" w14:textId="0FC76522" w:rsidR="00A66BAD" w:rsidRPr="007E3F92" w:rsidRDefault="00AC7B9E" w:rsidP="0047083F">
      <w:pPr>
        <w:autoSpaceDE w:val="0"/>
        <w:autoSpaceDN w:val="0"/>
        <w:adjustRightInd w:val="0"/>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3.5</w:t>
      </w:r>
      <w:r>
        <w:rPr>
          <w:rFonts w:asciiTheme="majorBidi" w:hAnsiTheme="majorBidi" w:cstheme="majorBidi"/>
          <w:b/>
          <w:sz w:val="24"/>
          <w:szCs w:val="24"/>
        </w:rPr>
        <w:tab/>
        <w:t>Sources and Methods o</w:t>
      </w:r>
      <w:r w:rsidR="00A66BAD" w:rsidRPr="007E3F92">
        <w:rPr>
          <w:rFonts w:asciiTheme="majorBidi" w:hAnsiTheme="majorBidi" w:cstheme="majorBidi"/>
          <w:b/>
          <w:sz w:val="24"/>
          <w:szCs w:val="24"/>
        </w:rPr>
        <w:t>f Data Collection</w:t>
      </w:r>
    </w:p>
    <w:p w14:paraId="429F643B" w14:textId="789357CC" w:rsidR="00A66BAD" w:rsidRDefault="00A66BAD" w:rsidP="00322954">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This study utilizes secondary data source. The secondary data was obtained through the published annual reports and accounts of the sampled listed food product companies in Nigeria in the Nigeria stock exchange</w:t>
      </w:r>
      <w:r w:rsidRPr="007E3F92">
        <w:rPr>
          <w:rFonts w:asciiTheme="majorBidi" w:hAnsiTheme="majorBidi" w:cstheme="majorBidi"/>
          <w:b/>
          <w:sz w:val="24"/>
          <w:szCs w:val="24"/>
        </w:rPr>
        <w:t>.</w:t>
      </w:r>
      <w:r w:rsidR="00171335">
        <w:rPr>
          <w:rFonts w:asciiTheme="majorBidi" w:hAnsiTheme="majorBidi" w:cstheme="majorBidi"/>
          <w:b/>
          <w:sz w:val="24"/>
          <w:szCs w:val="24"/>
        </w:rPr>
        <w:t xml:space="preserve"> </w:t>
      </w:r>
      <w:r w:rsidRPr="007E3F92">
        <w:rPr>
          <w:rFonts w:asciiTheme="majorBidi" w:hAnsiTheme="majorBidi" w:cstheme="majorBidi"/>
          <w:sz w:val="24"/>
          <w:szCs w:val="24"/>
        </w:rPr>
        <w:t>In particular, the audit quality variables are obtained from non-financial statement, statement of income statement and statement of financial position of the sampled firms. The data on firm value is obtained from Nigeria Stock Exchange Kano state branch</w:t>
      </w:r>
    </w:p>
    <w:p w14:paraId="58FF7E13" w14:textId="7F0EF85A" w:rsidR="007F29C0" w:rsidRPr="00E85879" w:rsidRDefault="00DC41DF" w:rsidP="0047083F">
      <w:pPr>
        <w:pStyle w:val="ListParagraph"/>
        <w:numPr>
          <w:ilvl w:val="1"/>
          <w:numId w:val="25"/>
        </w:numPr>
        <w:autoSpaceDE w:val="0"/>
        <w:autoSpaceDN w:val="0"/>
        <w:adjustRightInd w:val="0"/>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Instrument for Data Collection </w:t>
      </w:r>
    </w:p>
    <w:p w14:paraId="74B80839" w14:textId="7989DDA4" w:rsidR="007F29C0" w:rsidRPr="007F29C0" w:rsidRDefault="007F29C0" w:rsidP="0047083F">
      <w:pPr>
        <w:spacing w:after="100" w:afterAutospacing="1" w:line="360" w:lineRule="auto"/>
        <w:jc w:val="both"/>
        <w:rPr>
          <w:rFonts w:ascii="Times New Roman" w:eastAsia="Times New Roman" w:hAnsi="Times New Roman" w:cs="Times New Roman"/>
          <w:sz w:val="24"/>
          <w:szCs w:val="24"/>
        </w:rPr>
      </w:pPr>
      <w:r w:rsidRPr="007F29C0">
        <w:rPr>
          <w:rFonts w:ascii="Times New Roman" w:eastAsia="Times New Roman" w:hAnsi="Times New Roman" w:cs="Times New Roman"/>
          <w:sz w:val="24"/>
          <w:szCs w:val="24"/>
        </w:rPr>
        <w:t xml:space="preserve">Developing a research instrument for your study </w:t>
      </w:r>
      <w:r w:rsidR="00080B31">
        <w:rPr>
          <w:rFonts w:ascii="Times New Roman" w:eastAsia="Times New Roman" w:hAnsi="Times New Roman" w:cs="Times New Roman"/>
          <w:sz w:val="24"/>
          <w:szCs w:val="24"/>
        </w:rPr>
        <w:t>will involves</w:t>
      </w:r>
      <w:r w:rsidRPr="007F29C0">
        <w:rPr>
          <w:rFonts w:ascii="Times New Roman" w:eastAsia="Times New Roman" w:hAnsi="Times New Roman" w:cs="Times New Roman"/>
          <w:sz w:val="24"/>
          <w:szCs w:val="24"/>
        </w:rPr>
        <w:t xml:space="preserve"> creating tools to c</w:t>
      </w:r>
      <w:r w:rsidR="00080B31">
        <w:rPr>
          <w:rFonts w:ascii="Times New Roman" w:eastAsia="Times New Roman" w:hAnsi="Times New Roman" w:cs="Times New Roman"/>
          <w:sz w:val="24"/>
          <w:szCs w:val="24"/>
        </w:rPr>
        <w:t>ollect data that align with the</w:t>
      </w:r>
      <w:r w:rsidRPr="007F29C0">
        <w:rPr>
          <w:rFonts w:ascii="Times New Roman" w:eastAsia="Times New Roman" w:hAnsi="Times New Roman" w:cs="Times New Roman"/>
          <w:sz w:val="24"/>
          <w:szCs w:val="24"/>
        </w:rPr>
        <w:t xml:space="preserve"> research objectives and questions. </w:t>
      </w:r>
      <w:r w:rsidR="00E85879">
        <w:rPr>
          <w:rFonts w:ascii="Times New Roman" w:eastAsia="Times New Roman" w:hAnsi="Times New Roman" w:cs="Times New Roman"/>
          <w:sz w:val="24"/>
          <w:szCs w:val="24"/>
        </w:rPr>
        <w:t>The study will p</w:t>
      </w:r>
      <w:r w:rsidRPr="007F29C0">
        <w:rPr>
          <w:rFonts w:ascii="Times New Roman" w:eastAsia="Times New Roman" w:hAnsi="Times New Roman" w:cs="Times New Roman"/>
          <w:sz w:val="24"/>
          <w:szCs w:val="24"/>
        </w:rPr>
        <w:t xml:space="preserve">rovide an overview of the study, its purpose, and instructions for completing the instrument. Collect demographic information about the respondents, such as age, gender, educational background, and years of experience. Use a Likert scale to assess respondents' perception of audit quality in listed consumer food companies. </w:t>
      </w:r>
      <w:r w:rsidR="00080B31">
        <w:rPr>
          <w:rFonts w:ascii="Times New Roman" w:eastAsia="Times New Roman" w:hAnsi="Times New Roman" w:cs="Times New Roman"/>
          <w:sz w:val="24"/>
          <w:szCs w:val="24"/>
        </w:rPr>
        <w:t>The study will m</w:t>
      </w:r>
      <w:r w:rsidRPr="007F29C0">
        <w:rPr>
          <w:rFonts w:ascii="Times New Roman" w:eastAsia="Times New Roman" w:hAnsi="Times New Roman" w:cs="Times New Roman"/>
          <w:sz w:val="24"/>
          <w:szCs w:val="24"/>
        </w:rPr>
        <w:t>easure the level of perceived autonomy of auditors in listed consumer food companies. Include a section for respondents to provide additional comments or insights related to the impact of auditor’s autonomy and audit quality on the credibility of financial reporting in Nigeria.</w:t>
      </w:r>
    </w:p>
    <w:p w14:paraId="77D4F1DD" w14:textId="55451680" w:rsidR="00A66BAD" w:rsidRPr="007E3F92" w:rsidRDefault="004C29D6" w:rsidP="00322954">
      <w:pPr>
        <w:autoSpaceDE w:val="0"/>
        <w:autoSpaceDN w:val="0"/>
        <w:adjustRightInd w:val="0"/>
        <w:spacing w:after="0" w:line="360" w:lineRule="auto"/>
        <w:jc w:val="both"/>
        <w:rPr>
          <w:rFonts w:asciiTheme="majorBidi" w:hAnsiTheme="majorBidi" w:cstheme="majorBidi"/>
          <w:b/>
          <w:sz w:val="24"/>
          <w:szCs w:val="24"/>
        </w:rPr>
      </w:pPr>
      <w:r>
        <w:rPr>
          <w:rFonts w:asciiTheme="majorBidi" w:hAnsiTheme="majorBidi" w:cstheme="majorBidi"/>
          <w:b/>
          <w:sz w:val="24"/>
          <w:szCs w:val="24"/>
        </w:rPr>
        <w:t>3.7</w:t>
      </w:r>
      <w:r w:rsidR="00A66BAD" w:rsidRPr="007E3F92">
        <w:rPr>
          <w:rFonts w:asciiTheme="majorBidi" w:hAnsiTheme="majorBidi" w:cstheme="majorBidi"/>
          <w:b/>
          <w:sz w:val="24"/>
          <w:szCs w:val="24"/>
        </w:rPr>
        <w:tab/>
        <w:t xml:space="preserve">Techniques </w:t>
      </w:r>
      <w:r w:rsidR="00171335" w:rsidRPr="007E3F92">
        <w:rPr>
          <w:rFonts w:asciiTheme="majorBidi" w:hAnsiTheme="majorBidi" w:cstheme="majorBidi"/>
          <w:b/>
          <w:sz w:val="24"/>
          <w:szCs w:val="24"/>
        </w:rPr>
        <w:t xml:space="preserve">of </w:t>
      </w:r>
      <w:r w:rsidR="00A66BAD" w:rsidRPr="007E3F92">
        <w:rPr>
          <w:rFonts w:asciiTheme="majorBidi" w:hAnsiTheme="majorBidi" w:cstheme="majorBidi"/>
          <w:b/>
          <w:sz w:val="24"/>
          <w:szCs w:val="24"/>
        </w:rPr>
        <w:t>Data Analysis</w:t>
      </w:r>
    </w:p>
    <w:p w14:paraId="3F4FA199" w14:textId="6954DBDD" w:rsidR="00A66BAD" w:rsidRPr="007E3F92" w:rsidRDefault="00A66BAD" w:rsidP="00322954">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This research is conducted using three (3) techniques of data analysis;</w:t>
      </w:r>
      <w:r w:rsidR="00AC7B9E">
        <w:rPr>
          <w:rFonts w:asciiTheme="majorBidi" w:hAnsiTheme="majorBidi" w:cstheme="majorBidi"/>
          <w:sz w:val="24"/>
          <w:szCs w:val="24"/>
        </w:rPr>
        <w:t xml:space="preserve"> </w:t>
      </w:r>
      <w:r w:rsidRPr="007E3F92">
        <w:rPr>
          <w:rFonts w:asciiTheme="majorBidi" w:hAnsiTheme="majorBidi" w:cstheme="majorBidi"/>
          <w:sz w:val="24"/>
          <w:szCs w:val="24"/>
        </w:rPr>
        <w:t>this is with a view of getting a better understanding of the industry under study making use of the selected variables and their measures. Meanwhile descriptive statistics, correlation as well as regression analyses were utilized.</w:t>
      </w:r>
    </w:p>
    <w:p w14:paraId="63F4C152" w14:textId="4ED178EB" w:rsidR="00A66BAD" w:rsidRPr="007E3F92" w:rsidRDefault="00A66BAD" w:rsidP="00322954">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lastRenderedPageBreak/>
        <w:t xml:space="preserve">Descriptive statistics (minimum, maximum, mean and standard deviation) and inferential statistics (correlation and regression analysis) were used. The study uses multiple regression technique to determine the effect of audit committee independence on audit quality. It is used to present quantitative descriptions in a manageable form. In a research the study we may have lots of measures. Or may measure a large number of people on any measure. Descriptive statistics help us to simplify large amounts of data in a sensible way. (William M.K. Trochim </w:t>
      </w:r>
      <w:r w:rsidR="00171335">
        <w:rPr>
          <w:rFonts w:asciiTheme="majorBidi" w:hAnsiTheme="majorBidi" w:cstheme="majorBidi"/>
          <w:sz w:val="24"/>
          <w:szCs w:val="24"/>
        </w:rPr>
        <w:t>2019</w:t>
      </w:r>
      <w:r w:rsidR="00171335" w:rsidRPr="007E3F92">
        <w:rPr>
          <w:rFonts w:asciiTheme="majorBidi" w:hAnsiTheme="majorBidi" w:cstheme="majorBidi"/>
          <w:sz w:val="24"/>
          <w:szCs w:val="24"/>
        </w:rPr>
        <w:t>)</w:t>
      </w:r>
    </w:p>
    <w:p w14:paraId="2A95F586" w14:textId="77777777" w:rsidR="00B67CF0" w:rsidRDefault="00B67CF0" w:rsidP="00322954">
      <w:pPr>
        <w:spacing w:line="360" w:lineRule="auto"/>
        <w:rPr>
          <w:rFonts w:asciiTheme="majorBidi" w:hAnsiTheme="majorBidi" w:cstheme="majorBidi"/>
          <w:b/>
          <w:sz w:val="24"/>
          <w:szCs w:val="24"/>
        </w:rPr>
      </w:pPr>
      <w:r>
        <w:rPr>
          <w:rFonts w:asciiTheme="majorBidi" w:hAnsiTheme="majorBidi" w:cstheme="majorBidi"/>
          <w:b/>
          <w:sz w:val="24"/>
          <w:szCs w:val="24"/>
        </w:rPr>
        <w:br w:type="page"/>
      </w:r>
    </w:p>
    <w:p w14:paraId="4040F359" w14:textId="3AD8CF50" w:rsidR="00A66BAD" w:rsidRPr="007E3F92" w:rsidRDefault="00A66BAD" w:rsidP="00322954">
      <w:pPr>
        <w:spacing w:after="0" w:line="360" w:lineRule="auto"/>
        <w:jc w:val="center"/>
        <w:rPr>
          <w:rFonts w:asciiTheme="majorBidi" w:hAnsiTheme="majorBidi" w:cstheme="majorBidi"/>
          <w:b/>
          <w:sz w:val="24"/>
          <w:szCs w:val="24"/>
        </w:rPr>
      </w:pPr>
      <w:r w:rsidRPr="007E3F92">
        <w:rPr>
          <w:rFonts w:asciiTheme="majorBidi" w:hAnsiTheme="majorBidi" w:cstheme="majorBidi"/>
          <w:b/>
          <w:sz w:val="24"/>
          <w:szCs w:val="24"/>
        </w:rPr>
        <w:lastRenderedPageBreak/>
        <w:t>CHAPTER FOUR</w:t>
      </w:r>
    </w:p>
    <w:p w14:paraId="16C477C6" w14:textId="77777777" w:rsidR="00A66BAD" w:rsidRPr="007E3F92" w:rsidRDefault="00A66BAD" w:rsidP="00322954">
      <w:pPr>
        <w:spacing w:after="0" w:line="360" w:lineRule="auto"/>
        <w:jc w:val="center"/>
        <w:rPr>
          <w:rFonts w:asciiTheme="majorBidi" w:hAnsiTheme="majorBidi" w:cstheme="majorBidi"/>
          <w:b/>
          <w:sz w:val="24"/>
          <w:szCs w:val="24"/>
        </w:rPr>
      </w:pPr>
      <w:r w:rsidRPr="007E3F92">
        <w:rPr>
          <w:rFonts w:asciiTheme="majorBidi" w:hAnsiTheme="majorBidi" w:cstheme="majorBidi"/>
          <w:b/>
          <w:sz w:val="24"/>
          <w:szCs w:val="24"/>
        </w:rPr>
        <w:t>DATA PRESENTATION, ANALYSIS AND INTERPRETATION</w:t>
      </w:r>
    </w:p>
    <w:p w14:paraId="0A33A3A0" w14:textId="77777777" w:rsidR="00A66BAD" w:rsidRPr="007E3F92" w:rsidRDefault="00A66BAD" w:rsidP="00322954">
      <w:pPr>
        <w:spacing w:after="0" w:line="360" w:lineRule="auto"/>
        <w:jc w:val="both"/>
        <w:rPr>
          <w:rFonts w:asciiTheme="majorBidi" w:hAnsiTheme="majorBidi" w:cstheme="majorBidi"/>
          <w:b/>
          <w:sz w:val="24"/>
          <w:szCs w:val="24"/>
        </w:rPr>
      </w:pPr>
      <w:r w:rsidRPr="007E3F92">
        <w:rPr>
          <w:rFonts w:asciiTheme="majorBidi" w:hAnsiTheme="majorBidi" w:cstheme="majorBidi"/>
          <w:b/>
          <w:sz w:val="24"/>
          <w:szCs w:val="24"/>
        </w:rPr>
        <w:t>4.1</w:t>
      </w:r>
      <w:r w:rsidRPr="007E3F92">
        <w:rPr>
          <w:rFonts w:asciiTheme="majorBidi" w:hAnsiTheme="majorBidi" w:cstheme="majorBidi"/>
          <w:b/>
          <w:sz w:val="24"/>
          <w:szCs w:val="24"/>
        </w:rPr>
        <w:tab/>
        <w:t>Introduction</w:t>
      </w:r>
    </w:p>
    <w:p w14:paraId="7A18E98B" w14:textId="77777777" w:rsidR="00A66BAD" w:rsidRPr="007E3F92" w:rsidRDefault="00A66BAD" w:rsidP="00322954">
      <w:pPr>
        <w:spacing w:after="0" w:line="360" w:lineRule="auto"/>
        <w:jc w:val="both"/>
        <w:rPr>
          <w:rFonts w:asciiTheme="majorBidi" w:hAnsiTheme="majorBidi" w:cstheme="majorBidi"/>
          <w:color w:val="000000" w:themeColor="text1"/>
          <w:sz w:val="24"/>
          <w:szCs w:val="24"/>
        </w:rPr>
      </w:pPr>
      <w:r w:rsidRPr="007E3F92">
        <w:rPr>
          <w:rFonts w:asciiTheme="majorBidi" w:hAnsiTheme="majorBidi" w:cstheme="majorBidi"/>
          <w:color w:val="000000" w:themeColor="text1"/>
          <w:sz w:val="24"/>
          <w:szCs w:val="24"/>
        </w:rPr>
        <w:t>This chapter analysis and interprets the result obtained from the data collected for the study. The data for the analysis were sourced from the annual report and account of the sample listed Food and beverages companies listed in the Nigeria Stock Exchange. Multiple regression techniques were employed to test the relationship of the independent and dependent variables. Analysis of the results obtained from descriptive statistics presented in tabular form followed by correlation result, regression result also presented in a tabular form, Hypotheses are tested so as to determine whether or not to reject the null hypothesis. All results are the output of statistical package of SPSS version 23.</w:t>
      </w:r>
    </w:p>
    <w:p w14:paraId="28C47115" w14:textId="6B8D8132" w:rsidR="00A66BAD" w:rsidRPr="007E3F92" w:rsidRDefault="00A66BAD" w:rsidP="00322954">
      <w:pPr>
        <w:spacing w:after="0" w:line="360" w:lineRule="auto"/>
        <w:jc w:val="both"/>
        <w:rPr>
          <w:rFonts w:asciiTheme="majorBidi" w:hAnsiTheme="majorBidi" w:cstheme="majorBidi"/>
          <w:b/>
          <w:sz w:val="24"/>
          <w:szCs w:val="24"/>
        </w:rPr>
      </w:pPr>
      <w:r w:rsidRPr="007E3F92">
        <w:rPr>
          <w:rFonts w:asciiTheme="majorBidi" w:hAnsiTheme="majorBidi" w:cstheme="majorBidi"/>
          <w:b/>
          <w:sz w:val="24"/>
          <w:szCs w:val="24"/>
        </w:rPr>
        <w:t>4.2</w:t>
      </w:r>
      <w:r w:rsidRPr="007E3F92">
        <w:rPr>
          <w:rFonts w:asciiTheme="majorBidi" w:hAnsiTheme="majorBidi" w:cstheme="majorBidi"/>
          <w:b/>
          <w:sz w:val="24"/>
          <w:szCs w:val="24"/>
        </w:rPr>
        <w:tab/>
        <w:t xml:space="preserve">Results </w:t>
      </w:r>
      <w:r w:rsidR="0047083F" w:rsidRPr="007E3F92">
        <w:rPr>
          <w:rFonts w:asciiTheme="majorBidi" w:hAnsiTheme="majorBidi" w:cstheme="majorBidi"/>
          <w:b/>
          <w:sz w:val="24"/>
          <w:szCs w:val="24"/>
        </w:rPr>
        <w:t xml:space="preserve">and </w:t>
      </w:r>
      <w:r w:rsidRPr="007E3F92">
        <w:rPr>
          <w:rFonts w:asciiTheme="majorBidi" w:hAnsiTheme="majorBidi" w:cstheme="majorBidi"/>
          <w:b/>
          <w:sz w:val="24"/>
          <w:szCs w:val="24"/>
        </w:rPr>
        <w:t>Discussion</w:t>
      </w:r>
    </w:p>
    <w:p w14:paraId="5351EF66" w14:textId="46E95DA6" w:rsidR="00A66BAD" w:rsidRPr="007E3F92" w:rsidRDefault="00A66BAD" w:rsidP="0047083F">
      <w:pPr>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The summary statistics of the explained and explanatory variables are presented in Table 4.1where minimum, maximum, mean and standard deviation of the data collected for the variables in the study are described. Descriptive statistics helps readers to understand the measures of central tendency and measures of variances associated with the variables of the study.</w:t>
      </w:r>
    </w:p>
    <w:p w14:paraId="095A057C" w14:textId="77777777" w:rsidR="00A66BAD" w:rsidRPr="007E3F92" w:rsidRDefault="00A66BAD" w:rsidP="00322954">
      <w:pPr>
        <w:spacing w:after="0" w:line="360" w:lineRule="auto"/>
        <w:jc w:val="both"/>
        <w:rPr>
          <w:rFonts w:asciiTheme="majorBidi" w:hAnsiTheme="majorBidi" w:cstheme="majorBidi"/>
          <w:b/>
          <w:sz w:val="24"/>
          <w:szCs w:val="24"/>
        </w:rPr>
      </w:pPr>
      <w:r w:rsidRPr="007E3F92">
        <w:rPr>
          <w:rFonts w:asciiTheme="majorBidi" w:hAnsiTheme="majorBidi" w:cstheme="majorBidi"/>
          <w:b/>
          <w:sz w:val="24"/>
          <w:szCs w:val="24"/>
        </w:rPr>
        <w:t>TABLE 4.1:</w:t>
      </w:r>
      <w:r w:rsidRPr="007E3F92">
        <w:rPr>
          <w:rFonts w:asciiTheme="majorBidi" w:hAnsiTheme="majorBidi" w:cstheme="majorBidi"/>
          <w:b/>
          <w:sz w:val="24"/>
          <w:szCs w:val="24"/>
        </w:rPr>
        <w:tab/>
        <w:t>Descriptive statistics of the variables</w:t>
      </w:r>
    </w:p>
    <w:tbl>
      <w:tblPr>
        <w:tblW w:w="83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550"/>
        <w:gridCol w:w="1170"/>
        <w:gridCol w:w="1260"/>
        <w:gridCol w:w="1440"/>
        <w:gridCol w:w="1620"/>
        <w:gridCol w:w="1260"/>
      </w:tblGrid>
      <w:tr w:rsidR="00A66BAD" w:rsidRPr="0047083F" w14:paraId="2011B7EF" w14:textId="77777777" w:rsidTr="005053C7">
        <w:trPr>
          <w:cantSplit/>
          <w:tblHeader/>
        </w:trPr>
        <w:tc>
          <w:tcPr>
            <w:tcW w:w="8300" w:type="dxa"/>
            <w:gridSpan w:val="6"/>
            <w:tcBorders>
              <w:top w:val="nil"/>
              <w:left w:val="nil"/>
              <w:bottom w:val="nil"/>
              <w:right w:val="nil"/>
            </w:tcBorders>
            <w:shd w:val="clear" w:color="auto" w:fill="FFFFFF"/>
            <w:tcMar>
              <w:top w:w="30" w:type="dxa"/>
              <w:left w:w="30" w:type="dxa"/>
              <w:bottom w:w="30" w:type="dxa"/>
              <w:right w:w="30" w:type="dxa"/>
            </w:tcMar>
            <w:vAlign w:val="center"/>
          </w:tcPr>
          <w:p w14:paraId="5D9108F6"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p>
        </w:tc>
      </w:tr>
      <w:tr w:rsidR="00A66BAD" w:rsidRPr="0047083F" w14:paraId="11B00E26" w14:textId="77777777" w:rsidTr="005053C7">
        <w:trPr>
          <w:cantSplit/>
          <w:tblHeader/>
        </w:trPr>
        <w:tc>
          <w:tcPr>
            <w:tcW w:w="155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2CA1B3F"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sz w:val="20"/>
                <w:szCs w:val="20"/>
              </w:rPr>
            </w:pPr>
          </w:p>
          <w:p w14:paraId="7E842E67"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sz w:val="20"/>
                <w:szCs w:val="20"/>
              </w:rPr>
            </w:pPr>
          </w:p>
          <w:p w14:paraId="2FF5228D"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sz w:val="20"/>
                <w:szCs w:val="20"/>
              </w:rPr>
            </w:pPr>
            <w:r w:rsidRPr="0047083F">
              <w:rPr>
                <w:rFonts w:asciiTheme="majorBidi" w:hAnsiTheme="majorBidi" w:cstheme="majorBidi"/>
                <w:sz w:val="20"/>
                <w:szCs w:val="20"/>
              </w:rPr>
              <w:t>Variables</w:t>
            </w:r>
          </w:p>
        </w:tc>
        <w:tc>
          <w:tcPr>
            <w:tcW w:w="117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A3B3BE2"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Obs</w:t>
            </w:r>
          </w:p>
        </w:tc>
        <w:tc>
          <w:tcPr>
            <w:tcW w:w="126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D7543EF"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Minimum</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6BC2B2D"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Maximum</w:t>
            </w:r>
          </w:p>
        </w:tc>
        <w:tc>
          <w:tcPr>
            <w:tcW w:w="162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BD120DC"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Mean</w:t>
            </w:r>
          </w:p>
        </w:tc>
        <w:tc>
          <w:tcPr>
            <w:tcW w:w="126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0E664A6"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Std. Deviation</w:t>
            </w:r>
          </w:p>
        </w:tc>
      </w:tr>
      <w:tr w:rsidR="00A66BAD" w:rsidRPr="0047083F" w14:paraId="4D615FDB" w14:textId="77777777" w:rsidTr="005053C7">
        <w:trPr>
          <w:cantSplit/>
          <w:tblHeader/>
        </w:trPr>
        <w:tc>
          <w:tcPr>
            <w:tcW w:w="155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2A1B731D"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COMPANIES</w:t>
            </w:r>
          </w:p>
          <w:p w14:paraId="7A1BF8EC"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YEAR</w:t>
            </w:r>
          </w:p>
          <w:p w14:paraId="1E296A53"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SP"N</w:t>
            </w:r>
          </w:p>
        </w:tc>
        <w:tc>
          <w:tcPr>
            <w:tcW w:w="117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5E0BDE8"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p>
          <w:p w14:paraId="09E23943"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70</w:t>
            </w:r>
          </w:p>
          <w:p w14:paraId="46BB79DC"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70</w:t>
            </w:r>
          </w:p>
        </w:tc>
        <w:tc>
          <w:tcPr>
            <w:tcW w:w="1260" w:type="dxa"/>
            <w:tcBorders>
              <w:top w:val="single" w:sz="16" w:space="0" w:color="000000"/>
              <w:bottom w:val="nil"/>
            </w:tcBorders>
            <w:shd w:val="clear" w:color="auto" w:fill="FFFFFF"/>
            <w:tcMar>
              <w:top w:w="30" w:type="dxa"/>
              <w:left w:w="30" w:type="dxa"/>
              <w:bottom w:w="30" w:type="dxa"/>
              <w:right w:w="30" w:type="dxa"/>
            </w:tcMar>
            <w:vAlign w:val="center"/>
          </w:tcPr>
          <w:p w14:paraId="213EC171"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1</w:t>
            </w:r>
          </w:p>
          <w:p w14:paraId="7F8FE1B1"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2009</w:t>
            </w:r>
          </w:p>
          <w:p w14:paraId="4DD234BE"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4</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14:paraId="143E372A"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7</w:t>
            </w:r>
          </w:p>
          <w:p w14:paraId="31D70D71"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2018</w:t>
            </w:r>
          </w:p>
          <w:p w14:paraId="222B70F5"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1556</w:t>
            </w:r>
          </w:p>
        </w:tc>
        <w:tc>
          <w:tcPr>
            <w:tcW w:w="1620" w:type="dxa"/>
            <w:tcBorders>
              <w:top w:val="single" w:sz="16" w:space="0" w:color="000000"/>
              <w:bottom w:val="nil"/>
            </w:tcBorders>
            <w:shd w:val="clear" w:color="auto" w:fill="FFFFFF"/>
            <w:tcMar>
              <w:top w:w="30" w:type="dxa"/>
              <w:left w:w="30" w:type="dxa"/>
              <w:bottom w:w="30" w:type="dxa"/>
              <w:right w:w="30" w:type="dxa"/>
            </w:tcMar>
            <w:vAlign w:val="center"/>
          </w:tcPr>
          <w:p w14:paraId="779936B9"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4.00</w:t>
            </w:r>
          </w:p>
          <w:p w14:paraId="4BD56199"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2013.50</w:t>
            </w:r>
          </w:p>
          <w:p w14:paraId="540E174D"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155.11</w:t>
            </w:r>
          </w:p>
        </w:tc>
        <w:tc>
          <w:tcPr>
            <w:tcW w:w="126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BA0D451"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2.014</w:t>
            </w:r>
          </w:p>
          <w:p w14:paraId="23FDFE1F"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2.893</w:t>
            </w:r>
          </w:p>
          <w:p w14:paraId="620AA4CE"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321.393</w:t>
            </w:r>
          </w:p>
        </w:tc>
      </w:tr>
      <w:tr w:rsidR="00A66BAD" w:rsidRPr="0047083F" w14:paraId="430830CD" w14:textId="77777777" w:rsidTr="005053C7">
        <w:trPr>
          <w:cantSplit/>
          <w:tblHeader/>
        </w:trPr>
        <w:tc>
          <w:tcPr>
            <w:tcW w:w="155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2BA7396A"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 xml:space="preserve">AFEE </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14:paraId="49525DB7"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70</w:t>
            </w:r>
          </w:p>
        </w:tc>
        <w:tc>
          <w:tcPr>
            <w:tcW w:w="1260" w:type="dxa"/>
            <w:tcBorders>
              <w:top w:val="nil"/>
              <w:bottom w:val="nil"/>
            </w:tcBorders>
            <w:shd w:val="clear" w:color="auto" w:fill="FFFFFF"/>
            <w:tcMar>
              <w:top w:w="30" w:type="dxa"/>
              <w:left w:w="30" w:type="dxa"/>
              <w:bottom w:w="30" w:type="dxa"/>
              <w:right w:w="30" w:type="dxa"/>
            </w:tcMar>
            <w:vAlign w:val="center"/>
          </w:tcPr>
          <w:p w14:paraId="77E216E2"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8</w:t>
            </w:r>
          </w:p>
        </w:tc>
        <w:tc>
          <w:tcPr>
            <w:tcW w:w="1440" w:type="dxa"/>
            <w:tcBorders>
              <w:top w:val="nil"/>
              <w:bottom w:val="nil"/>
            </w:tcBorders>
            <w:shd w:val="clear" w:color="auto" w:fill="FFFFFF"/>
            <w:tcMar>
              <w:top w:w="30" w:type="dxa"/>
              <w:left w:w="30" w:type="dxa"/>
              <w:bottom w:w="30" w:type="dxa"/>
              <w:right w:w="30" w:type="dxa"/>
            </w:tcMar>
            <w:vAlign w:val="center"/>
          </w:tcPr>
          <w:p w14:paraId="3794E166"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17</w:t>
            </w:r>
          </w:p>
        </w:tc>
        <w:tc>
          <w:tcPr>
            <w:tcW w:w="1620" w:type="dxa"/>
            <w:tcBorders>
              <w:top w:val="nil"/>
              <w:bottom w:val="nil"/>
            </w:tcBorders>
            <w:shd w:val="clear" w:color="auto" w:fill="FFFFFF"/>
            <w:tcMar>
              <w:top w:w="30" w:type="dxa"/>
              <w:left w:w="30" w:type="dxa"/>
              <w:bottom w:w="30" w:type="dxa"/>
              <w:right w:w="30" w:type="dxa"/>
            </w:tcMar>
            <w:vAlign w:val="center"/>
          </w:tcPr>
          <w:p w14:paraId="6597E549"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10.81</w:t>
            </w:r>
          </w:p>
        </w:tc>
        <w:tc>
          <w:tcPr>
            <w:tcW w:w="1260" w:type="dxa"/>
            <w:tcBorders>
              <w:top w:val="nil"/>
              <w:bottom w:val="nil"/>
              <w:right w:val="single" w:sz="16" w:space="0" w:color="000000"/>
            </w:tcBorders>
            <w:shd w:val="clear" w:color="auto" w:fill="FFFFFF"/>
            <w:tcMar>
              <w:top w:w="30" w:type="dxa"/>
              <w:left w:w="30" w:type="dxa"/>
              <w:bottom w:w="30" w:type="dxa"/>
              <w:right w:w="30" w:type="dxa"/>
            </w:tcMar>
            <w:vAlign w:val="center"/>
          </w:tcPr>
          <w:p w14:paraId="0F441C8E"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2.710</w:t>
            </w:r>
          </w:p>
        </w:tc>
      </w:tr>
      <w:tr w:rsidR="00A66BAD" w:rsidRPr="0047083F" w14:paraId="1A37C221" w14:textId="77777777" w:rsidTr="005053C7">
        <w:trPr>
          <w:cantSplit/>
          <w:tblHeader/>
        </w:trPr>
        <w:tc>
          <w:tcPr>
            <w:tcW w:w="155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2C4511AC"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AFS</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14:paraId="70C3CE38"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70</w:t>
            </w:r>
          </w:p>
        </w:tc>
        <w:tc>
          <w:tcPr>
            <w:tcW w:w="1260" w:type="dxa"/>
            <w:tcBorders>
              <w:top w:val="nil"/>
              <w:bottom w:val="nil"/>
            </w:tcBorders>
            <w:shd w:val="clear" w:color="auto" w:fill="FFFFFF"/>
            <w:tcMar>
              <w:top w:w="30" w:type="dxa"/>
              <w:left w:w="30" w:type="dxa"/>
              <w:bottom w:w="30" w:type="dxa"/>
              <w:right w:w="30" w:type="dxa"/>
            </w:tcMar>
            <w:vAlign w:val="center"/>
          </w:tcPr>
          <w:p w14:paraId="22CB3946"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0</w:t>
            </w:r>
          </w:p>
        </w:tc>
        <w:tc>
          <w:tcPr>
            <w:tcW w:w="1440" w:type="dxa"/>
            <w:tcBorders>
              <w:top w:val="nil"/>
              <w:bottom w:val="nil"/>
            </w:tcBorders>
            <w:shd w:val="clear" w:color="auto" w:fill="FFFFFF"/>
            <w:tcMar>
              <w:top w:w="30" w:type="dxa"/>
              <w:left w:w="30" w:type="dxa"/>
              <w:bottom w:w="30" w:type="dxa"/>
              <w:right w:w="30" w:type="dxa"/>
            </w:tcMar>
            <w:vAlign w:val="center"/>
          </w:tcPr>
          <w:p w14:paraId="696100E1"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1</w:t>
            </w:r>
          </w:p>
        </w:tc>
        <w:tc>
          <w:tcPr>
            <w:tcW w:w="1620" w:type="dxa"/>
            <w:tcBorders>
              <w:top w:val="nil"/>
              <w:bottom w:val="nil"/>
            </w:tcBorders>
            <w:shd w:val="clear" w:color="auto" w:fill="FFFFFF"/>
            <w:tcMar>
              <w:top w:w="30" w:type="dxa"/>
              <w:left w:w="30" w:type="dxa"/>
              <w:bottom w:w="30" w:type="dxa"/>
              <w:right w:w="30" w:type="dxa"/>
            </w:tcMar>
            <w:vAlign w:val="center"/>
          </w:tcPr>
          <w:p w14:paraId="496B9865"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.71</w:t>
            </w:r>
          </w:p>
        </w:tc>
        <w:tc>
          <w:tcPr>
            <w:tcW w:w="1260" w:type="dxa"/>
            <w:tcBorders>
              <w:top w:val="nil"/>
              <w:bottom w:val="nil"/>
              <w:right w:val="single" w:sz="16" w:space="0" w:color="000000"/>
            </w:tcBorders>
            <w:shd w:val="clear" w:color="auto" w:fill="FFFFFF"/>
            <w:tcMar>
              <w:top w:w="30" w:type="dxa"/>
              <w:left w:w="30" w:type="dxa"/>
              <w:bottom w:w="30" w:type="dxa"/>
              <w:right w:w="30" w:type="dxa"/>
            </w:tcMar>
            <w:vAlign w:val="center"/>
          </w:tcPr>
          <w:p w14:paraId="3FC240AB"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.455</w:t>
            </w:r>
          </w:p>
        </w:tc>
      </w:tr>
      <w:tr w:rsidR="00A66BAD" w:rsidRPr="0047083F" w14:paraId="0991F935" w14:textId="77777777" w:rsidTr="005053C7">
        <w:trPr>
          <w:cantSplit/>
          <w:tblHeader/>
        </w:trPr>
        <w:tc>
          <w:tcPr>
            <w:tcW w:w="155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81F35F1"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ATN</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14:paraId="1065431C"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70</w:t>
            </w:r>
          </w:p>
        </w:tc>
        <w:tc>
          <w:tcPr>
            <w:tcW w:w="1260" w:type="dxa"/>
            <w:tcBorders>
              <w:top w:val="nil"/>
              <w:bottom w:val="nil"/>
            </w:tcBorders>
            <w:shd w:val="clear" w:color="auto" w:fill="FFFFFF"/>
            <w:tcMar>
              <w:top w:w="30" w:type="dxa"/>
              <w:left w:w="30" w:type="dxa"/>
              <w:bottom w:w="30" w:type="dxa"/>
              <w:right w:w="30" w:type="dxa"/>
            </w:tcMar>
            <w:vAlign w:val="center"/>
          </w:tcPr>
          <w:p w14:paraId="17CC3382"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0</w:t>
            </w:r>
          </w:p>
        </w:tc>
        <w:tc>
          <w:tcPr>
            <w:tcW w:w="1440" w:type="dxa"/>
            <w:tcBorders>
              <w:top w:val="nil"/>
              <w:bottom w:val="nil"/>
            </w:tcBorders>
            <w:shd w:val="clear" w:color="auto" w:fill="FFFFFF"/>
            <w:tcMar>
              <w:top w:w="30" w:type="dxa"/>
              <w:left w:w="30" w:type="dxa"/>
              <w:bottom w:w="30" w:type="dxa"/>
              <w:right w:w="30" w:type="dxa"/>
            </w:tcMar>
            <w:vAlign w:val="center"/>
          </w:tcPr>
          <w:p w14:paraId="0FE0CDC2"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1</w:t>
            </w:r>
          </w:p>
        </w:tc>
        <w:tc>
          <w:tcPr>
            <w:tcW w:w="1620" w:type="dxa"/>
            <w:tcBorders>
              <w:top w:val="nil"/>
              <w:bottom w:val="nil"/>
            </w:tcBorders>
            <w:shd w:val="clear" w:color="auto" w:fill="FFFFFF"/>
            <w:tcMar>
              <w:top w:w="30" w:type="dxa"/>
              <w:left w:w="30" w:type="dxa"/>
              <w:bottom w:w="30" w:type="dxa"/>
              <w:right w:w="30" w:type="dxa"/>
            </w:tcMar>
            <w:vAlign w:val="center"/>
          </w:tcPr>
          <w:p w14:paraId="3E42428D"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.94</w:t>
            </w:r>
          </w:p>
        </w:tc>
        <w:tc>
          <w:tcPr>
            <w:tcW w:w="1260" w:type="dxa"/>
            <w:tcBorders>
              <w:top w:val="nil"/>
              <w:bottom w:val="nil"/>
              <w:right w:val="single" w:sz="16" w:space="0" w:color="000000"/>
            </w:tcBorders>
            <w:shd w:val="clear" w:color="auto" w:fill="FFFFFF"/>
            <w:tcMar>
              <w:top w:w="30" w:type="dxa"/>
              <w:left w:w="30" w:type="dxa"/>
              <w:bottom w:w="30" w:type="dxa"/>
              <w:right w:w="30" w:type="dxa"/>
            </w:tcMar>
            <w:vAlign w:val="center"/>
          </w:tcPr>
          <w:p w14:paraId="0EFFE21C"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.234</w:t>
            </w:r>
          </w:p>
        </w:tc>
      </w:tr>
      <w:tr w:rsidR="00A66BAD" w:rsidRPr="0047083F" w14:paraId="50D0B287" w14:textId="77777777" w:rsidTr="005053C7">
        <w:trPr>
          <w:cantSplit/>
          <w:tblHeader/>
        </w:trPr>
        <w:tc>
          <w:tcPr>
            <w:tcW w:w="155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40122019"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AGE</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14:paraId="1266419E"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70</w:t>
            </w:r>
          </w:p>
        </w:tc>
        <w:tc>
          <w:tcPr>
            <w:tcW w:w="1260" w:type="dxa"/>
            <w:tcBorders>
              <w:top w:val="nil"/>
              <w:bottom w:val="nil"/>
            </w:tcBorders>
            <w:shd w:val="clear" w:color="auto" w:fill="FFFFFF"/>
            <w:tcMar>
              <w:top w:w="30" w:type="dxa"/>
              <w:left w:w="30" w:type="dxa"/>
              <w:bottom w:w="30" w:type="dxa"/>
              <w:right w:w="30" w:type="dxa"/>
            </w:tcMar>
            <w:vAlign w:val="center"/>
          </w:tcPr>
          <w:p w14:paraId="77EFF867"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16</w:t>
            </w:r>
          </w:p>
        </w:tc>
        <w:tc>
          <w:tcPr>
            <w:tcW w:w="1440" w:type="dxa"/>
            <w:tcBorders>
              <w:top w:val="nil"/>
              <w:bottom w:val="nil"/>
            </w:tcBorders>
            <w:shd w:val="clear" w:color="auto" w:fill="FFFFFF"/>
            <w:tcMar>
              <w:top w:w="30" w:type="dxa"/>
              <w:left w:w="30" w:type="dxa"/>
              <w:bottom w:w="30" w:type="dxa"/>
              <w:right w:w="30" w:type="dxa"/>
            </w:tcMar>
            <w:vAlign w:val="center"/>
          </w:tcPr>
          <w:p w14:paraId="4C19757D"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53</w:t>
            </w:r>
          </w:p>
        </w:tc>
        <w:tc>
          <w:tcPr>
            <w:tcW w:w="1620" w:type="dxa"/>
            <w:tcBorders>
              <w:top w:val="nil"/>
              <w:bottom w:val="nil"/>
            </w:tcBorders>
            <w:shd w:val="clear" w:color="auto" w:fill="FFFFFF"/>
            <w:tcMar>
              <w:top w:w="30" w:type="dxa"/>
              <w:left w:w="30" w:type="dxa"/>
              <w:bottom w:w="30" w:type="dxa"/>
              <w:right w:w="30" w:type="dxa"/>
            </w:tcMar>
            <w:vAlign w:val="center"/>
          </w:tcPr>
          <w:p w14:paraId="07BD0FCF"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34.36</w:t>
            </w:r>
          </w:p>
        </w:tc>
        <w:tc>
          <w:tcPr>
            <w:tcW w:w="1260" w:type="dxa"/>
            <w:tcBorders>
              <w:top w:val="nil"/>
              <w:bottom w:val="nil"/>
              <w:right w:val="single" w:sz="16" w:space="0" w:color="000000"/>
            </w:tcBorders>
            <w:shd w:val="clear" w:color="auto" w:fill="FFFFFF"/>
            <w:tcMar>
              <w:top w:w="30" w:type="dxa"/>
              <w:left w:w="30" w:type="dxa"/>
              <w:bottom w:w="30" w:type="dxa"/>
              <w:right w:w="30" w:type="dxa"/>
            </w:tcMar>
            <w:vAlign w:val="center"/>
          </w:tcPr>
          <w:p w14:paraId="7B14320A"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9.932</w:t>
            </w:r>
          </w:p>
        </w:tc>
      </w:tr>
      <w:tr w:rsidR="00A66BAD" w:rsidRPr="0047083F" w14:paraId="1BE7EFEF" w14:textId="77777777" w:rsidTr="005053C7">
        <w:trPr>
          <w:cantSplit/>
          <w:tblHeader/>
        </w:trPr>
        <w:tc>
          <w:tcPr>
            <w:tcW w:w="155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715DB97C"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SIZE</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14:paraId="33A1BF16"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70</w:t>
            </w:r>
          </w:p>
        </w:tc>
        <w:tc>
          <w:tcPr>
            <w:tcW w:w="1260" w:type="dxa"/>
            <w:tcBorders>
              <w:top w:val="nil"/>
              <w:bottom w:val="nil"/>
            </w:tcBorders>
            <w:shd w:val="clear" w:color="auto" w:fill="FFFFFF"/>
            <w:tcMar>
              <w:top w:w="30" w:type="dxa"/>
              <w:left w:w="30" w:type="dxa"/>
              <w:bottom w:w="30" w:type="dxa"/>
              <w:right w:w="30" w:type="dxa"/>
            </w:tcMar>
            <w:vAlign w:val="center"/>
          </w:tcPr>
          <w:p w14:paraId="5F2C7E57"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11</w:t>
            </w:r>
          </w:p>
        </w:tc>
        <w:tc>
          <w:tcPr>
            <w:tcW w:w="1440" w:type="dxa"/>
            <w:tcBorders>
              <w:top w:val="nil"/>
              <w:bottom w:val="nil"/>
            </w:tcBorders>
            <w:shd w:val="clear" w:color="auto" w:fill="FFFFFF"/>
            <w:tcMar>
              <w:top w:w="30" w:type="dxa"/>
              <w:left w:w="30" w:type="dxa"/>
              <w:bottom w:w="30" w:type="dxa"/>
              <w:right w:w="30" w:type="dxa"/>
            </w:tcMar>
            <w:vAlign w:val="center"/>
          </w:tcPr>
          <w:p w14:paraId="48F7B728"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26</w:t>
            </w:r>
          </w:p>
        </w:tc>
        <w:tc>
          <w:tcPr>
            <w:tcW w:w="1620" w:type="dxa"/>
            <w:tcBorders>
              <w:top w:val="nil"/>
              <w:bottom w:val="nil"/>
            </w:tcBorders>
            <w:shd w:val="clear" w:color="auto" w:fill="FFFFFF"/>
            <w:tcMar>
              <w:top w:w="30" w:type="dxa"/>
              <w:left w:w="30" w:type="dxa"/>
              <w:bottom w:w="30" w:type="dxa"/>
              <w:right w:w="30" w:type="dxa"/>
            </w:tcMar>
            <w:vAlign w:val="center"/>
          </w:tcPr>
          <w:p w14:paraId="623A546B"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17.13</w:t>
            </w:r>
          </w:p>
        </w:tc>
        <w:tc>
          <w:tcPr>
            <w:tcW w:w="1260" w:type="dxa"/>
            <w:tcBorders>
              <w:top w:val="nil"/>
              <w:bottom w:val="nil"/>
              <w:right w:val="single" w:sz="16" w:space="0" w:color="000000"/>
            </w:tcBorders>
            <w:shd w:val="clear" w:color="auto" w:fill="FFFFFF"/>
            <w:tcMar>
              <w:top w:w="30" w:type="dxa"/>
              <w:left w:w="30" w:type="dxa"/>
              <w:bottom w:w="30" w:type="dxa"/>
              <w:right w:w="30" w:type="dxa"/>
            </w:tcMar>
            <w:vAlign w:val="center"/>
          </w:tcPr>
          <w:p w14:paraId="72C5735F"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2.857</w:t>
            </w:r>
          </w:p>
        </w:tc>
      </w:tr>
      <w:tr w:rsidR="00A66BAD" w:rsidRPr="0047083F" w14:paraId="7A886105" w14:textId="77777777" w:rsidTr="005053C7">
        <w:trPr>
          <w:cantSplit/>
        </w:trPr>
        <w:tc>
          <w:tcPr>
            <w:tcW w:w="155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BEC775F"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Valid N (listwise)</w:t>
            </w:r>
          </w:p>
        </w:tc>
        <w:tc>
          <w:tcPr>
            <w:tcW w:w="117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9AC3F4B"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color w:val="000000"/>
                <w:sz w:val="20"/>
                <w:szCs w:val="20"/>
              </w:rPr>
            </w:pPr>
            <w:r w:rsidRPr="0047083F">
              <w:rPr>
                <w:rFonts w:asciiTheme="majorBidi" w:hAnsiTheme="majorBidi" w:cstheme="majorBidi"/>
                <w:color w:val="000000"/>
                <w:sz w:val="20"/>
                <w:szCs w:val="20"/>
              </w:rPr>
              <w:t>70</w:t>
            </w:r>
          </w:p>
        </w:tc>
        <w:tc>
          <w:tcPr>
            <w:tcW w:w="1260" w:type="dxa"/>
            <w:tcBorders>
              <w:top w:val="nil"/>
              <w:bottom w:val="single" w:sz="16" w:space="0" w:color="000000"/>
            </w:tcBorders>
            <w:shd w:val="clear" w:color="auto" w:fill="FFFFFF"/>
            <w:tcMar>
              <w:top w:w="30" w:type="dxa"/>
              <w:left w:w="30" w:type="dxa"/>
              <w:bottom w:w="30" w:type="dxa"/>
              <w:right w:w="30" w:type="dxa"/>
            </w:tcMar>
          </w:tcPr>
          <w:p w14:paraId="5004FA89"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sz w:val="20"/>
                <w:szCs w:val="20"/>
              </w:rPr>
            </w:pPr>
          </w:p>
        </w:tc>
        <w:tc>
          <w:tcPr>
            <w:tcW w:w="1440" w:type="dxa"/>
            <w:tcBorders>
              <w:top w:val="nil"/>
              <w:bottom w:val="single" w:sz="16" w:space="0" w:color="000000"/>
            </w:tcBorders>
            <w:shd w:val="clear" w:color="auto" w:fill="FFFFFF"/>
            <w:tcMar>
              <w:top w:w="30" w:type="dxa"/>
              <w:left w:w="30" w:type="dxa"/>
              <w:bottom w:w="30" w:type="dxa"/>
              <w:right w:w="30" w:type="dxa"/>
            </w:tcMar>
          </w:tcPr>
          <w:p w14:paraId="6A0C2EE3"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sz w:val="20"/>
                <w:szCs w:val="20"/>
              </w:rPr>
            </w:pPr>
          </w:p>
        </w:tc>
        <w:tc>
          <w:tcPr>
            <w:tcW w:w="1620" w:type="dxa"/>
            <w:tcBorders>
              <w:top w:val="nil"/>
              <w:bottom w:val="single" w:sz="16" w:space="0" w:color="000000"/>
            </w:tcBorders>
            <w:shd w:val="clear" w:color="auto" w:fill="FFFFFF"/>
            <w:tcMar>
              <w:top w:w="30" w:type="dxa"/>
              <w:left w:w="30" w:type="dxa"/>
              <w:bottom w:w="30" w:type="dxa"/>
              <w:right w:w="30" w:type="dxa"/>
            </w:tcMar>
          </w:tcPr>
          <w:p w14:paraId="706FA17D"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sz w:val="20"/>
                <w:szCs w:val="20"/>
              </w:rPr>
            </w:pPr>
          </w:p>
        </w:tc>
        <w:tc>
          <w:tcPr>
            <w:tcW w:w="126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5932F40" w14:textId="77777777" w:rsidR="00A66BAD" w:rsidRPr="0047083F" w:rsidRDefault="00A66BAD" w:rsidP="0047083F">
            <w:pPr>
              <w:autoSpaceDE w:val="0"/>
              <w:autoSpaceDN w:val="0"/>
              <w:adjustRightInd w:val="0"/>
              <w:spacing w:after="0" w:line="240" w:lineRule="auto"/>
              <w:jc w:val="both"/>
              <w:rPr>
                <w:rFonts w:asciiTheme="majorBidi" w:hAnsiTheme="majorBidi" w:cstheme="majorBidi"/>
                <w:sz w:val="20"/>
                <w:szCs w:val="20"/>
              </w:rPr>
            </w:pPr>
          </w:p>
        </w:tc>
      </w:tr>
    </w:tbl>
    <w:p w14:paraId="5CFEF48D" w14:textId="0F8D74AD" w:rsidR="00A66BAD" w:rsidRPr="007E3F92" w:rsidRDefault="00867865" w:rsidP="00322954">
      <w:pPr>
        <w:spacing w:after="0" w:line="360" w:lineRule="auto"/>
        <w:jc w:val="both"/>
        <w:rPr>
          <w:rFonts w:asciiTheme="majorBidi" w:hAnsiTheme="majorBidi" w:cstheme="majorBidi"/>
          <w:sz w:val="24"/>
          <w:szCs w:val="24"/>
        </w:rPr>
      </w:pPr>
      <w:r>
        <w:rPr>
          <w:rFonts w:asciiTheme="majorBidi" w:hAnsiTheme="majorBidi" w:cstheme="majorBidi"/>
          <w:sz w:val="24"/>
          <w:szCs w:val="24"/>
        </w:rPr>
        <w:t>Source: SPSS (23) output based on data collected, 2025</w:t>
      </w:r>
    </w:p>
    <w:p w14:paraId="3BF8A941"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lastRenderedPageBreak/>
        <w:t xml:space="preserve">Table 4.1 shows the descriptive statistics result of the variables. A total of 70 observations were recorded. The measures for the dependent variable of  firm value is measured by share price (SP “N) i.e market value of shares at the end of the year. The table shows the mean and standard deviation with the minimum and maximum range of the variables. The average share price is </w:t>
      </w:r>
      <w:r w:rsidRPr="007E3F92">
        <w:rPr>
          <w:rFonts w:asciiTheme="majorBidi" w:hAnsiTheme="majorBidi" w:cstheme="majorBidi"/>
          <w:dstrike/>
          <w:sz w:val="24"/>
          <w:szCs w:val="24"/>
        </w:rPr>
        <w:t>N</w:t>
      </w:r>
      <w:r w:rsidRPr="007E3F92">
        <w:rPr>
          <w:rFonts w:asciiTheme="majorBidi" w:hAnsiTheme="majorBidi" w:cstheme="majorBidi"/>
          <w:color w:val="000000"/>
          <w:sz w:val="24"/>
          <w:szCs w:val="24"/>
        </w:rPr>
        <w:t>155.11</w:t>
      </w:r>
      <w:r w:rsidRPr="007E3F92">
        <w:rPr>
          <w:rFonts w:asciiTheme="majorBidi" w:hAnsiTheme="majorBidi" w:cstheme="majorBidi"/>
          <w:sz w:val="24"/>
          <w:szCs w:val="24"/>
        </w:rPr>
        <w:t xml:space="preserve"> with a minimum share price of </w:t>
      </w:r>
      <w:r w:rsidRPr="007E3F92">
        <w:rPr>
          <w:rFonts w:asciiTheme="majorBidi" w:hAnsiTheme="majorBidi" w:cstheme="majorBidi"/>
          <w:dstrike/>
          <w:sz w:val="24"/>
          <w:szCs w:val="24"/>
        </w:rPr>
        <w:t>N</w:t>
      </w:r>
      <w:r w:rsidRPr="007E3F92">
        <w:rPr>
          <w:rFonts w:asciiTheme="majorBidi" w:hAnsiTheme="majorBidi" w:cstheme="majorBidi"/>
          <w:sz w:val="24"/>
          <w:szCs w:val="24"/>
        </w:rPr>
        <w:t xml:space="preserve">4 and maximum share price of </w:t>
      </w:r>
      <w:r w:rsidRPr="007E3F92">
        <w:rPr>
          <w:rFonts w:asciiTheme="majorBidi" w:hAnsiTheme="majorBidi" w:cstheme="majorBidi"/>
          <w:dstrike/>
          <w:sz w:val="24"/>
          <w:szCs w:val="24"/>
        </w:rPr>
        <w:t>N</w:t>
      </w:r>
      <w:r w:rsidRPr="007E3F92">
        <w:rPr>
          <w:rFonts w:asciiTheme="majorBidi" w:hAnsiTheme="majorBidi" w:cstheme="majorBidi"/>
          <w:sz w:val="24"/>
          <w:szCs w:val="24"/>
        </w:rPr>
        <w:t>1556 with standard deviation of 321.393 representing above 100% showing that there is a wide variation among the food product companies in Nigeria because the standard deviation is far away from mean.</w:t>
      </w:r>
    </w:p>
    <w:p w14:paraId="4D81E8E5"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Audit fee (AFEE) has a mean of 10.81 at a minimum of </w:t>
      </w:r>
      <w:r w:rsidRPr="007E3F92">
        <w:rPr>
          <w:rFonts w:asciiTheme="majorBidi" w:hAnsiTheme="majorBidi" w:cstheme="majorBidi"/>
          <w:color w:val="000000"/>
          <w:sz w:val="24"/>
          <w:szCs w:val="24"/>
        </w:rPr>
        <w:t>8</w:t>
      </w:r>
      <w:r w:rsidRPr="007E3F92">
        <w:rPr>
          <w:rFonts w:asciiTheme="majorBidi" w:hAnsiTheme="majorBidi" w:cstheme="majorBidi"/>
          <w:sz w:val="24"/>
          <w:szCs w:val="24"/>
        </w:rPr>
        <w:t xml:space="preserve">and maximum of </w:t>
      </w:r>
      <w:r w:rsidRPr="007E3F92">
        <w:rPr>
          <w:rFonts w:asciiTheme="majorBidi" w:hAnsiTheme="majorBidi" w:cstheme="majorBidi"/>
          <w:color w:val="000000"/>
          <w:sz w:val="24"/>
          <w:szCs w:val="24"/>
        </w:rPr>
        <w:t>17</w:t>
      </w:r>
      <w:r w:rsidRPr="007E3F92">
        <w:rPr>
          <w:rFonts w:asciiTheme="majorBidi" w:hAnsiTheme="majorBidi" w:cstheme="majorBidi"/>
          <w:sz w:val="24"/>
          <w:szCs w:val="24"/>
        </w:rPr>
        <w:t>with the standard deviation of 2.710</w:t>
      </w:r>
      <w:r w:rsidRPr="007E3F92">
        <w:rPr>
          <w:rFonts w:asciiTheme="majorBidi" w:hAnsiTheme="majorBidi" w:cstheme="majorBidi"/>
          <w:color w:val="000000"/>
          <w:sz w:val="24"/>
          <w:szCs w:val="24"/>
        </w:rPr>
        <w:t xml:space="preserve"> representing 100% showing that there is much variation among the audit fee in the food product companies in Nigeria.</w:t>
      </w:r>
    </w:p>
    <w:p w14:paraId="0BD08192"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Audit firm size (AFS), shows a mean of 0</w:t>
      </w:r>
      <w:r w:rsidRPr="007E3F92">
        <w:rPr>
          <w:rFonts w:asciiTheme="majorBidi" w:hAnsiTheme="majorBidi" w:cstheme="majorBidi"/>
          <w:color w:val="000000"/>
          <w:sz w:val="24"/>
          <w:szCs w:val="24"/>
        </w:rPr>
        <w:t>.71</w:t>
      </w:r>
      <w:r w:rsidRPr="007E3F92">
        <w:rPr>
          <w:rFonts w:asciiTheme="majorBidi" w:hAnsiTheme="majorBidi" w:cstheme="majorBidi"/>
          <w:sz w:val="24"/>
          <w:szCs w:val="24"/>
        </w:rPr>
        <w:t xml:space="preserve">with the minimum of </w:t>
      </w:r>
      <w:r w:rsidRPr="007E3F92">
        <w:rPr>
          <w:rFonts w:asciiTheme="majorBidi" w:hAnsiTheme="majorBidi" w:cstheme="majorBidi"/>
          <w:color w:val="000000"/>
          <w:sz w:val="24"/>
          <w:szCs w:val="24"/>
        </w:rPr>
        <w:t>0</w:t>
      </w:r>
      <w:r w:rsidRPr="007E3F92">
        <w:rPr>
          <w:rFonts w:asciiTheme="majorBidi" w:hAnsiTheme="majorBidi" w:cstheme="majorBidi"/>
          <w:sz w:val="24"/>
          <w:szCs w:val="24"/>
        </w:rPr>
        <w:t xml:space="preserve"> and the maximum of </w:t>
      </w:r>
      <w:r w:rsidRPr="007E3F92">
        <w:rPr>
          <w:rFonts w:asciiTheme="majorBidi" w:hAnsiTheme="majorBidi" w:cstheme="majorBidi"/>
          <w:color w:val="000000"/>
          <w:sz w:val="24"/>
          <w:szCs w:val="24"/>
        </w:rPr>
        <w:t>1</w:t>
      </w:r>
      <w:r w:rsidRPr="007E3F92">
        <w:rPr>
          <w:rFonts w:asciiTheme="majorBidi" w:hAnsiTheme="majorBidi" w:cstheme="majorBidi"/>
          <w:sz w:val="24"/>
          <w:szCs w:val="24"/>
        </w:rPr>
        <w:t>, with the standard deviation of 0</w:t>
      </w:r>
      <w:r w:rsidRPr="007E3F92">
        <w:rPr>
          <w:rFonts w:asciiTheme="majorBidi" w:hAnsiTheme="majorBidi" w:cstheme="majorBidi"/>
          <w:color w:val="000000"/>
          <w:sz w:val="24"/>
          <w:szCs w:val="24"/>
        </w:rPr>
        <w:t>.455</w:t>
      </w:r>
      <w:r w:rsidRPr="007E3F92">
        <w:rPr>
          <w:rFonts w:asciiTheme="majorBidi" w:hAnsiTheme="majorBidi" w:cstheme="majorBidi"/>
          <w:sz w:val="24"/>
          <w:szCs w:val="24"/>
        </w:rPr>
        <w:t xml:space="preserve"> representing 45.5% meaning that there is no much variation among the audit firms that audited food product companies in Nigeria.</w:t>
      </w:r>
    </w:p>
    <w:p w14:paraId="5907727D"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Audit tenure (ATN) shows a mean of 0.94 with a minimum tenure of 0 and maximum tenure of 1, with a standard of 0.234 representing 23.4% showing that there is wide variation of audit tenure among the food product companies in Nigeria.</w:t>
      </w:r>
    </w:p>
    <w:p w14:paraId="0DC004F2"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The control variable of company age shows the mean of </w:t>
      </w:r>
      <w:r w:rsidRPr="007E3F92">
        <w:rPr>
          <w:rFonts w:asciiTheme="majorBidi" w:hAnsiTheme="majorBidi" w:cstheme="majorBidi"/>
          <w:color w:val="000000"/>
          <w:sz w:val="24"/>
          <w:szCs w:val="24"/>
        </w:rPr>
        <w:t>34.36</w:t>
      </w:r>
      <w:r w:rsidRPr="007E3F92">
        <w:rPr>
          <w:rFonts w:asciiTheme="majorBidi" w:hAnsiTheme="majorBidi" w:cstheme="majorBidi"/>
          <w:sz w:val="24"/>
          <w:szCs w:val="24"/>
        </w:rPr>
        <w:t xml:space="preserve">with a minimum company sizes of </w:t>
      </w:r>
      <w:r w:rsidRPr="007E3F92">
        <w:rPr>
          <w:rFonts w:asciiTheme="majorBidi" w:hAnsiTheme="majorBidi" w:cstheme="majorBidi"/>
          <w:color w:val="000000"/>
          <w:sz w:val="24"/>
          <w:szCs w:val="24"/>
        </w:rPr>
        <w:t>16</w:t>
      </w:r>
      <w:r w:rsidRPr="007E3F92">
        <w:rPr>
          <w:rFonts w:asciiTheme="majorBidi" w:hAnsiTheme="majorBidi" w:cstheme="majorBidi"/>
          <w:sz w:val="24"/>
          <w:szCs w:val="24"/>
        </w:rPr>
        <w:t xml:space="preserve">and maximum </w:t>
      </w:r>
      <w:r w:rsidRPr="007E3F92">
        <w:rPr>
          <w:rFonts w:asciiTheme="majorBidi" w:hAnsiTheme="majorBidi" w:cstheme="majorBidi"/>
          <w:color w:val="000000"/>
          <w:sz w:val="24"/>
          <w:szCs w:val="24"/>
        </w:rPr>
        <w:t>53</w:t>
      </w:r>
      <w:r w:rsidRPr="007E3F92">
        <w:rPr>
          <w:rFonts w:asciiTheme="majorBidi" w:hAnsiTheme="majorBidi" w:cstheme="majorBidi"/>
          <w:sz w:val="24"/>
          <w:szCs w:val="24"/>
        </w:rPr>
        <w:t xml:space="preserve">with the standard deviation of </w:t>
      </w:r>
      <w:r w:rsidRPr="007E3F92">
        <w:rPr>
          <w:rFonts w:asciiTheme="majorBidi" w:hAnsiTheme="majorBidi" w:cstheme="majorBidi"/>
          <w:color w:val="000000"/>
          <w:sz w:val="24"/>
          <w:szCs w:val="24"/>
        </w:rPr>
        <w:t>9.932 representing above 100% showing that there is wide variation among the company age of the food product companies in Nigeria</w:t>
      </w:r>
      <w:r w:rsidRPr="007E3F92">
        <w:rPr>
          <w:rFonts w:asciiTheme="majorBidi" w:hAnsiTheme="majorBidi" w:cstheme="majorBidi"/>
          <w:sz w:val="24"/>
          <w:szCs w:val="24"/>
        </w:rPr>
        <w:t xml:space="preserve">. On the other hand, company’s size shows a mean of </w:t>
      </w:r>
      <w:r w:rsidRPr="007E3F92">
        <w:rPr>
          <w:rFonts w:asciiTheme="majorBidi" w:hAnsiTheme="majorBidi" w:cstheme="majorBidi"/>
          <w:color w:val="000000"/>
          <w:sz w:val="24"/>
          <w:szCs w:val="24"/>
        </w:rPr>
        <w:t>17.31 with a</w:t>
      </w:r>
      <w:r w:rsidRPr="007E3F92">
        <w:rPr>
          <w:rFonts w:asciiTheme="majorBidi" w:hAnsiTheme="majorBidi" w:cstheme="majorBidi"/>
          <w:sz w:val="24"/>
          <w:szCs w:val="24"/>
        </w:rPr>
        <w:t xml:space="preserve"> minimum age of 11 and maximum age of 26 with the standard deviation of </w:t>
      </w:r>
      <w:r w:rsidRPr="007E3F92">
        <w:rPr>
          <w:rFonts w:asciiTheme="majorBidi" w:hAnsiTheme="majorBidi" w:cstheme="majorBidi"/>
          <w:color w:val="000000"/>
          <w:sz w:val="24"/>
          <w:szCs w:val="24"/>
        </w:rPr>
        <w:t>2.857 representing above 100% showing that there is a wide variation among company age of the food product companies in Nigeria.</w:t>
      </w:r>
    </w:p>
    <w:p w14:paraId="1A8A8218" w14:textId="77777777" w:rsidR="00A66BAD" w:rsidRPr="007E3F92" w:rsidRDefault="00A66BAD" w:rsidP="0047083F">
      <w:pPr>
        <w:autoSpaceDE w:val="0"/>
        <w:autoSpaceDN w:val="0"/>
        <w:adjustRightInd w:val="0"/>
        <w:spacing w:before="240" w:after="0" w:line="360" w:lineRule="auto"/>
        <w:jc w:val="both"/>
        <w:rPr>
          <w:rFonts w:asciiTheme="majorBidi" w:hAnsiTheme="majorBidi" w:cstheme="majorBidi"/>
          <w:b/>
          <w:sz w:val="24"/>
          <w:szCs w:val="24"/>
        </w:rPr>
      </w:pPr>
      <w:r w:rsidRPr="007E3F92">
        <w:rPr>
          <w:rFonts w:asciiTheme="majorBidi" w:hAnsiTheme="majorBidi" w:cstheme="majorBidi"/>
          <w:b/>
          <w:sz w:val="24"/>
          <w:szCs w:val="24"/>
        </w:rPr>
        <w:t>4.3</w:t>
      </w:r>
      <w:r w:rsidRPr="007E3F92">
        <w:rPr>
          <w:rFonts w:asciiTheme="majorBidi" w:hAnsiTheme="majorBidi" w:cstheme="majorBidi"/>
          <w:b/>
          <w:sz w:val="24"/>
          <w:szCs w:val="24"/>
        </w:rPr>
        <w:tab/>
        <w:t>Correlation Analysis</w:t>
      </w:r>
    </w:p>
    <w:p w14:paraId="4EADA5D0"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color w:val="000000" w:themeColor="text1"/>
          <w:sz w:val="24"/>
          <w:szCs w:val="24"/>
        </w:rPr>
      </w:pPr>
      <w:r w:rsidRPr="007E3F92">
        <w:rPr>
          <w:rFonts w:asciiTheme="majorBidi" w:hAnsiTheme="majorBidi" w:cstheme="majorBidi"/>
          <w:sz w:val="24"/>
          <w:szCs w:val="24"/>
        </w:rPr>
        <w:t xml:space="preserve">The correlation matrix is used to determine the association between the variables of the study, showing the </w:t>
      </w:r>
      <w:r w:rsidRPr="007E3F92">
        <w:rPr>
          <w:rFonts w:asciiTheme="majorBidi" w:hAnsiTheme="majorBidi" w:cstheme="majorBidi"/>
          <w:color w:val="000000" w:themeColor="text1"/>
          <w:sz w:val="24"/>
          <w:szCs w:val="24"/>
        </w:rPr>
        <w:t>Pearson’s correlation between share price (dependent variable) and AFEE, AFS, ATN, AGE and SIZE (independent variable).</w:t>
      </w:r>
    </w:p>
    <w:p w14:paraId="76BF0742"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b/>
          <w:color w:val="000000" w:themeColor="text1"/>
          <w:sz w:val="24"/>
          <w:szCs w:val="24"/>
        </w:rPr>
      </w:pPr>
      <w:r w:rsidRPr="007E3F92">
        <w:rPr>
          <w:rFonts w:asciiTheme="majorBidi" w:hAnsiTheme="majorBidi" w:cstheme="majorBidi"/>
          <w:b/>
          <w:color w:val="000000" w:themeColor="text1"/>
          <w:sz w:val="24"/>
          <w:szCs w:val="24"/>
        </w:rPr>
        <w:lastRenderedPageBreak/>
        <w:t>Table 4.2 Correlation Matrix of the Variables</w:t>
      </w:r>
    </w:p>
    <w:tbl>
      <w:tblPr>
        <w:tblW w:w="76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33"/>
        <w:gridCol w:w="1955"/>
        <w:gridCol w:w="1001"/>
        <w:gridCol w:w="1334"/>
        <w:gridCol w:w="1001"/>
        <w:gridCol w:w="1001"/>
      </w:tblGrid>
      <w:tr w:rsidR="00A66BAD" w:rsidRPr="007E3F92" w14:paraId="536A2038" w14:textId="77777777" w:rsidTr="005053C7">
        <w:trPr>
          <w:cantSplit/>
        </w:trPr>
        <w:tc>
          <w:tcPr>
            <w:tcW w:w="7621" w:type="dxa"/>
            <w:gridSpan w:val="6"/>
            <w:tcBorders>
              <w:top w:val="nil"/>
              <w:left w:val="nil"/>
              <w:bottom w:val="nil"/>
              <w:right w:val="nil"/>
            </w:tcBorders>
            <w:shd w:val="clear" w:color="auto" w:fill="FFFFFF"/>
          </w:tcPr>
          <w:p w14:paraId="198661FF"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Correlations</w:t>
            </w:r>
          </w:p>
        </w:tc>
      </w:tr>
      <w:tr w:rsidR="00A66BAD" w:rsidRPr="007E3F92" w14:paraId="43945BDE" w14:textId="77777777" w:rsidTr="005053C7">
        <w:trPr>
          <w:cantSplit/>
        </w:trPr>
        <w:tc>
          <w:tcPr>
            <w:tcW w:w="3288" w:type="dxa"/>
            <w:gridSpan w:val="2"/>
            <w:tcBorders>
              <w:top w:val="single" w:sz="16" w:space="0" w:color="000000"/>
              <w:left w:val="single" w:sz="16" w:space="0" w:color="000000"/>
              <w:bottom w:val="single" w:sz="16" w:space="0" w:color="000000"/>
              <w:right w:val="nil"/>
            </w:tcBorders>
            <w:shd w:val="clear" w:color="auto" w:fill="FFFFFF"/>
          </w:tcPr>
          <w:p w14:paraId="2962E11B" w14:textId="77777777" w:rsidR="00A66BAD" w:rsidRPr="007E3F92" w:rsidRDefault="00A66BAD" w:rsidP="0047083F">
            <w:pPr>
              <w:pStyle w:val="NoSpacing"/>
              <w:jc w:val="both"/>
              <w:rPr>
                <w:rFonts w:asciiTheme="majorBidi" w:hAnsiTheme="majorBidi" w:cstheme="majorBidi"/>
                <w:sz w:val="24"/>
                <w:szCs w:val="24"/>
              </w:rPr>
            </w:pPr>
          </w:p>
        </w:tc>
        <w:tc>
          <w:tcPr>
            <w:tcW w:w="1000" w:type="dxa"/>
            <w:tcBorders>
              <w:top w:val="single" w:sz="16" w:space="0" w:color="000000"/>
              <w:left w:val="single" w:sz="16" w:space="0" w:color="000000"/>
              <w:bottom w:val="single" w:sz="16" w:space="0" w:color="000000"/>
            </w:tcBorders>
            <w:shd w:val="clear" w:color="auto" w:fill="FFFFFF"/>
          </w:tcPr>
          <w:p w14:paraId="51629DB4"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AFEE</w:t>
            </w:r>
          </w:p>
        </w:tc>
        <w:tc>
          <w:tcPr>
            <w:tcW w:w="1333" w:type="dxa"/>
            <w:tcBorders>
              <w:top w:val="single" w:sz="16" w:space="0" w:color="000000"/>
              <w:bottom w:val="single" w:sz="16" w:space="0" w:color="000000"/>
            </w:tcBorders>
            <w:shd w:val="clear" w:color="auto" w:fill="FFFFFF"/>
          </w:tcPr>
          <w:p w14:paraId="4F48D483"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COMPANIES</w:t>
            </w:r>
          </w:p>
        </w:tc>
        <w:tc>
          <w:tcPr>
            <w:tcW w:w="1000" w:type="dxa"/>
            <w:tcBorders>
              <w:top w:val="single" w:sz="16" w:space="0" w:color="000000"/>
              <w:bottom w:val="single" w:sz="16" w:space="0" w:color="000000"/>
            </w:tcBorders>
            <w:shd w:val="clear" w:color="auto" w:fill="FFFFFF"/>
          </w:tcPr>
          <w:p w14:paraId="380D826D"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AFS</w:t>
            </w:r>
          </w:p>
        </w:tc>
        <w:tc>
          <w:tcPr>
            <w:tcW w:w="1000" w:type="dxa"/>
            <w:tcBorders>
              <w:top w:val="single" w:sz="16" w:space="0" w:color="000000"/>
              <w:bottom w:val="single" w:sz="16" w:space="0" w:color="000000"/>
              <w:right w:val="single" w:sz="16" w:space="0" w:color="000000"/>
            </w:tcBorders>
            <w:shd w:val="clear" w:color="auto" w:fill="FFFFFF"/>
          </w:tcPr>
          <w:p w14:paraId="79516B75"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ATN</w:t>
            </w:r>
          </w:p>
        </w:tc>
      </w:tr>
      <w:tr w:rsidR="00A66BAD" w:rsidRPr="007E3F92" w14:paraId="0C926458" w14:textId="77777777" w:rsidTr="005053C7">
        <w:trPr>
          <w:cantSplit/>
        </w:trPr>
        <w:tc>
          <w:tcPr>
            <w:tcW w:w="1333" w:type="dxa"/>
            <w:vMerge w:val="restart"/>
            <w:tcBorders>
              <w:top w:val="single" w:sz="16" w:space="0" w:color="000000"/>
              <w:left w:val="single" w:sz="16" w:space="0" w:color="000000"/>
              <w:bottom w:val="nil"/>
              <w:right w:val="nil"/>
            </w:tcBorders>
            <w:shd w:val="clear" w:color="auto" w:fill="FFFFFF"/>
            <w:vAlign w:val="center"/>
          </w:tcPr>
          <w:p w14:paraId="2D9530F0"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AFEE</w:t>
            </w:r>
          </w:p>
        </w:tc>
        <w:tc>
          <w:tcPr>
            <w:tcW w:w="1955" w:type="dxa"/>
            <w:tcBorders>
              <w:top w:val="single" w:sz="16" w:space="0" w:color="000000"/>
              <w:left w:val="nil"/>
              <w:bottom w:val="nil"/>
              <w:right w:val="single" w:sz="16" w:space="0" w:color="000000"/>
            </w:tcBorders>
            <w:shd w:val="clear" w:color="auto" w:fill="FFFFFF"/>
            <w:vAlign w:val="center"/>
          </w:tcPr>
          <w:p w14:paraId="4F832022"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Pearson Correlation</w:t>
            </w:r>
          </w:p>
        </w:tc>
        <w:tc>
          <w:tcPr>
            <w:tcW w:w="1000" w:type="dxa"/>
            <w:tcBorders>
              <w:top w:val="single" w:sz="16" w:space="0" w:color="000000"/>
              <w:left w:val="single" w:sz="16" w:space="0" w:color="000000"/>
              <w:bottom w:val="nil"/>
            </w:tcBorders>
            <w:shd w:val="clear" w:color="auto" w:fill="FFFFFF"/>
            <w:vAlign w:val="center"/>
          </w:tcPr>
          <w:p w14:paraId="747493FC"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1</w:t>
            </w:r>
          </w:p>
        </w:tc>
        <w:tc>
          <w:tcPr>
            <w:tcW w:w="1333" w:type="dxa"/>
            <w:tcBorders>
              <w:top w:val="single" w:sz="16" w:space="0" w:color="000000"/>
              <w:bottom w:val="nil"/>
            </w:tcBorders>
            <w:shd w:val="clear" w:color="auto" w:fill="FFFFFF"/>
            <w:vAlign w:val="center"/>
          </w:tcPr>
          <w:p w14:paraId="375E305F"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-.215</w:t>
            </w:r>
          </w:p>
        </w:tc>
        <w:tc>
          <w:tcPr>
            <w:tcW w:w="1000" w:type="dxa"/>
            <w:tcBorders>
              <w:top w:val="single" w:sz="16" w:space="0" w:color="000000"/>
              <w:bottom w:val="nil"/>
            </w:tcBorders>
            <w:shd w:val="clear" w:color="auto" w:fill="FFFFFF"/>
            <w:vAlign w:val="center"/>
          </w:tcPr>
          <w:p w14:paraId="33726FE0"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.097</w:t>
            </w:r>
          </w:p>
        </w:tc>
        <w:tc>
          <w:tcPr>
            <w:tcW w:w="1000" w:type="dxa"/>
            <w:tcBorders>
              <w:top w:val="single" w:sz="16" w:space="0" w:color="000000"/>
              <w:bottom w:val="nil"/>
              <w:right w:val="single" w:sz="16" w:space="0" w:color="000000"/>
            </w:tcBorders>
            <w:shd w:val="clear" w:color="auto" w:fill="FFFFFF"/>
            <w:vAlign w:val="center"/>
          </w:tcPr>
          <w:p w14:paraId="483AA32A"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.075</w:t>
            </w:r>
          </w:p>
        </w:tc>
      </w:tr>
      <w:tr w:rsidR="00A66BAD" w:rsidRPr="007E3F92" w14:paraId="48E029E3" w14:textId="77777777" w:rsidTr="005053C7">
        <w:trPr>
          <w:cantSplit/>
        </w:trPr>
        <w:tc>
          <w:tcPr>
            <w:tcW w:w="1333" w:type="dxa"/>
            <w:vMerge/>
            <w:tcBorders>
              <w:top w:val="single" w:sz="16" w:space="0" w:color="000000"/>
              <w:left w:val="single" w:sz="16" w:space="0" w:color="000000"/>
              <w:bottom w:val="nil"/>
              <w:right w:val="nil"/>
            </w:tcBorders>
            <w:shd w:val="clear" w:color="auto" w:fill="FFFFFF"/>
            <w:vAlign w:val="center"/>
          </w:tcPr>
          <w:p w14:paraId="67202E87" w14:textId="77777777" w:rsidR="00A66BAD" w:rsidRPr="007E3F92" w:rsidRDefault="00A66BAD" w:rsidP="0047083F">
            <w:pPr>
              <w:pStyle w:val="NoSpacing"/>
              <w:jc w:val="both"/>
              <w:rPr>
                <w:rFonts w:asciiTheme="majorBidi" w:hAnsiTheme="majorBidi" w:cstheme="majorBidi"/>
                <w:sz w:val="24"/>
                <w:szCs w:val="24"/>
              </w:rPr>
            </w:pPr>
          </w:p>
        </w:tc>
        <w:tc>
          <w:tcPr>
            <w:tcW w:w="1955" w:type="dxa"/>
            <w:tcBorders>
              <w:top w:val="nil"/>
              <w:left w:val="nil"/>
              <w:bottom w:val="nil"/>
              <w:right w:val="single" w:sz="16" w:space="0" w:color="000000"/>
            </w:tcBorders>
            <w:shd w:val="clear" w:color="auto" w:fill="FFFFFF"/>
            <w:vAlign w:val="center"/>
          </w:tcPr>
          <w:p w14:paraId="58A5D179"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Sig. (2-tailed)</w:t>
            </w:r>
          </w:p>
        </w:tc>
        <w:tc>
          <w:tcPr>
            <w:tcW w:w="1000" w:type="dxa"/>
            <w:tcBorders>
              <w:top w:val="nil"/>
              <w:left w:val="single" w:sz="16" w:space="0" w:color="000000"/>
              <w:bottom w:val="nil"/>
            </w:tcBorders>
            <w:shd w:val="clear" w:color="auto" w:fill="FFFFFF"/>
          </w:tcPr>
          <w:p w14:paraId="6C620664" w14:textId="77777777" w:rsidR="00A66BAD" w:rsidRPr="007E3F92" w:rsidRDefault="00A66BAD" w:rsidP="0047083F">
            <w:pPr>
              <w:pStyle w:val="NoSpacing"/>
              <w:jc w:val="both"/>
              <w:rPr>
                <w:rFonts w:asciiTheme="majorBidi" w:hAnsiTheme="majorBidi" w:cstheme="majorBidi"/>
                <w:sz w:val="24"/>
                <w:szCs w:val="24"/>
              </w:rPr>
            </w:pPr>
          </w:p>
        </w:tc>
        <w:tc>
          <w:tcPr>
            <w:tcW w:w="1333" w:type="dxa"/>
            <w:tcBorders>
              <w:top w:val="nil"/>
              <w:bottom w:val="nil"/>
            </w:tcBorders>
            <w:shd w:val="clear" w:color="auto" w:fill="FFFFFF"/>
            <w:vAlign w:val="center"/>
          </w:tcPr>
          <w:p w14:paraId="079C18B4"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.074</w:t>
            </w:r>
          </w:p>
        </w:tc>
        <w:tc>
          <w:tcPr>
            <w:tcW w:w="1000" w:type="dxa"/>
            <w:tcBorders>
              <w:top w:val="nil"/>
              <w:bottom w:val="nil"/>
            </w:tcBorders>
            <w:shd w:val="clear" w:color="auto" w:fill="FFFFFF"/>
            <w:vAlign w:val="center"/>
          </w:tcPr>
          <w:p w14:paraId="0A6C53F0"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.422</w:t>
            </w:r>
          </w:p>
        </w:tc>
        <w:tc>
          <w:tcPr>
            <w:tcW w:w="1000" w:type="dxa"/>
            <w:tcBorders>
              <w:top w:val="nil"/>
              <w:bottom w:val="nil"/>
              <w:right w:val="single" w:sz="16" w:space="0" w:color="000000"/>
            </w:tcBorders>
            <w:shd w:val="clear" w:color="auto" w:fill="FFFFFF"/>
            <w:vAlign w:val="center"/>
          </w:tcPr>
          <w:p w14:paraId="78DCC78B"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.540</w:t>
            </w:r>
          </w:p>
        </w:tc>
      </w:tr>
      <w:tr w:rsidR="00A66BAD" w:rsidRPr="007E3F92" w14:paraId="5E0681A8" w14:textId="77777777" w:rsidTr="005053C7">
        <w:trPr>
          <w:cantSplit/>
        </w:trPr>
        <w:tc>
          <w:tcPr>
            <w:tcW w:w="1333" w:type="dxa"/>
            <w:vMerge/>
            <w:tcBorders>
              <w:top w:val="single" w:sz="16" w:space="0" w:color="000000"/>
              <w:left w:val="single" w:sz="16" w:space="0" w:color="000000"/>
              <w:bottom w:val="nil"/>
              <w:right w:val="nil"/>
            </w:tcBorders>
            <w:shd w:val="clear" w:color="auto" w:fill="FFFFFF"/>
            <w:vAlign w:val="center"/>
          </w:tcPr>
          <w:p w14:paraId="5AB3D62F" w14:textId="77777777" w:rsidR="00A66BAD" w:rsidRPr="007E3F92" w:rsidRDefault="00A66BAD" w:rsidP="0047083F">
            <w:pPr>
              <w:pStyle w:val="NoSpacing"/>
              <w:jc w:val="both"/>
              <w:rPr>
                <w:rFonts w:asciiTheme="majorBidi" w:hAnsiTheme="majorBidi" w:cstheme="majorBidi"/>
                <w:sz w:val="24"/>
                <w:szCs w:val="24"/>
              </w:rPr>
            </w:pPr>
          </w:p>
        </w:tc>
        <w:tc>
          <w:tcPr>
            <w:tcW w:w="1955" w:type="dxa"/>
            <w:tcBorders>
              <w:top w:val="nil"/>
              <w:left w:val="nil"/>
              <w:bottom w:val="nil"/>
              <w:right w:val="single" w:sz="16" w:space="0" w:color="000000"/>
            </w:tcBorders>
            <w:shd w:val="clear" w:color="auto" w:fill="FFFFFF"/>
            <w:vAlign w:val="center"/>
          </w:tcPr>
          <w:p w14:paraId="402CB86B"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N</w:t>
            </w:r>
          </w:p>
        </w:tc>
        <w:tc>
          <w:tcPr>
            <w:tcW w:w="1000" w:type="dxa"/>
            <w:tcBorders>
              <w:top w:val="nil"/>
              <w:left w:val="single" w:sz="16" w:space="0" w:color="000000"/>
              <w:bottom w:val="nil"/>
            </w:tcBorders>
            <w:shd w:val="clear" w:color="auto" w:fill="FFFFFF"/>
            <w:vAlign w:val="center"/>
          </w:tcPr>
          <w:p w14:paraId="0EABB791"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c>
          <w:tcPr>
            <w:tcW w:w="1333" w:type="dxa"/>
            <w:tcBorders>
              <w:top w:val="nil"/>
              <w:bottom w:val="nil"/>
            </w:tcBorders>
            <w:shd w:val="clear" w:color="auto" w:fill="FFFFFF"/>
            <w:vAlign w:val="center"/>
          </w:tcPr>
          <w:p w14:paraId="6CADEF38"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c>
          <w:tcPr>
            <w:tcW w:w="1000" w:type="dxa"/>
            <w:tcBorders>
              <w:top w:val="nil"/>
              <w:bottom w:val="nil"/>
            </w:tcBorders>
            <w:shd w:val="clear" w:color="auto" w:fill="FFFFFF"/>
            <w:vAlign w:val="center"/>
          </w:tcPr>
          <w:p w14:paraId="67BF245D"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c>
          <w:tcPr>
            <w:tcW w:w="1000" w:type="dxa"/>
            <w:tcBorders>
              <w:top w:val="nil"/>
              <w:bottom w:val="nil"/>
              <w:right w:val="single" w:sz="16" w:space="0" w:color="000000"/>
            </w:tcBorders>
            <w:shd w:val="clear" w:color="auto" w:fill="FFFFFF"/>
            <w:vAlign w:val="center"/>
          </w:tcPr>
          <w:p w14:paraId="2AE2E8B7"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r>
      <w:tr w:rsidR="00A66BAD" w:rsidRPr="007E3F92" w14:paraId="57585068" w14:textId="77777777" w:rsidTr="005053C7">
        <w:trPr>
          <w:cantSplit/>
        </w:trPr>
        <w:tc>
          <w:tcPr>
            <w:tcW w:w="1333" w:type="dxa"/>
            <w:vMerge w:val="restart"/>
            <w:tcBorders>
              <w:top w:val="nil"/>
              <w:left w:val="single" w:sz="16" w:space="0" w:color="000000"/>
              <w:bottom w:val="nil"/>
              <w:right w:val="nil"/>
            </w:tcBorders>
            <w:shd w:val="clear" w:color="auto" w:fill="FFFFFF"/>
            <w:vAlign w:val="center"/>
          </w:tcPr>
          <w:p w14:paraId="3AA8E751"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COMPANIES</w:t>
            </w:r>
          </w:p>
        </w:tc>
        <w:tc>
          <w:tcPr>
            <w:tcW w:w="1955" w:type="dxa"/>
            <w:tcBorders>
              <w:top w:val="nil"/>
              <w:left w:val="nil"/>
              <w:bottom w:val="nil"/>
              <w:right w:val="single" w:sz="16" w:space="0" w:color="000000"/>
            </w:tcBorders>
            <w:shd w:val="clear" w:color="auto" w:fill="FFFFFF"/>
            <w:vAlign w:val="center"/>
          </w:tcPr>
          <w:p w14:paraId="7CBEEDBB"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Pearson Correlation</w:t>
            </w:r>
          </w:p>
        </w:tc>
        <w:tc>
          <w:tcPr>
            <w:tcW w:w="1000" w:type="dxa"/>
            <w:tcBorders>
              <w:top w:val="nil"/>
              <w:left w:val="single" w:sz="16" w:space="0" w:color="000000"/>
              <w:bottom w:val="nil"/>
            </w:tcBorders>
            <w:shd w:val="clear" w:color="auto" w:fill="FFFFFF"/>
            <w:vAlign w:val="center"/>
          </w:tcPr>
          <w:p w14:paraId="43B320EF"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-.215</w:t>
            </w:r>
          </w:p>
        </w:tc>
        <w:tc>
          <w:tcPr>
            <w:tcW w:w="1333" w:type="dxa"/>
            <w:tcBorders>
              <w:top w:val="nil"/>
              <w:bottom w:val="nil"/>
            </w:tcBorders>
            <w:shd w:val="clear" w:color="auto" w:fill="FFFFFF"/>
            <w:vAlign w:val="center"/>
          </w:tcPr>
          <w:p w14:paraId="4A03505C"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1</w:t>
            </w:r>
          </w:p>
        </w:tc>
        <w:tc>
          <w:tcPr>
            <w:tcW w:w="1000" w:type="dxa"/>
            <w:tcBorders>
              <w:top w:val="nil"/>
              <w:bottom w:val="nil"/>
            </w:tcBorders>
            <w:shd w:val="clear" w:color="auto" w:fill="FFFFFF"/>
            <w:vAlign w:val="center"/>
          </w:tcPr>
          <w:p w14:paraId="7C2EA399"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-.632</w:t>
            </w:r>
            <w:r w:rsidRPr="007E3F92">
              <w:rPr>
                <w:rFonts w:asciiTheme="majorBidi" w:hAnsiTheme="majorBidi" w:cstheme="majorBidi"/>
                <w:sz w:val="24"/>
                <w:szCs w:val="24"/>
                <w:vertAlign w:val="superscript"/>
              </w:rPr>
              <w:t>**</w:t>
            </w:r>
          </w:p>
        </w:tc>
        <w:tc>
          <w:tcPr>
            <w:tcW w:w="1000" w:type="dxa"/>
            <w:tcBorders>
              <w:top w:val="nil"/>
              <w:bottom w:val="nil"/>
              <w:right w:val="single" w:sz="16" w:space="0" w:color="000000"/>
            </w:tcBorders>
            <w:shd w:val="clear" w:color="auto" w:fill="FFFFFF"/>
            <w:vAlign w:val="center"/>
          </w:tcPr>
          <w:p w14:paraId="24471E0B"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.000</w:t>
            </w:r>
          </w:p>
        </w:tc>
      </w:tr>
      <w:tr w:rsidR="00A66BAD" w:rsidRPr="007E3F92" w14:paraId="27BB3953" w14:textId="77777777" w:rsidTr="005053C7">
        <w:trPr>
          <w:cantSplit/>
        </w:trPr>
        <w:tc>
          <w:tcPr>
            <w:tcW w:w="1333" w:type="dxa"/>
            <w:vMerge/>
            <w:tcBorders>
              <w:top w:val="nil"/>
              <w:left w:val="single" w:sz="16" w:space="0" w:color="000000"/>
              <w:bottom w:val="nil"/>
              <w:right w:val="nil"/>
            </w:tcBorders>
            <w:shd w:val="clear" w:color="auto" w:fill="FFFFFF"/>
            <w:vAlign w:val="center"/>
          </w:tcPr>
          <w:p w14:paraId="72117966" w14:textId="77777777" w:rsidR="00A66BAD" w:rsidRPr="007E3F92" w:rsidRDefault="00A66BAD" w:rsidP="0047083F">
            <w:pPr>
              <w:pStyle w:val="NoSpacing"/>
              <w:jc w:val="both"/>
              <w:rPr>
                <w:rFonts w:asciiTheme="majorBidi" w:hAnsiTheme="majorBidi" w:cstheme="majorBidi"/>
                <w:sz w:val="24"/>
                <w:szCs w:val="24"/>
              </w:rPr>
            </w:pPr>
          </w:p>
        </w:tc>
        <w:tc>
          <w:tcPr>
            <w:tcW w:w="1955" w:type="dxa"/>
            <w:tcBorders>
              <w:top w:val="nil"/>
              <w:left w:val="nil"/>
              <w:bottom w:val="nil"/>
              <w:right w:val="single" w:sz="16" w:space="0" w:color="000000"/>
            </w:tcBorders>
            <w:shd w:val="clear" w:color="auto" w:fill="FFFFFF"/>
            <w:vAlign w:val="center"/>
          </w:tcPr>
          <w:p w14:paraId="236B332B"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Sig. (2-tailed)</w:t>
            </w:r>
          </w:p>
        </w:tc>
        <w:tc>
          <w:tcPr>
            <w:tcW w:w="1000" w:type="dxa"/>
            <w:tcBorders>
              <w:top w:val="nil"/>
              <w:left w:val="single" w:sz="16" w:space="0" w:color="000000"/>
              <w:bottom w:val="nil"/>
            </w:tcBorders>
            <w:shd w:val="clear" w:color="auto" w:fill="FFFFFF"/>
            <w:vAlign w:val="center"/>
          </w:tcPr>
          <w:p w14:paraId="6296CEDD"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.074</w:t>
            </w:r>
          </w:p>
        </w:tc>
        <w:tc>
          <w:tcPr>
            <w:tcW w:w="1333" w:type="dxa"/>
            <w:tcBorders>
              <w:top w:val="nil"/>
              <w:bottom w:val="nil"/>
            </w:tcBorders>
            <w:shd w:val="clear" w:color="auto" w:fill="FFFFFF"/>
          </w:tcPr>
          <w:p w14:paraId="4E8AD0BF" w14:textId="77777777" w:rsidR="00A66BAD" w:rsidRPr="007E3F92" w:rsidRDefault="00A66BAD" w:rsidP="0047083F">
            <w:pPr>
              <w:pStyle w:val="NoSpacing"/>
              <w:jc w:val="both"/>
              <w:rPr>
                <w:rFonts w:asciiTheme="majorBidi" w:hAnsiTheme="majorBidi" w:cstheme="majorBidi"/>
                <w:sz w:val="24"/>
                <w:szCs w:val="24"/>
              </w:rPr>
            </w:pPr>
          </w:p>
        </w:tc>
        <w:tc>
          <w:tcPr>
            <w:tcW w:w="1000" w:type="dxa"/>
            <w:tcBorders>
              <w:top w:val="nil"/>
              <w:bottom w:val="nil"/>
            </w:tcBorders>
            <w:shd w:val="clear" w:color="auto" w:fill="FFFFFF"/>
            <w:vAlign w:val="center"/>
          </w:tcPr>
          <w:p w14:paraId="3E770EC5"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.000</w:t>
            </w:r>
          </w:p>
        </w:tc>
        <w:tc>
          <w:tcPr>
            <w:tcW w:w="1000" w:type="dxa"/>
            <w:tcBorders>
              <w:top w:val="nil"/>
              <w:bottom w:val="nil"/>
              <w:right w:val="single" w:sz="16" w:space="0" w:color="000000"/>
            </w:tcBorders>
            <w:shd w:val="clear" w:color="auto" w:fill="FFFFFF"/>
            <w:vAlign w:val="center"/>
          </w:tcPr>
          <w:p w14:paraId="787E7E2B"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1.000</w:t>
            </w:r>
          </w:p>
        </w:tc>
      </w:tr>
      <w:tr w:rsidR="00A66BAD" w:rsidRPr="007E3F92" w14:paraId="6F542154" w14:textId="77777777" w:rsidTr="005053C7">
        <w:trPr>
          <w:cantSplit/>
        </w:trPr>
        <w:tc>
          <w:tcPr>
            <w:tcW w:w="1333" w:type="dxa"/>
            <w:vMerge/>
            <w:tcBorders>
              <w:top w:val="nil"/>
              <w:left w:val="single" w:sz="16" w:space="0" w:color="000000"/>
              <w:bottom w:val="nil"/>
              <w:right w:val="nil"/>
            </w:tcBorders>
            <w:shd w:val="clear" w:color="auto" w:fill="FFFFFF"/>
            <w:vAlign w:val="center"/>
          </w:tcPr>
          <w:p w14:paraId="5492E8D0" w14:textId="77777777" w:rsidR="00A66BAD" w:rsidRPr="007E3F92" w:rsidRDefault="00A66BAD" w:rsidP="0047083F">
            <w:pPr>
              <w:pStyle w:val="NoSpacing"/>
              <w:jc w:val="both"/>
              <w:rPr>
                <w:rFonts w:asciiTheme="majorBidi" w:hAnsiTheme="majorBidi" w:cstheme="majorBidi"/>
                <w:sz w:val="24"/>
                <w:szCs w:val="24"/>
              </w:rPr>
            </w:pPr>
          </w:p>
        </w:tc>
        <w:tc>
          <w:tcPr>
            <w:tcW w:w="1955" w:type="dxa"/>
            <w:tcBorders>
              <w:top w:val="nil"/>
              <w:left w:val="nil"/>
              <w:bottom w:val="nil"/>
              <w:right w:val="single" w:sz="16" w:space="0" w:color="000000"/>
            </w:tcBorders>
            <w:shd w:val="clear" w:color="auto" w:fill="FFFFFF"/>
            <w:vAlign w:val="center"/>
          </w:tcPr>
          <w:p w14:paraId="22FA4E3A"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N</w:t>
            </w:r>
          </w:p>
        </w:tc>
        <w:tc>
          <w:tcPr>
            <w:tcW w:w="1000" w:type="dxa"/>
            <w:tcBorders>
              <w:top w:val="nil"/>
              <w:left w:val="single" w:sz="16" w:space="0" w:color="000000"/>
              <w:bottom w:val="nil"/>
            </w:tcBorders>
            <w:shd w:val="clear" w:color="auto" w:fill="FFFFFF"/>
            <w:vAlign w:val="center"/>
          </w:tcPr>
          <w:p w14:paraId="7797D8AA"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c>
          <w:tcPr>
            <w:tcW w:w="1333" w:type="dxa"/>
            <w:tcBorders>
              <w:top w:val="nil"/>
              <w:bottom w:val="nil"/>
            </w:tcBorders>
            <w:shd w:val="clear" w:color="auto" w:fill="FFFFFF"/>
            <w:vAlign w:val="center"/>
          </w:tcPr>
          <w:p w14:paraId="175FEA8C"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c>
          <w:tcPr>
            <w:tcW w:w="1000" w:type="dxa"/>
            <w:tcBorders>
              <w:top w:val="nil"/>
              <w:bottom w:val="nil"/>
            </w:tcBorders>
            <w:shd w:val="clear" w:color="auto" w:fill="FFFFFF"/>
            <w:vAlign w:val="center"/>
          </w:tcPr>
          <w:p w14:paraId="55B5A8D7"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c>
          <w:tcPr>
            <w:tcW w:w="1000" w:type="dxa"/>
            <w:tcBorders>
              <w:top w:val="nil"/>
              <w:bottom w:val="nil"/>
              <w:right w:val="single" w:sz="16" w:space="0" w:color="000000"/>
            </w:tcBorders>
            <w:shd w:val="clear" w:color="auto" w:fill="FFFFFF"/>
            <w:vAlign w:val="center"/>
          </w:tcPr>
          <w:p w14:paraId="351B31D9"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r>
      <w:tr w:rsidR="00A66BAD" w:rsidRPr="007E3F92" w14:paraId="60DE9F20" w14:textId="77777777" w:rsidTr="005053C7">
        <w:trPr>
          <w:cantSplit/>
        </w:trPr>
        <w:tc>
          <w:tcPr>
            <w:tcW w:w="1333" w:type="dxa"/>
            <w:vMerge w:val="restart"/>
            <w:tcBorders>
              <w:top w:val="nil"/>
              <w:left w:val="single" w:sz="16" w:space="0" w:color="000000"/>
              <w:bottom w:val="nil"/>
              <w:right w:val="nil"/>
            </w:tcBorders>
            <w:shd w:val="clear" w:color="auto" w:fill="FFFFFF"/>
            <w:vAlign w:val="center"/>
          </w:tcPr>
          <w:p w14:paraId="098F8902"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AFS</w:t>
            </w:r>
          </w:p>
        </w:tc>
        <w:tc>
          <w:tcPr>
            <w:tcW w:w="1955" w:type="dxa"/>
            <w:tcBorders>
              <w:top w:val="nil"/>
              <w:left w:val="nil"/>
              <w:bottom w:val="nil"/>
              <w:right w:val="single" w:sz="16" w:space="0" w:color="000000"/>
            </w:tcBorders>
            <w:shd w:val="clear" w:color="auto" w:fill="FFFFFF"/>
            <w:vAlign w:val="center"/>
          </w:tcPr>
          <w:p w14:paraId="6287BE02"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Pearson Correlation</w:t>
            </w:r>
          </w:p>
        </w:tc>
        <w:tc>
          <w:tcPr>
            <w:tcW w:w="1000" w:type="dxa"/>
            <w:tcBorders>
              <w:top w:val="nil"/>
              <w:left w:val="single" w:sz="16" w:space="0" w:color="000000"/>
              <w:bottom w:val="nil"/>
            </w:tcBorders>
            <w:shd w:val="clear" w:color="auto" w:fill="FFFFFF"/>
            <w:vAlign w:val="center"/>
          </w:tcPr>
          <w:p w14:paraId="0C9139FB"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.097</w:t>
            </w:r>
          </w:p>
        </w:tc>
        <w:tc>
          <w:tcPr>
            <w:tcW w:w="1333" w:type="dxa"/>
            <w:tcBorders>
              <w:top w:val="nil"/>
              <w:bottom w:val="nil"/>
            </w:tcBorders>
            <w:shd w:val="clear" w:color="auto" w:fill="FFFFFF"/>
            <w:vAlign w:val="center"/>
          </w:tcPr>
          <w:p w14:paraId="3A6A1133"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-.632</w:t>
            </w:r>
            <w:r w:rsidRPr="007E3F92">
              <w:rPr>
                <w:rFonts w:asciiTheme="majorBidi" w:hAnsiTheme="majorBidi" w:cstheme="majorBidi"/>
                <w:sz w:val="24"/>
                <w:szCs w:val="24"/>
                <w:vertAlign w:val="superscript"/>
              </w:rPr>
              <w:t>**</w:t>
            </w:r>
          </w:p>
        </w:tc>
        <w:tc>
          <w:tcPr>
            <w:tcW w:w="1000" w:type="dxa"/>
            <w:tcBorders>
              <w:top w:val="nil"/>
              <w:bottom w:val="nil"/>
            </w:tcBorders>
            <w:shd w:val="clear" w:color="auto" w:fill="FFFFFF"/>
            <w:vAlign w:val="center"/>
          </w:tcPr>
          <w:p w14:paraId="1222A227"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1</w:t>
            </w:r>
          </w:p>
        </w:tc>
        <w:tc>
          <w:tcPr>
            <w:tcW w:w="1000" w:type="dxa"/>
            <w:tcBorders>
              <w:top w:val="nil"/>
              <w:bottom w:val="nil"/>
              <w:right w:val="single" w:sz="16" w:space="0" w:color="000000"/>
            </w:tcBorders>
            <w:shd w:val="clear" w:color="auto" w:fill="FFFFFF"/>
            <w:vAlign w:val="center"/>
          </w:tcPr>
          <w:p w14:paraId="55B376BA"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-.156</w:t>
            </w:r>
          </w:p>
        </w:tc>
      </w:tr>
      <w:tr w:rsidR="00A66BAD" w:rsidRPr="007E3F92" w14:paraId="35BA931A" w14:textId="77777777" w:rsidTr="005053C7">
        <w:trPr>
          <w:cantSplit/>
        </w:trPr>
        <w:tc>
          <w:tcPr>
            <w:tcW w:w="1333" w:type="dxa"/>
            <w:vMerge/>
            <w:tcBorders>
              <w:top w:val="nil"/>
              <w:left w:val="single" w:sz="16" w:space="0" w:color="000000"/>
              <w:bottom w:val="nil"/>
              <w:right w:val="nil"/>
            </w:tcBorders>
            <w:shd w:val="clear" w:color="auto" w:fill="FFFFFF"/>
            <w:vAlign w:val="center"/>
          </w:tcPr>
          <w:p w14:paraId="578B7B7F" w14:textId="77777777" w:rsidR="00A66BAD" w:rsidRPr="007E3F92" w:rsidRDefault="00A66BAD" w:rsidP="0047083F">
            <w:pPr>
              <w:pStyle w:val="NoSpacing"/>
              <w:jc w:val="both"/>
              <w:rPr>
                <w:rFonts w:asciiTheme="majorBidi" w:hAnsiTheme="majorBidi" w:cstheme="majorBidi"/>
                <w:sz w:val="24"/>
                <w:szCs w:val="24"/>
              </w:rPr>
            </w:pPr>
          </w:p>
        </w:tc>
        <w:tc>
          <w:tcPr>
            <w:tcW w:w="1955" w:type="dxa"/>
            <w:tcBorders>
              <w:top w:val="nil"/>
              <w:left w:val="nil"/>
              <w:bottom w:val="nil"/>
              <w:right w:val="single" w:sz="16" w:space="0" w:color="000000"/>
            </w:tcBorders>
            <w:shd w:val="clear" w:color="auto" w:fill="FFFFFF"/>
            <w:vAlign w:val="center"/>
          </w:tcPr>
          <w:p w14:paraId="1D0D8E0E"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Sig. (2-tailed)</w:t>
            </w:r>
          </w:p>
        </w:tc>
        <w:tc>
          <w:tcPr>
            <w:tcW w:w="1000" w:type="dxa"/>
            <w:tcBorders>
              <w:top w:val="nil"/>
              <w:left w:val="single" w:sz="16" w:space="0" w:color="000000"/>
              <w:bottom w:val="nil"/>
            </w:tcBorders>
            <w:shd w:val="clear" w:color="auto" w:fill="FFFFFF"/>
            <w:vAlign w:val="center"/>
          </w:tcPr>
          <w:p w14:paraId="2C0F7D8A"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.422</w:t>
            </w:r>
          </w:p>
        </w:tc>
        <w:tc>
          <w:tcPr>
            <w:tcW w:w="1333" w:type="dxa"/>
            <w:tcBorders>
              <w:top w:val="nil"/>
              <w:bottom w:val="nil"/>
            </w:tcBorders>
            <w:shd w:val="clear" w:color="auto" w:fill="FFFFFF"/>
            <w:vAlign w:val="center"/>
          </w:tcPr>
          <w:p w14:paraId="694FD16D"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.000</w:t>
            </w:r>
          </w:p>
        </w:tc>
        <w:tc>
          <w:tcPr>
            <w:tcW w:w="1000" w:type="dxa"/>
            <w:tcBorders>
              <w:top w:val="nil"/>
              <w:bottom w:val="nil"/>
            </w:tcBorders>
            <w:shd w:val="clear" w:color="auto" w:fill="FFFFFF"/>
          </w:tcPr>
          <w:p w14:paraId="36222893" w14:textId="77777777" w:rsidR="00A66BAD" w:rsidRPr="007E3F92" w:rsidRDefault="00A66BAD" w:rsidP="0047083F">
            <w:pPr>
              <w:pStyle w:val="NoSpacing"/>
              <w:jc w:val="both"/>
              <w:rPr>
                <w:rFonts w:asciiTheme="majorBidi" w:hAnsiTheme="majorBidi" w:cstheme="majorBidi"/>
                <w:sz w:val="24"/>
                <w:szCs w:val="24"/>
              </w:rPr>
            </w:pPr>
          </w:p>
        </w:tc>
        <w:tc>
          <w:tcPr>
            <w:tcW w:w="1000" w:type="dxa"/>
            <w:tcBorders>
              <w:top w:val="nil"/>
              <w:bottom w:val="nil"/>
              <w:right w:val="single" w:sz="16" w:space="0" w:color="000000"/>
            </w:tcBorders>
            <w:shd w:val="clear" w:color="auto" w:fill="FFFFFF"/>
            <w:vAlign w:val="center"/>
          </w:tcPr>
          <w:p w14:paraId="577B7168"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.198</w:t>
            </w:r>
          </w:p>
        </w:tc>
      </w:tr>
      <w:tr w:rsidR="00A66BAD" w:rsidRPr="007E3F92" w14:paraId="0B901C75" w14:textId="77777777" w:rsidTr="005053C7">
        <w:trPr>
          <w:cantSplit/>
        </w:trPr>
        <w:tc>
          <w:tcPr>
            <w:tcW w:w="1333" w:type="dxa"/>
            <w:vMerge/>
            <w:tcBorders>
              <w:top w:val="nil"/>
              <w:left w:val="single" w:sz="16" w:space="0" w:color="000000"/>
              <w:bottom w:val="nil"/>
              <w:right w:val="nil"/>
            </w:tcBorders>
            <w:shd w:val="clear" w:color="auto" w:fill="FFFFFF"/>
            <w:vAlign w:val="center"/>
          </w:tcPr>
          <w:p w14:paraId="51AA0AA3" w14:textId="77777777" w:rsidR="00A66BAD" w:rsidRPr="007E3F92" w:rsidRDefault="00A66BAD" w:rsidP="0047083F">
            <w:pPr>
              <w:pStyle w:val="NoSpacing"/>
              <w:jc w:val="both"/>
              <w:rPr>
                <w:rFonts w:asciiTheme="majorBidi" w:hAnsiTheme="majorBidi" w:cstheme="majorBidi"/>
                <w:sz w:val="24"/>
                <w:szCs w:val="24"/>
              </w:rPr>
            </w:pPr>
          </w:p>
        </w:tc>
        <w:tc>
          <w:tcPr>
            <w:tcW w:w="1955" w:type="dxa"/>
            <w:tcBorders>
              <w:top w:val="nil"/>
              <w:left w:val="nil"/>
              <w:bottom w:val="nil"/>
              <w:right w:val="single" w:sz="16" w:space="0" w:color="000000"/>
            </w:tcBorders>
            <w:shd w:val="clear" w:color="auto" w:fill="FFFFFF"/>
            <w:vAlign w:val="center"/>
          </w:tcPr>
          <w:p w14:paraId="0366DFEB"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N</w:t>
            </w:r>
          </w:p>
        </w:tc>
        <w:tc>
          <w:tcPr>
            <w:tcW w:w="1000" w:type="dxa"/>
            <w:tcBorders>
              <w:top w:val="nil"/>
              <w:left w:val="single" w:sz="16" w:space="0" w:color="000000"/>
              <w:bottom w:val="nil"/>
            </w:tcBorders>
            <w:shd w:val="clear" w:color="auto" w:fill="FFFFFF"/>
            <w:vAlign w:val="center"/>
          </w:tcPr>
          <w:p w14:paraId="1CA8DF8A"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c>
          <w:tcPr>
            <w:tcW w:w="1333" w:type="dxa"/>
            <w:tcBorders>
              <w:top w:val="nil"/>
              <w:bottom w:val="nil"/>
            </w:tcBorders>
            <w:shd w:val="clear" w:color="auto" w:fill="FFFFFF"/>
            <w:vAlign w:val="center"/>
          </w:tcPr>
          <w:p w14:paraId="15946835"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c>
          <w:tcPr>
            <w:tcW w:w="1000" w:type="dxa"/>
            <w:tcBorders>
              <w:top w:val="nil"/>
              <w:bottom w:val="nil"/>
            </w:tcBorders>
            <w:shd w:val="clear" w:color="auto" w:fill="FFFFFF"/>
            <w:vAlign w:val="center"/>
          </w:tcPr>
          <w:p w14:paraId="796E8022"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c>
          <w:tcPr>
            <w:tcW w:w="1000" w:type="dxa"/>
            <w:tcBorders>
              <w:top w:val="nil"/>
              <w:bottom w:val="nil"/>
              <w:right w:val="single" w:sz="16" w:space="0" w:color="000000"/>
            </w:tcBorders>
            <w:shd w:val="clear" w:color="auto" w:fill="FFFFFF"/>
            <w:vAlign w:val="center"/>
          </w:tcPr>
          <w:p w14:paraId="1F36921D"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r>
      <w:tr w:rsidR="00A66BAD" w:rsidRPr="007E3F92" w14:paraId="7751001C" w14:textId="77777777" w:rsidTr="005053C7">
        <w:trPr>
          <w:cantSplit/>
        </w:trPr>
        <w:tc>
          <w:tcPr>
            <w:tcW w:w="1333" w:type="dxa"/>
            <w:vMerge w:val="restart"/>
            <w:tcBorders>
              <w:top w:val="nil"/>
              <w:left w:val="single" w:sz="16" w:space="0" w:color="000000"/>
              <w:bottom w:val="single" w:sz="16" w:space="0" w:color="000000"/>
              <w:right w:val="nil"/>
            </w:tcBorders>
            <w:shd w:val="clear" w:color="auto" w:fill="FFFFFF"/>
            <w:vAlign w:val="center"/>
          </w:tcPr>
          <w:p w14:paraId="32A077A4"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ATN</w:t>
            </w:r>
          </w:p>
        </w:tc>
        <w:tc>
          <w:tcPr>
            <w:tcW w:w="1955" w:type="dxa"/>
            <w:tcBorders>
              <w:top w:val="nil"/>
              <w:left w:val="nil"/>
              <w:bottom w:val="nil"/>
              <w:right w:val="single" w:sz="16" w:space="0" w:color="000000"/>
            </w:tcBorders>
            <w:shd w:val="clear" w:color="auto" w:fill="FFFFFF"/>
            <w:vAlign w:val="center"/>
          </w:tcPr>
          <w:p w14:paraId="511A9ED3"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Pearson Correlation</w:t>
            </w:r>
          </w:p>
        </w:tc>
        <w:tc>
          <w:tcPr>
            <w:tcW w:w="1000" w:type="dxa"/>
            <w:tcBorders>
              <w:top w:val="nil"/>
              <w:left w:val="single" w:sz="16" w:space="0" w:color="000000"/>
              <w:bottom w:val="nil"/>
            </w:tcBorders>
            <w:shd w:val="clear" w:color="auto" w:fill="FFFFFF"/>
            <w:vAlign w:val="center"/>
          </w:tcPr>
          <w:p w14:paraId="054BF31A"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.075</w:t>
            </w:r>
          </w:p>
        </w:tc>
        <w:tc>
          <w:tcPr>
            <w:tcW w:w="1333" w:type="dxa"/>
            <w:tcBorders>
              <w:top w:val="nil"/>
              <w:bottom w:val="nil"/>
            </w:tcBorders>
            <w:shd w:val="clear" w:color="auto" w:fill="FFFFFF"/>
            <w:vAlign w:val="center"/>
          </w:tcPr>
          <w:p w14:paraId="4DB9D5E1"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.000</w:t>
            </w:r>
          </w:p>
        </w:tc>
        <w:tc>
          <w:tcPr>
            <w:tcW w:w="1000" w:type="dxa"/>
            <w:tcBorders>
              <w:top w:val="nil"/>
              <w:bottom w:val="nil"/>
            </w:tcBorders>
            <w:shd w:val="clear" w:color="auto" w:fill="FFFFFF"/>
            <w:vAlign w:val="center"/>
          </w:tcPr>
          <w:p w14:paraId="6D4F03BC"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-.156</w:t>
            </w:r>
          </w:p>
        </w:tc>
        <w:tc>
          <w:tcPr>
            <w:tcW w:w="1000" w:type="dxa"/>
            <w:tcBorders>
              <w:top w:val="nil"/>
              <w:bottom w:val="nil"/>
              <w:right w:val="single" w:sz="16" w:space="0" w:color="000000"/>
            </w:tcBorders>
            <w:shd w:val="clear" w:color="auto" w:fill="FFFFFF"/>
            <w:vAlign w:val="center"/>
          </w:tcPr>
          <w:p w14:paraId="0B4F2BD3"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1</w:t>
            </w:r>
          </w:p>
        </w:tc>
      </w:tr>
      <w:tr w:rsidR="00A66BAD" w:rsidRPr="007E3F92" w14:paraId="367BA9DC" w14:textId="77777777" w:rsidTr="005053C7">
        <w:trPr>
          <w:cantSplit/>
        </w:trPr>
        <w:tc>
          <w:tcPr>
            <w:tcW w:w="1333" w:type="dxa"/>
            <w:vMerge/>
            <w:tcBorders>
              <w:top w:val="nil"/>
              <w:left w:val="single" w:sz="16" w:space="0" w:color="000000"/>
              <w:bottom w:val="single" w:sz="16" w:space="0" w:color="000000"/>
              <w:right w:val="nil"/>
            </w:tcBorders>
            <w:shd w:val="clear" w:color="auto" w:fill="FFFFFF"/>
            <w:vAlign w:val="center"/>
          </w:tcPr>
          <w:p w14:paraId="797E36CB" w14:textId="77777777" w:rsidR="00A66BAD" w:rsidRPr="007E3F92" w:rsidRDefault="00A66BAD" w:rsidP="0047083F">
            <w:pPr>
              <w:pStyle w:val="NoSpacing"/>
              <w:jc w:val="both"/>
              <w:rPr>
                <w:rFonts w:asciiTheme="majorBidi" w:hAnsiTheme="majorBidi" w:cstheme="majorBidi"/>
                <w:sz w:val="24"/>
                <w:szCs w:val="24"/>
              </w:rPr>
            </w:pPr>
          </w:p>
        </w:tc>
        <w:tc>
          <w:tcPr>
            <w:tcW w:w="1955" w:type="dxa"/>
            <w:tcBorders>
              <w:top w:val="nil"/>
              <w:left w:val="nil"/>
              <w:bottom w:val="nil"/>
              <w:right w:val="single" w:sz="16" w:space="0" w:color="000000"/>
            </w:tcBorders>
            <w:shd w:val="clear" w:color="auto" w:fill="FFFFFF"/>
            <w:vAlign w:val="center"/>
          </w:tcPr>
          <w:p w14:paraId="7A08F710"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Sig. (2-tailed)</w:t>
            </w:r>
          </w:p>
        </w:tc>
        <w:tc>
          <w:tcPr>
            <w:tcW w:w="1000" w:type="dxa"/>
            <w:tcBorders>
              <w:top w:val="nil"/>
              <w:left w:val="single" w:sz="16" w:space="0" w:color="000000"/>
              <w:bottom w:val="nil"/>
            </w:tcBorders>
            <w:shd w:val="clear" w:color="auto" w:fill="FFFFFF"/>
            <w:vAlign w:val="center"/>
          </w:tcPr>
          <w:p w14:paraId="44FB219D"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.540</w:t>
            </w:r>
          </w:p>
        </w:tc>
        <w:tc>
          <w:tcPr>
            <w:tcW w:w="1333" w:type="dxa"/>
            <w:tcBorders>
              <w:top w:val="nil"/>
              <w:bottom w:val="nil"/>
            </w:tcBorders>
            <w:shd w:val="clear" w:color="auto" w:fill="FFFFFF"/>
            <w:vAlign w:val="center"/>
          </w:tcPr>
          <w:p w14:paraId="7145672A"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1.000</w:t>
            </w:r>
          </w:p>
        </w:tc>
        <w:tc>
          <w:tcPr>
            <w:tcW w:w="1000" w:type="dxa"/>
            <w:tcBorders>
              <w:top w:val="nil"/>
              <w:bottom w:val="nil"/>
            </w:tcBorders>
            <w:shd w:val="clear" w:color="auto" w:fill="FFFFFF"/>
            <w:vAlign w:val="center"/>
          </w:tcPr>
          <w:p w14:paraId="0E939C04"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.198</w:t>
            </w:r>
          </w:p>
        </w:tc>
        <w:tc>
          <w:tcPr>
            <w:tcW w:w="1000" w:type="dxa"/>
            <w:tcBorders>
              <w:top w:val="nil"/>
              <w:bottom w:val="nil"/>
              <w:right w:val="single" w:sz="16" w:space="0" w:color="000000"/>
            </w:tcBorders>
            <w:shd w:val="clear" w:color="auto" w:fill="FFFFFF"/>
          </w:tcPr>
          <w:p w14:paraId="4FD4EC57" w14:textId="77777777" w:rsidR="00A66BAD" w:rsidRPr="007E3F92" w:rsidRDefault="00A66BAD" w:rsidP="0047083F">
            <w:pPr>
              <w:pStyle w:val="NoSpacing"/>
              <w:jc w:val="both"/>
              <w:rPr>
                <w:rFonts w:asciiTheme="majorBidi" w:hAnsiTheme="majorBidi" w:cstheme="majorBidi"/>
                <w:sz w:val="24"/>
                <w:szCs w:val="24"/>
              </w:rPr>
            </w:pPr>
          </w:p>
        </w:tc>
      </w:tr>
      <w:tr w:rsidR="00A66BAD" w:rsidRPr="007E3F92" w14:paraId="3817A446" w14:textId="77777777" w:rsidTr="005053C7">
        <w:trPr>
          <w:cantSplit/>
        </w:trPr>
        <w:tc>
          <w:tcPr>
            <w:tcW w:w="1333" w:type="dxa"/>
            <w:vMerge/>
            <w:tcBorders>
              <w:top w:val="nil"/>
              <w:left w:val="single" w:sz="16" w:space="0" w:color="000000"/>
              <w:bottom w:val="single" w:sz="16" w:space="0" w:color="000000"/>
              <w:right w:val="nil"/>
            </w:tcBorders>
            <w:shd w:val="clear" w:color="auto" w:fill="FFFFFF"/>
            <w:vAlign w:val="center"/>
          </w:tcPr>
          <w:p w14:paraId="4130381C" w14:textId="77777777" w:rsidR="00A66BAD" w:rsidRPr="007E3F92" w:rsidRDefault="00A66BAD" w:rsidP="0047083F">
            <w:pPr>
              <w:pStyle w:val="NoSpacing"/>
              <w:jc w:val="both"/>
              <w:rPr>
                <w:rFonts w:asciiTheme="majorBidi" w:hAnsiTheme="majorBidi" w:cstheme="majorBidi"/>
                <w:sz w:val="24"/>
                <w:szCs w:val="24"/>
              </w:rPr>
            </w:pPr>
          </w:p>
        </w:tc>
        <w:tc>
          <w:tcPr>
            <w:tcW w:w="1955" w:type="dxa"/>
            <w:tcBorders>
              <w:top w:val="nil"/>
              <w:left w:val="nil"/>
              <w:bottom w:val="single" w:sz="16" w:space="0" w:color="000000"/>
              <w:right w:val="single" w:sz="16" w:space="0" w:color="000000"/>
            </w:tcBorders>
            <w:shd w:val="clear" w:color="auto" w:fill="FFFFFF"/>
            <w:vAlign w:val="center"/>
          </w:tcPr>
          <w:p w14:paraId="71E5662E"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N</w:t>
            </w:r>
          </w:p>
        </w:tc>
        <w:tc>
          <w:tcPr>
            <w:tcW w:w="1000" w:type="dxa"/>
            <w:tcBorders>
              <w:top w:val="nil"/>
              <w:left w:val="single" w:sz="16" w:space="0" w:color="000000"/>
              <w:bottom w:val="single" w:sz="16" w:space="0" w:color="000000"/>
            </w:tcBorders>
            <w:shd w:val="clear" w:color="auto" w:fill="FFFFFF"/>
            <w:vAlign w:val="center"/>
          </w:tcPr>
          <w:p w14:paraId="088DF504"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c>
          <w:tcPr>
            <w:tcW w:w="1333" w:type="dxa"/>
            <w:tcBorders>
              <w:top w:val="nil"/>
              <w:bottom w:val="single" w:sz="16" w:space="0" w:color="000000"/>
            </w:tcBorders>
            <w:shd w:val="clear" w:color="auto" w:fill="FFFFFF"/>
            <w:vAlign w:val="center"/>
          </w:tcPr>
          <w:p w14:paraId="48FD4922"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c>
          <w:tcPr>
            <w:tcW w:w="1000" w:type="dxa"/>
            <w:tcBorders>
              <w:top w:val="nil"/>
              <w:bottom w:val="single" w:sz="16" w:space="0" w:color="000000"/>
            </w:tcBorders>
            <w:shd w:val="clear" w:color="auto" w:fill="FFFFFF"/>
            <w:vAlign w:val="center"/>
          </w:tcPr>
          <w:p w14:paraId="37EB7D69"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c>
          <w:tcPr>
            <w:tcW w:w="1000" w:type="dxa"/>
            <w:tcBorders>
              <w:top w:val="nil"/>
              <w:bottom w:val="single" w:sz="16" w:space="0" w:color="000000"/>
              <w:right w:val="single" w:sz="16" w:space="0" w:color="000000"/>
            </w:tcBorders>
            <w:shd w:val="clear" w:color="auto" w:fill="FFFFFF"/>
            <w:vAlign w:val="center"/>
          </w:tcPr>
          <w:p w14:paraId="6036F9BD"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r>
      <w:tr w:rsidR="00A66BAD" w:rsidRPr="007E3F92" w14:paraId="414B2854" w14:textId="77777777" w:rsidTr="005053C7">
        <w:trPr>
          <w:cantSplit/>
        </w:trPr>
        <w:tc>
          <w:tcPr>
            <w:tcW w:w="7621" w:type="dxa"/>
            <w:gridSpan w:val="6"/>
            <w:tcBorders>
              <w:top w:val="nil"/>
              <w:left w:val="nil"/>
              <w:bottom w:val="nil"/>
              <w:right w:val="nil"/>
            </w:tcBorders>
            <w:shd w:val="clear" w:color="auto" w:fill="FFFFFF"/>
          </w:tcPr>
          <w:p w14:paraId="7E05D862" w14:textId="77777777" w:rsidR="00A66BAD" w:rsidRPr="007E3F92" w:rsidRDefault="00A66BAD" w:rsidP="0047083F">
            <w:pPr>
              <w:pStyle w:val="NoSpacing"/>
              <w:jc w:val="both"/>
              <w:rPr>
                <w:rFonts w:asciiTheme="majorBidi" w:hAnsiTheme="majorBidi" w:cstheme="majorBidi"/>
                <w:sz w:val="24"/>
                <w:szCs w:val="24"/>
              </w:rPr>
            </w:pPr>
            <w:r w:rsidRPr="007E3F92">
              <w:rPr>
                <w:rFonts w:asciiTheme="majorBidi" w:hAnsiTheme="majorBidi" w:cstheme="majorBidi"/>
                <w:sz w:val="24"/>
                <w:szCs w:val="24"/>
              </w:rPr>
              <w:t>**. Correlation is significant at the 0.01 level (2-tailed).</w:t>
            </w:r>
          </w:p>
        </w:tc>
      </w:tr>
    </w:tbl>
    <w:p w14:paraId="3E2AF7F9"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sz w:val="24"/>
          <w:szCs w:val="24"/>
        </w:rPr>
      </w:pPr>
    </w:p>
    <w:tbl>
      <w:tblPr>
        <w:tblW w:w="7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8"/>
        <w:gridCol w:w="2637"/>
        <w:gridCol w:w="1349"/>
        <w:gridCol w:w="1349"/>
        <w:gridCol w:w="1350"/>
      </w:tblGrid>
      <w:tr w:rsidR="00A66BAD" w:rsidRPr="007E3F92" w14:paraId="41C96D95" w14:textId="77777777" w:rsidTr="005053C7">
        <w:trPr>
          <w:cantSplit/>
          <w:trHeight w:val="281"/>
        </w:trPr>
        <w:tc>
          <w:tcPr>
            <w:tcW w:w="7683" w:type="dxa"/>
            <w:gridSpan w:val="5"/>
            <w:tcBorders>
              <w:top w:val="nil"/>
              <w:left w:val="nil"/>
              <w:bottom w:val="nil"/>
              <w:right w:val="nil"/>
            </w:tcBorders>
            <w:shd w:val="clear" w:color="auto" w:fill="FFFFFF"/>
          </w:tcPr>
          <w:p w14:paraId="1177F39C" w14:textId="77777777" w:rsidR="00A66BAD" w:rsidRPr="007E3F92" w:rsidRDefault="00A66BAD" w:rsidP="00322954">
            <w:pPr>
              <w:autoSpaceDE w:val="0"/>
              <w:autoSpaceDN w:val="0"/>
              <w:adjustRightInd w:val="0"/>
              <w:spacing w:after="0" w:line="360" w:lineRule="auto"/>
              <w:ind w:left="60" w:right="60"/>
              <w:jc w:val="both"/>
              <w:rPr>
                <w:rFonts w:asciiTheme="majorBidi" w:hAnsiTheme="majorBidi" w:cstheme="majorBidi"/>
                <w:color w:val="000000"/>
                <w:sz w:val="24"/>
                <w:szCs w:val="24"/>
              </w:rPr>
            </w:pPr>
            <w:r w:rsidRPr="007E3F92">
              <w:rPr>
                <w:rFonts w:asciiTheme="majorBidi" w:hAnsiTheme="majorBidi" w:cstheme="majorBidi"/>
                <w:b/>
                <w:bCs/>
                <w:color w:val="000000"/>
                <w:sz w:val="24"/>
                <w:szCs w:val="24"/>
              </w:rPr>
              <w:t>Correlations</w:t>
            </w:r>
          </w:p>
        </w:tc>
      </w:tr>
      <w:tr w:rsidR="00A66BAD" w:rsidRPr="007E3F92" w14:paraId="4FCD8A2C" w14:textId="77777777" w:rsidTr="005053C7">
        <w:trPr>
          <w:cantSplit/>
          <w:trHeight w:val="281"/>
        </w:trPr>
        <w:tc>
          <w:tcPr>
            <w:tcW w:w="3635" w:type="dxa"/>
            <w:gridSpan w:val="2"/>
            <w:tcBorders>
              <w:top w:val="single" w:sz="16" w:space="0" w:color="000000"/>
              <w:left w:val="single" w:sz="16" w:space="0" w:color="000000"/>
              <w:bottom w:val="single" w:sz="16" w:space="0" w:color="000000"/>
              <w:right w:val="nil"/>
            </w:tcBorders>
            <w:shd w:val="clear" w:color="auto" w:fill="FFFFFF"/>
          </w:tcPr>
          <w:p w14:paraId="677DB2A9" w14:textId="77777777" w:rsidR="00A66BAD" w:rsidRPr="007E3F92" w:rsidRDefault="00A66BAD" w:rsidP="00322954">
            <w:pPr>
              <w:autoSpaceDE w:val="0"/>
              <w:autoSpaceDN w:val="0"/>
              <w:adjustRightInd w:val="0"/>
              <w:spacing w:after="0" w:line="360" w:lineRule="auto"/>
              <w:ind w:left="60" w:right="60"/>
              <w:jc w:val="both"/>
              <w:rPr>
                <w:rFonts w:asciiTheme="majorBidi" w:hAnsiTheme="majorBidi" w:cstheme="majorBidi"/>
                <w:color w:val="000000"/>
                <w:sz w:val="24"/>
                <w:szCs w:val="24"/>
              </w:rPr>
            </w:pPr>
          </w:p>
        </w:tc>
        <w:tc>
          <w:tcPr>
            <w:tcW w:w="1349" w:type="dxa"/>
            <w:tcBorders>
              <w:top w:val="single" w:sz="16" w:space="0" w:color="000000"/>
              <w:left w:val="single" w:sz="16" w:space="0" w:color="000000"/>
              <w:bottom w:val="single" w:sz="16" w:space="0" w:color="000000"/>
            </w:tcBorders>
            <w:shd w:val="clear" w:color="auto" w:fill="FFFFFF"/>
          </w:tcPr>
          <w:p w14:paraId="5C3BECD0" w14:textId="77777777" w:rsidR="00A66BAD" w:rsidRPr="007E3F92" w:rsidRDefault="00A66BAD" w:rsidP="00322954">
            <w:pPr>
              <w:autoSpaceDE w:val="0"/>
              <w:autoSpaceDN w:val="0"/>
              <w:adjustRightInd w:val="0"/>
              <w:spacing w:after="0" w:line="36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YEAR</w:t>
            </w:r>
          </w:p>
        </w:tc>
        <w:tc>
          <w:tcPr>
            <w:tcW w:w="1349" w:type="dxa"/>
            <w:tcBorders>
              <w:top w:val="single" w:sz="16" w:space="0" w:color="000000"/>
              <w:bottom w:val="single" w:sz="16" w:space="0" w:color="000000"/>
            </w:tcBorders>
            <w:shd w:val="clear" w:color="auto" w:fill="FFFFFF"/>
          </w:tcPr>
          <w:p w14:paraId="01F8C53A" w14:textId="77777777" w:rsidR="00A66BAD" w:rsidRPr="007E3F92" w:rsidRDefault="00A66BAD" w:rsidP="00322954">
            <w:pPr>
              <w:autoSpaceDE w:val="0"/>
              <w:autoSpaceDN w:val="0"/>
              <w:adjustRightInd w:val="0"/>
              <w:spacing w:after="0" w:line="36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SP"N</w:t>
            </w:r>
          </w:p>
        </w:tc>
        <w:tc>
          <w:tcPr>
            <w:tcW w:w="1349" w:type="dxa"/>
            <w:tcBorders>
              <w:top w:val="single" w:sz="16" w:space="0" w:color="000000"/>
              <w:bottom w:val="single" w:sz="16" w:space="0" w:color="000000"/>
              <w:right w:val="single" w:sz="16" w:space="0" w:color="000000"/>
            </w:tcBorders>
            <w:shd w:val="clear" w:color="auto" w:fill="FFFFFF"/>
          </w:tcPr>
          <w:p w14:paraId="3FB2F77F" w14:textId="77777777" w:rsidR="00A66BAD" w:rsidRPr="007E3F92" w:rsidRDefault="00A66BAD" w:rsidP="00322954">
            <w:pPr>
              <w:autoSpaceDE w:val="0"/>
              <w:autoSpaceDN w:val="0"/>
              <w:adjustRightInd w:val="0"/>
              <w:spacing w:after="0" w:line="36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AGE</w:t>
            </w:r>
          </w:p>
        </w:tc>
      </w:tr>
      <w:tr w:rsidR="00A66BAD" w:rsidRPr="007E3F92" w14:paraId="719E522B" w14:textId="77777777" w:rsidTr="005053C7">
        <w:trPr>
          <w:cantSplit/>
          <w:trHeight w:val="552"/>
        </w:trPr>
        <w:tc>
          <w:tcPr>
            <w:tcW w:w="998" w:type="dxa"/>
            <w:vMerge w:val="restart"/>
            <w:tcBorders>
              <w:top w:val="single" w:sz="16" w:space="0" w:color="000000"/>
              <w:left w:val="single" w:sz="16" w:space="0" w:color="000000"/>
              <w:bottom w:val="nil"/>
              <w:right w:val="nil"/>
            </w:tcBorders>
            <w:shd w:val="clear" w:color="auto" w:fill="FFFFFF"/>
            <w:vAlign w:val="center"/>
          </w:tcPr>
          <w:p w14:paraId="1B3A8BF5" w14:textId="77777777" w:rsidR="00A66BAD" w:rsidRPr="007E3F92" w:rsidRDefault="00A66BAD" w:rsidP="00322954">
            <w:pPr>
              <w:autoSpaceDE w:val="0"/>
              <w:autoSpaceDN w:val="0"/>
              <w:adjustRightInd w:val="0"/>
              <w:spacing w:after="0" w:line="36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YEAR</w:t>
            </w:r>
          </w:p>
        </w:tc>
        <w:tc>
          <w:tcPr>
            <w:tcW w:w="2636" w:type="dxa"/>
            <w:tcBorders>
              <w:top w:val="single" w:sz="16" w:space="0" w:color="000000"/>
              <w:left w:val="nil"/>
              <w:bottom w:val="nil"/>
              <w:right w:val="single" w:sz="16" w:space="0" w:color="000000"/>
            </w:tcBorders>
            <w:shd w:val="clear" w:color="auto" w:fill="FFFFFF"/>
            <w:vAlign w:val="center"/>
          </w:tcPr>
          <w:p w14:paraId="301804E8" w14:textId="77777777" w:rsidR="00A66BAD" w:rsidRPr="007E3F92" w:rsidRDefault="00A66BAD" w:rsidP="00322954">
            <w:pPr>
              <w:autoSpaceDE w:val="0"/>
              <w:autoSpaceDN w:val="0"/>
              <w:adjustRightInd w:val="0"/>
              <w:spacing w:after="0" w:line="36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Pearson Correlation</w:t>
            </w:r>
          </w:p>
        </w:tc>
        <w:tc>
          <w:tcPr>
            <w:tcW w:w="1349" w:type="dxa"/>
            <w:tcBorders>
              <w:top w:val="single" w:sz="16" w:space="0" w:color="000000"/>
              <w:left w:val="single" w:sz="16" w:space="0" w:color="000000"/>
              <w:bottom w:val="nil"/>
            </w:tcBorders>
            <w:shd w:val="clear" w:color="auto" w:fill="FFFFFF"/>
            <w:vAlign w:val="center"/>
          </w:tcPr>
          <w:p w14:paraId="2480F606" w14:textId="77777777" w:rsidR="00A66BAD" w:rsidRPr="007E3F92" w:rsidRDefault="00A66BAD" w:rsidP="00322954">
            <w:pPr>
              <w:autoSpaceDE w:val="0"/>
              <w:autoSpaceDN w:val="0"/>
              <w:adjustRightInd w:val="0"/>
              <w:spacing w:after="0" w:line="36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w:t>
            </w:r>
          </w:p>
        </w:tc>
        <w:tc>
          <w:tcPr>
            <w:tcW w:w="1349" w:type="dxa"/>
            <w:tcBorders>
              <w:top w:val="single" w:sz="16" w:space="0" w:color="000000"/>
              <w:bottom w:val="nil"/>
            </w:tcBorders>
            <w:shd w:val="clear" w:color="auto" w:fill="FFFFFF"/>
            <w:vAlign w:val="center"/>
          </w:tcPr>
          <w:p w14:paraId="026B116F" w14:textId="77777777" w:rsidR="00A66BAD" w:rsidRPr="007E3F92" w:rsidRDefault="00A66BAD" w:rsidP="00322954">
            <w:pPr>
              <w:autoSpaceDE w:val="0"/>
              <w:autoSpaceDN w:val="0"/>
              <w:adjustRightInd w:val="0"/>
              <w:spacing w:after="0" w:line="36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.120</w:t>
            </w:r>
          </w:p>
        </w:tc>
        <w:tc>
          <w:tcPr>
            <w:tcW w:w="1349" w:type="dxa"/>
            <w:tcBorders>
              <w:top w:val="single" w:sz="16" w:space="0" w:color="000000"/>
              <w:bottom w:val="nil"/>
              <w:right w:val="single" w:sz="16" w:space="0" w:color="000000"/>
            </w:tcBorders>
            <w:shd w:val="clear" w:color="auto" w:fill="FFFFFF"/>
            <w:vAlign w:val="center"/>
          </w:tcPr>
          <w:p w14:paraId="60888D37" w14:textId="77777777" w:rsidR="00A66BAD" w:rsidRPr="007E3F92" w:rsidRDefault="00A66BAD" w:rsidP="00322954">
            <w:pPr>
              <w:autoSpaceDE w:val="0"/>
              <w:autoSpaceDN w:val="0"/>
              <w:adjustRightInd w:val="0"/>
              <w:spacing w:after="0" w:line="36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.291</w:t>
            </w:r>
            <w:r w:rsidRPr="007E3F92">
              <w:rPr>
                <w:rFonts w:asciiTheme="majorBidi" w:hAnsiTheme="majorBidi" w:cstheme="majorBidi"/>
                <w:color w:val="000000"/>
                <w:sz w:val="24"/>
                <w:szCs w:val="24"/>
                <w:vertAlign w:val="superscript"/>
              </w:rPr>
              <w:t>*</w:t>
            </w:r>
          </w:p>
        </w:tc>
      </w:tr>
      <w:tr w:rsidR="00A66BAD" w:rsidRPr="007E3F92" w14:paraId="3BC6232E" w14:textId="77777777" w:rsidTr="005053C7">
        <w:trPr>
          <w:cantSplit/>
          <w:trHeight w:val="146"/>
        </w:trPr>
        <w:tc>
          <w:tcPr>
            <w:tcW w:w="998" w:type="dxa"/>
            <w:vMerge/>
            <w:tcBorders>
              <w:top w:val="single" w:sz="16" w:space="0" w:color="000000"/>
              <w:left w:val="single" w:sz="16" w:space="0" w:color="000000"/>
              <w:bottom w:val="nil"/>
              <w:right w:val="nil"/>
            </w:tcBorders>
            <w:shd w:val="clear" w:color="auto" w:fill="FFFFFF"/>
            <w:vAlign w:val="center"/>
          </w:tcPr>
          <w:p w14:paraId="61C32EA2"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color w:val="000000"/>
                <w:sz w:val="24"/>
                <w:szCs w:val="24"/>
              </w:rPr>
            </w:pPr>
          </w:p>
        </w:tc>
        <w:tc>
          <w:tcPr>
            <w:tcW w:w="2636" w:type="dxa"/>
            <w:tcBorders>
              <w:top w:val="nil"/>
              <w:left w:val="nil"/>
              <w:bottom w:val="nil"/>
              <w:right w:val="single" w:sz="16" w:space="0" w:color="000000"/>
            </w:tcBorders>
            <w:shd w:val="clear" w:color="auto" w:fill="FFFFFF"/>
            <w:vAlign w:val="center"/>
          </w:tcPr>
          <w:p w14:paraId="17E0F62A" w14:textId="77777777" w:rsidR="00A66BAD" w:rsidRPr="007E3F92" w:rsidRDefault="00A66BAD" w:rsidP="00322954">
            <w:pPr>
              <w:autoSpaceDE w:val="0"/>
              <w:autoSpaceDN w:val="0"/>
              <w:adjustRightInd w:val="0"/>
              <w:spacing w:after="0" w:line="36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Sig. (2-tailed)</w:t>
            </w:r>
          </w:p>
        </w:tc>
        <w:tc>
          <w:tcPr>
            <w:tcW w:w="1349" w:type="dxa"/>
            <w:tcBorders>
              <w:top w:val="nil"/>
              <w:left w:val="single" w:sz="16" w:space="0" w:color="000000"/>
              <w:bottom w:val="nil"/>
            </w:tcBorders>
            <w:shd w:val="clear" w:color="auto" w:fill="FFFFFF"/>
          </w:tcPr>
          <w:p w14:paraId="2C505FA8"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sz w:val="24"/>
                <w:szCs w:val="24"/>
              </w:rPr>
            </w:pPr>
          </w:p>
        </w:tc>
        <w:tc>
          <w:tcPr>
            <w:tcW w:w="1349" w:type="dxa"/>
            <w:tcBorders>
              <w:top w:val="nil"/>
              <w:bottom w:val="nil"/>
            </w:tcBorders>
            <w:shd w:val="clear" w:color="auto" w:fill="FFFFFF"/>
            <w:vAlign w:val="center"/>
          </w:tcPr>
          <w:p w14:paraId="227284ED" w14:textId="77777777" w:rsidR="00A66BAD" w:rsidRPr="007E3F92" w:rsidRDefault="00A66BAD" w:rsidP="00322954">
            <w:pPr>
              <w:autoSpaceDE w:val="0"/>
              <w:autoSpaceDN w:val="0"/>
              <w:adjustRightInd w:val="0"/>
              <w:spacing w:after="0" w:line="36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.324</w:t>
            </w:r>
          </w:p>
        </w:tc>
        <w:tc>
          <w:tcPr>
            <w:tcW w:w="1349" w:type="dxa"/>
            <w:tcBorders>
              <w:top w:val="nil"/>
              <w:bottom w:val="nil"/>
              <w:right w:val="single" w:sz="16" w:space="0" w:color="000000"/>
            </w:tcBorders>
            <w:shd w:val="clear" w:color="auto" w:fill="FFFFFF"/>
            <w:vAlign w:val="center"/>
          </w:tcPr>
          <w:p w14:paraId="1E624A39" w14:textId="77777777" w:rsidR="00A66BAD" w:rsidRPr="007E3F92" w:rsidRDefault="00A66BAD" w:rsidP="00322954">
            <w:pPr>
              <w:autoSpaceDE w:val="0"/>
              <w:autoSpaceDN w:val="0"/>
              <w:adjustRightInd w:val="0"/>
              <w:spacing w:after="0" w:line="36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.014</w:t>
            </w:r>
          </w:p>
        </w:tc>
      </w:tr>
      <w:tr w:rsidR="00A66BAD" w:rsidRPr="007E3F92" w14:paraId="63FB6303" w14:textId="77777777" w:rsidTr="005053C7">
        <w:trPr>
          <w:cantSplit/>
          <w:trHeight w:val="146"/>
        </w:trPr>
        <w:tc>
          <w:tcPr>
            <w:tcW w:w="998" w:type="dxa"/>
            <w:vMerge/>
            <w:tcBorders>
              <w:top w:val="single" w:sz="16" w:space="0" w:color="000000"/>
              <w:left w:val="single" w:sz="16" w:space="0" w:color="000000"/>
              <w:bottom w:val="nil"/>
              <w:right w:val="nil"/>
            </w:tcBorders>
            <w:shd w:val="clear" w:color="auto" w:fill="FFFFFF"/>
            <w:vAlign w:val="center"/>
          </w:tcPr>
          <w:p w14:paraId="3B407793"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color w:val="000000"/>
                <w:sz w:val="24"/>
                <w:szCs w:val="24"/>
              </w:rPr>
            </w:pPr>
          </w:p>
        </w:tc>
        <w:tc>
          <w:tcPr>
            <w:tcW w:w="2636" w:type="dxa"/>
            <w:tcBorders>
              <w:top w:val="nil"/>
              <w:left w:val="nil"/>
              <w:bottom w:val="nil"/>
              <w:right w:val="single" w:sz="16" w:space="0" w:color="000000"/>
            </w:tcBorders>
            <w:shd w:val="clear" w:color="auto" w:fill="FFFFFF"/>
            <w:vAlign w:val="center"/>
          </w:tcPr>
          <w:p w14:paraId="33381067" w14:textId="77777777" w:rsidR="00A66BAD" w:rsidRPr="007E3F92" w:rsidRDefault="00A66BAD" w:rsidP="00322954">
            <w:pPr>
              <w:autoSpaceDE w:val="0"/>
              <w:autoSpaceDN w:val="0"/>
              <w:adjustRightInd w:val="0"/>
              <w:spacing w:after="0" w:line="36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N</w:t>
            </w:r>
          </w:p>
        </w:tc>
        <w:tc>
          <w:tcPr>
            <w:tcW w:w="1349" w:type="dxa"/>
            <w:tcBorders>
              <w:top w:val="nil"/>
              <w:left w:val="single" w:sz="16" w:space="0" w:color="000000"/>
              <w:bottom w:val="nil"/>
            </w:tcBorders>
            <w:shd w:val="clear" w:color="auto" w:fill="FFFFFF"/>
            <w:vAlign w:val="center"/>
          </w:tcPr>
          <w:p w14:paraId="08DA1CA2" w14:textId="77777777" w:rsidR="00A66BAD" w:rsidRPr="007E3F92" w:rsidRDefault="00A66BAD" w:rsidP="00322954">
            <w:pPr>
              <w:autoSpaceDE w:val="0"/>
              <w:autoSpaceDN w:val="0"/>
              <w:adjustRightInd w:val="0"/>
              <w:spacing w:after="0" w:line="36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w:t>
            </w:r>
          </w:p>
        </w:tc>
        <w:tc>
          <w:tcPr>
            <w:tcW w:w="1349" w:type="dxa"/>
            <w:tcBorders>
              <w:top w:val="nil"/>
              <w:bottom w:val="nil"/>
            </w:tcBorders>
            <w:shd w:val="clear" w:color="auto" w:fill="FFFFFF"/>
            <w:vAlign w:val="center"/>
          </w:tcPr>
          <w:p w14:paraId="328924D4" w14:textId="77777777" w:rsidR="00A66BAD" w:rsidRPr="007E3F92" w:rsidRDefault="00A66BAD" w:rsidP="00322954">
            <w:pPr>
              <w:autoSpaceDE w:val="0"/>
              <w:autoSpaceDN w:val="0"/>
              <w:adjustRightInd w:val="0"/>
              <w:spacing w:after="0" w:line="36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w:t>
            </w:r>
          </w:p>
        </w:tc>
        <w:tc>
          <w:tcPr>
            <w:tcW w:w="1349" w:type="dxa"/>
            <w:tcBorders>
              <w:top w:val="nil"/>
              <w:bottom w:val="nil"/>
              <w:right w:val="single" w:sz="16" w:space="0" w:color="000000"/>
            </w:tcBorders>
            <w:shd w:val="clear" w:color="auto" w:fill="FFFFFF"/>
            <w:vAlign w:val="center"/>
          </w:tcPr>
          <w:p w14:paraId="5256B8C6" w14:textId="77777777" w:rsidR="00A66BAD" w:rsidRPr="007E3F92" w:rsidRDefault="00A66BAD" w:rsidP="00322954">
            <w:pPr>
              <w:autoSpaceDE w:val="0"/>
              <w:autoSpaceDN w:val="0"/>
              <w:adjustRightInd w:val="0"/>
              <w:spacing w:after="0" w:line="36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w:t>
            </w:r>
          </w:p>
        </w:tc>
      </w:tr>
      <w:tr w:rsidR="00A66BAD" w:rsidRPr="007E3F92" w14:paraId="0694CB4D" w14:textId="77777777" w:rsidTr="005053C7">
        <w:trPr>
          <w:cantSplit/>
          <w:trHeight w:val="563"/>
        </w:trPr>
        <w:tc>
          <w:tcPr>
            <w:tcW w:w="998" w:type="dxa"/>
            <w:vMerge w:val="restart"/>
            <w:tcBorders>
              <w:top w:val="nil"/>
              <w:left w:val="single" w:sz="16" w:space="0" w:color="000000"/>
              <w:bottom w:val="nil"/>
              <w:right w:val="nil"/>
            </w:tcBorders>
            <w:shd w:val="clear" w:color="auto" w:fill="FFFFFF"/>
            <w:vAlign w:val="center"/>
          </w:tcPr>
          <w:p w14:paraId="3E125730" w14:textId="77777777" w:rsidR="00A66BAD" w:rsidRPr="007E3F92" w:rsidRDefault="00A66BAD" w:rsidP="00322954">
            <w:pPr>
              <w:autoSpaceDE w:val="0"/>
              <w:autoSpaceDN w:val="0"/>
              <w:adjustRightInd w:val="0"/>
              <w:spacing w:after="0" w:line="36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SP"N</w:t>
            </w:r>
          </w:p>
        </w:tc>
        <w:tc>
          <w:tcPr>
            <w:tcW w:w="2636" w:type="dxa"/>
            <w:tcBorders>
              <w:top w:val="nil"/>
              <w:left w:val="nil"/>
              <w:bottom w:val="nil"/>
              <w:right w:val="single" w:sz="16" w:space="0" w:color="000000"/>
            </w:tcBorders>
            <w:shd w:val="clear" w:color="auto" w:fill="FFFFFF"/>
            <w:vAlign w:val="center"/>
          </w:tcPr>
          <w:p w14:paraId="60A791E5" w14:textId="77777777" w:rsidR="00A66BAD" w:rsidRPr="007E3F92" w:rsidRDefault="00A66BAD" w:rsidP="00322954">
            <w:pPr>
              <w:autoSpaceDE w:val="0"/>
              <w:autoSpaceDN w:val="0"/>
              <w:adjustRightInd w:val="0"/>
              <w:spacing w:after="0" w:line="36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Pearson Correlation</w:t>
            </w:r>
          </w:p>
        </w:tc>
        <w:tc>
          <w:tcPr>
            <w:tcW w:w="1349" w:type="dxa"/>
            <w:tcBorders>
              <w:top w:val="nil"/>
              <w:left w:val="single" w:sz="16" w:space="0" w:color="000000"/>
              <w:bottom w:val="nil"/>
            </w:tcBorders>
            <w:shd w:val="clear" w:color="auto" w:fill="FFFFFF"/>
            <w:vAlign w:val="center"/>
          </w:tcPr>
          <w:p w14:paraId="1794E6A5" w14:textId="77777777" w:rsidR="00A66BAD" w:rsidRPr="007E3F92" w:rsidRDefault="00A66BAD" w:rsidP="00322954">
            <w:pPr>
              <w:autoSpaceDE w:val="0"/>
              <w:autoSpaceDN w:val="0"/>
              <w:adjustRightInd w:val="0"/>
              <w:spacing w:after="0" w:line="36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.120</w:t>
            </w:r>
          </w:p>
        </w:tc>
        <w:tc>
          <w:tcPr>
            <w:tcW w:w="1349" w:type="dxa"/>
            <w:tcBorders>
              <w:top w:val="nil"/>
              <w:bottom w:val="nil"/>
            </w:tcBorders>
            <w:shd w:val="clear" w:color="auto" w:fill="FFFFFF"/>
            <w:vAlign w:val="center"/>
          </w:tcPr>
          <w:p w14:paraId="4661035C" w14:textId="77777777" w:rsidR="00A66BAD" w:rsidRPr="007E3F92" w:rsidRDefault="00A66BAD" w:rsidP="00322954">
            <w:pPr>
              <w:autoSpaceDE w:val="0"/>
              <w:autoSpaceDN w:val="0"/>
              <w:adjustRightInd w:val="0"/>
              <w:spacing w:after="0" w:line="36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w:t>
            </w:r>
          </w:p>
        </w:tc>
        <w:tc>
          <w:tcPr>
            <w:tcW w:w="1349" w:type="dxa"/>
            <w:tcBorders>
              <w:top w:val="nil"/>
              <w:bottom w:val="nil"/>
              <w:right w:val="single" w:sz="16" w:space="0" w:color="000000"/>
            </w:tcBorders>
            <w:shd w:val="clear" w:color="auto" w:fill="FFFFFF"/>
            <w:vAlign w:val="center"/>
          </w:tcPr>
          <w:p w14:paraId="12CABBD6" w14:textId="77777777" w:rsidR="00A66BAD" w:rsidRPr="007E3F92" w:rsidRDefault="00A66BAD" w:rsidP="00322954">
            <w:pPr>
              <w:autoSpaceDE w:val="0"/>
              <w:autoSpaceDN w:val="0"/>
              <w:adjustRightInd w:val="0"/>
              <w:spacing w:after="0" w:line="36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.143</w:t>
            </w:r>
          </w:p>
        </w:tc>
      </w:tr>
      <w:tr w:rsidR="00A66BAD" w:rsidRPr="007E3F92" w14:paraId="78D55149" w14:textId="77777777" w:rsidTr="005053C7">
        <w:trPr>
          <w:cantSplit/>
          <w:trHeight w:val="146"/>
        </w:trPr>
        <w:tc>
          <w:tcPr>
            <w:tcW w:w="998" w:type="dxa"/>
            <w:vMerge/>
            <w:tcBorders>
              <w:top w:val="nil"/>
              <w:left w:val="single" w:sz="16" w:space="0" w:color="000000"/>
              <w:bottom w:val="nil"/>
              <w:right w:val="nil"/>
            </w:tcBorders>
            <w:shd w:val="clear" w:color="auto" w:fill="FFFFFF"/>
            <w:vAlign w:val="center"/>
          </w:tcPr>
          <w:p w14:paraId="1547F230"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color w:val="000000"/>
                <w:sz w:val="24"/>
                <w:szCs w:val="24"/>
              </w:rPr>
            </w:pPr>
          </w:p>
        </w:tc>
        <w:tc>
          <w:tcPr>
            <w:tcW w:w="2636" w:type="dxa"/>
            <w:tcBorders>
              <w:top w:val="nil"/>
              <w:left w:val="nil"/>
              <w:bottom w:val="nil"/>
              <w:right w:val="single" w:sz="16" w:space="0" w:color="000000"/>
            </w:tcBorders>
            <w:shd w:val="clear" w:color="auto" w:fill="FFFFFF"/>
            <w:vAlign w:val="center"/>
          </w:tcPr>
          <w:p w14:paraId="0422CB2C" w14:textId="77777777" w:rsidR="00A66BAD" w:rsidRPr="007E3F92" w:rsidRDefault="00A66BAD" w:rsidP="00322954">
            <w:pPr>
              <w:autoSpaceDE w:val="0"/>
              <w:autoSpaceDN w:val="0"/>
              <w:adjustRightInd w:val="0"/>
              <w:spacing w:after="0" w:line="36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Sig. (2-tailed)</w:t>
            </w:r>
          </w:p>
        </w:tc>
        <w:tc>
          <w:tcPr>
            <w:tcW w:w="1349" w:type="dxa"/>
            <w:tcBorders>
              <w:top w:val="nil"/>
              <w:left w:val="single" w:sz="16" w:space="0" w:color="000000"/>
              <w:bottom w:val="nil"/>
            </w:tcBorders>
            <w:shd w:val="clear" w:color="auto" w:fill="FFFFFF"/>
            <w:vAlign w:val="center"/>
          </w:tcPr>
          <w:p w14:paraId="45D8FF25" w14:textId="77777777" w:rsidR="00A66BAD" w:rsidRPr="007E3F92" w:rsidRDefault="00A66BAD" w:rsidP="00322954">
            <w:pPr>
              <w:autoSpaceDE w:val="0"/>
              <w:autoSpaceDN w:val="0"/>
              <w:adjustRightInd w:val="0"/>
              <w:spacing w:after="0" w:line="36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.324</w:t>
            </w:r>
          </w:p>
        </w:tc>
        <w:tc>
          <w:tcPr>
            <w:tcW w:w="1349" w:type="dxa"/>
            <w:tcBorders>
              <w:top w:val="nil"/>
              <w:bottom w:val="nil"/>
            </w:tcBorders>
            <w:shd w:val="clear" w:color="auto" w:fill="FFFFFF"/>
          </w:tcPr>
          <w:p w14:paraId="30C11612"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sz w:val="24"/>
                <w:szCs w:val="24"/>
              </w:rPr>
            </w:pPr>
          </w:p>
        </w:tc>
        <w:tc>
          <w:tcPr>
            <w:tcW w:w="1349" w:type="dxa"/>
            <w:tcBorders>
              <w:top w:val="nil"/>
              <w:bottom w:val="nil"/>
              <w:right w:val="single" w:sz="16" w:space="0" w:color="000000"/>
            </w:tcBorders>
            <w:shd w:val="clear" w:color="auto" w:fill="FFFFFF"/>
            <w:vAlign w:val="center"/>
          </w:tcPr>
          <w:p w14:paraId="7A786C07" w14:textId="77777777" w:rsidR="00A66BAD" w:rsidRPr="007E3F92" w:rsidRDefault="00A66BAD" w:rsidP="00322954">
            <w:pPr>
              <w:autoSpaceDE w:val="0"/>
              <w:autoSpaceDN w:val="0"/>
              <w:adjustRightInd w:val="0"/>
              <w:spacing w:after="0" w:line="36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.237</w:t>
            </w:r>
          </w:p>
        </w:tc>
      </w:tr>
      <w:tr w:rsidR="00A66BAD" w:rsidRPr="007E3F92" w14:paraId="6141FEC8" w14:textId="77777777" w:rsidTr="005053C7">
        <w:trPr>
          <w:cantSplit/>
          <w:trHeight w:val="146"/>
        </w:trPr>
        <w:tc>
          <w:tcPr>
            <w:tcW w:w="998" w:type="dxa"/>
            <w:vMerge/>
            <w:tcBorders>
              <w:top w:val="nil"/>
              <w:left w:val="single" w:sz="16" w:space="0" w:color="000000"/>
              <w:bottom w:val="nil"/>
              <w:right w:val="nil"/>
            </w:tcBorders>
            <w:shd w:val="clear" w:color="auto" w:fill="FFFFFF"/>
            <w:vAlign w:val="center"/>
          </w:tcPr>
          <w:p w14:paraId="2A9C4A64"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color w:val="000000"/>
                <w:sz w:val="24"/>
                <w:szCs w:val="24"/>
              </w:rPr>
            </w:pPr>
          </w:p>
        </w:tc>
        <w:tc>
          <w:tcPr>
            <w:tcW w:w="2636" w:type="dxa"/>
            <w:tcBorders>
              <w:top w:val="nil"/>
              <w:left w:val="nil"/>
              <w:bottom w:val="nil"/>
              <w:right w:val="single" w:sz="16" w:space="0" w:color="000000"/>
            </w:tcBorders>
            <w:shd w:val="clear" w:color="auto" w:fill="FFFFFF"/>
            <w:vAlign w:val="center"/>
          </w:tcPr>
          <w:p w14:paraId="48DEB552" w14:textId="77777777" w:rsidR="00A66BAD" w:rsidRPr="007E3F92" w:rsidRDefault="00A66BAD" w:rsidP="00322954">
            <w:pPr>
              <w:autoSpaceDE w:val="0"/>
              <w:autoSpaceDN w:val="0"/>
              <w:adjustRightInd w:val="0"/>
              <w:spacing w:after="0" w:line="36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N</w:t>
            </w:r>
          </w:p>
        </w:tc>
        <w:tc>
          <w:tcPr>
            <w:tcW w:w="1349" w:type="dxa"/>
            <w:tcBorders>
              <w:top w:val="nil"/>
              <w:left w:val="single" w:sz="16" w:space="0" w:color="000000"/>
              <w:bottom w:val="nil"/>
            </w:tcBorders>
            <w:shd w:val="clear" w:color="auto" w:fill="FFFFFF"/>
            <w:vAlign w:val="center"/>
          </w:tcPr>
          <w:p w14:paraId="22DEE036" w14:textId="77777777" w:rsidR="00A66BAD" w:rsidRPr="007E3F92" w:rsidRDefault="00A66BAD" w:rsidP="00322954">
            <w:pPr>
              <w:autoSpaceDE w:val="0"/>
              <w:autoSpaceDN w:val="0"/>
              <w:adjustRightInd w:val="0"/>
              <w:spacing w:after="0" w:line="36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w:t>
            </w:r>
          </w:p>
        </w:tc>
        <w:tc>
          <w:tcPr>
            <w:tcW w:w="1349" w:type="dxa"/>
            <w:tcBorders>
              <w:top w:val="nil"/>
              <w:bottom w:val="nil"/>
            </w:tcBorders>
            <w:shd w:val="clear" w:color="auto" w:fill="FFFFFF"/>
            <w:vAlign w:val="center"/>
          </w:tcPr>
          <w:p w14:paraId="5B4C2DCA" w14:textId="77777777" w:rsidR="00A66BAD" w:rsidRPr="007E3F92" w:rsidRDefault="00A66BAD" w:rsidP="00322954">
            <w:pPr>
              <w:autoSpaceDE w:val="0"/>
              <w:autoSpaceDN w:val="0"/>
              <w:adjustRightInd w:val="0"/>
              <w:spacing w:after="0" w:line="36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w:t>
            </w:r>
          </w:p>
        </w:tc>
        <w:tc>
          <w:tcPr>
            <w:tcW w:w="1349" w:type="dxa"/>
            <w:tcBorders>
              <w:top w:val="nil"/>
              <w:bottom w:val="nil"/>
              <w:right w:val="single" w:sz="16" w:space="0" w:color="000000"/>
            </w:tcBorders>
            <w:shd w:val="clear" w:color="auto" w:fill="FFFFFF"/>
            <w:vAlign w:val="center"/>
          </w:tcPr>
          <w:p w14:paraId="148584BD" w14:textId="77777777" w:rsidR="00A66BAD" w:rsidRPr="007E3F92" w:rsidRDefault="00A66BAD" w:rsidP="00322954">
            <w:pPr>
              <w:autoSpaceDE w:val="0"/>
              <w:autoSpaceDN w:val="0"/>
              <w:adjustRightInd w:val="0"/>
              <w:spacing w:after="0" w:line="36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w:t>
            </w:r>
          </w:p>
        </w:tc>
      </w:tr>
      <w:tr w:rsidR="00A66BAD" w:rsidRPr="007E3F92" w14:paraId="4A434305" w14:textId="77777777" w:rsidTr="005053C7">
        <w:trPr>
          <w:cantSplit/>
          <w:trHeight w:val="563"/>
        </w:trPr>
        <w:tc>
          <w:tcPr>
            <w:tcW w:w="998" w:type="dxa"/>
            <w:vMerge w:val="restart"/>
            <w:tcBorders>
              <w:top w:val="nil"/>
              <w:left w:val="single" w:sz="16" w:space="0" w:color="000000"/>
              <w:bottom w:val="single" w:sz="16" w:space="0" w:color="000000"/>
              <w:right w:val="nil"/>
            </w:tcBorders>
            <w:shd w:val="clear" w:color="auto" w:fill="FFFFFF"/>
            <w:vAlign w:val="center"/>
          </w:tcPr>
          <w:p w14:paraId="3BD81A5E" w14:textId="77777777" w:rsidR="00A66BAD" w:rsidRPr="007E3F92" w:rsidRDefault="00A66BAD" w:rsidP="00322954">
            <w:pPr>
              <w:autoSpaceDE w:val="0"/>
              <w:autoSpaceDN w:val="0"/>
              <w:adjustRightInd w:val="0"/>
              <w:spacing w:after="0" w:line="36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AGE</w:t>
            </w:r>
          </w:p>
        </w:tc>
        <w:tc>
          <w:tcPr>
            <w:tcW w:w="2636" w:type="dxa"/>
            <w:tcBorders>
              <w:top w:val="nil"/>
              <w:left w:val="nil"/>
              <w:bottom w:val="nil"/>
              <w:right w:val="single" w:sz="16" w:space="0" w:color="000000"/>
            </w:tcBorders>
            <w:shd w:val="clear" w:color="auto" w:fill="FFFFFF"/>
            <w:vAlign w:val="center"/>
          </w:tcPr>
          <w:p w14:paraId="6C786E93" w14:textId="77777777" w:rsidR="00A66BAD" w:rsidRPr="007E3F92" w:rsidRDefault="00A66BAD" w:rsidP="00322954">
            <w:pPr>
              <w:autoSpaceDE w:val="0"/>
              <w:autoSpaceDN w:val="0"/>
              <w:adjustRightInd w:val="0"/>
              <w:spacing w:after="0" w:line="36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Pearson Correlation</w:t>
            </w:r>
          </w:p>
        </w:tc>
        <w:tc>
          <w:tcPr>
            <w:tcW w:w="1349" w:type="dxa"/>
            <w:tcBorders>
              <w:top w:val="nil"/>
              <w:left w:val="single" w:sz="16" w:space="0" w:color="000000"/>
              <w:bottom w:val="nil"/>
            </w:tcBorders>
            <w:shd w:val="clear" w:color="auto" w:fill="FFFFFF"/>
            <w:vAlign w:val="center"/>
          </w:tcPr>
          <w:p w14:paraId="6336E2DA" w14:textId="77777777" w:rsidR="00A66BAD" w:rsidRPr="007E3F92" w:rsidRDefault="00A66BAD" w:rsidP="00322954">
            <w:pPr>
              <w:autoSpaceDE w:val="0"/>
              <w:autoSpaceDN w:val="0"/>
              <w:adjustRightInd w:val="0"/>
              <w:spacing w:after="0" w:line="36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.291</w:t>
            </w:r>
            <w:r w:rsidRPr="007E3F92">
              <w:rPr>
                <w:rFonts w:asciiTheme="majorBidi" w:hAnsiTheme="majorBidi" w:cstheme="majorBidi"/>
                <w:color w:val="000000"/>
                <w:sz w:val="24"/>
                <w:szCs w:val="24"/>
                <w:vertAlign w:val="superscript"/>
              </w:rPr>
              <w:t>*</w:t>
            </w:r>
          </w:p>
        </w:tc>
        <w:tc>
          <w:tcPr>
            <w:tcW w:w="1349" w:type="dxa"/>
            <w:tcBorders>
              <w:top w:val="nil"/>
              <w:bottom w:val="nil"/>
            </w:tcBorders>
            <w:shd w:val="clear" w:color="auto" w:fill="FFFFFF"/>
            <w:vAlign w:val="center"/>
          </w:tcPr>
          <w:p w14:paraId="4BA9C34D" w14:textId="77777777" w:rsidR="00A66BAD" w:rsidRPr="007E3F92" w:rsidRDefault="00A66BAD" w:rsidP="00322954">
            <w:pPr>
              <w:autoSpaceDE w:val="0"/>
              <w:autoSpaceDN w:val="0"/>
              <w:adjustRightInd w:val="0"/>
              <w:spacing w:after="0" w:line="36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.143</w:t>
            </w:r>
          </w:p>
        </w:tc>
        <w:tc>
          <w:tcPr>
            <w:tcW w:w="1349" w:type="dxa"/>
            <w:tcBorders>
              <w:top w:val="nil"/>
              <w:bottom w:val="nil"/>
              <w:right w:val="single" w:sz="16" w:space="0" w:color="000000"/>
            </w:tcBorders>
            <w:shd w:val="clear" w:color="auto" w:fill="FFFFFF"/>
            <w:vAlign w:val="center"/>
          </w:tcPr>
          <w:p w14:paraId="4AB62F59" w14:textId="77777777" w:rsidR="00A66BAD" w:rsidRPr="007E3F92" w:rsidRDefault="00A66BAD" w:rsidP="00322954">
            <w:pPr>
              <w:autoSpaceDE w:val="0"/>
              <w:autoSpaceDN w:val="0"/>
              <w:adjustRightInd w:val="0"/>
              <w:spacing w:after="0" w:line="36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w:t>
            </w:r>
          </w:p>
        </w:tc>
      </w:tr>
      <w:tr w:rsidR="00A66BAD" w:rsidRPr="007E3F92" w14:paraId="12AAD73D" w14:textId="77777777" w:rsidTr="005053C7">
        <w:trPr>
          <w:cantSplit/>
          <w:trHeight w:val="146"/>
        </w:trPr>
        <w:tc>
          <w:tcPr>
            <w:tcW w:w="998" w:type="dxa"/>
            <w:vMerge/>
            <w:tcBorders>
              <w:top w:val="nil"/>
              <w:left w:val="single" w:sz="16" w:space="0" w:color="000000"/>
              <w:bottom w:val="single" w:sz="16" w:space="0" w:color="000000"/>
              <w:right w:val="nil"/>
            </w:tcBorders>
            <w:shd w:val="clear" w:color="auto" w:fill="FFFFFF"/>
            <w:vAlign w:val="center"/>
          </w:tcPr>
          <w:p w14:paraId="116F00EB"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color w:val="000000"/>
                <w:sz w:val="24"/>
                <w:szCs w:val="24"/>
              </w:rPr>
            </w:pPr>
          </w:p>
        </w:tc>
        <w:tc>
          <w:tcPr>
            <w:tcW w:w="2636" w:type="dxa"/>
            <w:tcBorders>
              <w:top w:val="nil"/>
              <w:left w:val="nil"/>
              <w:bottom w:val="nil"/>
              <w:right w:val="single" w:sz="16" w:space="0" w:color="000000"/>
            </w:tcBorders>
            <w:shd w:val="clear" w:color="auto" w:fill="FFFFFF"/>
            <w:vAlign w:val="center"/>
          </w:tcPr>
          <w:p w14:paraId="6A82F2A3" w14:textId="77777777" w:rsidR="00A66BAD" w:rsidRPr="007E3F92" w:rsidRDefault="00A66BAD" w:rsidP="00322954">
            <w:pPr>
              <w:autoSpaceDE w:val="0"/>
              <w:autoSpaceDN w:val="0"/>
              <w:adjustRightInd w:val="0"/>
              <w:spacing w:after="0" w:line="36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Sig. (2-tailed)</w:t>
            </w:r>
          </w:p>
        </w:tc>
        <w:tc>
          <w:tcPr>
            <w:tcW w:w="1349" w:type="dxa"/>
            <w:tcBorders>
              <w:top w:val="nil"/>
              <w:left w:val="single" w:sz="16" w:space="0" w:color="000000"/>
              <w:bottom w:val="nil"/>
            </w:tcBorders>
            <w:shd w:val="clear" w:color="auto" w:fill="FFFFFF"/>
            <w:vAlign w:val="center"/>
          </w:tcPr>
          <w:p w14:paraId="3CA34B0E" w14:textId="77777777" w:rsidR="00A66BAD" w:rsidRPr="007E3F92" w:rsidRDefault="00A66BAD" w:rsidP="00322954">
            <w:pPr>
              <w:autoSpaceDE w:val="0"/>
              <w:autoSpaceDN w:val="0"/>
              <w:adjustRightInd w:val="0"/>
              <w:spacing w:after="0" w:line="36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.014</w:t>
            </w:r>
          </w:p>
        </w:tc>
        <w:tc>
          <w:tcPr>
            <w:tcW w:w="1349" w:type="dxa"/>
            <w:tcBorders>
              <w:top w:val="nil"/>
              <w:bottom w:val="nil"/>
            </w:tcBorders>
            <w:shd w:val="clear" w:color="auto" w:fill="FFFFFF"/>
            <w:vAlign w:val="center"/>
          </w:tcPr>
          <w:p w14:paraId="5F832AE1" w14:textId="77777777" w:rsidR="00A66BAD" w:rsidRPr="007E3F92" w:rsidRDefault="00A66BAD" w:rsidP="00322954">
            <w:pPr>
              <w:autoSpaceDE w:val="0"/>
              <w:autoSpaceDN w:val="0"/>
              <w:adjustRightInd w:val="0"/>
              <w:spacing w:after="0" w:line="36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.237</w:t>
            </w:r>
          </w:p>
        </w:tc>
        <w:tc>
          <w:tcPr>
            <w:tcW w:w="1349" w:type="dxa"/>
            <w:tcBorders>
              <w:top w:val="nil"/>
              <w:bottom w:val="nil"/>
              <w:right w:val="single" w:sz="16" w:space="0" w:color="000000"/>
            </w:tcBorders>
            <w:shd w:val="clear" w:color="auto" w:fill="FFFFFF"/>
          </w:tcPr>
          <w:p w14:paraId="4610EEED"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sz w:val="24"/>
                <w:szCs w:val="24"/>
              </w:rPr>
            </w:pPr>
          </w:p>
        </w:tc>
      </w:tr>
      <w:tr w:rsidR="00A66BAD" w:rsidRPr="007E3F92" w14:paraId="4DF5C17B" w14:textId="77777777" w:rsidTr="005053C7">
        <w:trPr>
          <w:cantSplit/>
          <w:trHeight w:val="146"/>
        </w:trPr>
        <w:tc>
          <w:tcPr>
            <w:tcW w:w="998" w:type="dxa"/>
            <w:vMerge/>
            <w:tcBorders>
              <w:top w:val="nil"/>
              <w:left w:val="single" w:sz="16" w:space="0" w:color="000000"/>
              <w:bottom w:val="single" w:sz="16" w:space="0" w:color="000000"/>
              <w:right w:val="nil"/>
            </w:tcBorders>
            <w:shd w:val="clear" w:color="auto" w:fill="FFFFFF"/>
            <w:vAlign w:val="center"/>
          </w:tcPr>
          <w:p w14:paraId="3F0FEA2B"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sz w:val="24"/>
                <w:szCs w:val="24"/>
              </w:rPr>
            </w:pPr>
          </w:p>
        </w:tc>
        <w:tc>
          <w:tcPr>
            <w:tcW w:w="2636" w:type="dxa"/>
            <w:tcBorders>
              <w:top w:val="nil"/>
              <w:left w:val="nil"/>
              <w:bottom w:val="single" w:sz="16" w:space="0" w:color="000000"/>
              <w:right w:val="single" w:sz="16" w:space="0" w:color="000000"/>
            </w:tcBorders>
            <w:shd w:val="clear" w:color="auto" w:fill="FFFFFF"/>
            <w:vAlign w:val="center"/>
          </w:tcPr>
          <w:p w14:paraId="60975780" w14:textId="77777777" w:rsidR="00A66BAD" w:rsidRPr="007E3F92" w:rsidRDefault="00A66BAD" w:rsidP="00322954">
            <w:pPr>
              <w:autoSpaceDE w:val="0"/>
              <w:autoSpaceDN w:val="0"/>
              <w:adjustRightInd w:val="0"/>
              <w:spacing w:after="0" w:line="36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N</w:t>
            </w:r>
          </w:p>
        </w:tc>
        <w:tc>
          <w:tcPr>
            <w:tcW w:w="1349" w:type="dxa"/>
            <w:tcBorders>
              <w:top w:val="nil"/>
              <w:left w:val="single" w:sz="16" w:space="0" w:color="000000"/>
              <w:bottom w:val="single" w:sz="16" w:space="0" w:color="000000"/>
            </w:tcBorders>
            <w:shd w:val="clear" w:color="auto" w:fill="FFFFFF"/>
            <w:vAlign w:val="center"/>
          </w:tcPr>
          <w:p w14:paraId="2904A836" w14:textId="77777777" w:rsidR="00A66BAD" w:rsidRPr="007E3F92" w:rsidRDefault="00A66BAD" w:rsidP="00322954">
            <w:pPr>
              <w:autoSpaceDE w:val="0"/>
              <w:autoSpaceDN w:val="0"/>
              <w:adjustRightInd w:val="0"/>
              <w:spacing w:after="0" w:line="36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w:t>
            </w:r>
          </w:p>
        </w:tc>
        <w:tc>
          <w:tcPr>
            <w:tcW w:w="1349" w:type="dxa"/>
            <w:tcBorders>
              <w:top w:val="nil"/>
              <w:bottom w:val="single" w:sz="16" w:space="0" w:color="000000"/>
            </w:tcBorders>
            <w:shd w:val="clear" w:color="auto" w:fill="FFFFFF"/>
            <w:vAlign w:val="center"/>
          </w:tcPr>
          <w:p w14:paraId="32B5E9DF" w14:textId="77777777" w:rsidR="00A66BAD" w:rsidRPr="007E3F92" w:rsidRDefault="00A66BAD" w:rsidP="00322954">
            <w:pPr>
              <w:autoSpaceDE w:val="0"/>
              <w:autoSpaceDN w:val="0"/>
              <w:adjustRightInd w:val="0"/>
              <w:spacing w:after="0" w:line="36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w:t>
            </w:r>
          </w:p>
        </w:tc>
        <w:tc>
          <w:tcPr>
            <w:tcW w:w="1349" w:type="dxa"/>
            <w:tcBorders>
              <w:top w:val="nil"/>
              <w:bottom w:val="single" w:sz="16" w:space="0" w:color="000000"/>
              <w:right w:val="single" w:sz="16" w:space="0" w:color="000000"/>
            </w:tcBorders>
            <w:shd w:val="clear" w:color="auto" w:fill="FFFFFF"/>
            <w:vAlign w:val="center"/>
          </w:tcPr>
          <w:p w14:paraId="07D9EA14" w14:textId="77777777" w:rsidR="00A66BAD" w:rsidRPr="007E3F92" w:rsidRDefault="00A66BAD" w:rsidP="00322954">
            <w:pPr>
              <w:autoSpaceDE w:val="0"/>
              <w:autoSpaceDN w:val="0"/>
              <w:adjustRightInd w:val="0"/>
              <w:spacing w:after="0" w:line="36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w:t>
            </w:r>
          </w:p>
        </w:tc>
      </w:tr>
      <w:tr w:rsidR="00A66BAD" w:rsidRPr="007E3F92" w14:paraId="3CB40D77" w14:textId="77777777" w:rsidTr="005053C7">
        <w:trPr>
          <w:cantSplit/>
          <w:trHeight w:val="270"/>
        </w:trPr>
        <w:tc>
          <w:tcPr>
            <w:tcW w:w="7683" w:type="dxa"/>
            <w:gridSpan w:val="5"/>
            <w:tcBorders>
              <w:top w:val="nil"/>
              <w:left w:val="nil"/>
              <w:bottom w:val="nil"/>
              <w:right w:val="nil"/>
            </w:tcBorders>
            <w:shd w:val="clear" w:color="auto" w:fill="FFFFFF"/>
          </w:tcPr>
          <w:p w14:paraId="680C58B5" w14:textId="77777777" w:rsidR="00A66BAD" w:rsidRPr="007E3F92" w:rsidRDefault="00A66BAD" w:rsidP="00322954">
            <w:pPr>
              <w:autoSpaceDE w:val="0"/>
              <w:autoSpaceDN w:val="0"/>
              <w:adjustRightInd w:val="0"/>
              <w:spacing w:after="0" w:line="36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 Correlation is significant at the 0.05 level (2-tailed).</w:t>
            </w:r>
          </w:p>
        </w:tc>
      </w:tr>
    </w:tbl>
    <w:p w14:paraId="627575C8" w14:textId="642B1A9B" w:rsidR="00A66BAD" w:rsidRPr="007E3F92" w:rsidRDefault="00867865" w:rsidP="00322954">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Source: SPSS (23) output based on data collected, 2025</w:t>
      </w:r>
    </w:p>
    <w:p w14:paraId="7629A90E" w14:textId="12DF07BD" w:rsidR="00A66BAD" w:rsidRPr="007E3F92" w:rsidRDefault="00A66BAD" w:rsidP="0047083F">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lastRenderedPageBreak/>
        <w:t xml:space="preserve">Table 4.2 shows the correlation result of the dependent variable share price and the independent variables of AFEE, AFS, ATN, AGE and SIZE. The association between share price (SP) and the independent variable AFEE is positive this means that there is a direct association between SP and AFEE that is an increase in AFEE will lead to a significant increase in share price (SP). The association between share price and AFS is positive which shows that there is a direct association between AFS and share price meaning that the higher the AFS the higher the share price. The association between dependent variable and the independent variable ATN is negative which shows that there is inverse association between ATN and share price meaning that the higher the ATN the lower the share price. The association between company age and share price is positive which means that there is a direct association between company age and share price meaning that the older the company the higher the share price. The association between company size and share price is positive which shows a direct association between the company size and share price, meaning that the higher the company size the higher the share price. </w:t>
      </w:r>
    </w:p>
    <w:p w14:paraId="374777EC" w14:textId="77777777" w:rsidR="00A66BAD" w:rsidRPr="007E3F92" w:rsidRDefault="00A66BAD" w:rsidP="0047083F">
      <w:pPr>
        <w:spacing w:before="240" w:after="0" w:line="360" w:lineRule="auto"/>
        <w:jc w:val="both"/>
        <w:rPr>
          <w:rFonts w:asciiTheme="majorBidi" w:hAnsiTheme="majorBidi" w:cstheme="majorBidi"/>
          <w:b/>
          <w:bCs/>
          <w:sz w:val="24"/>
          <w:szCs w:val="24"/>
        </w:rPr>
      </w:pPr>
      <w:r w:rsidRPr="007E3F92">
        <w:rPr>
          <w:rFonts w:asciiTheme="majorBidi" w:hAnsiTheme="majorBidi" w:cstheme="majorBidi"/>
          <w:b/>
          <w:bCs/>
          <w:sz w:val="24"/>
          <w:szCs w:val="24"/>
        </w:rPr>
        <w:t>4.4</w:t>
      </w:r>
      <w:r w:rsidRPr="007E3F92">
        <w:rPr>
          <w:rFonts w:asciiTheme="majorBidi" w:hAnsiTheme="majorBidi" w:cstheme="majorBidi"/>
          <w:b/>
          <w:bCs/>
          <w:sz w:val="24"/>
          <w:szCs w:val="24"/>
        </w:rPr>
        <w:tab/>
        <w:t>Regression Analysis</w:t>
      </w:r>
    </w:p>
    <w:p w14:paraId="4BD059B2" w14:textId="77777777" w:rsidR="00A66BAD" w:rsidRPr="007E3F92" w:rsidRDefault="00A66BAD" w:rsidP="00322954">
      <w:pPr>
        <w:spacing w:after="0" w:line="360" w:lineRule="auto"/>
        <w:jc w:val="both"/>
        <w:rPr>
          <w:rFonts w:asciiTheme="majorBidi" w:hAnsiTheme="majorBidi" w:cstheme="majorBidi"/>
          <w:b/>
          <w:bCs/>
          <w:sz w:val="24"/>
          <w:szCs w:val="24"/>
        </w:rPr>
      </w:pPr>
      <w:r w:rsidRPr="007E3F92">
        <w:rPr>
          <w:rFonts w:asciiTheme="majorBidi" w:hAnsiTheme="majorBidi" w:cstheme="majorBidi"/>
          <w:sz w:val="24"/>
          <w:szCs w:val="24"/>
        </w:rPr>
        <w:t xml:space="preserve">Regression is used to determine the relationship between the variables of the study, the variables are share price </w:t>
      </w:r>
      <w:r w:rsidRPr="007E3F92">
        <w:rPr>
          <w:rFonts w:asciiTheme="majorBidi" w:hAnsiTheme="majorBidi" w:cstheme="majorBidi"/>
          <w:color w:val="000000" w:themeColor="text1"/>
          <w:sz w:val="24"/>
          <w:szCs w:val="24"/>
        </w:rPr>
        <w:t>(dependent variable) and AFEE, AFS, ATN, AGE and SIZE (independent variable).</w:t>
      </w:r>
    </w:p>
    <w:p w14:paraId="130DEE03"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Sp</w:t>
      </w:r>
      <w:r w:rsidRPr="007E3F92">
        <w:rPr>
          <w:rFonts w:asciiTheme="majorBidi" w:hAnsiTheme="majorBidi" w:cstheme="majorBidi"/>
          <w:sz w:val="24"/>
          <w:szCs w:val="24"/>
          <w:vertAlign w:val="subscript"/>
        </w:rPr>
        <w:t>it</w:t>
      </w:r>
      <w:r w:rsidRPr="007E3F92">
        <w:rPr>
          <w:rFonts w:asciiTheme="majorBidi" w:hAnsiTheme="majorBidi" w:cstheme="majorBidi"/>
          <w:sz w:val="24"/>
          <w:szCs w:val="24"/>
        </w:rPr>
        <w:t xml:space="preserve"> =β</w:t>
      </w:r>
      <w:r w:rsidRPr="007E3F92">
        <w:rPr>
          <w:rFonts w:asciiTheme="majorBidi" w:hAnsiTheme="majorBidi" w:cstheme="majorBidi"/>
          <w:sz w:val="24"/>
          <w:szCs w:val="24"/>
          <w:vertAlign w:val="subscript"/>
        </w:rPr>
        <w:t>0it</w:t>
      </w:r>
      <w:r w:rsidRPr="007E3F92">
        <w:rPr>
          <w:rFonts w:asciiTheme="majorBidi" w:hAnsiTheme="majorBidi" w:cstheme="majorBidi"/>
          <w:sz w:val="24"/>
          <w:szCs w:val="24"/>
        </w:rPr>
        <w:t xml:space="preserve"> + β</w:t>
      </w:r>
      <w:r w:rsidRPr="007E3F92">
        <w:rPr>
          <w:rFonts w:asciiTheme="majorBidi" w:hAnsiTheme="majorBidi" w:cstheme="majorBidi"/>
          <w:sz w:val="24"/>
          <w:szCs w:val="24"/>
          <w:vertAlign w:val="subscript"/>
        </w:rPr>
        <w:t>1</w:t>
      </w:r>
      <w:r w:rsidRPr="007E3F92">
        <w:rPr>
          <w:rFonts w:asciiTheme="majorBidi" w:hAnsiTheme="majorBidi" w:cstheme="majorBidi"/>
          <w:sz w:val="24"/>
          <w:szCs w:val="24"/>
        </w:rPr>
        <w:t>AFS</w:t>
      </w:r>
      <w:r w:rsidRPr="007E3F92">
        <w:rPr>
          <w:rFonts w:asciiTheme="majorBidi" w:hAnsiTheme="majorBidi" w:cstheme="majorBidi"/>
          <w:sz w:val="24"/>
          <w:szCs w:val="24"/>
          <w:vertAlign w:val="subscript"/>
        </w:rPr>
        <w:t>it</w:t>
      </w:r>
      <w:r w:rsidRPr="007E3F92">
        <w:rPr>
          <w:rFonts w:asciiTheme="majorBidi" w:hAnsiTheme="majorBidi" w:cstheme="majorBidi"/>
          <w:sz w:val="24"/>
          <w:szCs w:val="24"/>
        </w:rPr>
        <w:t xml:space="preserve"> + β</w:t>
      </w:r>
      <w:r w:rsidRPr="007E3F92">
        <w:rPr>
          <w:rFonts w:asciiTheme="majorBidi" w:hAnsiTheme="majorBidi" w:cstheme="majorBidi"/>
          <w:sz w:val="24"/>
          <w:szCs w:val="24"/>
          <w:vertAlign w:val="subscript"/>
        </w:rPr>
        <w:t>2</w:t>
      </w:r>
      <w:r w:rsidRPr="007E3F92">
        <w:rPr>
          <w:rFonts w:asciiTheme="majorBidi" w:hAnsiTheme="majorBidi" w:cstheme="majorBidi"/>
          <w:sz w:val="24"/>
          <w:szCs w:val="24"/>
        </w:rPr>
        <w:t>ATN</w:t>
      </w:r>
      <w:r w:rsidRPr="007E3F92">
        <w:rPr>
          <w:rFonts w:asciiTheme="majorBidi" w:hAnsiTheme="majorBidi" w:cstheme="majorBidi"/>
          <w:sz w:val="24"/>
          <w:szCs w:val="24"/>
          <w:vertAlign w:val="subscript"/>
        </w:rPr>
        <w:t>it</w:t>
      </w:r>
      <w:r w:rsidRPr="007E3F92">
        <w:rPr>
          <w:rFonts w:asciiTheme="majorBidi" w:hAnsiTheme="majorBidi" w:cstheme="majorBidi"/>
          <w:sz w:val="24"/>
          <w:szCs w:val="24"/>
        </w:rPr>
        <w:t xml:space="preserve"> + β</w:t>
      </w:r>
      <w:r w:rsidRPr="007E3F92">
        <w:rPr>
          <w:rFonts w:asciiTheme="majorBidi" w:hAnsiTheme="majorBidi" w:cstheme="majorBidi"/>
          <w:sz w:val="24"/>
          <w:szCs w:val="24"/>
          <w:vertAlign w:val="subscript"/>
        </w:rPr>
        <w:t>3</w:t>
      </w:r>
      <w:r w:rsidRPr="007E3F92">
        <w:rPr>
          <w:rFonts w:asciiTheme="majorBidi" w:hAnsiTheme="majorBidi" w:cstheme="majorBidi"/>
          <w:sz w:val="24"/>
          <w:szCs w:val="24"/>
        </w:rPr>
        <w:t>AFEE</w:t>
      </w:r>
      <w:r w:rsidRPr="007E3F92">
        <w:rPr>
          <w:rFonts w:asciiTheme="majorBidi" w:hAnsiTheme="majorBidi" w:cstheme="majorBidi"/>
          <w:sz w:val="24"/>
          <w:szCs w:val="24"/>
          <w:vertAlign w:val="subscript"/>
        </w:rPr>
        <w:t>it</w:t>
      </w:r>
      <w:r w:rsidRPr="007E3F92">
        <w:rPr>
          <w:rFonts w:asciiTheme="majorBidi" w:hAnsiTheme="majorBidi" w:cstheme="majorBidi"/>
          <w:sz w:val="24"/>
          <w:szCs w:val="24"/>
        </w:rPr>
        <w:t xml:space="preserve"> +β</w:t>
      </w:r>
      <w:r w:rsidRPr="007E3F92">
        <w:rPr>
          <w:rFonts w:asciiTheme="majorBidi" w:hAnsiTheme="majorBidi" w:cstheme="majorBidi"/>
          <w:sz w:val="24"/>
          <w:szCs w:val="24"/>
          <w:vertAlign w:val="subscript"/>
        </w:rPr>
        <w:t>4</w:t>
      </w:r>
      <w:r w:rsidRPr="007E3F92">
        <w:rPr>
          <w:rFonts w:asciiTheme="majorBidi" w:hAnsiTheme="majorBidi" w:cstheme="majorBidi"/>
          <w:sz w:val="24"/>
          <w:szCs w:val="24"/>
        </w:rPr>
        <w:t>AGE + β</w:t>
      </w:r>
      <w:r w:rsidRPr="007E3F92">
        <w:rPr>
          <w:rFonts w:asciiTheme="majorBidi" w:hAnsiTheme="majorBidi" w:cstheme="majorBidi"/>
          <w:sz w:val="24"/>
          <w:szCs w:val="24"/>
          <w:vertAlign w:val="subscript"/>
        </w:rPr>
        <w:t>5</w:t>
      </w:r>
      <w:r w:rsidRPr="007E3F92">
        <w:rPr>
          <w:rFonts w:asciiTheme="majorBidi" w:hAnsiTheme="majorBidi" w:cstheme="majorBidi"/>
          <w:sz w:val="24"/>
          <w:szCs w:val="24"/>
        </w:rPr>
        <w:t>SIZE ………. ei</w:t>
      </w:r>
    </w:p>
    <w:p w14:paraId="1870B598"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Sp</w:t>
      </w:r>
      <w:r w:rsidRPr="007E3F92">
        <w:rPr>
          <w:rFonts w:asciiTheme="majorBidi" w:hAnsiTheme="majorBidi" w:cstheme="majorBidi"/>
          <w:sz w:val="24"/>
          <w:szCs w:val="24"/>
          <w:vertAlign w:val="subscript"/>
        </w:rPr>
        <w:t xml:space="preserve">it </w:t>
      </w:r>
      <w:r w:rsidRPr="007E3F92">
        <w:rPr>
          <w:rFonts w:asciiTheme="majorBidi" w:hAnsiTheme="majorBidi" w:cstheme="majorBidi"/>
          <w:sz w:val="24"/>
          <w:szCs w:val="24"/>
        </w:rPr>
        <w:t>=</w:t>
      </w:r>
      <w:r w:rsidRPr="007E3F92">
        <w:rPr>
          <w:rFonts w:asciiTheme="majorBidi" w:hAnsiTheme="majorBidi" w:cstheme="majorBidi"/>
          <w:color w:val="000000"/>
          <w:sz w:val="24"/>
          <w:szCs w:val="24"/>
        </w:rPr>
        <w:t>7.031</w:t>
      </w:r>
      <w:r w:rsidRPr="007E3F92">
        <w:rPr>
          <w:rFonts w:asciiTheme="majorBidi" w:hAnsiTheme="majorBidi" w:cstheme="majorBidi"/>
          <w:sz w:val="24"/>
          <w:szCs w:val="24"/>
        </w:rPr>
        <w:t xml:space="preserve">+ </w:t>
      </w:r>
      <w:r w:rsidRPr="007E3F92">
        <w:rPr>
          <w:rFonts w:asciiTheme="majorBidi" w:hAnsiTheme="majorBidi" w:cstheme="majorBidi"/>
          <w:color w:val="000000"/>
          <w:sz w:val="24"/>
          <w:szCs w:val="24"/>
        </w:rPr>
        <w:t>-2.649</w:t>
      </w:r>
      <w:r w:rsidRPr="007E3F92">
        <w:rPr>
          <w:rFonts w:asciiTheme="majorBidi" w:hAnsiTheme="majorBidi" w:cstheme="majorBidi"/>
          <w:sz w:val="24"/>
          <w:szCs w:val="24"/>
        </w:rPr>
        <w:t xml:space="preserve">AFS + </w:t>
      </w:r>
      <w:r w:rsidRPr="007E3F92">
        <w:rPr>
          <w:rFonts w:asciiTheme="majorBidi" w:hAnsiTheme="majorBidi" w:cstheme="majorBidi"/>
          <w:color w:val="000000"/>
          <w:sz w:val="24"/>
          <w:szCs w:val="24"/>
        </w:rPr>
        <w:t>-0.760ATN</w:t>
      </w:r>
      <w:r w:rsidRPr="007E3F92">
        <w:rPr>
          <w:rFonts w:asciiTheme="majorBidi" w:hAnsiTheme="majorBidi" w:cstheme="majorBidi"/>
          <w:sz w:val="24"/>
          <w:szCs w:val="24"/>
        </w:rPr>
        <w:t xml:space="preserve"> + </w:t>
      </w:r>
      <w:r w:rsidRPr="007E3F92">
        <w:rPr>
          <w:rFonts w:asciiTheme="majorBidi" w:hAnsiTheme="majorBidi" w:cstheme="majorBidi"/>
          <w:color w:val="000000"/>
          <w:sz w:val="24"/>
          <w:szCs w:val="24"/>
        </w:rPr>
        <w:t>-0.147</w:t>
      </w:r>
      <w:r w:rsidRPr="007E3F92">
        <w:rPr>
          <w:rFonts w:asciiTheme="majorBidi" w:hAnsiTheme="majorBidi" w:cstheme="majorBidi"/>
          <w:sz w:val="24"/>
          <w:szCs w:val="24"/>
        </w:rPr>
        <w:t xml:space="preserve">AFEE + </w:t>
      </w:r>
      <w:r w:rsidRPr="007E3F92">
        <w:rPr>
          <w:rFonts w:asciiTheme="majorBidi" w:hAnsiTheme="majorBidi" w:cstheme="majorBidi"/>
          <w:color w:val="000000"/>
          <w:sz w:val="24"/>
          <w:szCs w:val="24"/>
        </w:rPr>
        <w:t>-0.058</w:t>
      </w:r>
      <w:r w:rsidRPr="007E3F92">
        <w:rPr>
          <w:rFonts w:asciiTheme="majorBidi" w:hAnsiTheme="majorBidi" w:cstheme="majorBidi"/>
          <w:sz w:val="24"/>
          <w:szCs w:val="24"/>
        </w:rPr>
        <w:t>AGE +</w:t>
      </w:r>
      <w:r w:rsidRPr="007E3F92">
        <w:rPr>
          <w:rFonts w:asciiTheme="majorBidi" w:hAnsiTheme="majorBidi" w:cstheme="majorBidi"/>
          <w:color w:val="000000"/>
          <w:sz w:val="24"/>
          <w:szCs w:val="24"/>
        </w:rPr>
        <w:t>184</w:t>
      </w:r>
      <w:r w:rsidRPr="007E3F92">
        <w:rPr>
          <w:rFonts w:asciiTheme="majorBidi" w:hAnsiTheme="majorBidi" w:cstheme="majorBidi"/>
          <w:sz w:val="24"/>
          <w:szCs w:val="24"/>
        </w:rPr>
        <w:t>SIZE + …….ei</w:t>
      </w:r>
    </w:p>
    <w:p w14:paraId="36F34D27"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color w:val="000000" w:themeColor="text1"/>
          <w:sz w:val="24"/>
          <w:szCs w:val="24"/>
        </w:rPr>
      </w:pPr>
      <w:r w:rsidRPr="007E3F92">
        <w:rPr>
          <w:rFonts w:asciiTheme="majorBidi" w:hAnsiTheme="majorBidi" w:cstheme="majorBidi"/>
          <w:color w:val="000000" w:themeColor="text1"/>
          <w:sz w:val="24"/>
          <w:szCs w:val="24"/>
        </w:rPr>
        <w:t>Table 4.3 shows the model summary, the R (0.584) shows positive relationship between the dependent and independent variables. The coefficient of determination R</w:t>
      </w:r>
      <w:r w:rsidRPr="007E3F92">
        <w:rPr>
          <w:rFonts w:asciiTheme="majorBidi" w:hAnsiTheme="majorBidi" w:cstheme="majorBidi"/>
          <w:color w:val="000000" w:themeColor="text1"/>
          <w:sz w:val="24"/>
          <w:szCs w:val="24"/>
          <w:vertAlign w:val="superscript"/>
        </w:rPr>
        <w:t>2</w:t>
      </w:r>
      <w:r w:rsidRPr="007E3F92">
        <w:rPr>
          <w:rFonts w:asciiTheme="majorBidi" w:hAnsiTheme="majorBidi" w:cstheme="majorBidi"/>
          <w:color w:val="000000" w:themeColor="text1"/>
          <w:sz w:val="24"/>
          <w:szCs w:val="24"/>
        </w:rPr>
        <w:t xml:space="preserve"> is 0.458. This means that 45.8% of change in SP was caused by changes in independent variables AFEE, AFS, ATN; while 54.2% change in SP was caused by other factors not included in the model.</w:t>
      </w:r>
    </w:p>
    <w:p w14:paraId="2F3D2810" w14:textId="77777777" w:rsidR="0047083F" w:rsidRDefault="0047083F" w:rsidP="00322954">
      <w:pPr>
        <w:spacing w:after="0" w:line="360" w:lineRule="auto"/>
        <w:jc w:val="both"/>
        <w:rPr>
          <w:rFonts w:asciiTheme="majorBidi" w:hAnsiTheme="majorBidi" w:cstheme="majorBidi"/>
          <w:b/>
          <w:bCs/>
          <w:sz w:val="24"/>
          <w:szCs w:val="24"/>
        </w:rPr>
      </w:pPr>
    </w:p>
    <w:p w14:paraId="2EE3AF34" w14:textId="77777777" w:rsidR="00A66BAD" w:rsidRPr="007E3F92" w:rsidRDefault="00A66BAD" w:rsidP="00322954">
      <w:pPr>
        <w:spacing w:after="0" w:line="360" w:lineRule="auto"/>
        <w:jc w:val="both"/>
        <w:rPr>
          <w:rFonts w:asciiTheme="majorBidi" w:hAnsiTheme="majorBidi" w:cstheme="majorBidi"/>
          <w:b/>
          <w:bCs/>
          <w:sz w:val="24"/>
          <w:szCs w:val="24"/>
        </w:rPr>
      </w:pPr>
      <w:r w:rsidRPr="007E3F92">
        <w:rPr>
          <w:rFonts w:asciiTheme="majorBidi" w:hAnsiTheme="majorBidi" w:cstheme="majorBidi"/>
          <w:b/>
          <w:bCs/>
          <w:sz w:val="24"/>
          <w:szCs w:val="24"/>
        </w:rPr>
        <w:lastRenderedPageBreak/>
        <w:t>Table 4.3: OLS Regression Results</w:t>
      </w:r>
    </w:p>
    <w:tbl>
      <w:tblPr>
        <w:tblW w:w="7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154"/>
        <w:gridCol w:w="1310"/>
        <w:gridCol w:w="1308"/>
        <w:gridCol w:w="1440"/>
        <w:gridCol w:w="1000"/>
        <w:gridCol w:w="1000"/>
      </w:tblGrid>
      <w:tr w:rsidR="00A66BAD" w:rsidRPr="007E3F92" w14:paraId="7BBB7551" w14:textId="77777777" w:rsidTr="005053C7">
        <w:trPr>
          <w:cantSplit/>
          <w:tblHeader/>
        </w:trPr>
        <w:tc>
          <w:tcPr>
            <w:tcW w:w="7933" w:type="dxa"/>
            <w:gridSpan w:val="7"/>
            <w:tcBorders>
              <w:top w:val="nil"/>
              <w:left w:val="nil"/>
              <w:bottom w:val="nil"/>
              <w:right w:val="nil"/>
            </w:tcBorders>
            <w:shd w:val="clear" w:color="auto" w:fill="FFFFFF"/>
            <w:tcMar>
              <w:top w:w="30" w:type="dxa"/>
              <w:left w:w="30" w:type="dxa"/>
              <w:bottom w:w="30" w:type="dxa"/>
              <w:right w:w="30" w:type="dxa"/>
            </w:tcMar>
            <w:vAlign w:val="center"/>
          </w:tcPr>
          <w:p w14:paraId="6FC53627"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b/>
                <w:bCs/>
                <w:color w:val="000000"/>
                <w:sz w:val="24"/>
                <w:szCs w:val="24"/>
              </w:rPr>
              <w:t>Coefficients</w:t>
            </w:r>
            <w:r w:rsidRPr="007E3F92">
              <w:rPr>
                <w:rFonts w:asciiTheme="majorBidi" w:hAnsiTheme="majorBidi" w:cstheme="majorBidi"/>
                <w:b/>
                <w:bCs/>
                <w:color w:val="000000"/>
                <w:sz w:val="24"/>
                <w:szCs w:val="24"/>
                <w:vertAlign w:val="superscript"/>
              </w:rPr>
              <w:t>a</w:t>
            </w:r>
          </w:p>
        </w:tc>
      </w:tr>
      <w:tr w:rsidR="00A66BAD" w:rsidRPr="007E3F92" w14:paraId="58913F81" w14:textId="77777777" w:rsidTr="005053C7">
        <w:trPr>
          <w:cantSplit/>
          <w:tblHeader/>
        </w:trPr>
        <w:tc>
          <w:tcPr>
            <w:tcW w:w="187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190AE11"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Model</w:t>
            </w:r>
          </w:p>
        </w:tc>
        <w:tc>
          <w:tcPr>
            <w:tcW w:w="261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0672B5F2"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14:paraId="79BAAA60"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9271E30"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CBDCDE9"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Sig.</w:t>
            </w:r>
          </w:p>
        </w:tc>
      </w:tr>
      <w:tr w:rsidR="00A66BAD" w:rsidRPr="007E3F92" w14:paraId="747AB980" w14:textId="77777777" w:rsidTr="005053C7">
        <w:trPr>
          <w:cantSplit/>
          <w:tblHeader/>
        </w:trPr>
        <w:tc>
          <w:tcPr>
            <w:tcW w:w="187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73E2C3A"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p>
        </w:tc>
        <w:tc>
          <w:tcPr>
            <w:tcW w:w="13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07338A49"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14:paraId="5F4CC47F"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14:paraId="1F1B1BE6"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E09FF46"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0930D87"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p>
        </w:tc>
      </w:tr>
      <w:tr w:rsidR="00A66BAD" w:rsidRPr="007E3F92" w14:paraId="520446DB" w14:textId="77777777" w:rsidTr="005053C7">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32B4BF4"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w:t>
            </w:r>
          </w:p>
        </w:tc>
        <w:tc>
          <w:tcPr>
            <w:tcW w:w="11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F0D8B35"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(Constant)</w:t>
            </w:r>
          </w:p>
        </w:tc>
        <w:tc>
          <w:tcPr>
            <w:tcW w:w="13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5A2599A"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7.013</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14:paraId="5054519F"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1.435</w:t>
            </w:r>
          </w:p>
        </w:tc>
        <w:tc>
          <w:tcPr>
            <w:tcW w:w="1440" w:type="dxa"/>
            <w:tcBorders>
              <w:top w:val="single" w:sz="16" w:space="0" w:color="000000"/>
              <w:bottom w:val="nil"/>
            </w:tcBorders>
            <w:shd w:val="clear" w:color="auto" w:fill="FFFFFF"/>
            <w:tcMar>
              <w:top w:w="30" w:type="dxa"/>
              <w:left w:w="30" w:type="dxa"/>
              <w:bottom w:w="30" w:type="dxa"/>
              <w:right w:w="30" w:type="dxa"/>
            </w:tcMar>
          </w:tcPr>
          <w:p w14:paraId="4DCC1116"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sz w:val="24"/>
                <w:szCs w:val="24"/>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28B8480B"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4.887</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0B099AD"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.000</w:t>
            </w:r>
          </w:p>
        </w:tc>
      </w:tr>
      <w:tr w:rsidR="00A66BAD" w:rsidRPr="007E3F92" w14:paraId="6B736277" w14:textId="77777777" w:rsidTr="005053C7">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91F2491"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14:paraId="0ACA7C76"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 xml:space="preserve">AFEE </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14:paraId="15156DAC"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-.147</w:t>
            </w:r>
          </w:p>
        </w:tc>
        <w:tc>
          <w:tcPr>
            <w:tcW w:w="1308" w:type="dxa"/>
            <w:tcBorders>
              <w:top w:val="nil"/>
              <w:bottom w:val="nil"/>
            </w:tcBorders>
            <w:shd w:val="clear" w:color="auto" w:fill="FFFFFF"/>
            <w:tcMar>
              <w:top w:w="30" w:type="dxa"/>
              <w:left w:w="30" w:type="dxa"/>
              <w:bottom w:w="30" w:type="dxa"/>
              <w:right w:w="30" w:type="dxa"/>
            </w:tcMar>
            <w:vAlign w:val="center"/>
          </w:tcPr>
          <w:p w14:paraId="721D18CD"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.085</w:t>
            </w:r>
          </w:p>
        </w:tc>
        <w:tc>
          <w:tcPr>
            <w:tcW w:w="1440" w:type="dxa"/>
            <w:tcBorders>
              <w:top w:val="nil"/>
              <w:bottom w:val="nil"/>
            </w:tcBorders>
            <w:shd w:val="clear" w:color="auto" w:fill="FFFFFF"/>
            <w:tcMar>
              <w:top w:w="30" w:type="dxa"/>
              <w:left w:w="30" w:type="dxa"/>
              <w:bottom w:w="30" w:type="dxa"/>
              <w:right w:w="30" w:type="dxa"/>
            </w:tcMar>
            <w:vAlign w:val="center"/>
          </w:tcPr>
          <w:p w14:paraId="614D6EF3"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-1.98</w:t>
            </w:r>
          </w:p>
        </w:tc>
        <w:tc>
          <w:tcPr>
            <w:tcW w:w="1000" w:type="dxa"/>
            <w:tcBorders>
              <w:top w:val="nil"/>
              <w:bottom w:val="nil"/>
            </w:tcBorders>
            <w:shd w:val="clear" w:color="auto" w:fill="FFFFFF"/>
            <w:tcMar>
              <w:top w:w="30" w:type="dxa"/>
              <w:left w:w="30" w:type="dxa"/>
              <w:bottom w:w="30" w:type="dxa"/>
              <w:right w:w="30" w:type="dxa"/>
            </w:tcMar>
            <w:vAlign w:val="center"/>
          </w:tcPr>
          <w:p w14:paraId="72A6517E"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-1.733</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71913A38"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.088</w:t>
            </w:r>
          </w:p>
        </w:tc>
      </w:tr>
      <w:tr w:rsidR="00A66BAD" w:rsidRPr="007E3F92" w14:paraId="5D3E5C19" w14:textId="77777777" w:rsidTr="005053C7">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4954D44"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14:paraId="2EC2020C"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AFS</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14:paraId="63D53FC1"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-2.649</w:t>
            </w:r>
          </w:p>
        </w:tc>
        <w:tc>
          <w:tcPr>
            <w:tcW w:w="1308" w:type="dxa"/>
            <w:tcBorders>
              <w:top w:val="nil"/>
              <w:bottom w:val="nil"/>
            </w:tcBorders>
            <w:shd w:val="clear" w:color="auto" w:fill="FFFFFF"/>
            <w:tcMar>
              <w:top w:w="30" w:type="dxa"/>
              <w:left w:w="30" w:type="dxa"/>
              <w:bottom w:w="30" w:type="dxa"/>
              <w:right w:w="30" w:type="dxa"/>
            </w:tcMar>
            <w:vAlign w:val="center"/>
          </w:tcPr>
          <w:p w14:paraId="06FBAE33"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-447</w:t>
            </w:r>
          </w:p>
        </w:tc>
        <w:tc>
          <w:tcPr>
            <w:tcW w:w="1440" w:type="dxa"/>
            <w:tcBorders>
              <w:top w:val="nil"/>
              <w:bottom w:val="nil"/>
            </w:tcBorders>
            <w:shd w:val="clear" w:color="auto" w:fill="FFFFFF"/>
            <w:tcMar>
              <w:top w:w="30" w:type="dxa"/>
              <w:left w:w="30" w:type="dxa"/>
              <w:bottom w:w="30" w:type="dxa"/>
              <w:right w:w="30" w:type="dxa"/>
            </w:tcMar>
            <w:vAlign w:val="center"/>
          </w:tcPr>
          <w:p w14:paraId="0056A144"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-.598</w:t>
            </w:r>
          </w:p>
        </w:tc>
        <w:tc>
          <w:tcPr>
            <w:tcW w:w="1000" w:type="dxa"/>
            <w:tcBorders>
              <w:top w:val="nil"/>
              <w:bottom w:val="nil"/>
            </w:tcBorders>
            <w:shd w:val="clear" w:color="auto" w:fill="FFFFFF"/>
            <w:tcMar>
              <w:top w:w="30" w:type="dxa"/>
              <w:left w:w="30" w:type="dxa"/>
              <w:bottom w:w="30" w:type="dxa"/>
              <w:right w:w="30" w:type="dxa"/>
            </w:tcMar>
            <w:vAlign w:val="center"/>
          </w:tcPr>
          <w:p w14:paraId="16754CCD"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-5.920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2D101690"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.000</w:t>
            </w:r>
          </w:p>
        </w:tc>
      </w:tr>
      <w:tr w:rsidR="00A66BAD" w:rsidRPr="007E3F92" w14:paraId="4D67B3E3" w14:textId="77777777" w:rsidTr="005053C7">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C600991"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14:paraId="4B5BDB63"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ATN</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14:paraId="1DFC4B65"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-.760</w:t>
            </w:r>
          </w:p>
        </w:tc>
        <w:tc>
          <w:tcPr>
            <w:tcW w:w="1308" w:type="dxa"/>
            <w:tcBorders>
              <w:top w:val="nil"/>
              <w:bottom w:val="nil"/>
            </w:tcBorders>
            <w:shd w:val="clear" w:color="auto" w:fill="FFFFFF"/>
            <w:tcMar>
              <w:top w:w="30" w:type="dxa"/>
              <w:left w:w="30" w:type="dxa"/>
              <w:bottom w:w="30" w:type="dxa"/>
              <w:right w:w="30" w:type="dxa"/>
            </w:tcMar>
            <w:vAlign w:val="center"/>
          </w:tcPr>
          <w:p w14:paraId="72E520C7"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.806</w:t>
            </w:r>
          </w:p>
        </w:tc>
        <w:tc>
          <w:tcPr>
            <w:tcW w:w="1440" w:type="dxa"/>
            <w:tcBorders>
              <w:top w:val="nil"/>
              <w:bottom w:val="nil"/>
            </w:tcBorders>
            <w:shd w:val="clear" w:color="auto" w:fill="FFFFFF"/>
            <w:tcMar>
              <w:top w:w="30" w:type="dxa"/>
              <w:left w:w="30" w:type="dxa"/>
              <w:bottom w:w="30" w:type="dxa"/>
              <w:right w:w="30" w:type="dxa"/>
            </w:tcMar>
            <w:vAlign w:val="center"/>
          </w:tcPr>
          <w:p w14:paraId="5B27703F"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-.088</w:t>
            </w:r>
          </w:p>
        </w:tc>
        <w:tc>
          <w:tcPr>
            <w:tcW w:w="1000" w:type="dxa"/>
            <w:tcBorders>
              <w:top w:val="nil"/>
              <w:bottom w:val="nil"/>
            </w:tcBorders>
            <w:shd w:val="clear" w:color="auto" w:fill="FFFFFF"/>
            <w:tcMar>
              <w:top w:w="30" w:type="dxa"/>
              <w:left w:w="30" w:type="dxa"/>
              <w:bottom w:w="30" w:type="dxa"/>
              <w:right w:w="30" w:type="dxa"/>
            </w:tcMar>
            <w:vAlign w:val="center"/>
          </w:tcPr>
          <w:p w14:paraId="130A07C4"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-.943</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02D8ACBE"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.349</w:t>
            </w:r>
          </w:p>
        </w:tc>
      </w:tr>
      <w:tr w:rsidR="00A66BAD" w:rsidRPr="007E3F92" w14:paraId="37F29D9D" w14:textId="77777777" w:rsidTr="005053C7">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E6CF485"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14:paraId="54ED4FC2"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AGE</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14:paraId="2F199D38"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-.058</w:t>
            </w:r>
          </w:p>
        </w:tc>
        <w:tc>
          <w:tcPr>
            <w:tcW w:w="1308" w:type="dxa"/>
            <w:tcBorders>
              <w:top w:val="nil"/>
              <w:bottom w:val="nil"/>
            </w:tcBorders>
            <w:shd w:val="clear" w:color="auto" w:fill="FFFFFF"/>
            <w:tcMar>
              <w:top w:w="30" w:type="dxa"/>
              <w:left w:w="30" w:type="dxa"/>
              <w:bottom w:w="30" w:type="dxa"/>
              <w:right w:w="30" w:type="dxa"/>
            </w:tcMar>
            <w:vAlign w:val="center"/>
          </w:tcPr>
          <w:p w14:paraId="04B13BB9"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.028</w:t>
            </w:r>
          </w:p>
        </w:tc>
        <w:tc>
          <w:tcPr>
            <w:tcW w:w="1440" w:type="dxa"/>
            <w:tcBorders>
              <w:top w:val="nil"/>
              <w:bottom w:val="nil"/>
            </w:tcBorders>
            <w:shd w:val="clear" w:color="auto" w:fill="FFFFFF"/>
            <w:tcMar>
              <w:top w:w="30" w:type="dxa"/>
              <w:left w:w="30" w:type="dxa"/>
              <w:bottom w:w="30" w:type="dxa"/>
              <w:right w:w="30" w:type="dxa"/>
            </w:tcMar>
            <w:vAlign w:val="center"/>
          </w:tcPr>
          <w:p w14:paraId="1E4CDB89"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-.286</w:t>
            </w:r>
          </w:p>
        </w:tc>
        <w:tc>
          <w:tcPr>
            <w:tcW w:w="1000" w:type="dxa"/>
            <w:tcBorders>
              <w:top w:val="nil"/>
              <w:bottom w:val="nil"/>
            </w:tcBorders>
            <w:shd w:val="clear" w:color="auto" w:fill="FFFFFF"/>
            <w:tcMar>
              <w:top w:w="30" w:type="dxa"/>
              <w:left w:w="30" w:type="dxa"/>
              <w:bottom w:w="30" w:type="dxa"/>
              <w:right w:w="30" w:type="dxa"/>
            </w:tcMar>
            <w:vAlign w:val="center"/>
          </w:tcPr>
          <w:p w14:paraId="058EDA82"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-2.052</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5461687E"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.044</w:t>
            </w:r>
          </w:p>
        </w:tc>
      </w:tr>
      <w:tr w:rsidR="00A66BAD" w:rsidRPr="007E3F92" w14:paraId="071C7E16" w14:textId="77777777" w:rsidTr="005053C7">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19562D4"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p>
        </w:tc>
        <w:tc>
          <w:tcPr>
            <w:tcW w:w="115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AFD5435"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SIZE</w:t>
            </w:r>
          </w:p>
        </w:tc>
        <w:tc>
          <w:tcPr>
            <w:tcW w:w="13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3942C07"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184</w:t>
            </w: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14:paraId="5669D9EA"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.110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14:paraId="35D9C9E3"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.261</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14:paraId="7F22E82C"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1.670</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7931D099"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.100</w:t>
            </w:r>
          </w:p>
        </w:tc>
      </w:tr>
      <w:tr w:rsidR="00A66BAD" w:rsidRPr="007E3F92" w14:paraId="32D3EED9" w14:textId="77777777" w:rsidTr="005053C7">
        <w:trPr>
          <w:cantSplit/>
        </w:trPr>
        <w:tc>
          <w:tcPr>
            <w:tcW w:w="3185" w:type="dxa"/>
            <w:gridSpan w:val="3"/>
            <w:tcBorders>
              <w:top w:val="nil"/>
              <w:left w:val="nil"/>
              <w:bottom w:val="nil"/>
              <w:right w:val="nil"/>
            </w:tcBorders>
            <w:shd w:val="clear" w:color="auto" w:fill="FFFFFF"/>
            <w:tcMar>
              <w:top w:w="30" w:type="dxa"/>
              <w:left w:w="30" w:type="dxa"/>
              <w:bottom w:w="30" w:type="dxa"/>
              <w:right w:w="30" w:type="dxa"/>
            </w:tcMar>
          </w:tcPr>
          <w:p w14:paraId="6B1DD93F"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a. Dependent Variable: SP"N</w:t>
            </w:r>
          </w:p>
        </w:tc>
        <w:tc>
          <w:tcPr>
            <w:tcW w:w="1308" w:type="dxa"/>
            <w:tcBorders>
              <w:top w:val="nil"/>
              <w:left w:val="nil"/>
              <w:bottom w:val="nil"/>
              <w:right w:val="nil"/>
            </w:tcBorders>
            <w:shd w:val="clear" w:color="auto" w:fill="FFFFFF"/>
            <w:tcMar>
              <w:top w:w="30" w:type="dxa"/>
              <w:left w:w="30" w:type="dxa"/>
              <w:bottom w:w="30" w:type="dxa"/>
              <w:right w:w="30" w:type="dxa"/>
            </w:tcMar>
          </w:tcPr>
          <w:p w14:paraId="73243C1F" w14:textId="77777777" w:rsidR="00867865" w:rsidRPr="007E3F92" w:rsidRDefault="00867865" w:rsidP="0047083F">
            <w:pPr>
              <w:autoSpaceDE w:val="0"/>
              <w:autoSpaceDN w:val="0"/>
              <w:adjustRightInd w:val="0"/>
              <w:spacing w:after="0" w:line="240" w:lineRule="auto"/>
              <w:jc w:val="both"/>
              <w:rPr>
                <w:rFonts w:asciiTheme="majorBidi" w:hAnsiTheme="majorBidi" w:cstheme="majorBidi"/>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14:paraId="50236360"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78A84C4A"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6B839ABB"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sz w:val="24"/>
                <w:szCs w:val="24"/>
              </w:rPr>
            </w:pPr>
          </w:p>
        </w:tc>
      </w:tr>
    </w:tbl>
    <w:p w14:paraId="54AAE36B"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sz w:val="24"/>
          <w:szCs w:val="24"/>
        </w:rPr>
      </w:pPr>
    </w:p>
    <w:tbl>
      <w:tblPr>
        <w:tblW w:w="5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00"/>
        <w:gridCol w:w="1066"/>
        <w:gridCol w:w="1440"/>
        <w:gridCol w:w="1440"/>
      </w:tblGrid>
      <w:tr w:rsidR="00A66BAD" w:rsidRPr="007E3F92" w14:paraId="3DF2B86E" w14:textId="77777777" w:rsidTr="005053C7">
        <w:trPr>
          <w:cantSplit/>
          <w:tblHeader/>
        </w:trPr>
        <w:tc>
          <w:tcPr>
            <w:tcW w:w="5666" w:type="dxa"/>
            <w:gridSpan w:val="5"/>
            <w:tcBorders>
              <w:top w:val="nil"/>
              <w:left w:val="nil"/>
              <w:bottom w:val="nil"/>
              <w:right w:val="nil"/>
            </w:tcBorders>
            <w:shd w:val="clear" w:color="auto" w:fill="FFFFFF"/>
            <w:tcMar>
              <w:top w:w="30" w:type="dxa"/>
              <w:left w:w="30" w:type="dxa"/>
              <w:bottom w:w="30" w:type="dxa"/>
              <w:right w:w="30" w:type="dxa"/>
            </w:tcMar>
            <w:vAlign w:val="center"/>
          </w:tcPr>
          <w:p w14:paraId="3AE352F8"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b/>
                <w:bCs/>
                <w:color w:val="000000"/>
                <w:sz w:val="24"/>
                <w:szCs w:val="24"/>
              </w:rPr>
              <w:t>Model Summary</w:t>
            </w:r>
          </w:p>
        </w:tc>
      </w:tr>
      <w:tr w:rsidR="00A66BAD" w:rsidRPr="007E3F92" w14:paraId="630C3204" w14:textId="77777777" w:rsidTr="005053C7">
        <w:trPr>
          <w:cantSplit/>
          <w:tblHeader/>
        </w:trPr>
        <w:tc>
          <w:tcPr>
            <w:tcW w:w="72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39A209D"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AE1F9E7"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A3D0F12"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37824FF"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Adjusted R Square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32FFD11"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Std. Error of the Estimate</w:t>
            </w:r>
          </w:p>
        </w:tc>
      </w:tr>
      <w:tr w:rsidR="00A66BAD" w:rsidRPr="007E3F92" w14:paraId="77D1CA4A" w14:textId="77777777" w:rsidTr="005053C7">
        <w:trPr>
          <w:cantSplit/>
          <w:tblHeader/>
        </w:trPr>
        <w:tc>
          <w:tcPr>
            <w:tcW w:w="72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5E7B02D"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045E8E56"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.657</w:t>
            </w:r>
            <w:r w:rsidRPr="007E3F92">
              <w:rPr>
                <w:rFonts w:asciiTheme="majorBidi" w:hAnsiTheme="majorBidi" w:cstheme="majorBidi"/>
                <w:color w:val="000000"/>
                <w:sz w:val="24"/>
                <w:szCs w:val="24"/>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3A872081"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.431</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6CF6D598"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.405</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546D152A"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 xml:space="preserve">              1.553</w:t>
            </w:r>
          </w:p>
        </w:tc>
      </w:tr>
      <w:tr w:rsidR="00A66BAD" w:rsidRPr="007E3F92" w14:paraId="31D7B588" w14:textId="77777777" w:rsidTr="005053C7">
        <w:trPr>
          <w:cantSplit/>
        </w:trPr>
        <w:tc>
          <w:tcPr>
            <w:tcW w:w="5666" w:type="dxa"/>
            <w:gridSpan w:val="5"/>
            <w:tcBorders>
              <w:top w:val="nil"/>
              <w:left w:val="nil"/>
              <w:bottom w:val="nil"/>
              <w:right w:val="nil"/>
            </w:tcBorders>
            <w:shd w:val="clear" w:color="auto" w:fill="FFFFFF"/>
            <w:tcMar>
              <w:top w:w="30" w:type="dxa"/>
              <w:left w:w="30" w:type="dxa"/>
              <w:bottom w:w="30" w:type="dxa"/>
              <w:right w:w="30" w:type="dxa"/>
            </w:tcMar>
          </w:tcPr>
          <w:p w14:paraId="464A7783"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 xml:space="preserve">a. Predictors: (Constant), SIZE, ATN, AFS, AGE, AFEE </w:t>
            </w:r>
          </w:p>
        </w:tc>
      </w:tr>
    </w:tbl>
    <w:p w14:paraId="3B5BED2F" w14:textId="4761DEB6" w:rsidR="00A66BAD" w:rsidRPr="007E3F92" w:rsidRDefault="00A66BAD" w:rsidP="00322954">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Source: SPSS (23) output based </w:t>
      </w:r>
      <w:r w:rsidR="00867865">
        <w:rPr>
          <w:rFonts w:asciiTheme="majorBidi" w:hAnsiTheme="majorBidi" w:cstheme="majorBidi"/>
          <w:sz w:val="24"/>
          <w:szCs w:val="24"/>
        </w:rPr>
        <w:t>on data collected, 2025</w:t>
      </w:r>
    </w:p>
    <w:tbl>
      <w:tblPr>
        <w:tblW w:w="78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258"/>
        <w:gridCol w:w="1441"/>
        <w:gridCol w:w="998"/>
        <w:gridCol w:w="1383"/>
        <w:gridCol w:w="1000"/>
        <w:gridCol w:w="1000"/>
      </w:tblGrid>
      <w:tr w:rsidR="00A66BAD" w:rsidRPr="007E3F92" w14:paraId="32FFF951" w14:textId="77777777" w:rsidTr="005053C7">
        <w:trPr>
          <w:cantSplit/>
          <w:tblHeader/>
        </w:trPr>
        <w:tc>
          <w:tcPr>
            <w:tcW w:w="7801" w:type="dxa"/>
            <w:gridSpan w:val="7"/>
            <w:tcBorders>
              <w:top w:val="nil"/>
              <w:left w:val="nil"/>
              <w:bottom w:val="nil"/>
              <w:right w:val="nil"/>
            </w:tcBorders>
            <w:shd w:val="clear" w:color="auto" w:fill="FFFFFF"/>
            <w:tcMar>
              <w:top w:w="30" w:type="dxa"/>
              <w:left w:w="30" w:type="dxa"/>
              <w:bottom w:w="30" w:type="dxa"/>
              <w:right w:w="30" w:type="dxa"/>
            </w:tcMar>
            <w:vAlign w:val="center"/>
          </w:tcPr>
          <w:p w14:paraId="50A7088D"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p>
        </w:tc>
      </w:tr>
      <w:tr w:rsidR="00A66BAD" w:rsidRPr="007E3F92" w14:paraId="1EC215FA" w14:textId="77777777" w:rsidTr="005053C7">
        <w:trPr>
          <w:cantSplit/>
          <w:tblHeader/>
        </w:trPr>
        <w:tc>
          <w:tcPr>
            <w:tcW w:w="197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10C6814"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Model</w:t>
            </w:r>
          </w:p>
        </w:tc>
        <w:tc>
          <w:tcPr>
            <w:tcW w:w="144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4017DF6"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84A3722"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Df</w:t>
            </w:r>
          </w:p>
        </w:tc>
        <w:tc>
          <w:tcPr>
            <w:tcW w:w="13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231FB6D"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28769F9"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FF96C71"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Sig.</w:t>
            </w:r>
          </w:p>
        </w:tc>
      </w:tr>
      <w:tr w:rsidR="00A66BAD" w:rsidRPr="007E3F92" w14:paraId="47408EB8" w14:textId="77777777" w:rsidTr="005053C7">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6D1D317"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A9BE6D6"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Regression</w:t>
            </w:r>
          </w:p>
        </w:tc>
        <w:tc>
          <w:tcPr>
            <w:tcW w:w="144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9F34C2D"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 xml:space="preserve">          120.728</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25BE292D"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3</w:t>
            </w:r>
          </w:p>
        </w:tc>
        <w:tc>
          <w:tcPr>
            <w:tcW w:w="1383" w:type="dxa"/>
            <w:tcBorders>
              <w:top w:val="single" w:sz="16" w:space="0" w:color="000000"/>
              <w:bottom w:val="nil"/>
            </w:tcBorders>
            <w:shd w:val="clear" w:color="auto" w:fill="FFFFFF"/>
            <w:tcMar>
              <w:top w:w="30" w:type="dxa"/>
              <w:left w:w="30" w:type="dxa"/>
              <w:bottom w:w="30" w:type="dxa"/>
              <w:right w:w="30" w:type="dxa"/>
            </w:tcMar>
            <w:vAlign w:val="center"/>
          </w:tcPr>
          <w:p w14:paraId="0B3E5A20"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40.243</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721428A2"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16.676</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A67B2BC" w14:textId="77777777" w:rsidR="00A66BAD" w:rsidRPr="007E3F92"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.000</w:t>
            </w:r>
            <w:r w:rsidRPr="007E3F92">
              <w:rPr>
                <w:rFonts w:asciiTheme="majorBidi" w:hAnsiTheme="majorBidi" w:cstheme="majorBidi"/>
                <w:color w:val="000000"/>
                <w:sz w:val="24"/>
                <w:szCs w:val="24"/>
                <w:vertAlign w:val="superscript"/>
              </w:rPr>
              <w:t>a</w:t>
            </w:r>
          </w:p>
        </w:tc>
      </w:tr>
      <w:tr w:rsidR="00A66BAD" w:rsidRPr="00867865" w14:paraId="59A9B89A" w14:textId="77777777" w:rsidTr="005053C7">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2AFFA12" w14:textId="77777777" w:rsidR="00A66BAD" w:rsidRPr="00867865"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14:paraId="0419341F" w14:textId="77777777" w:rsidR="00A66BAD" w:rsidRPr="00867865"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867865">
              <w:rPr>
                <w:rFonts w:asciiTheme="majorBidi" w:hAnsiTheme="majorBidi" w:cstheme="majorBidi"/>
                <w:color w:val="000000"/>
                <w:sz w:val="24"/>
                <w:szCs w:val="24"/>
              </w:rPr>
              <w:t>Residual</w:t>
            </w:r>
          </w:p>
        </w:tc>
        <w:tc>
          <w:tcPr>
            <w:tcW w:w="1441" w:type="dxa"/>
            <w:tcBorders>
              <w:top w:val="nil"/>
              <w:left w:val="single" w:sz="16" w:space="0" w:color="000000"/>
              <w:bottom w:val="nil"/>
            </w:tcBorders>
            <w:shd w:val="clear" w:color="auto" w:fill="FFFFFF"/>
            <w:tcMar>
              <w:top w:w="30" w:type="dxa"/>
              <w:left w:w="30" w:type="dxa"/>
              <w:bottom w:w="30" w:type="dxa"/>
              <w:right w:w="30" w:type="dxa"/>
            </w:tcMar>
            <w:vAlign w:val="center"/>
          </w:tcPr>
          <w:p w14:paraId="55F149D9" w14:textId="77777777" w:rsidR="00A66BAD" w:rsidRPr="00867865"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867865">
              <w:rPr>
                <w:rFonts w:asciiTheme="majorBidi" w:hAnsiTheme="majorBidi" w:cstheme="majorBidi"/>
                <w:color w:val="000000"/>
                <w:sz w:val="24"/>
                <w:szCs w:val="24"/>
              </w:rPr>
              <w:t>159.272</w:t>
            </w:r>
          </w:p>
        </w:tc>
        <w:tc>
          <w:tcPr>
            <w:tcW w:w="998" w:type="dxa"/>
            <w:tcBorders>
              <w:top w:val="nil"/>
              <w:bottom w:val="nil"/>
            </w:tcBorders>
            <w:shd w:val="clear" w:color="auto" w:fill="FFFFFF"/>
            <w:tcMar>
              <w:top w:w="30" w:type="dxa"/>
              <w:left w:w="30" w:type="dxa"/>
              <w:bottom w:w="30" w:type="dxa"/>
              <w:right w:w="30" w:type="dxa"/>
            </w:tcMar>
            <w:vAlign w:val="center"/>
          </w:tcPr>
          <w:p w14:paraId="24AAF9B4" w14:textId="77777777" w:rsidR="00A66BAD" w:rsidRPr="00867865"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867865">
              <w:rPr>
                <w:rFonts w:asciiTheme="majorBidi" w:hAnsiTheme="majorBidi" w:cstheme="majorBidi"/>
                <w:color w:val="000000"/>
                <w:sz w:val="24"/>
                <w:szCs w:val="24"/>
              </w:rPr>
              <w:t>66</w:t>
            </w:r>
          </w:p>
        </w:tc>
        <w:tc>
          <w:tcPr>
            <w:tcW w:w="1383" w:type="dxa"/>
            <w:tcBorders>
              <w:top w:val="nil"/>
              <w:bottom w:val="nil"/>
            </w:tcBorders>
            <w:shd w:val="clear" w:color="auto" w:fill="FFFFFF"/>
            <w:tcMar>
              <w:top w:w="30" w:type="dxa"/>
              <w:left w:w="30" w:type="dxa"/>
              <w:bottom w:w="30" w:type="dxa"/>
              <w:right w:w="30" w:type="dxa"/>
            </w:tcMar>
            <w:vAlign w:val="center"/>
          </w:tcPr>
          <w:p w14:paraId="4E3A2922" w14:textId="77777777" w:rsidR="00A66BAD" w:rsidRPr="00867865"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867865">
              <w:rPr>
                <w:rFonts w:asciiTheme="majorBidi" w:hAnsiTheme="majorBidi" w:cstheme="majorBidi"/>
                <w:color w:val="000000"/>
                <w:sz w:val="24"/>
                <w:szCs w:val="24"/>
              </w:rPr>
              <w:t>2.413</w:t>
            </w:r>
          </w:p>
        </w:tc>
        <w:tc>
          <w:tcPr>
            <w:tcW w:w="1000" w:type="dxa"/>
            <w:tcBorders>
              <w:top w:val="nil"/>
              <w:bottom w:val="nil"/>
            </w:tcBorders>
            <w:shd w:val="clear" w:color="auto" w:fill="FFFFFF"/>
            <w:tcMar>
              <w:top w:w="30" w:type="dxa"/>
              <w:left w:w="30" w:type="dxa"/>
              <w:bottom w:w="30" w:type="dxa"/>
              <w:right w:w="30" w:type="dxa"/>
            </w:tcMar>
          </w:tcPr>
          <w:p w14:paraId="2848E6C7" w14:textId="77777777" w:rsidR="00A66BAD" w:rsidRPr="00867865" w:rsidRDefault="00A66BAD" w:rsidP="0047083F">
            <w:pPr>
              <w:autoSpaceDE w:val="0"/>
              <w:autoSpaceDN w:val="0"/>
              <w:adjustRightInd w:val="0"/>
              <w:spacing w:after="0" w:line="240" w:lineRule="auto"/>
              <w:jc w:val="both"/>
              <w:rPr>
                <w:rFonts w:asciiTheme="majorBidi" w:hAnsiTheme="majorBidi" w:cstheme="majorBidi"/>
                <w:sz w:val="24"/>
                <w:szCs w:val="24"/>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14:paraId="0FCA2993" w14:textId="77777777" w:rsidR="00A66BAD" w:rsidRPr="00867865" w:rsidRDefault="00A66BAD" w:rsidP="0047083F">
            <w:pPr>
              <w:autoSpaceDE w:val="0"/>
              <w:autoSpaceDN w:val="0"/>
              <w:adjustRightInd w:val="0"/>
              <w:spacing w:after="0" w:line="240" w:lineRule="auto"/>
              <w:jc w:val="both"/>
              <w:rPr>
                <w:rFonts w:asciiTheme="majorBidi" w:hAnsiTheme="majorBidi" w:cstheme="majorBidi"/>
                <w:sz w:val="24"/>
                <w:szCs w:val="24"/>
              </w:rPr>
            </w:pPr>
          </w:p>
        </w:tc>
      </w:tr>
      <w:tr w:rsidR="00A66BAD" w:rsidRPr="00867865" w14:paraId="2C976237" w14:textId="77777777" w:rsidTr="005053C7">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F1BE1BB" w14:textId="77777777" w:rsidR="00A66BAD" w:rsidRPr="00867865" w:rsidRDefault="00A66BAD" w:rsidP="0047083F">
            <w:pPr>
              <w:autoSpaceDE w:val="0"/>
              <w:autoSpaceDN w:val="0"/>
              <w:adjustRightInd w:val="0"/>
              <w:spacing w:after="0" w:line="240" w:lineRule="auto"/>
              <w:jc w:val="both"/>
              <w:rPr>
                <w:rFonts w:asciiTheme="majorBidi" w:hAnsiTheme="majorBidi" w:cstheme="majorBidi"/>
                <w:sz w:val="24"/>
                <w:szCs w:val="24"/>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BAFB174" w14:textId="77777777" w:rsidR="00A66BAD" w:rsidRPr="00867865"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867865">
              <w:rPr>
                <w:rFonts w:asciiTheme="majorBidi" w:hAnsiTheme="majorBidi" w:cstheme="majorBidi"/>
                <w:color w:val="000000"/>
                <w:sz w:val="24"/>
                <w:szCs w:val="24"/>
              </w:rPr>
              <w:t>Total</w:t>
            </w:r>
          </w:p>
        </w:tc>
        <w:tc>
          <w:tcPr>
            <w:tcW w:w="144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E3785E9" w14:textId="77777777" w:rsidR="00A66BAD" w:rsidRPr="00867865"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867865">
              <w:rPr>
                <w:rFonts w:asciiTheme="majorBidi" w:hAnsiTheme="majorBidi" w:cstheme="majorBidi"/>
                <w:color w:val="000000"/>
                <w:sz w:val="24"/>
                <w:szCs w:val="24"/>
              </w:rPr>
              <w:t>280.000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2318FC29" w14:textId="77777777" w:rsidR="00A66BAD" w:rsidRPr="00867865"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867865">
              <w:rPr>
                <w:rFonts w:asciiTheme="majorBidi" w:hAnsiTheme="majorBidi" w:cstheme="majorBidi"/>
                <w:color w:val="000000"/>
                <w:sz w:val="24"/>
                <w:szCs w:val="24"/>
              </w:rPr>
              <w:t>69</w:t>
            </w:r>
          </w:p>
        </w:tc>
        <w:tc>
          <w:tcPr>
            <w:tcW w:w="1383" w:type="dxa"/>
            <w:tcBorders>
              <w:top w:val="nil"/>
              <w:bottom w:val="single" w:sz="16" w:space="0" w:color="000000"/>
            </w:tcBorders>
            <w:shd w:val="clear" w:color="auto" w:fill="FFFFFF"/>
            <w:tcMar>
              <w:top w:w="30" w:type="dxa"/>
              <w:left w:w="30" w:type="dxa"/>
              <w:bottom w:w="30" w:type="dxa"/>
              <w:right w:w="30" w:type="dxa"/>
            </w:tcMar>
          </w:tcPr>
          <w:p w14:paraId="108E736F" w14:textId="77777777" w:rsidR="00A66BAD" w:rsidRPr="00867865" w:rsidRDefault="00A66BAD" w:rsidP="0047083F">
            <w:pPr>
              <w:autoSpaceDE w:val="0"/>
              <w:autoSpaceDN w:val="0"/>
              <w:adjustRightInd w:val="0"/>
              <w:spacing w:after="0" w:line="240" w:lineRule="auto"/>
              <w:jc w:val="both"/>
              <w:rPr>
                <w:rFonts w:asciiTheme="majorBidi" w:hAnsiTheme="majorBidi" w:cstheme="majorBidi"/>
                <w:sz w:val="24"/>
                <w:szCs w:val="24"/>
              </w:rPr>
            </w:pPr>
          </w:p>
        </w:tc>
        <w:tc>
          <w:tcPr>
            <w:tcW w:w="1000" w:type="dxa"/>
            <w:tcBorders>
              <w:top w:val="nil"/>
              <w:bottom w:val="single" w:sz="16" w:space="0" w:color="000000"/>
            </w:tcBorders>
            <w:shd w:val="clear" w:color="auto" w:fill="FFFFFF"/>
            <w:tcMar>
              <w:top w:w="30" w:type="dxa"/>
              <w:left w:w="30" w:type="dxa"/>
              <w:bottom w:w="30" w:type="dxa"/>
              <w:right w:w="30" w:type="dxa"/>
            </w:tcMar>
          </w:tcPr>
          <w:p w14:paraId="43EF2830" w14:textId="77777777" w:rsidR="00A66BAD" w:rsidRPr="00867865" w:rsidRDefault="00A66BAD" w:rsidP="0047083F">
            <w:pPr>
              <w:autoSpaceDE w:val="0"/>
              <w:autoSpaceDN w:val="0"/>
              <w:adjustRightInd w:val="0"/>
              <w:spacing w:after="0" w:line="240" w:lineRule="auto"/>
              <w:jc w:val="both"/>
              <w:rPr>
                <w:rFonts w:asciiTheme="majorBidi" w:hAnsiTheme="majorBidi" w:cstheme="majorBidi"/>
                <w:sz w:val="24"/>
                <w:szCs w:val="24"/>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8E5A27D" w14:textId="77777777" w:rsidR="00A66BAD" w:rsidRPr="00867865" w:rsidRDefault="00A66BAD" w:rsidP="0047083F">
            <w:pPr>
              <w:autoSpaceDE w:val="0"/>
              <w:autoSpaceDN w:val="0"/>
              <w:adjustRightInd w:val="0"/>
              <w:spacing w:after="0" w:line="240" w:lineRule="auto"/>
              <w:jc w:val="both"/>
              <w:rPr>
                <w:rFonts w:asciiTheme="majorBidi" w:hAnsiTheme="majorBidi" w:cstheme="majorBidi"/>
                <w:sz w:val="24"/>
                <w:szCs w:val="24"/>
              </w:rPr>
            </w:pPr>
          </w:p>
        </w:tc>
      </w:tr>
      <w:tr w:rsidR="00A66BAD" w:rsidRPr="00867865" w14:paraId="7C667FE4" w14:textId="77777777" w:rsidTr="005053C7">
        <w:trPr>
          <w:cantSplit/>
        </w:trPr>
        <w:tc>
          <w:tcPr>
            <w:tcW w:w="5801" w:type="dxa"/>
            <w:gridSpan w:val="5"/>
            <w:tcBorders>
              <w:top w:val="nil"/>
              <w:left w:val="nil"/>
              <w:bottom w:val="nil"/>
              <w:right w:val="nil"/>
            </w:tcBorders>
            <w:shd w:val="clear" w:color="auto" w:fill="FFFFFF"/>
            <w:tcMar>
              <w:top w:w="30" w:type="dxa"/>
              <w:left w:w="30" w:type="dxa"/>
              <w:bottom w:w="30" w:type="dxa"/>
              <w:right w:w="30" w:type="dxa"/>
            </w:tcMar>
          </w:tcPr>
          <w:p w14:paraId="469F926D" w14:textId="77777777" w:rsidR="00A66BAD" w:rsidRPr="00867865"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867865">
              <w:rPr>
                <w:rFonts w:asciiTheme="majorBidi" w:hAnsiTheme="majorBidi" w:cstheme="majorBidi"/>
                <w:color w:val="000000"/>
                <w:sz w:val="24"/>
                <w:szCs w:val="24"/>
              </w:rPr>
              <w:t xml:space="preserve">a. Predictors: (Constant), SIZE, ATN, AFS, AGE, AFEE </w:t>
            </w:r>
          </w:p>
        </w:tc>
        <w:tc>
          <w:tcPr>
            <w:tcW w:w="1000" w:type="dxa"/>
            <w:tcBorders>
              <w:top w:val="nil"/>
              <w:left w:val="nil"/>
              <w:bottom w:val="nil"/>
              <w:right w:val="nil"/>
            </w:tcBorders>
            <w:shd w:val="clear" w:color="auto" w:fill="FFFFFF"/>
            <w:tcMar>
              <w:top w:w="30" w:type="dxa"/>
              <w:left w:w="30" w:type="dxa"/>
              <w:bottom w:w="30" w:type="dxa"/>
              <w:right w:w="30" w:type="dxa"/>
            </w:tcMar>
          </w:tcPr>
          <w:p w14:paraId="72C12D25" w14:textId="77777777" w:rsidR="00A66BAD" w:rsidRPr="00867865" w:rsidRDefault="00A66BAD" w:rsidP="0047083F">
            <w:pPr>
              <w:autoSpaceDE w:val="0"/>
              <w:autoSpaceDN w:val="0"/>
              <w:adjustRightInd w:val="0"/>
              <w:spacing w:after="0" w:line="240" w:lineRule="auto"/>
              <w:jc w:val="both"/>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77EDE491" w14:textId="77777777" w:rsidR="00A66BAD" w:rsidRPr="00867865" w:rsidRDefault="00A66BAD" w:rsidP="0047083F">
            <w:pPr>
              <w:autoSpaceDE w:val="0"/>
              <w:autoSpaceDN w:val="0"/>
              <w:adjustRightInd w:val="0"/>
              <w:spacing w:after="0" w:line="240" w:lineRule="auto"/>
              <w:jc w:val="both"/>
              <w:rPr>
                <w:rFonts w:asciiTheme="majorBidi" w:hAnsiTheme="majorBidi" w:cstheme="majorBidi"/>
                <w:sz w:val="24"/>
                <w:szCs w:val="24"/>
              </w:rPr>
            </w:pPr>
          </w:p>
        </w:tc>
      </w:tr>
      <w:tr w:rsidR="00A66BAD" w:rsidRPr="00867865" w14:paraId="1214C40A" w14:textId="77777777" w:rsidTr="005053C7">
        <w:trPr>
          <w:cantSplit/>
        </w:trPr>
        <w:tc>
          <w:tcPr>
            <w:tcW w:w="3420" w:type="dxa"/>
            <w:gridSpan w:val="3"/>
            <w:tcBorders>
              <w:top w:val="nil"/>
              <w:left w:val="nil"/>
              <w:bottom w:val="nil"/>
              <w:right w:val="nil"/>
            </w:tcBorders>
            <w:shd w:val="clear" w:color="auto" w:fill="FFFFFF"/>
            <w:tcMar>
              <w:top w:w="30" w:type="dxa"/>
              <w:left w:w="30" w:type="dxa"/>
              <w:bottom w:w="30" w:type="dxa"/>
              <w:right w:w="30" w:type="dxa"/>
            </w:tcMar>
          </w:tcPr>
          <w:p w14:paraId="0345395B" w14:textId="77777777" w:rsidR="00A66BAD" w:rsidRPr="00867865" w:rsidRDefault="00A66BAD" w:rsidP="0047083F">
            <w:pPr>
              <w:autoSpaceDE w:val="0"/>
              <w:autoSpaceDN w:val="0"/>
              <w:adjustRightInd w:val="0"/>
              <w:spacing w:after="0" w:line="240" w:lineRule="auto"/>
              <w:jc w:val="both"/>
              <w:rPr>
                <w:rFonts w:asciiTheme="majorBidi" w:hAnsiTheme="majorBidi" w:cstheme="majorBidi"/>
                <w:color w:val="000000"/>
                <w:sz w:val="24"/>
                <w:szCs w:val="24"/>
              </w:rPr>
            </w:pPr>
            <w:r w:rsidRPr="00867865">
              <w:rPr>
                <w:rFonts w:asciiTheme="majorBidi" w:hAnsiTheme="majorBidi" w:cstheme="majorBidi"/>
                <w:color w:val="000000"/>
                <w:sz w:val="24"/>
                <w:szCs w:val="24"/>
              </w:rPr>
              <w:t>b. Dependent Variable: SP"N</w:t>
            </w:r>
          </w:p>
        </w:tc>
        <w:tc>
          <w:tcPr>
            <w:tcW w:w="998" w:type="dxa"/>
            <w:tcBorders>
              <w:top w:val="nil"/>
              <w:left w:val="nil"/>
              <w:bottom w:val="nil"/>
              <w:right w:val="nil"/>
            </w:tcBorders>
            <w:shd w:val="clear" w:color="auto" w:fill="FFFFFF"/>
            <w:tcMar>
              <w:top w:w="30" w:type="dxa"/>
              <w:left w:w="30" w:type="dxa"/>
              <w:bottom w:w="30" w:type="dxa"/>
              <w:right w:w="30" w:type="dxa"/>
            </w:tcMar>
          </w:tcPr>
          <w:p w14:paraId="11B5FE5A" w14:textId="77777777" w:rsidR="00A66BAD" w:rsidRPr="00867865" w:rsidRDefault="00A66BAD" w:rsidP="0047083F">
            <w:pPr>
              <w:autoSpaceDE w:val="0"/>
              <w:autoSpaceDN w:val="0"/>
              <w:adjustRightInd w:val="0"/>
              <w:spacing w:after="0" w:line="240" w:lineRule="auto"/>
              <w:jc w:val="both"/>
              <w:rPr>
                <w:rFonts w:asciiTheme="majorBidi" w:hAnsiTheme="majorBidi" w:cstheme="majorBidi"/>
                <w:sz w:val="24"/>
                <w:szCs w:val="24"/>
              </w:rPr>
            </w:pPr>
          </w:p>
        </w:tc>
        <w:tc>
          <w:tcPr>
            <w:tcW w:w="1383" w:type="dxa"/>
            <w:tcBorders>
              <w:top w:val="nil"/>
              <w:left w:val="nil"/>
              <w:bottom w:val="nil"/>
              <w:right w:val="nil"/>
            </w:tcBorders>
            <w:shd w:val="clear" w:color="auto" w:fill="FFFFFF"/>
            <w:tcMar>
              <w:top w:w="30" w:type="dxa"/>
              <w:left w:w="30" w:type="dxa"/>
              <w:bottom w:w="30" w:type="dxa"/>
              <w:right w:w="30" w:type="dxa"/>
            </w:tcMar>
          </w:tcPr>
          <w:p w14:paraId="0DEB6F35" w14:textId="77777777" w:rsidR="00A66BAD" w:rsidRPr="00867865" w:rsidRDefault="00A66BAD" w:rsidP="0047083F">
            <w:pPr>
              <w:autoSpaceDE w:val="0"/>
              <w:autoSpaceDN w:val="0"/>
              <w:adjustRightInd w:val="0"/>
              <w:spacing w:after="0" w:line="240" w:lineRule="auto"/>
              <w:jc w:val="both"/>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1C160AB0" w14:textId="77777777" w:rsidR="00A66BAD" w:rsidRPr="00867865" w:rsidRDefault="00A66BAD" w:rsidP="0047083F">
            <w:pPr>
              <w:autoSpaceDE w:val="0"/>
              <w:autoSpaceDN w:val="0"/>
              <w:adjustRightInd w:val="0"/>
              <w:spacing w:after="0" w:line="240" w:lineRule="auto"/>
              <w:jc w:val="both"/>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14A4D1E4" w14:textId="77777777" w:rsidR="00A66BAD" w:rsidRPr="00867865" w:rsidRDefault="00A66BAD" w:rsidP="0047083F">
            <w:pPr>
              <w:autoSpaceDE w:val="0"/>
              <w:autoSpaceDN w:val="0"/>
              <w:adjustRightInd w:val="0"/>
              <w:spacing w:after="0" w:line="240" w:lineRule="auto"/>
              <w:jc w:val="both"/>
              <w:rPr>
                <w:rFonts w:asciiTheme="majorBidi" w:hAnsiTheme="majorBidi" w:cstheme="majorBidi"/>
                <w:sz w:val="24"/>
                <w:szCs w:val="24"/>
              </w:rPr>
            </w:pPr>
          </w:p>
        </w:tc>
      </w:tr>
    </w:tbl>
    <w:p w14:paraId="41B16D8D" w14:textId="35B851B8" w:rsidR="00A66BAD" w:rsidRPr="00867865" w:rsidRDefault="00867865" w:rsidP="00322954">
      <w:pPr>
        <w:autoSpaceDE w:val="0"/>
        <w:autoSpaceDN w:val="0"/>
        <w:adjustRightInd w:val="0"/>
        <w:spacing w:after="0" w:line="360" w:lineRule="auto"/>
        <w:jc w:val="both"/>
        <w:rPr>
          <w:rFonts w:asciiTheme="majorBidi" w:hAnsiTheme="majorBidi" w:cstheme="majorBidi"/>
          <w:sz w:val="24"/>
          <w:szCs w:val="24"/>
        </w:rPr>
      </w:pPr>
      <w:r w:rsidRPr="00867865">
        <w:rPr>
          <w:rFonts w:asciiTheme="majorBidi" w:hAnsiTheme="majorBidi" w:cstheme="majorBidi"/>
          <w:sz w:val="24"/>
          <w:szCs w:val="24"/>
        </w:rPr>
        <w:t>Source: SPSS (23) output based on data collected, 2025</w:t>
      </w:r>
    </w:p>
    <w:p w14:paraId="4EC4A3B9"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b/>
          <w:color w:val="000000"/>
          <w:sz w:val="24"/>
          <w:szCs w:val="24"/>
        </w:rPr>
      </w:pPr>
      <w:r w:rsidRPr="00867865">
        <w:rPr>
          <w:rFonts w:asciiTheme="majorBidi" w:hAnsiTheme="majorBidi" w:cstheme="majorBidi"/>
          <w:color w:val="000000" w:themeColor="text1"/>
          <w:sz w:val="24"/>
          <w:szCs w:val="24"/>
        </w:rPr>
        <w:t>Table 4.3 shows OLS regression results of the model. The model consists of dependent variables SP and explanatory variables (AFEE</w:t>
      </w:r>
      <w:r w:rsidRPr="007E3F92">
        <w:rPr>
          <w:rFonts w:asciiTheme="majorBidi" w:hAnsiTheme="majorBidi" w:cstheme="majorBidi"/>
          <w:color w:val="000000" w:themeColor="text1"/>
          <w:sz w:val="24"/>
          <w:szCs w:val="24"/>
        </w:rPr>
        <w:t xml:space="preserve">, AFS, ATN, AGE, and SIZE).The </w:t>
      </w:r>
      <w:r w:rsidRPr="007E3F92">
        <w:rPr>
          <w:rFonts w:asciiTheme="majorBidi" w:hAnsiTheme="majorBidi" w:cstheme="majorBidi"/>
          <w:color w:val="000000" w:themeColor="text1"/>
          <w:sz w:val="24"/>
          <w:szCs w:val="24"/>
        </w:rPr>
        <w:lastRenderedPageBreak/>
        <w:t xml:space="preserve">impact of independent variable AFEE on dependent variable share price (SP) is negative with coefficient value of </w:t>
      </w:r>
      <w:r w:rsidRPr="007E3F92">
        <w:rPr>
          <w:rFonts w:asciiTheme="majorBidi" w:hAnsiTheme="majorBidi" w:cstheme="majorBidi"/>
          <w:color w:val="000000"/>
          <w:sz w:val="24"/>
          <w:szCs w:val="24"/>
        </w:rPr>
        <w:t>-1.733</w:t>
      </w:r>
      <w:r w:rsidRPr="007E3F92">
        <w:rPr>
          <w:rFonts w:asciiTheme="majorBidi" w:hAnsiTheme="majorBidi" w:cstheme="majorBidi"/>
          <w:color w:val="000000" w:themeColor="text1"/>
          <w:sz w:val="24"/>
          <w:szCs w:val="24"/>
        </w:rPr>
        <w:t xml:space="preserve"> and issignificant with 0</w:t>
      </w:r>
      <w:r w:rsidRPr="007E3F92">
        <w:rPr>
          <w:rFonts w:asciiTheme="majorBidi" w:hAnsiTheme="majorBidi" w:cstheme="majorBidi"/>
          <w:color w:val="000000"/>
          <w:sz w:val="24"/>
          <w:szCs w:val="24"/>
        </w:rPr>
        <w:t xml:space="preserve">.088 level of significance, </w:t>
      </w:r>
      <w:r w:rsidRPr="007E3F92">
        <w:rPr>
          <w:rFonts w:asciiTheme="majorBidi" w:hAnsiTheme="majorBidi" w:cstheme="majorBidi"/>
          <w:color w:val="000000" w:themeColor="text1"/>
          <w:sz w:val="24"/>
          <w:szCs w:val="24"/>
        </w:rPr>
        <w:t xml:space="preserve">meaning that an increase in AFEE by one unit while other variable remain constant lead to an increase in SP by 8.8%. The impact of independent variable AFS on dependent variable SP is negative with coefficient value of </w:t>
      </w:r>
      <w:r w:rsidRPr="007E3F92">
        <w:rPr>
          <w:rFonts w:asciiTheme="majorBidi" w:hAnsiTheme="majorBidi" w:cstheme="majorBidi"/>
          <w:color w:val="000000"/>
          <w:sz w:val="24"/>
          <w:szCs w:val="24"/>
        </w:rPr>
        <w:t>-5.920 but insignificant with 0.000 level , meaning that an increase in AFS by one unit while other variable remain constant lead to decrease in SP by 100%. The impact of independent variable audit tenure (ATN) on dependent variable SP is negative with coefficient value of -0.943 and insignificant with the value of 0.349 meaning that an increase in ATN by one unit while other variable remain constant lead to decrease in SP by 34.9%. The impact of control variable company AGE on dependent variable SP is negative with coefficient value of -2.052 but insignificant with associate value of 0.44 meaning that an increase in company AGE by one unit while other variable remain constant lead to decrease in SP by 44%. The impact of control variable company Size on dependent variable SP is positive with coefficient value of 1.670 and is significant with associate value of 0.100, meaning that an increase in company size by one unit while other variable remain constant lead to an increase in SP by 10%.</w:t>
      </w:r>
    </w:p>
    <w:p w14:paraId="68C9C074" w14:textId="77777777" w:rsidR="00A66BAD" w:rsidRPr="007E3F92" w:rsidRDefault="00A66BAD" w:rsidP="0047083F">
      <w:pPr>
        <w:autoSpaceDE w:val="0"/>
        <w:autoSpaceDN w:val="0"/>
        <w:adjustRightInd w:val="0"/>
        <w:spacing w:before="240" w:after="0" w:line="360" w:lineRule="auto"/>
        <w:jc w:val="both"/>
        <w:rPr>
          <w:rFonts w:asciiTheme="majorBidi" w:hAnsiTheme="majorBidi" w:cstheme="majorBidi"/>
          <w:b/>
          <w:color w:val="000000"/>
          <w:sz w:val="24"/>
          <w:szCs w:val="24"/>
        </w:rPr>
      </w:pPr>
      <w:r w:rsidRPr="007E3F92">
        <w:rPr>
          <w:rFonts w:asciiTheme="majorBidi" w:hAnsiTheme="majorBidi" w:cstheme="majorBidi"/>
          <w:b/>
          <w:color w:val="000000"/>
          <w:sz w:val="24"/>
          <w:szCs w:val="24"/>
        </w:rPr>
        <w:t>4.5</w:t>
      </w:r>
      <w:r w:rsidRPr="007E3F92">
        <w:rPr>
          <w:rFonts w:asciiTheme="majorBidi" w:hAnsiTheme="majorBidi" w:cstheme="majorBidi"/>
          <w:b/>
          <w:color w:val="000000"/>
          <w:sz w:val="24"/>
          <w:szCs w:val="24"/>
        </w:rPr>
        <w:tab/>
        <w:t>Test of Hypotheses</w:t>
      </w:r>
    </w:p>
    <w:p w14:paraId="1EE91096" w14:textId="77777777" w:rsidR="00A66BAD" w:rsidRPr="007E3F92" w:rsidRDefault="00A66BAD" w:rsidP="00322954">
      <w:pPr>
        <w:pStyle w:val="Default"/>
        <w:spacing w:line="360" w:lineRule="auto"/>
        <w:jc w:val="both"/>
        <w:rPr>
          <w:rFonts w:asciiTheme="majorBidi" w:hAnsiTheme="majorBidi" w:cstheme="majorBidi"/>
          <w:color w:val="auto"/>
        </w:rPr>
      </w:pPr>
      <w:r w:rsidRPr="007E3F92">
        <w:rPr>
          <w:rFonts w:asciiTheme="majorBidi" w:hAnsiTheme="majorBidi" w:cstheme="majorBidi"/>
          <w:color w:val="auto"/>
        </w:rPr>
        <w:t>H</w:t>
      </w:r>
      <w:r w:rsidRPr="007E3F92">
        <w:rPr>
          <w:rFonts w:asciiTheme="majorBidi" w:hAnsiTheme="majorBidi" w:cstheme="majorBidi"/>
          <w:color w:val="auto"/>
          <w:vertAlign w:val="subscript"/>
        </w:rPr>
        <w:t>01</w:t>
      </w:r>
      <w:r w:rsidRPr="007E3F92">
        <w:rPr>
          <w:rFonts w:asciiTheme="majorBidi" w:hAnsiTheme="majorBidi" w:cstheme="majorBidi"/>
          <w:color w:val="auto"/>
        </w:rPr>
        <w:t>:</w:t>
      </w:r>
      <w:r w:rsidRPr="007E3F92">
        <w:rPr>
          <w:rFonts w:asciiTheme="majorBidi" w:hAnsiTheme="majorBidi" w:cstheme="majorBidi"/>
          <w:color w:val="auto"/>
        </w:rPr>
        <w:tab/>
        <w:t>There is no significant relationship between Audit Firm Size (AFS) and firm value of listed food product companies in Nigeria.</w:t>
      </w:r>
    </w:p>
    <w:p w14:paraId="6E2E1A4A" w14:textId="77777777" w:rsidR="00A66BAD" w:rsidRPr="007E3F92" w:rsidRDefault="00A66BAD" w:rsidP="00322954">
      <w:pPr>
        <w:pStyle w:val="Default"/>
        <w:spacing w:line="360" w:lineRule="auto"/>
        <w:jc w:val="both"/>
        <w:rPr>
          <w:rFonts w:asciiTheme="majorBidi" w:hAnsiTheme="majorBidi" w:cstheme="majorBidi"/>
          <w:color w:val="auto"/>
        </w:rPr>
      </w:pPr>
      <w:r w:rsidRPr="007E3F92">
        <w:rPr>
          <w:rFonts w:asciiTheme="majorBidi" w:hAnsiTheme="majorBidi" w:cstheme="majorBidi"/>
          <w:color w:val="auto"/>
        </w:rPr>
        <w:t xml:space="preserve">The regression co-efficient of AFS and SP result indicate a negative insignificant relationship at 100% therefore the null hypothesis should be accepted. This is consistent with the findings of </w:t>
      </w:r>
      <w:r w:rsidRPr="007E3F92">
        <w:rPr>
          <w:rFonts w:asciiTheme="majorBidi" w:hAnsiTheme="majorBidi" w:cstheme="majorBidi"/>
          <w:bCs/>
        </w:rPr>
        <w:t>Ilaboya &amp; Ohiokha  (2014).</w:t>
      </w:r>
    </w:p>
    <w:p w14:paraId="79B373E1" w14:textId="77777777" w:rsidR="00A66BAD" w:rsidRPr="007E3F92" w:rsidRDefault="00A66BAD" w:rsidP="00322954">
      <w:pPr>
        <w:pStyle w:val="Default"/>
        <w:spacing w:line="360" w:lineRule="auto"/>
        <w:jc w:val="both"/>
        <w:rPr>
          <w:rFonts w:asciiTheme="majorBidi" w:hAnsiTheme="majorBidi" w:cstheme="majorBidi"/>
          <w:color w:val="auto"/>
        </w:rPr>
      </w:pPr>
      <w:r w:rsidRPr="007E3F92">
        <w:rPr>
          <w:rFonts w:asciiTheme="majorBidi" w:hAnsiTheme="majorBidi" w:cstheme="majorBidi"/>
          <w:color w:val="auto"/>
        </w:rPr>
        <w:t>H</w:t>
      </w:r>
      <w:r w:rsidRPr="007E3F92">
        <w:rPr>
          <w:rFonts w:asciiTheme="majorBidi" w:hAnsiTheme="majorBidi" w:cstheme="majorBidi"/>
          <w:color w:val="auto"/>
          <w:vertAlign w:val="subscript"/>
        </w:rPr>
        <w:t>02</w:t>
      </w:r>
      <w:r w:rsidRPr="007E3F92">
        <w:rPr>
          <w:rFonts w:asciiTheme="majorBidi" w:hAnsiTheme="majorBidi" w:cstheme="majorBidi"/>
          <w:color w:val="auto"/>
        </w:rPr>
        <w:t>:</w:t>
      </w:r>
      <w:r w:rsidRPr="007E3F92">
        <w:rPr>
          <w:rFonts w:asciiTheme="majorBidi" w:hAnsiTheme="majorBidi" w:cstheme="majorBidi"/>
          <w:color w:val="auto"/>
        </w:rPr>
        <w:tab/>
        <w:t>Audit Tenure (AT) has no significant relationship with food product companies in Nigeria.</w:t>
      </w:r>
    </w:p>
    <w:p w14:paraId="74716743" w14:textId="77777777" w:rsidR="00A66BAD" w:rsidRPr="007E3F92" w:rsidRDefault="00A66BAD" w:rsidP="00322954">
      <w:pPr>
        <w:pStyle w:val="Default"/>
        <w:spacing w:line="360" w:lineRule="auto"/>
        <w:jc w:val="both"/>
        <w:rPr>
          <w:rFonts w:asciiTheme="majorBidi" w:hAnsiTheme="majorBidi" w:cstheme="majorBidi"/>
          <w:color w:val="auto"/>
        </w:rPr>
      </w:pPr>
      <w:r w:rsidRPr="007E3F92">
        <w:rPr>
          <w:rFonts w:asciiTheme="majorBidi" w:hAnsiTheme="majorBidi" w:cstheme="majorBidi"/>
          <w:color w:val="auto"/>
        </w:rPr>
        <w:t xml:space="preserve">The result of the study indicates that there is negative and insignificant relationship between SP and ATN at 34.9% level of significance therefore the null hypothesis should be accepted. This is consistent with the findings of </w:t>
      </w:r>
      <w:r w:rsidRPr="007E3F92">
        <w:rPr>
          <w:rFonts w:asciiTheme="majorBidi" w:hAnsiTheme="majorBidi" w:cstheme="majorBidi"/>
          <w:bCs/>
        </w:rPr>
        <w:t>Ilaboya &amp;Ohiokha F. (2014).</w:t>
      </w:r>
    </w:p>
    <w:p w14:paraId="3D935E2A" w14:textId="77777777" w:rsidR="00A66BAD" w:rsidRPr="007E3F92" w:rsidRDefault="00A66BAD" w:rsidP="00322954">
      <w:pPr>
        <w:pStyle w:val="Default"/>
        <w:spacing w:line="360" w:lineRule="auto"/>
        <w:jc w:val="both"/>
        <w:rPr>
          <w:rFonts w:asciiTheme="majorBidi" w:hAnsiTheme="majorBidi" w:cstheme="majorBidi"/>
          <w:color w:val="auto"/>
        </w:rPr>
      </w:pPr>
      <w:r w:rsidRPr="007E3F92">
        <w:rPr>
          <w:rFonts w:asciiTheme="majorBidi" w:hAnsiTheme="majorBidi" w:cstheme="majorBidi"/>
          <w:color w:val="auto"/>
        </w:rPr>
        <w:lastRenderedPageBreak/>
        <w:t>H</w:t>
      </w:r>
      <w:r w:rsidRPr="007E3F92">
        <w:rPr>
          <w:rFonts w:asciiTheme="majorBidi" w:hAnsiTheme="majorBidi" w:cstheme="majorBidi"/>
          <w:color w:val="auto"/>
          <w:vertAlign w:val="subscript"/>
        </w:rPr>
        <w:t>03</w:t>
      </w:r>
      <w:r w:rsidRPr="007E3F92">
        <w:rPr>
          <w:rFonts w:asciiTheme="majorBidi" w:hAnsiTheme="majorBidi" w:cstheme="majorBidi"/>
          <w:color w:val="auto"/>
        </w:rPr>
        <w:t>:</w:t>
      </w:r>
      <w:r w:rsidRPr="007E3F92">
        <w:rPr>
          <w:rFonts w:asciiTheme="majorBidi" w:hAnsiTheme="majorBidi" w:cstheme="majorBidi"/>
          <w:color w:val="auto"/>
        </w:rPr>
        <w:tab/>
        <w:t>Audit Fee (AFEE) has no significant relationship with food product companies in Nigeria.</w:t>
      </w:r>
    </w:p>
    <w:p w14:paraId="59904F97" w14:textId="77777777" w:rsidR="00A66BAD" w:rsidRPr="007E3F92" w:rsidRDefault="00A66BAD" w:rsidP="00322954">
      <w:pPr>
        <w:pStyle w:val="Default"/>
        <w:spacing w:line="360" w:lineRule="auto"/>
        <w:jc w:val="both"/>
        <w:rPr>
          <w:rFonts w:asciiTheme="majorBidi" w:hAnsiTheme="majorBidi" w:cstheme="majorBidi"/>
        </w:rPr>
      </w:pPr>
      <w:r w:rsidRPr="007E3F92">
        <w:rPr>
          <w:rFonts w:asciiTheme="majorBidi" w:hAnsiTheme="majorBidi" w:cstheme="majorBidi"/>
          <w:color w:val="auto"/>
        </w:rPr>
        <w:t xml:space="preserve">The result of the study indicates that there is negative and significant relationship between SP and AFEE at 8.8% level of significance therefore the null hypothesis should be rejected. This is consistent with the findings of </w:t>
      </w:r>
      <w:r w:rsidRPr="007E3F92">
        <w:rPr>
          <w:rFonts w:asciiTheme="majorBidi" w:hAnsiTheme="majorBidi" w:cstheme="majorBidi"/>
        </w:rPr>
        <w:t>Ilechukwu &amp; Felix (2017).</w:t>
      </w:r>
      <w:r w:rsidRPr="007E3F92">
        <w:rPr>
          <w:rFonts w:asciiTheme="majorBidi" w:hAnsiTheme="majorBidi" w:cstheme="majorBidi"/>
          <w:color w:val="auto"/>
          <w:vertAlign w:val="subscript"/>
        </w:rPr>
        <w:tab/>
      </w:r>
    </w:p>
    <w:p w14:paraId="104A47FF"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color w:val="000000" w:themeColor="text1"/>
          <w:sz w:val="24"/>
          <w:szCs w:val="24"/>
        </w:rPr>
        <w:t>Table 4.3 shows the model summary, which indicate that the coefficient of determination R</w:t>
      </w:r>
      <w:r w:rsidRPr="007E3F92">
        <w:rPr>
          <w:rFonts w:asciiTheme="majorBidi" w:hAnsiTheme="majorBidi" w:cstheme="majorBidi"/>
          <w:color w:val="000000" w:themeColor="text1"/>
          <w:sz w:val="24"/>
          <w:szCs w:val="24"/>
          <w:vertAlign w:val="superscript"/>
        </w:rPr>
        <w:t>2</w:t>
      </w:r>
      <w:r w:rsidRPr="007E3F92">
        <w:rPr>
          <w:rFonts w:asciiTheme="majorBidi" w:hAnsiTheme="majorBidi" w:cstheme="majorBidi"/>
          <w:color w:val="000000" w:themeColor="text1"/>
          <w:sz w:val="24"/>
          <w:szCs w:val="24"/>
        </w:rPr>
        <w:t xml:space="preserve"> is 0.431. This means that 43.1% of change in SP was caused by changes in independent variables AFEE, AFS, ATN; while 56.9% change in SP was caused by other factors not included in the model.</w:t>
      </w:r>
    </w:p>
    <w:p w14:paraId="0CB8C9F2" w14:textId="77777777" w:rsidR="00A66BAD" w:rsidRPr="007E3F92" w:rsidRDefault="00A66BAD" w:rsidP="00322954">
      <w:pPr>
        <w:spacing w:after="0" w:line="360" w:lineRule="auto"/>
        <w:rPr>
          <w:rFonts w:asciiTheme="majorBidi" w:hAnsiTheme="majorBidi" w:cstheme="majorBidi"/>
          <w:b/>
          <w:sz w:val="24"/>
          <w:szCs w:val="24"/>
        </w:rPr>
      </w:pPr>
      <w:r w:rsidRPr="007E3F92">
        <w:rPr>
          <w:rFonts w:asciiTheme="majorBidi" w:hAnsiTheme="majorBidi" w:cstheme="majorBidi"/>
          <w:b/>
          <w:sz w:val="24"/>
          <w:szCs w:val="24"/>
        </w:rPr>
        <w:br w:type="page"/>
      </w:r>
    </w:p>
    <w:p w14:paraId="28280742" w14:textId="77777777" w:rsidR="00A66BAD" w:rsidRPr="007E3F92" w:rsidRDefault="00A66BAD" w:rsidP="00322954">
      <w:pPr>
        <w:autoSpaceDE w:val="0"/>
        <w:autoSpaceDN w:val="0"/>
        <w:adjustRightInd w:val="0"/>
        <w:spacing w:after="0" w:line="360" w:lineRule="auto"/>
        <w:jc w:val="center"/>
        <w:rPr>
          <w:rFonts w:asciiTheme="majorBidi" w:hAnsiTheme="majorBidi" w:cstheme="majorBidi"/>
          <w:b/>
          <w:sz w:val="24"/>
          <w:szCs w:val="24"/>
        </w:rPr>
      </w:pPr>
      <w:r w:rsidRPr="007E3F92">
        <w:rPr>
          <w:rFonts w:asciiTheme="majorBidi" w:hAnsiTheme="majorBidi" w:cstheme="majorBidi"/>
          <w:b/>
          <w:sz w:val="24"/>
          <w:szCs w:val="24"/>
        </w:rPr>
        <w:lastRenderedPageBreak/>
        <w:t>CHAPTER FIVE</w:t>
      </w:r>
    </w:p>
    <w:p w14:paraId="22AB2740" w14:textId="77777777" w:rsidR="00A66BAD" w:rsidRPr="007E3F92" w:rsidRDefault="00A66BAD" w:rsidP="00322954">
      <w:pPr>
        <w:autoSpaceDE w:val="0"/>
        <w:autoSpaceDN w:val="0"/>
        <w:adjustRightInd w:val="0"/>
        <w:spacing w:after="0" w:line="360" w:lineRule="auto"/>
        <w:jc w:val="center"/>
        <w:rPr>
          <w:rFonts w:asciiTheme="majorBidi" w:hAnsiTheme="majorBidi" w:cstheme="majorBidi"/>
          <w:b/>
          <w:sz w:val="24"/>
          <w:szCs w:val="24"/>
        </w:rPr>
      </w:pPr>
      <w:r w:rsidRPr="007E3F92">
        <w:rPr>
          <w:rFonts w:asciiTheme="majorBidi" w:hAnsiTheme="majorBidi" w:cstheme="majorBidi"/>
          <w:b/>
          <w:sz w:val="24"/>
          <w:szCs w:val="24"/>
        </w:rPr>
        <w:t>SUMMARY, CONCLUSIONS AND RECOMMENDATIONS</w:t>
      </w:r>
    </w:p>
    <w:p w14:paraId="5F1F94D7" w14:textId="42B8F5C3" w:rsidR="00A66BAD" w:rsidRPr="007E3F92" w:rsidRDefault="00977CB2" w:rsidP="00322954">
      <w:pPr>
        <w:autoSpaceDE w:val="0"/>
        <w:autoSpaceDN w:val="0"/>
        <w:adjustRightInd w:val="0"/>
        <w:spacing w:after="0" w:line="360" w:lineRule="auto"/>
        <w:jc w:val="both"/>
        <w:rPr>
          <w:rFonts w:asciiTheme="majorBidi" w:hAnsiTheme="majorBidi" w:cstheme="majorBidi"/>
          <w:b/>
          <w:sz w:val="24"/>
          <w:szCs w:val="24"/>
        </w:rPr>
      </w:pPr>
      <w:r>
        <w:rPr>
          <w:rFonts w:asciiTheme="majorBidi" w:hAnsiTheme="majorBidi" w:cstheme="majorBidi"/>
          <w:b/>
          <w:sz w:val="24"/>
          <w:szCs w:val="24"/>
        </w:rPr>
        <w:t>5.1</w:t>
      </w:r>
      <w:r w:rsidR="00A66BAD" w:rsidRPr="007E3F92">
        <w:rPr>
          <w:rFonts w:asciiTheme="majorBidi" w:hAnsiTheme="majorBidi" w:cstheme="majorBidi"/>
          <w:b/>
          <w:sz w:val="24"/>
          <w:szCs w:val="24"/>
        </w:rPr>
        <w:tab/>
        <w:t>Summary</w:t>
      </w:r>
    </w:p>
    <w:p w14:paraId="599DF304"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The main purpose of this research was to examine the impact of audit quality on value of listed foods product companies in Nigeria, using a sample of seven companies. The study consists of five chapters. Chapter one has adequately taken care of the introductory part of the research work where the topic was warmed up to give the reader a flash of what the subject is all about, The statement and objectives of the study are clearly and concisely stated, research hypothesis, significance and scope of the study were also clearly stated and given adequate attention.</w:t>
      </w:r>
    </w:p>
    <w:p w14:paraId="1B80C469"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Chapter two explained the body of knowledge of published works, articles, textbooks etc. relating to the research topic were reviewed. Concepts were defined in the conceptual framework, empirical studies were reviewed and the theories related to the study were discussed.</w:t>
      </w:r>
    </w:p>
    <w:p w14:paraId="35FBAF76" w14:textId="77777777" w:rsidR="00A66BAD" w:rsidRPr="007E3F92" w:rsidRDefault="00A66BAD" w:rsidP="0047083F">
      <w:pPr>
        <w:autoSpaceDE w:val="0"/>
        <w:autoSpaceDN w:val="0"/>
        <w:adjustRightInd w:val="0"/>
        <w:spacing w:before="240" w:after="0" w:line="360" w:lineRule="auto"/>
        <w:jc w:val="both"/>
        <w:rPr>
          <w:rFonts w:asciiTheme="majorBidi" w:hAnsiTheme="majorBidi" w:cstheme="majorBidi"/>
          <w:sz w:val="24"/>
          <w:szCs w:val="24"/>
        </w:rPr>
      </w:pPr>
      <w:r w:rsidRPr="007E3F92">
        <w:rPr>
          <w:rFonts w:asciiTheme="majorBidi" w:hAnsiTheme="majorBidi" w:cstheme="majorBidi"/>
          <w:sz w:val="24"/>
          <w:szCs w:val="24"/>
        </w:rPr>
        <w:t>In chapter three the methodology used for the research was stated together with the population and sample size and sampling techniques. The population covers all the food and beverages firms listed in the Nigerian Stock Exchange, using seven foods and beverages firms as the sample representing the whole population and the research opted to use random sampling techniques. Lastly secondary source of data were used and the method of data analysis adopted include descriptive statistics, correlation and regression analyses were utilized for the purpose of data analysis. The study made use of a dependent variable which is share price and three independent variables (audit fee, audit tenure, audit firm size) and study use two control variable company age and size.</w:t>
      </w:r>
    </w:p>
    <w:p w14:paraId="13870801" w14:textId="77777777" w:rsidR="00A66BAD" w:rsidRPr="007E3F92" w:rsidRDefault="00A66BAD" w:rsidP="0047083F">
      <w:pPr>
        <w:autoSpaceDE w:val="0"/>
        <w:autoSpaceDN w:val="0"/>
        <w:adjustRightInd w:val="0"/>
        <w:spacing w:before="240"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Chapter four is data presentation, analyses and interpretation of the research conducted. The data were source using secondary source of data and the techniques employ in analyzing the data include descriptive statistics, correlation and regression analyses. The hypotheses of the research project were also tested in this chapter. Lastly, Chapter five </w:t>
      </w:r>
      <w:r w:rsidRPr="007E3F92">
        <w:rPr>
          <w:rFonts w:asciiTheme="majorBidi" w:hAnsiTheme="majorBidi" w:cstheme="majorBidi"/>
          <w:sz w:val="24"/>
          <w:szCs w:val="24"/>
        </w:rPr>
        <w:lastRenderedPageBreak/>
        <w:t>is the final chapter which covers essential areas such as the introduction, summary of the whole research work, conclusion and recommendation.</w:t>
      </w:r>
    </w:p>
    <w:p w14:paraId="3E4AC270"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Based on the data collected and analyzed as well as the test of hypotheses the major findings of the study are as follows:</w:t>
      </w:r>
    </w:p>
    <w:p w14:paraId="551225BE" w14:textId="77777777" w:rsidR="00A66BAD" w:rsidRPr="007E3F92" w:rsidRDefault="00A66BAD" w:rsidP="00322954">
      <w:pPr>
        <w:pStyle w:val="Default"/>
        <w:numPr>
          <w:ilvl w:val="0"/>
          <w:numId w:val="12"/>
        </w:numPr>
        <w:spacing w:line="360" w:lineRule="auto"/>
        <w:jc w:val="both"/>
        <w:rPr>
          <w:rFonts w:asciiTheme="majorBidi" w:hAnsiTheme="majorBidi" w:cstheme="majorBidi"/>
          <w:color w:val="auto"/>
        </w:rPr>
      </w:pPr>
      <w:r w:rsidRPr="007E3F92">
        <w:rPr>
          <w:rFonts w:asciiTheme="majorBidi" w:hAnsiTheme="majorBidi" w:cstheme="majorBidi"/>
          <w:color w:val="auto"/>
        </w:rPr>
        <w:t>Audit Firm Size (AFS) is negatively insignificant on share price of the food product companies in Nigeria.</w:t>
      </w:r>
    </w:p>
    <w:p w14:paraId="343EC8CF" w14:textId="77777777" w:rsidR="00A66BAD" w:rsidRPr="007E3F92" w:rsidRDefault="00A66BAD" w:rsidP="00322954">
      <w:pPr>
        <w:pStyle w:val="ListParagraph"/>
        <w:numPr>
          <w:ilvl w:val="0"/>
          <w:numId w:val="12"/>
        </w:numPr>
        <w:spacing w:after="0" w:line="360" w:lineRule="auto"/>
        <w:jc w:val="both"/>
        <w:rPr>
          <w:rFonts w:asciiTheme="majorBidi" w:hAnsiTheme="majorBidi" w:cstheme="majorBidi"/>
          <w:color w:val="000000" w:themeColor="text1"/>
          <w:sz w:val="24"/>
          <w:szCs w:val="24"/>
        </w:rPr>
      </w:pPr>
      <w:r w:rsidRPr="007E3F92">
        <w:rPr>
          <w:rFonts w:asciiTheme="majorBidi" w:eastAsia="Times New Roman" w:hAnsiTheme="majorBidi" w:cstheme="majorBidi"/>
          <w:sz w:val="24"/>
          <w:szCs w:val="24"/>
        </w:rPr>
        <w:t xml:space="preserve">Audit Tenure (AT) is negatively insignificant on share price of the food product companies in Nigeria. </w:t>
      </w:r>
    </w:p>
    <w:p w14:paraId="67AA7E6B" w14:textId="77777777" w:rsidR="00A66BAD" w:rsidRPr="007E3F92" w:rsidRDefault="00A66BAD" w:rsidP="00322954">
      <w:pPr>
        <w:pStyle w:val="Default"/>
        <w:numPr>
          <w:ilvl w:val="0"/>
          <w:numId w:val="12"/>
        </w:numPr>
        <w:spacing w:line="360" w:lineRule="auto"/>
        <w:jc w:val="both"/>
        <w:rPr>
          <w:rFonts w:asciiTheme="majorBidi" w:hAnsiTheme="majorBidi" w:cstheme="majorBidi"/>
          <w:color w:val="auto"/>
        </w:rPr>
      </w:pPr>
      <w:r w:rsidRPr="007E3F92">
        <w:rPr>
          <w:rFonts w:asciiTheme="majorBidi" w:hAnsiTheme="majorBidi" w:cstheme="majorBidi"/>
          <w:color w:val="auto"/>
        </w:rPr>
        <w:t>Audit Fee (AFEE) is negatively significant on share price of the food product companies in Nigeria.</w:t>
      </w:r>
    </w:p>
    <w:p w14:paraId="12C0CB2E" w14:textId="7445DF98" w:rsidR="00A66BAD" w:rsidRPr="007E3F92" w:rsidRDefault="00977CB2" w:rsidP="0047083F">
      <w:pPr>
        <w:autoSpaceDE w:val="0"/>
        <w:autoSpaceDN w:val="0"/>
        <w:adjustRightInd w:val="0"/>
        <w:spacing w:before="240" w:after="0" w:line="360" w:lineRule="auto"/>
        <w:jc w:val="both"/>
        <w:rPr>
          <w:rFonts w:asciiTheme="majorBidi" w:hAnsiTheme="majorBidi" w:cstheme="majorBidi"/>
          <w:sz w:val="24"/>
          <w:szCs w:val="24"/>
        </w:rPr>
      </w:pPr>
      <w:r>
        <w:rPr>
          <w:rFonts w:asciiTheme="majorBidi" w:hAnsiTheme="majorBidi" w:cstheme="majorBidi"/>
          <w:b/>
          <w:sz w:val="24"/>
          <w:szCs w:val="24"/>
        </w:rPr>
        <w:t>5.2</w:t>
      </w:r>
      <w:r w:rsidR="00A66BAD" w:rsidRPr="007E3F92">
        <w:rPr>
          <w:rFonts w:asciiTheme="majorBidi" w:hAnsiTheme="majorBidi" w:cstheme="majorBidi"/>
          <w:b/>
          <w:sz w:val="24"/>
          <w:szCs w:val="24"/>
        </w:rPr>
        <w:tab/>
        <w:t>Conclusions</w:t>
      </w:r>
    </w:p>
    <w:p w14:paraId="093F644E"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Based on the findings of the study, the following conclusions were drawn:</w:t>
      </w:r>
    </w:p>
    <w:p w14:paraId="5FF7A77A" w14:textId="77777777" w:rsidR="00A66BAD" w:rsidRPr="007E3F92" w:rsidRDefault="00A66BAD" w:rsidP="00322954">
      <w:pPr>
        <w:pStyle w:val="ListParagraph"/>
        <w:numPr>
          <w:ilvl w:val="0"/>
          <w:numId w:val="13"/>
        </w:num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That Audit firm size (AFS) has no significant effect on the firm value of listed food product companies in Nigeria. It means larger audit firms have the likelihood of delivering lesser audit quality; this is because probably as a result of the larger number of clients being attracted to the big audit firms, therefore the food and beverages firm in Nigeria should contract its audit service to small audit firm for qualitative audit activities.</w:t>
      </w:r>
    </w:p>
    <w:p w14:paraId="3AE0D46E" w14:textId="77777777" w:rsidR="00A66BAD" w:rsidRPr="007E3F92" w:rsidRDefault="00A66BAD" w:rsidP="00322954">
      <w:pPr>
        <w:pStyle w:val="ListParagraph"/>
        <w:numPr>
          <w:ilvl w:val="0"/>
          <w:numId w:val="13"/>
        </w:num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That Audit tenure (ATN) has no significant effect on firm value of listed food product companies in Nigeria. This means that the shorter the tenure of the auditor, the more qualitative the audit is likely to be, hort audit tenure via the regular rotation of auditors should help checkmate some of the threats to the independence of an auditor, thereby enhancing the audit quality in the food and beverages companies in Nigeria.</w:t>
      </w:r>
    </w:p>
    <w:p w14:paraId="5E424305" w14:textId="379FC21B" w:rsidR="00A66BAD" w:rsidRPr="007E3F92" w:rsidRDefault="00A66BAD" w:rsidP="00322954">
      <w:pPr>
        <w:pStyle w:val="ListParagraph"/>
        <w:numPr>
          <w:ilvl w:val="0"/>
          <w:numId w:val="13"/>
        </w:num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That Audit fee (AFEE) has significant effect on firm value of listed food product companies in Nigeria. This</w:t>
      </w:r>
      <w:r w:rsidR="00977CB2">
        <w:rPr>
          <w:rFonts w:asciiTheme="majorBidi" w:hAnsiTheme="majorBidi" w:cstheme="majorBidi"/>
          <w:sz w:val="24"/>
          <w:szCs w:val="24"/>
        </w:rPr>
        <w:t xml:space="preserve"> </w:t>
      </w:r>
      <w:r w:rsidRPr="007E3F92">
        <w:rPr>
          <w:rFonts w:asciiTheme="majorBidi" w:hAnsiTheme="majorBidi" w:cstheme="majorBidi"/>
          <w:sz w:val="24"/>
          <w:szCs w:val="24"/>
        </w:rPr>
        <w:t>means that audit quality is dependent on audit fee that is the higher the audit fee, the more qualitative the audit work will be.</w:t>
      </w:r>
    </w:p>
    <w:p w14:paraId="676138E3" w14:textId="77777777" w:rsidR="0047083F" w:rsidRDefault="0047083F" w:rsidP="00322954">
      <w:pPr>
        <w:autoSpaceDE w:val="0"/>
        <w:autoSpaceDN w:val="0"/>
        <w:adjustRightInd w:val="0"/>
        <w:spacing w:after="0" w:line="360" w:lineRule="auto"/>
        <w:jc w:val="both"/>
        <w:rPr>
          <w:rFonts w:asciiTheme="majorBidi" w:hAnsiTheme="majorBidi" w:cstheme="majorBidi"/>
          <w:b/>
          <w:sz w:val="24"/>
          <w:szCs w:val="24"/>
        </w:rPr>
      </w:pPr>
    </w:p>
    <w:p w14:paraId="2F120676"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b/>
          <w:sz w:val="24"/>
          <w:szCs w:val="24"/>
        </w:rPr>
      </w:pPr>
      <w:r w:rsidRPr="007E3F92">
        <w:rPr>
          <w:rFonts w:asciiTheme="majorBidi" w:hAnsiTheme="majorBidi" w:cstheme="majorBidi"/>
          <w:b/>
          <w:sz w:val="24"/>
          <w:szCs w:val="24"/>
        </w:rPr>
        <w:lastRenderedPageBreak/>
        <w:t>5.3</w:t>
      </w:r>
      <w:r w:rsidRPr="007E3F92">
        <w:rPr>
          <w:rFonts w:asciiTheme="majorBidi" w:hAnsiTheme="majorBidi" w:cstheme="majorBidi"/>
          <w:b/>
          <w:sz w:val="24"/>
          <w:szCs w:val="24"/>
        </w:rPr>
        <w:tab/>
        <w:t>Recommendations</w:t>
      </w:r>
    </w:p>
    <w:p w14:paraId="618EA911" w14:textId="77777777" w:rsidR="00A66BAD" w:rsidRPr="007E3F92" w:rsidRDefault="00A66BAD" w:rsidP="00322954">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In line with the findings and conclusions highlighted above from this study, the studies make the following recommendations:</w:t>
      </w:r>
    </w:p>
    <w:p w14:paraId="38F8E6F7" w14:textId="77777777" w:rsidR="00A66BAD" w:rsidRPr="007E3F92" w:rsidRDefault="00A66BAD" w:rsidP="00322954">
      <w:pPr>
        <w:pStyle w:val="ListParagraph"/>
        <w:numPr>
          <w:ilvl w:val="0"/>
          <w:numId w:val="14"/>
        </w:num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The auditor should be remunerated on the basis of work experience, qualification, duration of the audit assignment, and background profile. The payment of the adequate fee will encourage the auditor to do the assurance engagement assignment according to the high degree of standardization expected.</w:t>
      </w:r>
    </w:p>
    <w:p w14:paraId="3FC159E3" w14:textId="77777777" w:rsidR="00A66BAD" w:rsidRPr="007E3F92" w:rsidRDefault="00A66BAD" w:rsidP="00322954">
      <w:pPr>
        <w:pStyle w:val="ListParagraph"/>
        <w:numPr>
          <w:ilvl w:val="0"/>
          <w:numId w:val="14"/>
        </w:num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Foods Product Companies in Nigeria should concentrate on improving the firm value using a different tool rather than using audit firm size (AFS) because AFS doesn’t have any impact of firm value therefore they should employ the service of any audit firm either the big 4 or not.</w:t>
      </w:r>
    </w:p>
    <w:p w14:paraId="77A2303B" w14:textId="77777777" w:rsidR="00A66BAD" w:rsidRPr="007E3F92" w:rsidRDefault="00A66BAD" w:rsidP="00322954">
      <w:pPr>
        <w:pStyle w:val="ListParagraph"/>
        <w:numPr>
          <w:ilvl w:val="0"/>
          <w:numId w:val="14"/>
        </w:num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Foods Product Companies in Nigeria should not allow an audit firm to audit there firm for a long period of time because</w:t>
      </w:r>
      <w:r w:rsidRPr="007E3F92">
        <w:rPr>
          <w:rFonts w:asciiTheme="majorBidi" w:hAnsiTheme="majorBidi" w:cstheme="majorBidi"/>
          <w:color w:val="000000"/>
          <w:sz w:val="24"/>
          <w:szCs w:val="24"/>
        </w:rPr>
        <w:t xml:space="preserve"> it leads to a closer relationship between the audit firm and Client Company and consequently decrease audit quality and the firm value. and</w:t>
      </w:r>
    </w:p>
    <w:p w14:paraId="24212E50" w14:textId="77777777" w:rsidR="00A66BAD" w:rsidRPr="007E3F92" w:rsidRDefault="00A66BAD" w:rsidP="00322954">
      <w:pPr>
        <w:pStyle w:val="ListParagraph"/>
        <w:numPr>
          <w:ilvl w:val="0"/>
          <w:numId w:val="14"/>
        </w:num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Professional bodies such as ICAN and ANAN in Nigeria should always watch governmental actions and raise alarm on policies which affects audit practice especially in foods product companies and make guidelines that will penalize auditors that offer less quality report on smaller firms.</w:t>
      </w:r>
    </w:p>
    <w:p w14:paraId="27FA75AD" w14:textId="77777777" w:rsidR="00A66BAD" w:rsidRDefault="00A66BAD" w:rsidP="00322954">
      <w:pPr>
        <w:spacing w:after="0" w:line="360" w:lineRule="auto"/>
        <w:jc w:val="both"/>
        <w:rPr>
          <w:rFonts w:asciiTheme="majorBidi" w:hAnsiTheme="majorBidi" w:cstheme="majorBidi"/>
          <w:sz w:val="24"/>
          <w:szCs w:val="24"/>
        </w:rPr>
      </w:pPr>
    </w:p>
    <w:p w14:paraId="4E8133AE" w14:textId="77777777" w:rsidR="00A66BAD" w:rsidRDefault="00A66BAD" w:rsidP="00322954">
      <w:pPr>
        <w:spacing w:after="0" w:line="360" w:lineRule="auto"/>
        <w:jc w:val="both"/>
        <w:rPr>
          <w:rFonts w:asciiTheme="majorBidi" w:hAnsiTheme="majorBidi" w:cstheme="majorBidi"/>
          <w:sz w:val="24"/>
          <w:szCs w:val="24"/>
        </w:rPr>
      </w:pPr>
    </w:p>
    <w:p w14:paraId="4DA87F24" w14:textId="77777777" w:rsidR="00A66BAD" w:rsidRDefault="00A66BAD" w:rsidP="00322954">
      <w:pPr>
        <w:spacing w:after="0" w:line="360" w:lineRule="auto"/>
        <w:jc w:val="both"/>
        <w:rPr>
          <w:rFonts w:asciiTheme="majorBidi" w:hAnsiTheme="majorBidi" w:cstheme="majorBidi"/>
          <w:sz w:val="24"/>
          <w:szCs w:val="24"/>
        </w:rPr>
      </w:pPr>
    </w:p>
    <w:p w14:paraId="54225541" w14:textId="77777777" w:rsidR="00A66BAD" w:rsidRDefault="00A66BAD" w:rsidP="00322954">
      <w:pPr>
        <w:spacing w:after="0" w:line="360" w:lineRule="auto"/>
        <w:jc w:val="both"/>
        <w:rPr>
          <w:rFonts w:asciiTheme="majorBidi" w:hAnsiTheme="majorBidi" w:cstheme="majorBidi"/>
          <w:sz w:val="24"/>
          <w:szCs w:val="24"/>
        </w:rPr>
      </w:pPr>
    </w:p>
    <w:p w14:paraId="442D7BE6" w14:textId="77777777" w:rsidR="00A66BAD" w:rsidRDefault="00A66BAD" w:rsidP="00322954">
      <w:pPr>
        <w:spacing w:after="0" w:line="360" w:lineRule="auto"/>
        <w:jc w:val="both"/>
        <w:rPr>
          <w:rFonts w:asciiTheme="majorBidi" w:hAnsiTheme="majorBidi" w:cstheme="majorBidi"/>
          <w:sz w:val="24"/>
          <w:szCs w:val="24"/>
        </w:rPr>
      </w:pPr>
    </w:p>
    <w:p w14:paraId="1FF705DE" w14:textId="77777777" w:rsidR="00A66BAD" w:rsidRDefault="00A66BAD" w:rsidP="00322954">
      <w:pPr>
        <w:spacing w:after="0" w:line="360" w:lineRule="auto"/>
        <w:jc w:val="both"/>
        <w:rPr>
          <w:rFonts w:asciiTheme="majorBidi" w:hAnsiTheme="majorBidi" w:cstheme="majorBidi"/>
          <w:sz w:val="24"/>
          <w:szCs w:val="24"/>
        </w:rPr>
      </w:pPr>
    </w:p>
    <w:p w14:paraId="62A8CAEC" w14:textId="77777777" w:rsidR="00A66BAD" w:rsidRPr="007E3F92" w:rsidRDefault="00A66BAD" w:rsidP="00322954">
      <w:pPr>
        <w:spacing w:after="0" w:line="360" w:lineRule="auto"/>
        <w:jc w:val="both"/>
        <w:rPr>
          <w:rFonts w:asciiTheme="majorBidi" w:hAnsiTheme="majorBidi" w:cstheme="majorBidi"/>
          <w:sz w:val="24"/>
          <w:szCs w:val="24"/>
        </w:rPr>
      </w:pPr>
    </w:p>
    <w:p w14:paraId="76FDD77B" w14:textId="17D04B36" w:rsidR="00867865" w:rsidRDefault="00867865" w:rsidP="00322954">
      <w:pPr>
        <w:spacing w:line="360" w:lineRule="auto"/>
        <w:rPr>
          <w:rFonts w:asciiTheme="majorBidi" w:hAnsiTheme="majorBidi" w:cstheme="majorBidi"/>
          <w:b/>
          <w:sz w:val="24"/>
          <w:szCs w:val="24"/>
        </w:rPr>
      </w:pPr>
    </w:p>
    <w:p w14:paraId="6E51045F" w14:textId="79562D9C" w:rsidR="00A66BAD" w:rsidRPr="007E3F92" w:rsidRDefault="0047083F" w:rsidP="0047083F">
      <w:pPr>
        <w:spacing w:after="0" w:line="360" w:lineRule="auto"/>
        <w:ind w:left="630" w:hanging="540"/>
        <w:jc w:val="center"/>
        <w:rPr>
          <w:rFonts w:asciiTheme="majorBidi" w:hAnsiTheme="majorBidi" w:cstheme="majorBidi"/>
          <w:b/>
          <w:sz w:val="24"/>
          <w:szCs w:val="24"/>
        </w:rPr>
      </w:pPr>
      <w:r w:rsidRPr="007E3F92">
        <w:rPr>
          <w:rFonts w:asciiTheme="majorBidi" w:hAnsiTheme="majorBidi" w:cstheme="majorBidi"/>
          <w:b/>
          <w:sz w:val="24"/>
          <w:szCs w:val="24"/>
        </w:rPr>
        <w:lastRenderedPageBreak/>
        <w:t>REFERENCES</w:t>
      </w:r>
    </w:p>
    <w:p w14:paraId="68209E37" w14:textId="6F794E0E" w:rsidR="00A66BAD" w:rsidRDefault="00A66BAD" w:rsidP="0047083F">
      <w:pPr>
        <w:spacing w:after="0" w:line="360" w:lineRule="auto"/>
        <w:ind w:left="630" w:hanging="540"/>
        <w:jc w:val="both"/>
        <w:rPr>
          <w:rFonts w:asciiTheme="majorBidi" w:hAnsiTheme="majorBidi" w:cstheme="majorBidi"/>
          <w:sz w:val="24"/>
          <w:szCs w:val="24"/>
        </w:rPr>
      </w:pPr>
      <w:r w:rsidRPr="007E3F92">
        <w:rPr>
          <w:rFonts w:asciiTheme="majorBidi" w:hAnsiTheme="majorBidi" w:cstheme="majorBidi"/>
          <w:sz w:val="24"/>
          <w:szCs w:val="24"/>
        </w:rPr>
        <w:t>Arrunada, B. (2000). Audit quality: attributes, private safeguards and the role of regulations. TheEuropean Accou</w:t>
      </w:r>
      <w:r w:rsidR="0047083F">
        <w:rPr>
          <w:rFonts w:asciiTheme="majorBidi" w:hAnsiTheme="majorBidi" w:cstheme="majorBidi"/>
          <w:sz w:val="24"/>
          <w:szCs w:val="24"/>
        </w:rPr>
        <w:t>nting Review, 9 (2), 205 – 225.</w:t>
      </w:r>
    </w:p>
    <w:p w14:paraId="4FA6633D" w14:textId="7A20A3B1" w:rsidR="00A66BAD" w:rsidRPr="007E3F92" w:rsidRDefault="00A66BAD" w:rsidP="0047083F">
      <w:pPr>
        <w:autoSpaceDE w:val="0"/>
        <w:autoSpaceDN w:val="0"/>
        <w:adjustRightInd w:val="0"/>
        <w:spacing w:after="0" w:line="360" w:lineRule="auto"/>
        <w:ind w:left="630" w:hanging="540"/>
        <w:jc w:val="both"/>
        <w:rPr>
          <w:rFonts w:asciiTheme="majorBidi" w:hAnsiTheme="majorBidi" w:cstheme="majorBidi"/>
          <w:sz w:val="24"/>
          <w:szCs w:val="24"/>
        </w:rPr>
      </w:pPr>
      <w:r w:rsidRPr="007E3F92">
        <w:rPr>
          <w:rFonts w:asciiTheme="majorBidi" w:hAnsiTheme="majorBidi" w:cstheme="majorBidi"/>
          <w:sz w:val="24"/>
          <w:szCs w:val="24"/>
        </w:rPr>
        <w:t>Arens, A.A., Elder, R.J., Beasly, M.S., Best, P.J., Shailer, G.E.P., &amp; Fielder, B.A. (</w:t>
      </w:r>
      <w:r>
        <w:rPr>
          <w:rFonts w:asciiTheme="majorBidi" w:hAnsiTheme="majorBidi" w:cstheme="majorBidi"/>
          <w:sz w:val="24"/>
          <w:szCs w:val="24"/>
        </w:rPr>
        <w:t>2019</w:t>
      </w:r>
      <w:r w:rsidRPr="007E3F92">
        <w:rPr>
          <w:rFonts w:asciiTheme="majorBidi" w:hAnsiTheme="majorBidi" w:cstheme="majorBidi"/>
          <w:sz w:val="24"/>
          <w:szCs w:val="24"/>
        </w:rPr>
        <w:t>).</w:t>
      </w:r>
      <w:r w:rsidRPr="007E3F92">
        <w:rPr>
          <w:rFonts w:asciiTheme="majorBidi" w:hAnsiTheme="majorBidi" w:cstheme="majorBidi"/>
          <w:sz w:val="24"/>
          <w:szCs w:val="24"/>
        </w:rPr>
        <w:tab/>
      </w:r>
      <w:r w:rsidRPr="007E3F92">
        <w:rPr>
          <w:rFonts w:asciiTheme="majorBidi" w:hAnsiTheme="majorBidi" w:cstheme="majorBidi"/>
          <w:iCs/>
          <w:sz w:val="24"/>
          <w:szCs w:val="24"/>
        </w:rPr>
        <w:t>Auditing: Assurance service and ethics in Australia.</w:t>
      </w:r>
      <w:r w:rsidRPr="007E3F92">
        <w:rPr>
          <w:rFonts w:asciiTheme="majorBidi" w:hAnsiTheme="majorBidi" w:cstheme="majorBidi"/>
          <w:sz w:val="24"/>
          <w:szCs w:val="24"/>
        </w:rPr>
        <w:t>(8th ed). Australia: Pearson.</w:t>
      </w:r>
      <w:r>
        <w:rPr>
          <w:rFonts w:asciiTheme="majorBidi" w:hAnsiTheme="majorBidi" w:cstheme="majorBidi"/>
          <w:sz w:val="24"/>
          <w:szCs w:val="24"/>
        </w:rPr>
        <w:t xml:space="preserve"> </w:t>
      </w:r>
      <w:r w:rsidRPr="007E3F92">
        <w:rPr>
          <w:rFonts w:asciiTheme="majorBidi" w:hAnsiTheme="majorBidi" w:cstheme="majorBidi"/>
          <w:color w:val="000000"/>
          <w:sz w:val="24"/>
          <w:szCs w:val="24"/>
        </w:rPr>
        <w:t>ublic Company Accounting Oversight Board (2013).</w:t>
      </w:r>
      <w:r w:rsidRPr="007E3F92">
        <w:rPr>
          <w:rFonts w:asciiTheme="majorBidi" w:hAnsiTheme="majorBidi" w:cstheme="majorBidi"/>
          <w:iCs/>
          <w:color w:val="000000"/>
          <w:sz w:val="24"/>
          <w:szCs w:val="24"/>
        </w:rPr>
        <w:t xml:space="preserve">Standing advisory group meeting </w:t>
      </w:r>
      <w:r w:rsidRPr="007E3F92">
        <w:rPr>
          <w:rFonts w:asciiTheme="majorBidi" w:hAnsiTheme="majorBidi" w:cstheme="majorBidi"/>
          <w:iCs/>
          <w:color w:val="000000"/>
          <w:sz w:val="24"/>
          <w:szCs w:val="24"/>
        </w:rPr>
        <w:tab/>
        <w:t>discussion – audit quality indicator.</w:t>
      </w:r>
      <w:r w:rsidRPr="007E3F92">
        <w:rPr>
          <w:rFonts w:asciiTheme="majorBidi" w:hAnsiTheme="majorBidi" w:cstheme="majorBidi"/>
          <w:color w:val="000000"/>
          <w:sz w:val="24"/>
          <w:szCs w:val="24"/>
        </w:rPr>
        <w:t xml:space="preserve">N.W Washington. Accessed on 18/6/2016 from </w:t>
      </w:r>
      <w:r w:rsidRPr="007E3F92">
        <w:rPr>
          <w:rFonts w:asciiTheme="majorBidi" w:hAnsiTheme="majorBidi" w:cstheme="majorBidi"/>
          <w:color w:val="000000"/>
          <w:sz w:val="24"/>
          <w:szCs w:val="24"/>
        </w:rPr>
        <w:tab/>
      </w:r>
      <w:hyperlink r:id="rId10" w:history="1">
        <w:r w:rsidRPr="007E3F92">
          <w:rPr>
            <w:rStyle w:val="Hyperlink"/>
            <w:rFonts w:asciiTheme="majorBidi" w:hAnsiTheme="majorBidi" w:cstheme="majorBidi"/>
            <w:sz w:val="24"/>
            <w:szCs w:val="24"/>
          </w:rPr>
          <w:t>www.pcaobus.org\</w:t>
        </w:r>
      </w:hyperlink>
    </w:p>
    <w:p w14:paraId="3D3A0269" w14:textId="149A9BAD" w:rsidR="00A66BAD" w:rsidRDefault="00A66BAD" w:rsidP="0047083F">
      <w:pPr>
        <w:pStyle w:val="Default"/>
        <w:spacing w:line="360" w:lineRule="auto"/>
        <w:ind w:left="630" w:hanging="540"/>
        <w:jc w:val="both"/>
        <w:rPr>
          <w:rFonts w:asciiTheme="majorBidi" w:hAnsiTheme="majorBidi" w:cstheme="majorBidi"/>
        </w:rPr>
      </w:pPr>
      <w:r w:rsidRPr="007E3F92">
        <w:rPr>
          <w:rFonts w:asciiTheme="majorBidi" w:hAnsiTheme="majorBidi" w:cstheme="majorBidi"/>
        </w:rPr>
        <w:t>Ascher J., Laszlo P., &amp;Quivig G., (</w:t>
      </w:r>
      <w:r>
        <w:rPr>
          <w:rFonts w:asciiTheme="majorBidi" w:hAnsiTheme="majorBidi" w:cstheme="majorBidi"/>
        </w:rPr>
        <w:t>2022</w:t>
      </w:r>
      <w:r w:rsidRPr="007E3F92">
        <w:rPr>
          <w:rFonts w:asciiTheme="majorBidi" w:hAnsiTheme="majorBidi" w:cstheme="majorBidi"/>
        </w:rPr>
        <w:t>).Commodity trading at strategic crossroad.</w:t>
      </w:r>
      <w:r w:rsidRPr="007E3F92">
        <w:rPr>
          <w:rFonts w:asciiTheme="majorBidi" w:hAnsiTheme="majorBidi" w:cstheme="majorBidi"/>
        </w:rPr>
        <w:tab/>
        <w:t>International Journal of Economic Development Research and Investment. Vol. 3 No. 3</w:t>
      </w:r>
    </w:p>
    <w:p w14:paraId="757B5B85" w14:textId="77777777" w:rsidR="00A66BAD" w:rsidRPr="007E3F92" w:rsidRDefault="00A66BAD" w:rsidP="0047083F">
      <w:pPr>
        <w:pStyle w:val="Default"/>
        <w:spacing w:line="360" w:lineRule="auto"/>
        <w:ind w:left="630" w:hanging="540"/>
        <w:jc w:val="both"/>
        <w:rPr>
          <w:rFonts w:asciiTheme="majorBidi" w:hAnsiTheme="majorBidi" w:cstheme="majorBidi"/>
        </w:rPr>
      </w:pPr>
      <w:r w:rsidRPr="007E3F92">
        <w:rPr>
          <w:rFonts w:asciiTheme="majorBidi" w:hAnsiTheme="majorBidi" w:cstheme="majorBidi"/>
        </w:rPr>
        <w:t xml:space="preserve">Deis, D and Giroux, G. (1992): Determinants of Audit Quality in the Public Sector: </w:t>
      </w:r>
      <w:r w:rsidRPr="007E3F92">
        <w:rPr>
          <w:rFonts w:asciiTheme="majorBidi" w:hAnsiTheme="majorBidi" w:cstheme="majorBidi"/>
          <w:iCs/>
        </w:rPr>
        <w:t>The</w:t>
      </w:r>
    </w:p>
    <w:p w14:paraId="1872F44E" w14:textId="77777777" w:rsidR="00A66BAD" w:rsidRPr="007E3F92" w:rsidRDefault="00A66BAD" w:rsidP="0047083F">
      <w:pPr>
        <w:pStyle w:val="Default"/>
        <w:spacing w:line="360" w:lineRule="auto"/>
        <w:ind w:left="630" w:hanging="540"/>
        <w:jc w:val="both"/>
        <w:rPr>
          <w:rFonts w:asciiTheme="majorBidi" w:hAnsiTheme="majorBidi" w:cstheme="majorBidi"/>
        </w:rPr>
      </w:pPr>
      <w:r w:rsidRPr="007E3F92">
        <w:rPr>
          <w:rFonts w:asciiTheme="majorBidi" w:hAnsiTheme="majorBidi" w:cstheme="majorBidi"/>
          <w:iCs/>
        </w:rPr>
        <w:tab/>
        <w:t xml:space="preserve">Accounting Review </w:t>
      </w:r>
      <w:r w:rsidRPr="007E3F92">
        <w:rPr>
          <w:rFonts w:asciiTheme="majorBidi" w:hAnsiTheme="majorBidi" w:cstheme="majorBidi"/>
        </w:rPr>
        <w:t>67: 462-479.</w:t>
      </w:r>
    </w:p>
    <w:p w14:paraId="0D1318E6" w14:textId="77777777" w:rsidR="00A66BAD" w:rsidRPr="007E3F92" w:rsidRDefault="00A66BAD" w:rsidP="0047083F">
      <w:pPr>
        <w:autoSpaceDE w:val="0"/>
        <w:autoSpaceDN w:val="0"/>
        <w:adjustRightInd w:val="0"/>
        <w:spacing w:after="0" w:line="360" w:lineRule="auto"/>
        <w:ind w:left="630" w:hanging="540"/>
        <w:jc w:val="both"/>
        <w:rPr>
          <w:rFonts w:asciiTheme="majorBidi" w:hAnsiTheme="majorBidi" w:cstheme="majorBidi"/>
          <w:sz w:val="24"/>
          <w:szCs w:val="24"/>
        </w:rPr>
      </w:pPr>
      <w:r w:rsidRPr="007E3F92">
        <w:rPr>
          <w:rFonts w:asciiTheme="majorBidi" w:hAnsiTheme="majorBidi" w:cstheme="majorBidi"/>
          <w:sz w:val="24"/>
          <w:szCs w:val="24"/>
        </w:rPr>
        <w:t>Anis, A. (2014).Auditors' Perceptions of Audit Firm Rotation Impact on Audit Quality in Egypt.</w:t>
      </w:r>
      <w:r w:rsidRPr="007E3F92">
        <w:rPr>
          <w:rFonts w:asciiTheme="majorBidi" w:hAnsiTheme="majorBidi" w:cstheme="majorBidi"/>
          <w:sz w:val="24"/>
          <w:szCs w:val="24"/>
        </w:rPr>
        <w:tab/>
      </w:r>
      <w:r w:rsidRPr="007E3F92">
        <w:rPr>
          <w:rFonts w:asciiTheme="majorBidi" w:hAnsiTheme="majorBidi" w:cstheme="majorBidi"/>
          <w:iCs/>
          <w:sz w:val="24"/>
          <w:szCs w:val="24"/>
        </w:rPr>
        <w:t>Accounting &amp; Taxation.</w:t>
      </w:r>
      <w:r w:rsidRPr="007E3F92">
        <w:rPr>
          <w:rFonts w:asciiTheme="majorBidi" w:hAnsiTheme="majorBidi" w:cstheme="majorBidi"/>
          <w:sz w:val="24"/>
          <w:szCs w:val="24"/>
        </w:rPr>
        <w:t>6(1), 105-120.</w:t>
      </w:r>
    </w:p>
    <w:p w14:paraId="30AEEAC0" w14:textId="693B37EF" w:rsidR="00A66BAD" w:rsidRPr="007E3F92" w:rsidRDefault="00A66BAD" w:rsidP="0047083F">
      <w:pPr>
        <w:spacing w:after="0" w:line="360" w:lineRule="auto"/>
        <w:ind w:left="630" w:hanging="540"/>
        <w:jc w:val="both"/>
        <w:rPr>
          <w:rFonts w:asciiTheme="majorBidi" w:hAnsiTheme="majorBidi" w:cstheme="majorBidi"/>
          <w:sz w:val="24"/>
          <w:szCs w:val="24"/>
        </w:rPr>
      </w:pPr>
      <w:r w:rsidRPr="007E3F92">
        <w:rPr>
          <w:rFonts w:asciiTheme="majorBidi" w:hAnsiTheme="majorBidi" w:cstheme="majorBidi"/>
          <w:sz w:val="24"/>
          <w:szCs w:val="24"/>
        </w:rPr>
        <w:t>Asein, A. (</w:t>
      </w:r>
      <w:r w:rsidR="00EE7935">
        <w:rPr>
          <w:rFonts w:asciiTheme="majorBidi" w:hAnsiTheme="majorBidi" w:cstheme="majorBidi"/>
          <w:sz w:val="24"/>
          <w:szCs w:val="24"/>
        </w:rPr>
        <w:t>2021</w:t>
      </w:r>
      <w:r w:rsidRPr="007E3F92">
        <w:rPr>
          <w:rFonts w:asciiTheme="majorBidi" w:hAnsiTheme="majorBidi" w:cstheme="majorBidi"/>
          <w:sz w:val="24"/>
          <w:szCs w:val="24"/>
        </w:rPr>
        <w:t>). Mandatory Rotation of External Auditor.</w:t>
      </w:r>
      <w:r w:rsidRPr="007E3F92">
        <w:rPr>
          <w:rFonts w:asciiTheme="majorBidi" w:hAnsiTheme="majorBidi" w:cstheme="majorBidi"/>
          <w:iCs/>
          <w:sz w:val="24"/>
          <w:szCs w:val="24"/>
        </w:rPr>
        <w:t xml:space="preserve">Nig. Accountant. </w:t>
      </w:r>
      <w:r w:rsidRPr="007E3F92">
        <w:rPr>
          <w:rFonts w:asciiTheme="majorBidi" w:hAnsiTheme="majorBidi" w:cstheme="majorBidi"/>
          <w:sz w:val="24"/>
          <w:szCs w:val="24"/>
        </w:rPr>
        <w:t>40, 20-23.</w:t>
      </w:r>
    </w:p>
    <w:p w14:paraId="41708E42" w14:textId="1D00EF9C" w:rsidR="00A66BAD" w:rsidRPr="007E3F92" w:rsidRDefault="00A66BAD" w:rsidP="0047083F">
      <w:pPr>
        <w:autoSpaceDE w:val="0"/>
        <w:autoSpaceDN w:val="0"/>
        <w:adjustRightInd w:val="0"/>
        <w:spacing w:after="0" w:line="360" w:lineRule="auto"/>
        <w:ind w:left="630" w:hanging="540"/>
        <w:jc w:val="both"/>
        <w:rPr>
          <w:rFonts w:asciiTheme="majorBidi" w:hAnsiTheme="majorBidi" w:cstheme="majorBidi"/>
          <w:iCs/>
          <w:sz w:val="24"/>
          <w:szCs w:val="24"/>
        </w:rPr>
      </w:pPr>
      <w:r w:rsidRPr="007E3F92">
        <w:rPr>
          <w:rFonts w:asciiTheme="majorBidi" w:hAnsiTheme="majorBidi" w:cstheme="majorBidi"/>
          <w:sz w:val="24"/>
          <w:szCs w:val="24"/>
        </w:rPr>
        <w:t>Bouaziz, Z. (</w:t>
      </w:r>
      <w:r>
        <w:rPr>
          <w:rFonts w:asciiTheme="majorBidi" w:hAnsiTheme="majorBidi" w:cstheme="majorBidi"/>
          <w:sz w:val="24"/>
          <w:szCs w:val="24"/>
        </w:rPr>
        <w:t>2022</w:t>
      </w:r>
      <w:r w:rsidRPr="007E3F92">
        <w:rPr>
          <w:rFonts w:asciiTheme="majorBidi" w:hAnsiTheme="majorBidi" w:cstheme="majorBidi"/>
          <w:sz w:val="24"/>
          <w:szCs w:val="24"/>
        </w:rPr>
        <w:t xml:space="preserve">). The impact of auditor size on financial performance of Tunisian </w:t>
      </w:r>
      <w:r w:rsidRPr="007E3F92">
        <w:rPr>
          <w:rFonts w:asciiTheme="majorBidi" w:hAnsiTheme="majorBidi" w:cstheme="majorBidi"/>
          <w:sz w:val="24"/>
          <w:szCs w:val="24"/>
        </w:rPr>
        <w:tab/>
        <w:t>companies.</w:t>
      </w:r>
      <w:r>
        <w:rPr>
          <w:rFonts w:asciiTheme="majorBidi" w:hAnsiTheme="majorBidi" w:cstheme="majorBidi"/>
          <w:sz w:val="24"/>
          <w:szCs w:val="24"/>
        </w:rPr>
        <w:t xml:space="preserve"> </w:t>
      </w:r>
      <w:r w:rsidRPr="007E3F92">
        <w:rPr>
          <w:rFonts w:asciiTheme="majorBidi" w:hAnsiTheme="majorBidi" w:cstheme="majorBidi"/>
          <w:iCs/>
          <w:sz w:val="24"/>
          <w:szCs w:val="24"/>
        </w:rPr>
        <w:t>Paper presented at the faculty of E</w:t>
      </w:r>
      <w:r w:rsidR="0047083F">
        <w:rPr>
          <w:rFonts w:asciiTheme="majorBidi" w:hAnsiTheme="majorBidi" w:cstheme="majorBidi"/>
          <w:iCs/>
          <w:sz w:val="24"/>
          <w:szCs w:val="24"/>
        </w:rPr>
        <w:t>conomics and Management, Sfax</w:t>
      </w:r>
      <w:r w:rsidR="0047083F">
        <w:rPr>
          <w:rFonts w:asciiTheme="majorBidi" w:hAnsiTheme="majorBidi" w:cstheme="majorBidi"/>
          <w:iCs/>
          <w:sz w:val="24"/>
          <w:szCs w:val="24"/>
        </w:rPr>
        <w:tab/>
      </w:r>
      <w:r w:rsidRPr="007E3F92">
        <w:rPr>
          <w:rFonts w:asciiTheme="majorBidi" w:hAnsiTheme="majorBidi" w:cstheme="majorBidi"/>
          <w:iCs/>
          <w:sz w:val="24"/>
          <w:szCs w:val="24"/>
        </w:rPr>
        <w:t>University, Tunisia.</w:t>
      </w:r>
    </w:p>
    <w:p w14:paraId="160E50E5" w14:textId="77777777" w:rsidR="00A66BAD" w:rsidRPr="007E3F92" w:rsidRDefault="00A66BAD" w:rsidP="0047083F">
      <w:pPr>
        <w:pStyle w:val="ListParagraph"/>
        <w:autoSpaceDE w:val="0"/>
        <w:autoSpaceDN w:val="0"/>
        <w:adjustRightInd w:val="0"/>
        <w:spacing w:after="0" w:line="360" w:lineRule="auto"/>
        <w:ind w:left="630" w:hanging="540"/>
        <w:jc w:val="both"/>
        <w:rPr>
          <w:rFonts w:asciiTheme="majorBidi" w:hAnsiTheme="majorBidi" w:cstheme="majorBidi"/>
          <w:sz w:val="24"/>
          <w:szCs w:val="24"/>
        </w:rPr>
      </w:pPr>
      <w:r w:rsidRPr="007E3F92">
        <w:rPr>
          <w:rFonts w:asciiTheme="majorBidi" w:hAnsiTheme="majorBidi" w:cstheme="majorBidi"/>
          <w:sz w:val="24"/>
          <w:szCs w:val="24"/>
        </w:rPr>
        <w:t xml:space="preserve">Barbadillo, E. &amp; Aguilar, N. (2008). Does auditor tenure improve audit quality? Mandatory </w:t>
      </w:r>
      <w:r w:rsidRPr="007E3F92">
        <w:rPr>
          <w:rFonts w:asciiTheme="majorBidi" w:hAnsiTheme="majorBidi" w:cstheme="majorBidi"/>
          <w:sz w:val="24"/>
          <w:szCs w:val="24"/>
        </w:rPr>
        <w:tab/>
        <w:t>auditor’s rotation versus long term auditing. An empirical analysis.</w:t>
      </w:r>
      <w:r w:rsidRPr="007E3F92">
        <w:rPr>
          <w:rFonts w:asciiTheme="majorBidi" w:hAnsiTheme="majorBidi" w:cstheme="majorBidi"/>
          <w:iCs/>
          <w:sz w:val="24"/>
          <w:szCs w:val="24"/>
        </w:rPr>
        <w:t xml:space="preserve"> Working Paper, </w:t>
      </w:r>
      <w:r w:rsidRPr="007E3F92">
        <w:rPr>
          <w:rFonts w:asciiTheme="majorBidi" w:hAnsiTheme="majorBidi" w:cstheme="majorBidi"/>
          <w:iCs/>
          <w:sz w:val="24"/>
          <w:szCs w:val="24"/>
        </w:rPr>
        <w:tab/>
      </w:r>
      <w:r w:rsidRPr="007E3F92">
        <w:rPr>
          <w:rFonts w:asciiTheme="majorBidi" w:hAnsiTheme="majorBidi" w:cstheme="majorBidi"/>
          <w:sz w:val="24"/>
          <w:szCs w:val="24"/>
        </w:rPr>
        <w:t>University of Cadizi Spain.</w:t>
      </w:r>
    </w:p>
    <w:p w14:paraId="3E422FA4" w14:textId="77777777" w:rsidR="00A66BAD" w:rsidRPr="007E3F92" w:rsidRDefault="00A66BAD" w:rsidP="0047083F">
      <w:pPr>
        <w:pStyle w:val="Default"/>
        <w:spacing w:line="360" w:lineRule="auto"/>
        <w:ind w:left="630" w:hanging="540"/>
        <w:jc w:val="both"/>
        <w:rPr>
          <w:rFonts w:asciiTheme="majorBidi" w:hAnsiTheme="majorBidi" w:cstheme="majorBidi"/>
        </w:rPr>
      </w:pPr>
      <w:r w:rsidRPr="007E3F92">
        <w:rPr>
          <w:rFonts w:asciiTheme="majorBidi" w:hAnsiTheme="majorBidi" w:cstheme="majorBidi"/>
        </w:rPr>
        <w:t xml:space="preserve">Brigham, Eugene F. and Louis C. Gapenski. 1996. Intermediate Financial Management, Florida: </w:t>
      </w:r>
      <w:r w:rsidRPr="007E3F92">
        <w:rPr>
          <w:rFonts w:asciiTheme="majorBidi" w:hAnsiTheme="majorBidi" w:cstheme="majorBidi"/>
        </w:rPr>
        <w:tab/>
        <w:t>The Dryden Press.</w:t>
      </w:r>
    </w:p>
    <w:p w14:paraId="0C2A873D" w14:textId="77777777" w:rsidR="00A66BAD" w:rsidRPr="007E3F92" w:rsidRDefault="00A66BAD" w:rsidP="0047083F">
      <w:pPr>
        <w:spacing w:after="0" w:line="360" w:lineRule="auto"/>
        <w:ind w:left="630" w:hanging="540"/>
        <w:jc w:val="both"/>
        <w:rPr>
          <w:rFonts w:asciiTheme="majorBidi" w:hAnsiTheme="majorBidi" w:cstheme="majorBidi"/>
          <w:sz w:val="24"/>
          <w:szCs w:val="24"/>
        </w:rPr>
      </w:pPr>
      <w:r w:rsidRPr="007E3F92">
        <w:rPr>
          <w:rFonts w:asciiTheme="majorBidi" w:hAnsiTheme="majorBidi" w:cstheme="majorBidi"/>
          <w:sz w:val="24"/>
          <w:szCs w:val="24"/>
        </w:rPr>
        <w:t xml:space="preserve">Barbadillo, E., and Aguilar, N. (2008). Does auditor tenure improve audit quality? “Mandatory </w:t>
      </w:r>
      <w:r w:rsidRPr="007E3F92">
        <w:rPr>
          <w:rFonts w:asciiTheme="majorBidi" w:hAnsiTheme="majorBidi" w:cstheme="majorBidi"/>
          <w:sz w:val="24"/>
          <w:szCs w:val="24"/>
        </w:rPr>
        <w:tab/>
        <w:t xml:space="preserve">auditor rotation versus long term auditing: An empirical analysis”. </w:t>
      </w:r>
      <w:r w:rsidRPr="007E3F92">
        <w:rPr>
          <w:rFonts w:asciiTheme="majorBidi" w:hAnsiTheme="majorBidi" w:cstheme="majorBidi"/>
          <w:iCs/>
          <w:sz w:val="24"/>
          <w:szCs w:val="24"/>
        </w:rPr>
        <w:t xml:space="preserve">Working paper, </w:t>
      </w:r>
      <w:r w:rsidRPr="007E3F92">
        <w:rPr>
          <w:rFonts w:asciiTheme="majorBidi" w:hAnsiTheme="majorBidi" w:cstheme="majorBidi"/>
          <w:iCs/>
          <w:sz w:val="24"/>
          <w:szCs w:val="24"/>
        </w:rPr>
        <w:tab/>
      </w:r>
      <w:r w:rsidRPr="007E3F92">
        <w:rPr>
          <w:rFonts w:asciiTheme="majorBidi" w:hAnsiTheme="majorBidi" w:cstheme="majorBidi"/>
          <w:sz w:val="24"/>
          <w:szCs w:val="24"/>
        </w:rPr>
        <w:t>University of Cadiz, Spain.</w:t>
      </w:r>
    </w:p>
    <w:p w14:paraId="5692EEC6" w14:textId="59215604" w:rsidR="00A66BAD" w:rsidRPr="007E3F92" w:rsidRDefault="00A66BAD" w:rsidP="0047083F">
      <w:pPr>
        <w:autoSpaceDE w:val="0"/>
        <w:autoSpaceDN w:val="0"/>
        <w:adjustRightInd w:val="0"/>
        <w:spacing w:after="0" w:line="360" w:lineRule="auto"/>
        <w:ind w:left="630" w:hanging="540"/>
        <w:jc w:val="both"/>
        <w:rPr>
          <w:rFonts w:asciiTheme="majorBidi" w:hAnsiTheme="majorBidi" w:cstheme="majorBidi"/>
          <w:sz w:val="24"/>
          <w:szCs w:val="24"/>
        </w:rPr>
      </w:pPr>
      <w:r w:rsidRPr="007E3F92">
        <w:rPr>
          <w:rFonts w:asciiTheme="majorBidi" w:hAnsiTheme="majorBidi" w:cstheme="majorBidi"/>
          <w:sz w:val="24"/>
          <w:szCs w:val="24"/>
        </w:rPr>
        <w:lastRenderedPageBreak/>
        <w:t>Borilovich, L. S. and Kattelus, S. C. 1997.</w:t>
      </w:r>
      <w:r>
        <w:rPr>
          <w:rFonts w:asciiTheme="majorBidi" w:hAnsiTheme="majorBidi" w:cstheme="majorBidi"/>
          <w:sz w:val="24"/>
          <w:szCs w:val="24"/>
        </w:rPr>
        <w:t xml:space="preserve"> </w:t>
      </w:r>
      <w:r w:rsidRPr="007E3F92">
        <w:rPr>
          <w:rFonts w:asciiTheme="majorBidi" w:hAnsiTheme="majorBidi" w:cstheme="majorBidi"/>
          <w:sz w:val="24"/>
          <w:szCs w:val="24"/>
        </w:rPr>
        <w:t xml:space="preserve">”Auditor’s Influence on Earning Management: </w:t>
      </w:r>
      <w:r w:rsidRPr="007E3F92">
        <w:rPr>
          <w:rFonts w:asciiTheme="majorBidi" w:hAnsiTheme="majorBidi" w:cstheme="majorBidi"/>
          <w:sz w:val="24"/>
          <w:szCs w:val="24"/>
        </w:rPr>
        <w:tab/>
        <w:t>Evident from the Alternative Minimum Tax”.</w:t>
      </w:r>
      <w:r>
        <w:rPr>
          <w:rFonts w:asciiTheme="majorBidi" w:hAnsiTheme="majorBidi" w:cstheme="majorBidi"/>
          <w:sz w:val="24"/>
          <w:szCs w:val="24"/>
        </w:rPr>
        <w:t xml:space="preserve"> </w:t>
      </w:r>
      <w:r w:rsidRPr="007E3F92">
        <w:rPr>
          <w:rFonts w:asciiTheme="majorBidi" w:hAnsiTheme="majorBidi" w:cstheme="majorBidi"/>
          <w:iCs/>
          <w:sz w:val="24"/>
          <w:szCs w:val="24"/>
        </w:rPr>
        <w:t xml:space="preserve">Journal of Applied Business </w:t>
      </w:r>
      <w:r w:rsidRPr="007E3F92">
        <w:rPr>
          <w:rFonts w:asciiTheme="majorBidi" w:hAnsiTheme="majorBidi" w:cstheme="majorBidi"/>
          <w:iCs/>
          <w:sz w:val="24"/>
          <w:szCs w:val="24"/>
        </w:rPr>
        <w:tab/>
        <w:t>Research.</w:t>
      </w:r>
      <w:r w:rsidRPr="007E3F92">
        <w:rPr>
          <w:rFonts w:asciiTheme="majorBidi" w:hAnsiTheme="majorBidi" w:cstheme="majorBidi"/>
          <w:sz w:val="24"/>
          <w:szCs w:val="24"/>
        </w:rPr>
        <w:t>Vol.13, No.2, pp.9-22.</w:t>
      </w:r>
    </w:p>
    <w:p w14:paraId="5DDF03EF" w14:textId="77777777" w:rsidR="00A66BAD" w:rsidRPr="007E3F92" w:rsidRDefault="00A66BAD" w:rsidP="0047083F">
      <w:pPr>
        <w:pStyle w:val="Default"/>
        <w:spacing w:line="360" w:lineRule="auto"/>
        <w:ind w:left="630" w:hanging="540"/>
        <w:jc w:val="both"/>
        <w:rPr>
          <w:rFonts w:asciiTheme="majorBidi" w:hAnsiTheme="majorBidi" w:cstheme="majorBidi"/>
        </w:rPr>
      </w:pPr>
      <w:r w:rsidRPr="007E3F92">
        <w:rPr>
          <w:rFonts w:asciiTheme="majorBidi" w:hAnsiTheme="majorBidi" w:cstheme="majorBidi"/>
          <w:lang w:val="fr-FR"/>
        </w:rPr>
        <w:t xml:space="preserve">Choi, J. H., Kim, J. B., Liu, X. &amp;Simunic, D. A. (2009). </w:t>
      </w:r>
      <w:r w:rsidRPr="007E3F92">
        <w:rPr>
          <w:rFonts w:asciiTheme="majorBidi" w:hAnsiTheme="majorBidi" w:cstheme="majorBidi"/>
        </w:rPr>
        <w:t xml:space="preserve">Cross-listing audit fee premiums: </w:t>
      </w:r>
      <w:r w:rsidRPr="007E3F92">
        <w:rPr>
          <w:rFonts w:asciiTheme="majorBidi" w:hAnsiTheme="majorBidi" w:cstheme="majorBidi"/>
        </w:rPr>
        <w:tab/>
        <w:t xml:space="preserve">Theory and evidence. </w:t>
      </w:r>
      <w:r w:rsidRPr="007E3F92">
        <w:rPr>
          <w:rFonts w:asciiTheme="majorBidi" w:hAnsiTheme="majorBidi" w:cstheme="majorBidi"/>
          <w:iCs/>
        </w:rPr>
        <w:t>The Accounting Review</w:t>
      </w:r>
      <w:r w:rsidRPr="007E3F92">
        <w:rPr>
          <w:rFonts w:asciiTheme="majorBidi" w:hAnsiTheme="majorBidi" w:cstheme="majorBidi"/>
        </w:rPr>
        <w:t>, 84, 1429-1463.</w:t>
      </w:r>
    </w:p>
    <w:p w14:paraId="4FA6D824" w14:textId="77777777" w:rsidR="00A66BAD" w:rsidRPr="007E3F92" w:rsidRDefault="00A66BAD" w:rsidP="0047083F">
      <w:pPr>
        <w:autoSpaceDE w:val="0"/>
        <w:autoSpaceDN w:val="0"/>
        <w:adjustRightInd w:val="0"/>
        <w:spacing w:after="0" w:line="360" w:lineRule="auto"/>
        <w:ind w:left="630" w:hanging="540"/>
        <w:jc w:val="both"/>
        <w:rPr>
          <w:rFonts w:asciiTheme="majorBidi" w:hAnsiTheme="majorBidi" w:cstheme="majorBidi"/>
          <w:sz w:val="24"/>
          <w:szCs w:val="24"/>
        </w:rPr>
      </w:pPr>
      <w:r w:rsidRPr="007E3F92">
        <w:rPr>
          <w:rFonts w:asciiTheme="majorBidi" w:hAnsiTheme="majorBidi" w:cstheme="majorBidi"/>
          <w:sz w:val="24"/>
          <w:szCs w:val="24"/>
        </w:rPr>
        <w:t>Chi, W., Huang, H., Liao, Y., and Xie, H. (2009). Mandatory Audit Partner Rotation, Audit</w:t>
      </w:r>
    </w:p>
    <w:p w14:paraId="4EBEC1A2" w14:textId="77777777" w:rsidR="00A66BAD" w:rsidRPr="007E3F92" w:rsidRDefault="00A66BAD" w:rsidP="0047083F">
      <w:pPr>
        <w:autoSpaceDE w:val="0"/>
        <w:autoSpaceDN w:val="0"/>
        <w:adjustRightInd w:val="0"/>
        <w:spacing w:after="0" w:line="360" w:lineRule="auto"/>
        <w:ind w:left="630" w:hanging="540"/>
        <w:jc w:val="both"/>
        <w:rPr>
          <w:rFonts w:asciiTheme="majorBidi" w:hAnsiTheme="majorBidi" w:cstheme="majorBidi"/>
          <w:sz w:val="24"/>
          <w:szCs w:val="24"/>
        </w:rPr>
      </w:pPr>
      <w:r w:rsidRPr="007E3F92">
        <w:rPr>
          <w:rFonts w:asciiTheme="majorBidi" w:hAnsiTheme="majorBidi" w:cstheme="majorBidi"/>
          <w:sz w:val="24"/>
          <w:szCs w:val="24"/>
        </w:rPr>
        <w:tab/>
        <w:t xml:space="preserve">Quality, and Market Perception: Evidence from Taiwan*. </w:t>
      </w:r>
      <w:r w:rsidRPr="007E3F92">
        <w:rPr>
          <w:rFonts w:asciiTheme="majorBidi" w:hAnsiTheme="majorBidi" w:cstheme="majorBidi"/>
          <w:iCs/>
          <w:sz w:val="24"/>
          <w:szCs w:val="24"/>
        </w:rPr>
        <w:t xml:space="preserve">Contemporary Accounting </w:t>
      </w:r>
      <w:r w:rsidRPr="007E3F92">
        <w:rPr>
          <w:rFonts w:asciiTheme="majorBidi" w:hAnsiTheme="majorBidi" w:cstheme="majorBidi"/>
          <w:iCs/>
          <w:sz w:val="24"/>
          <w:szCs w:val="24"/>
        </w:rPr>
        <w:tab/>
        <w:t>Research.</w:t>
      </w:r>
      <w:r w:rsidRPr="007E3F92">
        <w:rPr>
          <w:rFonts w:asciiTheme="majorBidi" w:hAnsiTheme="majorBidi" w:cstheme="majorBidi"/>
          <w:sz w:val="24"/>
          <w:szCs w:val="24"/>
        </w:rPr>
        <w:t>26(2), 359-391.</w:t>
      </w:r>
    </w:p>
    <w:p w14:paraId="0717348E" w14:textId="1242456A" w:rsidR="00A66BAD" w:rsidRPr="007E3F92" w:rsidRDefault="00A66BAD" w:rsidP="0047083F">
      <w:pPr>
        <w:autoSpaceDE w:val="0"/>
        <w:autoSpaceDN w:val="0"/>
        <w:adjustRightInd w:val="0"/>
        <w:spacing w:after="0" w:line="360" w:lineRule="auto"/>
        <w:ind w:left="630" w:hanging="540"/>
        <w:jc w:val="both"/>
        <w:rPr>
          <w:rFonts w:asciiTheme="majorBidi" w:hAnsiTheme="majorBidi" w:cstheme="majorBidi"/>
          <w:sz w:val="24"/>
          <w:szCs w:val="24"/>
        </w:rPr>
      </w:pPr>
      <w:r w:rsidRPr="007E3F92">
        <w:rPr>
          <w:rFonts w:asciiTheme="majorBidi" w:hAnsiTheme="majorBidi" w:cstheme="majorBidi"/>
          <w:sz w:val="24"/>
          <w:szCs w:val="24"/>
        </w:rPr>
        <w:t>Dopuch, N., King, R. R., and Schwartz, R. (</w:t>
      </w:r>
      <w:r w:rsidR="00EE7935">
        <w:rPr>
          <w:rFonts w:asciiTheme="majorBidi" w:hAnsiTheme="majorBidi" w:cstheme="majorBidi"/>
          <w:sz w:val="24"/>
          <w:szCs w:val="24"/>
        </w:rPr>
        <w:t>2022</w:t>
      </w:r>
      <w:r w:rsidRPr="007E3F92">
        <w:rPr>
          <w:rFonts w:asciiTheme="majorBidi" w:hAnsiTheme="majorBidi" w:cstheme="majorBidi"/>
          <w:sz w:val="24"/>
          <w:szCs w:val="24"/>
        </w:rPr>
        <w:t xml:space="preserve">).An Experimental Investigation of Retention </w:t>
      </w:r>
      <w:r w:rsidRPr="007E3F92">
        <w:rPr>
          <w:rFonts w:asciiTheme="majorBidi" w:hAnsiTheme="majorBidi" w:cstheme="majorBidi"/>
          <w:sz w:val="24"/>
          <w:szCs w:val="24"/>
        </w:rPr>
        <w:tab/>
        <w:t>and Rotation Requirements.</w:t>
      </w:r>
      <w:r w:rsidRPr="007E3F92">
        <w:rPr>
          <w:rFonts w:asciiTheme="majorBidi" w:hAnsiTheme="majorBidi" w:cstheme="majorBidi"/>
          <w:iCs/>
          <w:sz w:val="24"/>
          <w:szCs w:val="24"/>
        </w:rPr>
        <w:t>Journal of Accounting Research.</w:t>
      </w:r>
      <w:r w:rsidRPr="007E3F92">
        <w:rPr>
          <w:rFonts w:asciiTheme="majorBidi" w:hAnsiTheme="majorBidi" w:cstheme="majorBidi"/>
          <w:sz w:val="24"/>
          <w:szCs w:val="24"/>
        </w:rPr>
        <w:t>39(1), 93-117.</w:t>
      </w:r>
    </w:p>
    <w:p w14:paraId="2047D0C1" w14:textId="5914D3F2" w:rsidR="00A66BAD" w:rsidRPr="007E3F92" w:rsidRDefault="00A66BAD" w:rsidP="0047083F">
      <w:pPr>
        <w:spacing w:after="0" w:line="360" w:lineRule="auto"/>
        <w:ind w:left="630" w:hanging="540"/>
        <w:jc w:val="both"/>
        <w:rPr>
          <w:rFonts w:asciiTheme="majorBidi" w:hAnsiTheme="majorBidi" w:cstheme="majorBidi"/>
          <w:sz w:val="24"/>
          <w:szCs w:val="24"/>
        </w:rPr>
      </w:pPr>
      <w:r w:rsidRPr="007E3F92">
        <w:rPr>
          <w:rFonts w:asciiTheme="majorBidi" w:hAnsiTheme="majorBidi" w:cstheme="majorBidi"/>
          <w:sz w:val="24"/>
          <w:szCs w:val="24"/>
        </w:rPr>
        <w:t xml:space="preserve">DeAngelo, L.E. </w:t>
      </w:r>
      <w:r w:rsidR="00171335">
        <w:rPr>
          <w:rFonts w:asciiTheme="majorBidi" w:hAnsiTheme="majorBidi" w:cstheme="majorBidi"/>
          <w:sz w:val="24"/>
          <w:szCs w:val="24"/>
        </w:rPr>
        <w:t>2020</w:t>
      </w:r>
      <w:r w:rsidRPr="007E3F92">
        <w:rPr>
          <w:rFonts w:asciiTheme="majorBidi" w:hAnsiTheme="majorBidi" w:cstheme="majorBidi"/>
          <w:sz w:val="24"/>
          <w:szCs w:val="24"/>
        </w:rPr>
        <w:t>. “Auditor Size and Audit Quality”.</w:t>
      </w:r>
      <w:r w:rsidRPr="007E3F92">
        <w:rPr>
          <w:rFonts w:asciiTheme="majorBidi" w:hAnsiTheme="majorBidi" w:cstheme="majorBidi"/>
          <w:iCs/>
          <w:sz w:val="24"/>
          <w:szCs w:val="24"/>
        </w:rPr>
        <w:t xml:space="preserve">Journal of Accounting and Economics </w:t>
      </w:r>
      <w:r w:rsidRPr="007E3F92">
        <w:rPr>
          <w:rFonts w:asciiTheme="majorBidi" w:hAnsiTheme="majorBidi" w:cstheme="majorBidi"/>
          <w:iCs/>
          <w:sz w:val="24"/>
          <w:szCs w:val="24"/>
        </w:rPr>
        <w:tab/>
        <w:t>3</w:t>
      </w:r>
      <w:r w:rsidRPr="007E3F92">
        <w:rPr>
          <w:rFonts w:asciiTheme="majorBidi" w:hAnsiTheme="majorBidi" w:cstheme="majorBidi"/>
          <w:sz w:val="24"/>
          <w:szCs w:val="24"/>
        </w:rPr>
        <w:t>. pp. 183-199.</w:t>
      </w:r>
    </w:p>
    <w:p w14:paraId="7E20332F" w14:textId="777D93BF" w:rsidR="00A66BAD" w:rsidRPr="007E3F92" w:rsidRDefault="00A66BAD" w:rsidP="0047083F">
      <w:pPr>
        <w:autoSpaceDE w:val="0"/>
        <w:autoSpaceDN w:val="0"/>
        <w:adjustRightInd w:val="0"/>
        <w:spacing w:after="0" w:line="360" w:lineRule="auto"/>
        <w:ind w:left="630" w:hanging="540"/>
        <w:jc w:val="both"/>
        <w:rPr>
          <w:rFonts w:asciiTheme="majorBidi" w:hAnsiTheme="majorBidi" w:cstheme="majorBidi"/>
          <w:sz w:val="24"/>
          <w:szCs w:val="24"/>
        </w:rPr>
      </w:pPr>
      <w:r w:rsidRPr="007E3F92">
        <w:rPr>
          <w:rFonts w:asciiTheme="majorBidi" w:hAnsiTheme="majorBidi" w:cstheme="majorBidi"/>
          <w:sz w:val="24"/>
          <w:szCs w:val="24"/>
        </w:rPr>
        <w:t xml:space="preserve">Dahlan, M. 2009. “Correlation Analysis of Audit Quality, Discretionary Accruals and Auditor </w:t>
      </w:r>
      <w:r w:rsidRPr="007E3F92">
        <w:rPr>
          <w:rFonts w:asciiTheme="majorBidi" w:hAnsiTheme="majorBidi" w:cstheme="majorBidi"/>
          <w:sz w:val="24"/>
          <w:szCs w:val="24"/>
        </w:rPr>
        <w:tab/>
        <w:t>Independence”.</w:t>
      </w:r>
      <w:r>
        <w:rPr>
          <w:rFonts w:asciiTheme="majorBidi" w:hAnsiTheme="majorBidi" w:cstheme="majorBidi"/>
          <w:sz w:val="24"/>
          <w:szCs w:val="24"/>
        </w:rPr>
        <w:t xml:space="preserve"> </w:t>
      </w:r>
      <w:r w:rsidRPr="007E3F92">
        <w:rPr>
          <w:rFonts w:asciiTheme="majorBidi" w:hAnsiTheme="majorBidi" w:cstheme="majorBidi"/>
          <w:iCs/>
          <w:sz w:val="24"/>
          <w:szCs w:val="24"/>
        </w:rPr>
        <w:t>Conference</w:t>
      </w:r>
      <w:r w:rsidRPr="007E3F92">
        <w:rPr>
          <w:rFonts w:asciiTheme="majorBidi" w:hAnsiTheme="majorBidi" w:cstheme="majorBidi"/>
          <w:sz w:val="24"/>
          <w:szCs w:val="24"/>
        </w:rPr>
        <w:t xml:space="preserve">: </w:t>
      </w:r>
      <w:r w:rsidRPr="007E3F92">
        <w:rPr>
          <w:rFonts w:asciiTheme="majorBidi" w:hAnsiTheme="majorBidi" w:cstheme="majorBidi"/>
          <w:iCs/>
          <w:sz w:val="24"/>
          <w:szCs w:val="24"/>
        </w:rPr>
        <w:t>Universitas</w:t>
      </w:r>
      <w:r>
        <w:rPr>
          <w:rFonts w:asciiTheme="majorBidi" w:hAnsiTheme="majorBidi" w:cstheme="majorBidi"/>
          <w:iCs/>
          <w:sz w:val="24"/>
          <w:szCs w:val="24"/>
        </w:rPr>
        <w:t xml:space="preserve"> </w:t>
      </w:r>
      <w:r w:rsidRPr="007E3F92">
        <w:rPr>
          <w:rFonts w:asciiTheme="majorBidi" w:hAnsiTheme="majorBidi" w:cstheme="majorBidi"/>
          <w:iCs/>
          <w:sz w:val="24"/>
          <w:szCs w:val="24"/>
        </w:rPr>
        <w:t>Padjajaran</w:t>
      </w:r>
      <w:r w:rsidRPr="007E3F92">
        <w:rPr>
          <w:rFonts w:asciiTheme="majorBidi" w:hAnsiTheme="majorBidi" w:cstheme="majorBidi"/>
          <w:sz w:val="24"/>
          <w:szCs w:val="24"/>
        </w:rPr>
        <w:t>.</w:t>
      </w:r>
    </w:p>
    <w:p w14:paraId="34587F52" w14:textId="7315E769" w:rsidR="00A66BAD" w:rsidRPr="007E3F92" w:rsidRDefault="00A66BAD" w:rsidP="0047083F">
      <w:pPr>
        <w:pStyle w:val="ListParagraph"/>
        <w:autoSpaceDE w:val="0"/>
        <w:autoSpaceDN w:val="0"/>
        <w:adjustRightInd w:val="0"/>
        <w:spacing w:after="0" w:line="360" w:lineRule="auto"/>
        <w:ind w:left="630" w:hanging="540"/>
        <w:jc w:val="both"/>
        <w:rPr>
          <w:rFonts w:asciiTheme="majorBidi" w:hAnsiTheme="majorBidi" w:cstheme="majorBidi"/>
          <w:sz w:val="24"/>
          <w:szCs w:val="24"/>
        </w:rPr>
      </w:pPr>
      <w:r w:rsidRPr="007E3F92">
        <w:rPr>
          <w:rFonts w:asciiTheme="majorBidi" w:hAnsiTheme="majorBidi" w:cstheme="majorBidi"/>
          <w:sz w:val="24"/>
          <w:szCs w:val="24"/>
        </w:rPr>
        <w:t>Ebrahim, A. (</w:t>
      </w:r>
      <w:r w:rsidR="00EE7935">
        <w:rPr>
          <w:rFonts w:asciiTheme="majorBidi" w:hAnsiTheme="majorBidi" w:cstheme="majorBidi"/>
          <w:sz w:val="24"/>
          <w:szCs w:val="24"/>
        </w:rPr>
        <w:t>2022</w:t>
      </w:r>
      <w:r w:rsidRPr="007E3F92">
        <w:rPr>
          <w:rFonts w:asciiTheme="majorBidi" w:hAnsiTheme="majorBidi" w:cstheme="majorBidi"/>
          <w:sz w:val="24"/>
          <w:szCs w:val="24"/>
        </w:rPr>
        <w:t xml:space="preserve">). Auditing quality, auditor tenure, client importance and earnings </w:t>
      </w:r>
      <w:r w:rsidRPr="007E3F92">
        <w:rPr>
          <w:rFonts w:asciiTheme="majorBidi" w:hAnsiTheme="majorBidi" w:cstheme="majorBidi"/>
          <w:sz w:val="24"/>
          <w:szCs w:val="24"/>
        </w:rPr>
        <w:tab/>
        <w:t>management: An additional evidence.</w:t>
      </w:r>
      <w:r w:rsidRPr="007E3F92">
        <w:rPr>
          <w:rFonts w:asciiTheme="majorBidi" w:hAnsiTheme="majorBidi" w:cstheme="majorBidi"/>
          <w:iCs/>
          <w:sz w:val="24"/>
          <w:szCs w:val="24"/>
        </w:rPr>
        <w:t xml:space="preserve"> Working Papers, </w:t>
      </w:r>
      <w:r w:rsidRPr="007E3F92">
        <w:rPr>
          <w:rFonts w:asciiTheme="majorBidi" w:hAnsiTheme="majorBidi" w:cstheme="majorBidi"/>
          <w:sz w:val="24"/>
          <w:szCs w:val="24"/>
        </w:rPr>
        <w:t>Rutgers University.</w:t>
      </w:r>
    </w:p>
    <w:p w14:paraId="42194056" w14:textId="62CE3520" w:rsidR="00A66BAD" w:rsidRPr="007E3F92" w:rsidRDefault="00A66BAD" w:rsidP="0047083F">
      <w:pPr>
        <w:autoSpaceDE w:val="0"/>
        <w:autoSpaceDN w:val="0"/>
        <w:adjustRightInd w:val="0"/>
        <w:spacing w:after="0" w:line="360" w:lineRule="auto"/>
        <w:ind w:left="630" w:hanging="540"/>
        <w:jc w:val="both"/>
        <w:rPr>
          <w:rFonts w:asciiTheme="majorBidi" w:hAnsiTheme="majorBidi" w:cstheme="majorBidi"/>
          <w:sz w:val="24"/>
          <w:szCs w:val="24"/>
        </w:rPr>
      </w:pPr>
      <w:r w:rsidRPr="007E3F92">
        <w:rPr>
          <w:rFonts w:asciiTheme="majorBidi" w:hAnsiTheme="majorBidi" w:cstheme="majorBidi"/>
          <w:sz w:val="24"/>
          <w:szCs w:val="24"/>
        </w:rPr>
        <w:t>Ewelt-Knauer, C., Gold, A., and Pott, C. (</w:t>
      </w:r>
      <w:r>
        <w:rPr>
          <w:rFonts w:asciiTheme="majorBidi" w:hAnsiTheme="majorBidi" w:cstheme="majorBidi"/>
          <w:sz w:val="24"/>
          <w:szCs w:val="24"/>
        </w:rPr>
        <w:t>2022</w:t>
      </w:r>
      <w:r w:rsidRPr="007E3F92">
        <w:rPr>
          <w:rFonts w:asciiTheme="majorBidi" w:hAnsiTheme="majorBidi" w:cstheme="majorBidi"/>
          <w:sz w:val="24"/>
          <w:szCs w:val="24"/>
        </w:rPr>
        <w:t xml:space="preserve">). What Do We Know about Mandatory Audit </w:t>
      </w:r>
      <w:r w:rsidRPr="007E3F92">
        <w:rPr>
          <w:rFonts w:asciiTheme="majorBidi" w:hAnsiTheme="majorBidi" w:cstheme="majorBidi"/>
          <w:sz w:val="24"/>
          <w:szCs w:val="24"/>
        </w:rPr>
        <w:tab/>
        <w:t xml:space="preserve">Firm Rotation. </w:t>
      </w:r>
      <w:r w:rsidRPr="007E3F92">
        <w:rPr>
          <w:rFonts w:asciiTheme="majorBidi" w:hAnsiTheme="majorBidi" w:cstheme="majorBidi"/>
          <w:iCs/>
          <w:sz w:val="24"/>
          <w:szCs w:val="24"/>
        </w:rPr>
        <w:t>Institute of Chartered Accountants in Scotland (ICAS), Edinburgh.</w:t>
      </w:r>
      <w:r w:rsidRPr="007E3F92">
        <w:rPr>
          <w:rFonts w:asciiTheme="majorBidi" w:hAnsiTheme="majorBidi" w:cstheme="majorBidi"/>
          <w:sz w:val="24"/>
          <w:szCs w:val="24"/>
        </w:rPr>
        <w:tab/>
      </w:r>
      <w:r w:rsidRPr="007E3F92">
        <w:rPr>
          <w:rFonts w:asciiTheme="majorBidi" w:hAnsiTheme="majorBidi" w:cstheme="majorBidi"/>
          <w:iCs/>
          <w:sz w:val="24"/>
          <w:szCs w:val="24"/>
        </w:rPr>
        <w:t>Available at: icas. org. uk/MAFR. pdf (accessed 22 January 2013)</w:t>
      </w:r>
      <w:r w:rsidRPr="007E3F92">
        <w:rPr>
          <w:rFonts w:asciiTheme="majorBidi" w:hAnsiTheme="majorBidi" w:cstheme="majorBidi"/>
          <w:sz w:val="24"/>
          <w:szCs w:val="24"/>
        </w:rPr>
        <w:t>.</w:t>
      </w:r>
    </w:p>
    <w:p w14:paraId="5DC5EB06" w14:textId="77777777" w:rsidR="00A66BAD" w:rsidRPr="007E3F92" w:rsidRDefault="00A66BAD" w:rsidP="0047083F">
      <w:pPr>
        <w:autoSpaceDE w:val="0"/>
        <w:autoSpaceDN w:val="0"/>
        <w:adjustRightInd w:val="0"/>
        <w:spacing w:after="0" w:line="360" w:lineRule="auto"/>
        <w:ind w:left="630" w:hanging="540"/>
        <w:jc w:val="both"/>
        <w:rPr>
          <w:rFonts w:asciiTheme="majorBidi" w:hAnsiTheme="majorBidi" w:cstheme="majorBidi"/>
          <w:sz w:val="24"/>
          <w:szCs w:val="24"/>
        </w:rPr>
      </w:pPr>
      <w:r w:rsidRPr="007E3F92">
        <w:rPr>
          <w:rFonts w:asciiTheme="majorBidi" w:hAnsiTheme="majorBidi" w:cstheme="majorBidi"/>
          <w:sz w:val="24"/>
          <w:szCs w:val="24"/>
        </w:rPr>
        <w:t xml:space="preserve">Fama, Eugene F. 1978.The Effect of a Firm Investment and Financing Decision on The Welfare </w:t>
      </w:r>
      <w:r w:rsidRPr="007E3F92">
        <w:rPr>
          <w:rFonts w:asciiTheme="majorBidi" w:hAnsiTheme="majorBidi" w:cstheme="majorBidi"/>
          <w:sz w:val="24"/>
          <w:szCs w:val="24"/>
        </w:rPr>
        <w:tab/>
        <w:t>of Its Security Holders, American Economic Review; Vol. 68 hlm. 272-280</w:t>
      </w:r>
    </w:p>
    <w:p w14:paraId="0CD61F79" w14:textId="7747E461" w:rsidR="00A66BAD" w:rsidRPr="007E3F92" w:rsidRDefault="00A66BAD" w:rsidP="0047083F">
      <w:pPr>
        <w:autoSpaceDE w:val="0"/>
        <w:autoSpaceDN w:val="0"/>
        <w:adjustRightInd w:val="0"/>
        <w:spacing w:after="0" w:line="360" w:lineRule="auto"/>
        <w:ind w:left="630" w:hanging="540"/>
        <w:jc w:val="both"/>
        <w:rPr>
          <w:rFonts w:asciiTheme="majorBidi" w:hAnsiTheme="majorBidi" w:cstheme="majorBidi"/>
          <w:sz w:val="24"/>
          <w:szCs w:val="24"/>
        </w:rPr>
      </w:pPr>
      <w:r w:rsidRPr="007E3F92">
        <w:rPr>
          <w:rFonts w:asciiTheme="majorBidi" w:hAnsiTheme="majorBidi" w:cstheme="majorBidi"/>
          <w:sz w:val="24"/>
          <w:szCs w:val="24"/>
        </w:rPr>
        <w:t>Francis, J.R., &amp; Yu, D.M. 2009. “Big 4 Office Size and Audit Quality”</w:t>
      </w:r>
      <w:r w:rsidRPr="007E3F92">
        <w:rPr>
          <w:rFonts w:asciiTheme="majorBidi" w:hAnsiTheme="majorBidi" w:cstheme="majorBidi"/>
          <w:iCs/>
          <w:sz w:val="24"/>
          <w:szCs w:val="24"/>
        </w:rPr>
        <w:t xml:space="preserve">. The Accounting </w:t>
      </w:r>
      <w:r w:rsidRPr="007E3F92">
        <w:rPr>
          <w:rFonts w:asciiTheme="majorBidi" w:hAnsiTheme="majorBidi" w:cstheme="majorBidi"/>
          <w:iCs/>
          <w:sz w:val="24"/>
          <w:szCs w:val="24"/>
        </w:rPr>
        <w:tab/>
        <w:t>Review</w:t>
      </w:r>
      <w:r w:rsidRPr="007E3F92">
        <w:rPr>
          <w:rFonts w:asciiTheme="majorBidi" w:hAnsiTheme="majorBidi" w:cstheme="majorBidi"/>
          <w:sz w:val="24"/>
          <w:szCs w:val="24"/>
        </w:rPr>
        <w:t>.Vol.84, pp.1521-1552.</w:t>
      </w:r>
    </w:p>
    <w:p w14:paraId="523B1425" w14:textId="1CDDF421" w:rsidR="00A66BAD" w:rsidRPr="007E3F92" w:rsidRDefault="00A66BAD" w:rsidP="0047083F">
      <w:pPr>
        <w:autoSpaceDE w:val="0"/>
        <w:autoSpaceDN w:val="0"/>
        <w:adjustRightInd w:val="0"/>
        <w:spacing w:after="0" w:line="360" w:lineRule="auto"/>
        <w:ind w:left="630" w:hanging="540"/>
        <w:jc w:val="both"/>
        <w:rPr>
          <w:rFonts w:asciiTheme="majorBidi" w:hAnsiTheme="majorBidi" w:cstheme="majorBidi"/>
          <w:sz w:val="24"/>
          <w:szCs w:val="24"/>
        </w:rPr>
      </w:pPr>
      <w:r w:rsidRPr="007E3F92">
        <w:rPr>
          <w:rFonts w:asciiTheme="majorBidi" w:hAnsiTheme="majorBidi" w:cstheme="majorBidi"/>
          <w:sz w:val="24"/>
          <w:szCs w:val="24"/>
        </w:rPr>
        <w:lastRenderedPageBreak/>
        <w:t>Ghosh, A., and Moon, D. (</w:t>
      </w:r>
      <w:r w:rsidR="00171335">
        <w:rPr>
          <w:rFonts w:asciiTheme="majorBidi" w:hAnsiTheme="majorBidi" w:cstheme="majorBidi"/>
          <w:sz w:val="24"/>
          <w:szCs w:val="24"/>
        </w:rPr>
        <w:t>2018</w:t>
      </w:r>
      <w:r w:rsidRPr="007E3F92">
        <w:rPr>
          <w:rFonts w:asciiTheme="majorBidi" w:hAnsiTheme="majorBidi" w:cstheme="majorBidi"/>
          <w:sz w:val="24"/>
          <w:szCs w:val="24"/>
        </w:rPr>
        <w:t>). Auditor Tenure and Perceptions of Audit Quality.</w:t>
      </w:r>
      <w:r w:rsidRPr="007E3F92">
        <w:rPr>
          <w:rFonts w:asciiTheme="majorBidi" w:hAnsiTheme="majorBidi" w:cstheme="majorBidi"/>
          <w:iCs/>
          <w:sz w:val="24"/>
          <w:szCs w:val="24"/>
        </w:rPr>
        <w:t xml:space="preserve"> The </w:t>
      </w:r>
      <w:r w:rsidRPr="007E3F92">
        <w:rPr>
          <w:rFonts w:asciiTheme="majorBidi" w:hAnsiTheme="majorBidi" w:cstheme="majorBidi"/>
          <w:iCs/>
          <w:sz w:val="24"/>
          <w:szCs w:val="24"/>
        </w:rPr>
        <w:tab/>
        <w:t>Accounting Review.</w:t>
      </w:r>
      <w:r w:rsidR="0047083F">
        <w:rPr>
          <w:rFonts w:asciiTheme="majorBidi" w:hAnsiTheme="majorBidi" w:cstheme="majorBidi"/>
          <w:sz w:val="24"/>
          <w:szCs w:val="24"/>
        </w:rPr>
        <w:t>80(2), 585-612.</w:t>
      </w:r>
    </w:p>
    <w:p w14:paraId="4483B0FE" w14:textId="09B9021A" w:rsidR="00A66BAD" w:rsidRPr="007E3F92" w:rsidRDefault="00A66BAD" w:rsidP="00AA06E3">
      <w:pPr>
        <w:autoSpaceDE w:val="0"/>
        <w:autoSpaceDN w:val="0"/>
        <w:adjustRightInd w:val="0"/>
        <w:spacing w:after="0" w:line="360" w:lineRule="auto"/>
        <w:ind w:left="630" w:hanging="540"/>
        <w:jc w:val="both"/>
        <w:rPr>
          <w:rFonts w:asciiTheme="majorBidi" w:hAnsiTheme="majorBidi" w:cstheme="majorBidi"/>
          <w:sz w:val="24"/>
          <w:szCs w:val="24"/>
        </w:rPr>
      </w:pPr>
      <w:r w:rsidRPr="007E3F92">
        <w:rPr>
          <w:rFonts w:asciiTheme="majorBidi" w:hAnsiTheme="majorBidi" w:cstheme="majorBidi"/>
          <w:sz w:val="24"/>
          <w:szCs w:val="24"/>
        </w:rPr>
        <w:t>Goodwin- Stewart, J. &amp; Kent, P. (</w:t>
      </w:r>
      <w:r w:rsidR="00171335">
        <w:rPr>
          <w:rFonts w:asciiTheme="majorBidi" w:hAnsiTheme="majorBidi" w:cstheme="majorBidi"/>
          <w:sz w:val="24"/>
          <w:szCs w:val="24"/>
        </w:rPr>
        <w:t>2019</w:t>
      </w:r>
      <w:r w:rsidRPr="007E3F92">
        <w:rPr>
          <w:rFonts w:asciiTheme="majorBidi" w:hAnsiTheme="majorBidi" w:cstheme="majorBidi"/>
          <w:sz w:val="24"/>
          <w:szCs w:val="24"/>
        </w:rPr>
        <w:t xml:space="preserve">). Relation between external audit fees, audit </w:t>
      </w:r>
      <w:r w:rsidRPr="007E3F92">
        <w:rPr>
          <w:rFonts w:asciiTheme="majorBidi" w:hAnsiTheme="majorBidi" w:cstheme="majorBidi"/>
          <w:sz w:val="24"/>
          <w:szCs w:val="24"/>
        </w:rPr>
        <w:tab/>
        <w:t>committee characteristics and internal audit.</w:t>
      </w:r>
      <w:r w:rsidRPr="007E3F92">
        <w:rPr>
          <w:rFonts w:asciiTheme="majorBidi" w:hAnsiTheme="majorBidi" w:cstheme="majorBidi"/>
          <w:iCs/>
          <w:sz w:val="24"/>
          <w:szCs w:val="24"/>
        </w:rPr>
        <w:t xml:space="preserve"> Accounting and Finance, </w:t>
      </w:r>
      <w:r w:rsidRPr="007E3F92">
        <w:rPr>
          <w:rFonts w:asciiTheme="majorBidi" w:hAnsiTheme="majorBidi" w:cstheme="majorBidi"/>
          <w:sz w:val="24"/>
          <w:szCs w:val="24"/>
        </w:rPr>
        <w:t xml:space="preserve">46 ( 3 ), 387 – </w:t>
      </w:r>
      <w:r w:rsidRPr="007E3F92">
        <w:rPr>
          <w:rFonts w:asciiTheme="majorBidi" w:hAnsiTheme="majorBidi" w:cstheme="majorBidi"/>
          <w:sz w:val="24"/>
          <w:szCs w:val="24"/>
        </w:rPr>
        <w:tab/>
      </w:r>
      <w:r w:rsidRPr="007E3F92">
        <w:rPr>
          <w:rFonts w:asciiTheme="majorBidi" w:hAnsiTheme="majorBidi" w:cstheme="majorBidi"/>
          <w:sz w:val="24"/>
          <w:szCs w:val="24"/>
        </w:rPr>
        <w:tab/>
        <w:t xml:space="preserve">404.Singh, H., &amp; Newby, R. (2010). Internal audit and audit fees: Further evidence. </w:t>
      </w:r>
      <w:r w:rsidRPr="007E3F92">
        <w:rPr>
          <w:rFonts w:asciiTheme="majorBidi" w:hAnsiTheme="majorBidi" w:cstheme="majorBidi"/>
          <w:iCs/>
          <w:sz w:val="24"/>
          <w:szCs w:val="24"/>
        </w:rPr>
        <w:t>Managerial Auditing Journal.</w:t>
      </w:r>
      <w:r w:rsidR="00AA06E3">
        <w:rPr>
          <w:rFonts w:asciiTheme="majorBidi" w:hAnsiTheme="majorBidi" w:cstheme="majorBidi"/>
          <w:sz w:val="24"/>
          <w:szCs w:val="24"/>
        </w:rPr>
        <w:t>25(4), 309 – 327.</w:t>
      </w:r>
    </w:p>
    <w:p w14:paraId="0B29EA13" w14:textId="08EE947F" w:rsidR="00A66BAD" w:rsidRPr="007E3F92" w:rsidRDefault="00A66BAD" w:rsidP="0047083F">
      <w:pPr>
        <w:autoSpaceDE w:val="0"/>
        <w:autoSpaceDN w:val="0"/>
        <w:adjustRightInd w:val="0"/>
        <w:spacing w:after="0" w:line="360" w:lineRule="auto"/>
        <w:ind w:left="630" w:hanging="540"/>
        <w:jc w:val="both"/>
        <w:rPr>
          <w:rFonts w:asciiTheme="majorBidi" w:hAnsiTheme="majorBidi" w:cstheme="majorBidi"/>
          <w:sz w:val="24"/>
          <w:szCs w:val="24"/>
        </w:rPr>
      </w:pPr>
      <w:r w:rsidRPr="007E3F92">
        <w:rPr>
          <w:rFonts w:asciiTheme="majorBidi" w:hAnsiTheme="majorBidi" w:cstheme="majorBidi"/>
          <w:sz w:val="24"/>
          <w:szCs w:val="24"/>
        </w:rPr>
        <w:t>Geiger, M.A. and Raghunandan, K. (</w:t>
      </w:r>
      <w:r>
        <w:rPr>
          <w:rFonts w:asciiTheme="majorBidi" w:hAnsiTheme="majorBidi" w:cstheme="majorBidi"/>
          <w:sz w:val="24"/>
          <w:szCs w:val="24"/>
        </w:rPr>
        <w:t>2021</w:t>
      </w:r>
      <w:r w:rsidRPr="007E3F92">
        <w:rPr>
          <w:rFonts w:asciiTheme="majorBidi" w:hAnsiTheme="majorBidi" w:cstheme="majorBidi"/>
          <w:sz w:val="24"/>
          <w:szCs w:val="24"/>
        </w:rPr>
        <w:t>): Auditor Tenure and Audit Reporting Failures:</w:t>
      </w:r>
    </w:p>
    <w:p w14:paraId="0CF1515C" w14:textId="495B6988" w:rsidR="00A66BAD" w:rsidRPr="007E3F92" w:rsidRDefault="00A66BAD" w:rsidP="00AA06E3">
      <w:pPr>
        <w:pStyle w:val="Default"/>
        <w:spacing w:line="360" w:lineRule="auto"/>
        <w:ind w:left="630" w:hanging="540"/>
        <w:jc w:val="both"/>
        <w:rPr>
          <w:rFonts w:asciiTheme="majorBidi" w:hAnsiTheme="majorBidi" w:cstheme="majorBidi"/>
        </w:rPr>
      </w:pPr>
      <w:r w:rsidRPr="007E3F92">
        <w:rPr>
          <w:rFonts w:asciiTheme="majorBidi" w:hAnsiTheme="majorBidi" w:cstheme="majorBidi"/>
          <w:iCs/>
        </w:rPr>
        <w:tab/>
        <w:t xml:space="preserve">Auditing: A Journal of Practice and Theory </w:t>
      </w:r>
      <w:r w:rsidR="00AA06E3">
        <w:rPr>
          <w:rFonts w:asciiTheme="majorBidi" w:hAnsiTheme="majorBidi" w:cstheme="majorBidi"/>
        </w:rPr>
        <w:t>21(7) March 67-78.</w:t>
      </w:r>
    </w:p>
    <w:p w14:paraId="20CAE15C" w14:textId="1BB38A0C" w:rsidR="00A66BAD" w:rsidRPr="007E3F92" w:rsidRDefault="00A66BAD" w:rsidP="0047083F">
      <w:pPr>
        <w:spacing w:after="0" w:line="360" w:lineRule="auto"/>
        <w:ind w:left="630" w:hanging="540"/>
        <w:jc w:val="both"/>
        <w:rPr>
          <w:rFonts w:asciiTheme="majorBidi" w:hAnsiTheme="majorBidi" w:cstheme="majorBidi"/>
          <w:sz w:val="24"/>
          <w:szCs w:val="24"/>
        </w:rPr>
      </w:pPr>
      <w:r w:rsidRPr="007E3F92">
        <w:rPr>
          <w:rFonts w:asciiTheme="majorBidi" w:hAnsiTheme="majorBidi" w:cstheme="majorBidi"/>
          <w:sz w:val="24"/>
          <w:szCs w:val="24"/>
        </w:rPr>
        <w:t>Geiger, M., and Raghunandan, K. (</w:t>
      </w:r>
      <w:r>
        <w:rPr>
          <w:rFonts w:asciiTheme="majorBidi" w:hAnsiTheme="majorBidi" w:cstheme="majorBidi"/>
          <w:sz w:val="24"/>
          <w:szCs w:val="24"/>
        </w:rPr>
        <w:t>2021</w:t>
      </w:r>
      <w:r w:rsidRPr="007E3F92">
        <w:rPr>
          <w:rFonts w:asciiTheme="majorBidi" w:hAnsiTheme="majorBidi" w:cstheme="majorBidi"/>
          <w:sz w:val="24"/>
          <w:szCs w:val="24"/>
        </w:rPr>
        <w:t xml:space="preserve">). Auditor tenure and audit quality. Auditing: </w:t>
      </w:r>
      <w:r w:rsidRPr="007E3F92">
        <w:rPr>
          <w:rFonts w:asciiTheme="majorBidi" w:hAnsiTheme="majorBidi" w:cstheme="majorBidi"/>
          <w:iCs/>
          <w:sz w:val="24"/>
          <w:szCs w:val="24"/>
        </w:rPr>
        <w:t xml:space="preserve">A Journal </w:t>
      </w:r>
      <w:r w:rsidRPr="007E3F92">
        <w:rPr>
          <w:rFonts w:asciiTheme="majorBidi" w:hAnsiTheme="majorBidi" w:cstheme="majorBidi"/>
          <w:iCs/>
          <w:sz w:val="24"/>
          <w:szCs w:val="24"/>
        </w:rPr>
        <w:tab/>
        <w:t>of Practice andTheory, 21</w:t>
      </w:r>
      <w:r w:rsidRPr="007E3F92">
        <w:rPr>
          <w:rFonts w:asciiTheme="majorBidi" w:hAnsiTheme="majorBidi" w:cstheme="majorBidi"/>
          <w:sz w:val="24"/>
          <w:szCs w:val="24"/>
        </w:rPr>
        <w:t>(1), pp. 187-196.</w:t>
      </w:r>
    </w:p>
    <w:p w14:paraId="22343CF9" w14:textId="77777777" w:rsidR="00A66BAD" w:rsidRPr="007E3F92" w:rsidRDefault="00A66BAD" w:rsidP="0047083F">
      <w:pPr>
        <w:spacing w:after="0" w:line="360" w:lineRule="auto"/>
        <w:ind w:left="630" w:hanging="54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 xml:space="preserve">Goosen, K. R., Jensen, R., &amp; Wells, R. (1999). Purpose and learning benefits of business </w:t>
      </w:r>
      <w:r w:rsidRPr="007E3F92">
        <w:rPr>
          <w:rFonts w:asciiTheme="majorBidi" w:hAnsiTheme="majorBidi" w:cstheme="majorBidi"/>
          <w:color w:val="000000"/>
          <w:sz w:val="24"/>
          <w:szCs w:val="24"/>
        </w:rPr>
        <w:tab/>
        <w:t xml:space="preserve">simulations: A design and development perspective. Developments in Business </w:t>
      </w:r>
      <w:r w:rsidRPr="007E3F92">
        <w:rPr>
          <w:rFonts w:asciiTheme="majorBidi" w:hAnsiTheme="majorBidi" w:cstheme="majorBidi"/>
          <w:color w:val="000000"/>
          <w:sz w:val="24"/>
          <w:szCs w:val="24"/>
        </w:rPr>
        <w:tab/>
        <w:t>Simulation &amp; Experiential Learning, 26, 133-145.</w:t>
      </w:r>
    </w:p>
    <w:p w14:paraId="4913D8ED" w14:textId="1895F4FD" w:rsidR="00A66BAD" w:rsidRPr="007E3F92" w:rsidRDefault="00A66BAD" w:rsidP="0047083F">
      <w:pPr>
        <w:autoSpaceDE w:val="0"/>
        <w:autoSpaceDN w:val="0"/>
        <w:adjustRightInd w:val="0"/>
        <w:spacing w:after="0" w:line="360" w:lineRule="auto"/>
        <w:ind w:left="630" w:hanging="54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Hoitash, R., Markelevich, A. &amp;Barragato, C.A. (</w:t>
      </w:r>
      <w:r w:rsidR="00EE7935">
        <w:rPr>
          <w:rFonts w:asciiTheme="majorBidi" w:hAnsiTheme="majorBidi" w:cstheme="majorBidi"/>
          <w:color w:val="000000"/>
          <w:sz w:val="24"/>
          <w:szCs w:val="24"/>
        </w:rPr>
        <w:t>2021</w:t>
      </w:r>
      <w:r w:rsidRPr="007E3F92">
        <w:rPr>
          <w:rFonts w:asciiTheme="majorBidi" w:hAnsiTheme="majorBidi" w:cstheme="majorBidi"/>
          <w:color w:val="000000"/>
          <w:sz w:val="24"/>
          <w:szCs w:val="24"/>
        </w:rPr>
        <w:t xml:space="preserve">). Auditor fees and audit quality. </w:t>
      </w:r>
      <w:r w:rsidRPr="007E3F92">
        <w:rPr>
          <w:rFonts w:asciiTheme="majorBidi" w:hAnsiTheme="majorBidi" w:cstheme="majorBidi"/>
          <w:color w:val="000000"/>
          <w:sz w:val="24"/>
          <w:szCs w:val="24"/>
        </w:rPr>
        <w:tab/>
      </w:r>
      <w:r w:rsidRPr="007E3F92">
        <w:rPr>
          <w:rFonts w:asciiTheme="majorBidi" w:hAnsiTheme="majorBidi" w:cstheme="majorBidi"/>
          <w:color w:val="000000"/>
          <w:sz w:val="24"/>
          <w:szCs w:val="24"/>
        </w:rPr>
        <w:tab/>
      </w:r>
      <w:r w:rsidRPr="007E3F92">
        <w:rPr>
          <w:rFonts w:asciiTheme="majorBidi" w:hAnsiTheme="majorBidi" w:cstheme="majorBidi"/>
          <w:color w:val="000000"/>
          <w:sz w:val="24"/>
          <w:szCs w:val="24"/>
        </w:rPr>
        <w:tab/>
      </w:r>
      <w:r w:rsidRPr="007E3F92">
        <w:rPr>
          <w:rFonts w:asciiTheme="majorBidi" w:hAnsiTheme="majorBidi" w:cstheme="majorBidi"/>
          <w:iCs/>
          <w:color w:val="000000"/>
          <w:sz w:val="24"/>
          <w:szCs w:val="24"/>
        </w:rPr>
        <w:t xml:space="preserve">Managerial Auditing Journal, </w:t>
      </w:r>
      <w:r w:rsidRPr="007E3F92">
        <w:rPr>
          <w:rFonts w:asciiTheme="majorBidi" w:hAnsiTheme="majorBidi" w:cstheme="majorBidi"/>
          <w:color w:val="000000"/>
          <w:sz w:val="24"/>
          <w:szCs w:val="24"/>
        </w:rPr>
        <w:t xml:space="preserve">Vol. 22, No. 8, pp. 761-786. </w:t>
      </w:r>
    </w:p>
    <w:p w14:paraId="5638E568" w14:textId="522C5770" w:rsidR="00A66BAD" w:rsidRPr="007E3F92" w:rsidRDefault="00A66BAD" w:rsidP="00AA06E3">
      <w:pPr>
        <w:autoSpaceDE w:val="0"/>
        <w:autoSpaceDN w:val="0"/>
        <w:adjustRightInd w:val="0"/>
        <w:spacing w:after="0" w:line="360" w:lineRule="auto"/>
        <w:ind w:left="630" w:hanging="540"/>
        <w:jc w:val="both"/>
        <w:rPr>
          <w:rFonts w:asciiTheme="majorBidi" w:hAnsiTheme="majorBidi" w:cstheme="majorBidi"/>
          <w:sz w:val="24"/>
          <w:szCs w:val="24"/>
        </w:rPr>
      </w:pPr>
      <w:r w:rsidRPr="007E3F92">
        <w:rPr>
          <w:rFonts w:asciiTheme="majorBidi" w:hAnsiTheme="majorBidi" w:cstheme="majorBidi"/>
          <w:sz w:val="24"/>
          <w:szCs w:val="24"/>
        </w:rPr>
        <w:t>Harris, K., and Whisenant, S. (</w:t>
      </w:r>
      <w:r>
        <w:rPr>
          <w:rFonts w:asciiTheme="majorBidi" w:hAnsiTheme="majorBidi" w:cstheme="majorBidi"/>
          <w:sz w:val="24"/>
          <w:szCs w:val="24"/>
        </w:rPr>
        <w:t>2022</w:t>
      </w:r>
      <w:r w:rsidRPr="007E3F92">
        <w:rPr>
          <w:rFonts w:asciiTheme="majorBidi" w:hAnsiTheme="majorBidi" w:cstheme="majorBidi"/>
          <w:sz w:val="24"/>
          <w:szCs w:val="24"/>
        </w:rPr>
        <w:t xml:space="preserve">). </w:t>
      </w:r>
      <w:r w:rsidRPr="007E3F92">
        <w:rPr>
          <w:rFonts w:asciiTheme="majorBidi" w:hAnsiTheme="majorBidi" w:cstheme="majorBidi"/>
          <w:iCs/>
          <w:sz w:val="24"/>
          <w:szCs w:val="24"/>
        </w:rPr>
        <w:t xml:space="preserve">Mandatory Audit Rotation: An International Investigation. </w:t>
      </w:r>
      <w:r w:rsidRPr="007E3F92">
        <w:rPr>
          <w:rFonts w:asciiTheme="majorBidi" w:hAnsiTheme="majorBidi" w:cstheme="majorBidi"/>
          <w:iCs/>
          <w:sz w:val="24"/>
          <w:szCs w:val="24"/>
        </w:rPr>
        <w:tab/>
      </w:r>
      <w:r w:rsidR="00AA06E3">
        <w:rPr>
          <w:rFonts w:asciiTheme="majorBidi" w:hAnsiTheme="majorBidi" w:cstheme="majorBidi"/>
          <w:sz w:val="24"/>
          <w:szCs w:val="24"/>
        </w:rPr>
        <w:t>University of Houston.</w:t>
      </w:r>
    </w:p>
    <w:p w14:paraId="3AEF2E19" w14:textId="038C4646" w:rsidR="00A66BAD" w:rsidRPr="007E3F92" w:rsidRDefault="00A66BAD" w:rsidP="00AA06E3">
      <w:pPr>
        <w:autoSpaceDE w:val="0"/>
        <w:autoSpaceDN w:val="0"/>
        <w:adjustRightInd w:val="0"/>
        <w:spacing w:after="0" w:line="360" w:lineRule="auto"/>
        <w:ind w:left="630" w:hanging="540"/>
        <w:jc w:val="both"/>
        <w:rPr>
          <w:rFonts w:asciiTheme="majorBidi" w:hAnsiTheme="majorBidi" w:cstheme="majorBidi"/>
          <w:sz w:val="24"/>
          <w:szCs w:val="24"/>
        </w:rPr>
      </w:pPr>
      <w:r w:rsidRPr="007E3F92">
        <w:rPr>
          <w:rFonts w:asciiTheme="majorBidi" w:hAnsiTheme="majorBidi" w:cstheme="majorBidi"/>
          <w:sz w:val="24"/>
          <w:szCs w:val="24"/>
        </w:rPr>
        <w:t xml:space="preserve">Hoitash, R. &amp;Hoitash, U. (2009). The role of audit committees in managing relationships with </w:t>
      </w:r>
      <w:r w:rsidRPr="007E3F92">
        <w:rPr>
          <w:rFonts w:asciiTheme="majorBidi" w:hAnsiTheme="majorBidi" w:cstheme="majorBidi"/>
          <w:sz w:val="24"/>
          <w:szCs w:val="24"/>
        </w:rPr>
        <w:tab/>
        <w:t>external auditors after SOX.</w:t>
      </w:r>
      <w:r w:rsidRPr="007E3F92">
        <w:rPr>
          <w:rFonts w:asciiTheme="majorBidi" w:hAnsiTheme="majorBidi" w:cstheme="majorBidi"/>
          <w:iCs/>
          <w:sz w:val="24"/>
          <w:szCs w:val="24"/>
        </w:rPr>
        <w:t xml:space="preserve"> Managerial Auditing Journal.</w:t>
      </w:r>
      <w:r w:rsidR="00AA06E3">
        <w:rPr>
          <w:rFonts w:asciiTheme="majorBidi" w:hAnsiTheme="majorBidi" w:cstheme="majorBidi"/>
          <w:sz w:val="24"/>
          <w:szCs w:val="24"/>
        </w:rPr>
        <w:t>24(4), 368 – 397.</w:t>
      </w:r>
    </w:p>
    <w:p w14:paraId="04C8560B" w14:textId="0FF7D5C4" w:rsidR="00A66BAD" w:rsidRPr="007E3F92" w:rsidRDefault="00A66BAD" w:rsidP="0047083F">
      <w:pPr>
        <w:pStyle w:val="Default"/>
        <w:spacing w:line="360" w:lineRule="auto"/>
        <w:ind w:left="630" w:hanging="540"/>
        <w:jc w:val="both"/>
        <w:rPr>
          <w:rFonts w:asciiTheme="majorBidi" w:hAnsiTheme="majorBidi" w:cstheme="majorBidi"/>
        </w:rPr>
      </w:pPr>
      <w:r w:rsidRPr="007E3F92">
        <w:rPr>
          <w:rFonts w:asciiTheme="majorBidi" w:hAnsiTheme="majorBidi" w:cstheme="majorBidi"/>
        </w:rPr>
        <w:t>Hoitash, R., Markelevich, A. &amp;Barragato, C.A. (</w:t>
      </w:r>
      <w:r w:rsidR="00EE7935">
        <w:rPr>
          <w:rFonts w:asciiTheme="majorBidi" w:hAnsiTheme="majorBidi" w:cstheme="majorBidi"/>
        </w:rPr>
        <w:t>2021</w:t>
      </w:r>
      <w:r w:rsidRPr="007E3F92">
        <w:rPr>
          <w:rFonts w:asciiTheme="majorBidi" w:hAnsiTheme="majorBidi" w:cstheme="majorBidi"/>
        </w:rPr>
        <w:t xml:space="preserve">). Auditor fees and audit quality. </w:t>
      </w:r>
      <w:r w:rsidRPr="007E3F92">
        <w:rPr>
          <w:rFonts w:asciiTheme="majorBidi" w:hAnsiTheme="majorBidi" w:cstheme="majorBidi"/>
        </w:rPr>
        <w:tab/>
      </w:r>
      <w:r w:rsidRPr="007E3F92">
        <w:rPr>
          <w:rFonts w:asciiTheme="majorBidi" w:hAnsiTheme="majorBidi" w:cstheme="majorBidi"/>
          <w:iCs/>
        </w:rPr>
        <w:t xml:space="preserve">Managerial Auditing Journal, </w:t>
      </w:r>
      <w:r w:rsidRPr="007E3F92">
        <w:rPr>
          <w:rFonts w:asciiTheme="majorBidi" w:hAnsiTheme="majorBidi" w:cstheme="majorBidi"/>
        </w:rPr>
        <w:t xml:space="preserve">Vol. 22, No. 8, pp. 761-786. </w:t>
      </w:r>
    </w:p>
    <w:p w14:paraId="14999920" w14:textId="77777777" w:rsidR="00A66BAD" w:rsidRPr="007E3F92" w:rsidRDefault="00A66BAD" w:rsidP="0047083F">
      <w:pPr>
        <w:pStyle w:val="Default"/>
        <w:spacing w:line="360" w:lineRule="auto"/>
        <w:ind w:left="630" w:hanging="540"/>
        <w:jc w:val="both"/>
        <w:rPr>
          <w:rFonts w:asciiTheme="majorBidi" w:hAnsiTheme="majorBidi" w:cstheme="majorBidi"/>
        </w:rPr>
      </w:pPr>
      <w:r w:rsidRPr="007E3F92">
        <w:rPr>
          <w:rFonts w:asciiTheme="majorBidi" w:hAnsiTheme="majorBidi" w:cstheme="majorBidi"/>
        </w:rPr>
        <w:t xml:space="preserve">Hirhyel Abba Ibrahim (2017). Effect of Audit Firm Attributes on Earnings Quality of Listed                         </w:t>
      </w:r>
    </w:p>
    <w:p w14:paraId="63940BC8" w14:textId="77777777" w:rsidR="00A66BAD" w:rsidRPr="007E3F92" w:rsidRDefault="00A66BAD" w:rsidP="0047083F">
      <w:pPr>
        <w:pStyle w:val="Default"/>
        <w:spacing w:line="360" w:lineRule="auto"/>
        <w:ind w:left="630" w:hanging="540"/>
        <w:jc w:val="both"/>
        <w:rPr>
          <w:rFonts w:asciiTheme="majorBidi" w:hAnsiTheme="majorBidi" w:cstheme="majorBidi"/>
        </w:rPr>
      </w:pPr>
      <w:r w:rsidRPr="007E3F92">
        <w:rPr>
          <w:rFonts w:asciiTheme="majorBidi" w:hAnsiTheme="majorBidi" w:cstheme="majorBidi"/>
        </w:rPr>
        <w:t>Consumer Goods Firms in Nigeria. Thesis for Masters of Science(M.Sc)</w:t>
      </w:r>
    </w:p>
    <w:p w14:paraId="4194E979" w14:textId="77777777" w:rsidR="00A66BAD" w:rsidRPr="007E3F92" w:rsidRDefault="00A66BAD" w:rsidP="0047083F">
      <w:pPr>
        <w:pStyle w:val="Default"/>
        <w:spacing w:line="360" w:lineRule="auto"/>
        <w:ind w:left="630" w:hanging="540"/>
        <w:jc w:val="both"/>
        <w:rPr>
          <w:rFonts w:asciiTheme="majorBidi" w:hAnsiTheme="majorBidi" w:cstheme="majorBidi"/>
        </w:rPr>
      </w:pPr>
    </w:p>
    <w:p w14:paraId="08CD9D6E" w14:textId="77777777" w:rsidR="00A66BAD" w:rsidRPr="007E3F92" w:rsidRDefault="00A66BAD" w:rsidP="0047083F">
      <w:pPr>
        <w:pStyle w:val="Default"/>
        <w:spacing w:line="360" w:lineRule="auto"/>
        <w:ind w:left="630" w:hanging="540"/>
        <w:jc w:val="both"/>
        <w:rPr>
          <w:rFonts w:asciiTheme="majorBidi" w:hAnsiTheme="majorBidi" w:cstheme="majorBidi"/>
        </w:rPr>
      </w:pPr>
      <w:r w:rsidRPr="007E3F92">
        <w:rPr>
          <w:rFonts w:asciiTheme="majorBidi" w:hAnsiTheme="majorBidi" w:cstheme="majorBidi"/>
        </w:rPr>
        <w:lastRenderedPageBreak/>
        <w:t xml:space="preserve">Hartadi, B. (2009). Influence of audit fee, KAP rotation, and the reputation of auditors on audit </w:t>
      </w:r>
      <w:r w:rsidRPr="007E3F92">
        <w:rPr>
          <w:rFonts w:asciiTheme="majorBidi" w:hAnsiTheme="majorBidi" w:cstheme="majorBidi"/>
        </w:rPr>
        <w:tab/>
        <w:t xml:space="preserve">quality in the Indonesia Stock Exchange. </w:t>
      </w:r>
      <w:r w:rsidRPr="007E3F92">
        <w:rPr>
          <w:rFonts w:asciiTheme="majorBidi" w:hAnsiTheme="majorBidi" w:cstheme="majorBidi"/>
          <w:iCs/>
        </w:rPr>
        <w:t>Journal of Economic and Finance</w:t>
      </w:r>
      <w:r w:rsidRPr="007E3F92">
        <w:rPr>
          <w:rFonts w:asciiTheme="majorBidi" w:hAnsiTheme="majorBidi" w:cstheme="majorBidi"/>
        </w:rPr>
        <w:t>.16. (1), 84-</w:t>
      </w:r>
      <w:r w:rsidRPr="007E3F92">
        <w:rPr>
          <w:rFonts w:asciiTheme="majorBidi" w:hAnsiTheme="majorBidi" w:cstheme="majorBidi"/>
        </w:rPr>
        <w:tab/>
        <w:t xml:space="preserve">103. </w:t>
      </w:r>
    </w:p>
    <w:p w14:paraId="20D1CBF8" w14:textId="1BE6C869" w:rsidR="00A66BAD" w:rsidRPr="00AA06E3" w:rsidRDefault="00A66BAD" w:rsidP="00AA06E3">
      <w:pPr>
        <w:autoSpaceDE w:val="0"/>
        <w:autoSpaceDN w:val="0"/>
        <w:adjustRightInd w:val="0"/>
        <w:spacing w:after="0" w:line="360" w:lineRule="auto"/>
        <w:ind w:left="630" w:hanging="540"/>
        <w:jc w:val="both"/>
        <w:rPr>
          <w:rFonts w:asciiTheme="majorBidi" w:hAnsiTheme="majorBidi" w:cstheme="majorBidi"/>
          <w:sz w:val="24"/>
          <w:szCs w:val="24"/>
        </w:rPr>
      </w:pPr>
      <w:r w:rsidRPr="007E3F92">
        <w:rPr>
          <w:rFonts w:asciiTheme="majorBidi" w:hAnsiTheme="majorBidi" w:cstheme="majorBidi"/>
          <w:sz w:val="24"/>
          <w:szCs w:val="24"/>
        </w:rPr>
        <w:t xml:space="preserve">Jackson, A. B., Moldrich, M., &amp; Roebuck, P. (2008). Mandatory audit firm rotation and audit </w:t>
      </w:r>
      <w:r w:rsidRPr="007E3F92">
        <w:rPr>
          <w:rFonts w:asciiTheme="majorBidi" w:hAnsiTheme="majorBidi" w:cstheme="majorBidi"/>
          <w:sz w:val="24"/>
          <w:szCs w:val="24"/>
        </w:rPr>
        <w:tab/>
        <w:t>quality. Managerial Audi</w:t>
      </w:r>
      <w:r w:rsidR="00AA06E3">
        <w:rPr>
          <w:rFonts w:asciiTheme="majorBidi" w:hAnsiTheme="majorBidi" w:cstheme="majorBidi"/>
          <w:sz w:val="24"/>
          <w:szCs w:val="24"/>
        </w:rPr>
        <w:t>ting Journal, 23 (5), 420– 437.</w:t>
      </w:r>
    </w:p>
    <w:p w14:paraId="2B8AA676" w14:textId="52D53852" w:rsidR="00A66BAD" w:rsidRPr="007E3F92" w:rsidRDefault="00A66BAD" w:rsidP="0047083F">
      <w:pPr>
        <w:spacing w:after="0" w:line="360" w:lineRule="auto"/>
        <w:ind w:left="630" w:hanging="540"/>
        <w:jc w:val="both"/>
        <w:rPr>
          <w:rFonts w:asciiTheme="majorBidi" w:hAnsiTheme="majorBidi" w:cstheme="majorBidi"/>
          <w:sz w:val="24"/>
          <w:szCs w:val="24"/>
        </w:rPr>
      </w:pPr>
      <w:r w:rsidRPr="007E3F92">
        <w:rPr>
          <w:rFonts w:asciiTheme="majorBidi" w:hAnsiTheme="majorBidi" w:cstheme="majorBidi"/>
          <w:sz w:val="24"/>
          <w:szCs w:val="24"/>
        </w:rPr>
        <w:t>Johnson, V. E., Khurana, I. K., and Reynolds, J. K. (</w:t>
      </w:r>
      <w:r>
        <w:rPr>
          <w:rFonts w:asciiTheme="majorBidi" w:hAnsiTheme="majorBidi" w:cstheme="majorBidi"/>
          <w:sz w:val="24"/>
          <w:szCs w:val="24"/>
        </w:rPr>
        <w:t>2021</w:t>
      </w:r>
      <w:r w:rsidRPr="007E3F92">
        <w:rPr>
          <w:rFonts w:asciiTheme="majorBidi" w:hAnsiTheme="majorBidi" w:cstheme="majorBidi"/>
          <w:sz w:val="24"/>
          <w:szCs w:val="24"/>
        </w:rPr>
        <w:t xml:space="preserve">). Audit-firm tenure and the quality of </w:t>
      </w:r>
      <w:r w:rsidRPr="007E3F92">
        <w:rPr>
          <w:rFonts w:asciiTheme="majorBidi" w:hAnsiTheme="majorBidi" w:cstheme="majorBidi"/>
          <w:sz w:val="24"/>
          <w:szCs w:val="24"/>
        </w:rPr>
        <w:tab/>
        <w:t xml:space="preserve">financial reports, </w:t>
      </w:r>
      <w:r w:rsidRPr="007E3F92">
        <w:rPr>
          <w:rFonts w:asciiTheme="majorBidi" w:hAnsiTheme="majorBidi" w:cstheme="majorBidi"/>
          <w:iCs/>
          <w:sz w:val="24"/>
          <w:szCs w:val="24"/>
        </w:rPr>
        <w:t>Contemporary Accounting Research 19</w:t>
      </w:r>
      <w:r w:rsidRPr="007E3F92">
        <w:rPr>
          <w:rFonts w:asciiTheme="majorBidi" w:hAnsiTheme="majorBidi" w:cstheme="majorBidi"/>
          <w:sz w:val="24"/>
          <w:szCs w:val="24"/>
        </w:rPr>
        <w:t>(4), pp. 637-660.</w:t>
      </w:r>
    </w:p>
    <w:p w14:paraId="627DDF13" w14:textId="30606E54" w:rsidR="00A66BAD" w:rsidRPr="007E3F92" w:rsidRDefault="00A66BAD" w:rsidP="00AA06E3">
      <w:pPr>
        <w:pStyle w:val="Default"/>
        <w:spacing w:line="360" w:lineRule="auto"/>
        <w:ind w:left="630" w:hanging="540"/>
        <w:jc w:val="both"/>
        <w:rPr>
          <w:rFonts w:asciiTheme="majorBidi" w:hAnsiTheme="majorBidi" w:cstheme="majorBidi"/>
        </w:rPr>
      </w:pPr>
      <w:r w:rsidRPr="007E3F92">
        <w:rPr>
          <w:rFonts w:asciiTheme="majorBidi" w:hAnsiTheme="majorBidi" w:cstheme="majorBidi"/>
        </w:rPr>
        <w:t>Kanagaretnam, K., Krishnan, G. V., Lobo, G. J., &amp; Mathieu, R. (</w:t>
      </w:r>
      <w:r>
        <w:rPr>
          <w:rFonts w:asciiTheme="majorBidi" w:hAnsiTheme="majorBidi" w:cstheme="majorBidi"/>
        </w:rPr>
        <w:t>2019</w:t>
      </w:r>
      <w:r w:rsidRPr="007E3F92">
        <w:rPr>
          <w:rFonts w:asciiTheme="majorBidi" w:hAnsiTheme="majorBidi" w:cstheme="majorBidi"/>
        </w:rPr>
        <w:t xml:space="preserve">).Audit quality and the </w:t>
      </w:r>
      <w:r w:rsidRPr="007E3F92">
        <w:rPr>
          <w:rFonts w:asciiTheme="majorBidi" w:hAnsiTheme="majorBidi" w:cstheme="majorBidi"/>
        </w:rPr>
        <w:tab/>
        <w:t>market valuation of banks’ allowance for loan losses.</w:t>
      </w:r>
      <w:r w:rsidRPr="007E3F92">
        <w:rPr>
          <w:rFonts w:asciiTheme="majorBidi" w:hAnsiTheme="majorBidi" w:cstheme="majorBidi"/>
          <w:iCs/>
        </w:rPr>
        <w:t>Accounting perspectives</w:t>
      </w:r>
      <w:r w:rsidR="00AA06E3">
        <w:rPr>
          <w:rFonts w:asciiTheme="majorBidi" w:hAnsiTheme="majorBidi" w:cstheme="majorBidi"/>
        </w:rPr>
        <w:t xml:space="preserve">, 10(3), </w:t>
      </w:r>
      <w:r w:rsidR="00AA06E3">
        <w:rPr>
          <w:rFonts w:asciiTheme="majorBidi" w:hAnsiTheme="majorBidi" w:cstheme="majorBidi"/>
        </w:rPr>
        <w:tab/>
        <w:t>161-193.</w:t>
      </w:r>
    </w:p>
    <w:p w14:paraId="67ABF810" w14:textId="789F85D5" w:rsidR="00A66BAD" w:rsidRPr="00AA06E3" w:rsidRDefault="00A66BAD" w:rsidP="00AA06E3">
      <w:pPr>
        <w:autoSpaceDE w:val="0"/>
        <w:autoSpaceDN w:val="0"/>
        <w:adjustRightInd w:val="0"/>
        <w:spacing w:after="0" w:line="360" w:lineRule="auto"/>
        <w:ind w:left="630" w:hanging="540"/>
        <w:jc w:val="both"/>
        <w:rPr>
          <w:rFonts w:asciiTheme="majorBidi" w:hAnsiTheme="majorBidi" w:cstheme="majorBidi"/>
          <w:iCs/>
          <w:sz w:val="24"/>
          <w:szCs w:val="24"/>
        </w:rPr>
      </w:pPr>
      <w:r w:rsidRPr="007E3F92">
        <w:rPr>
          <w:rFonts w:asciiTheme="majorBidi" w:hAnsiTheme="majorBidi" w:cstheme="majorBidi"/>
          <w:sz w:val="24"/>
          <w:szCs w:val="24"/>
        </w:rPr>
        <w:t xml:space="preserve">Kordelas, Garyfallos. </w:t>
      </w:r>
      <w:r>
        <w:rPr>
          <w:rFonts w:asciiTheme="majorBidi" w:hAnsiTheme="majorBidi" w:cstheme="majorBidi"/>
          <w:sz w:val="24"/>
          <w:szCs w:val="24"/>
        </w:rPr>
        <w:t>2022</w:t>
      </w:r>
      <w:r w:rsidRPr="007E3F92">
        <w:rPr>
          <w:rFonts w:asciiTheme="majorBidi" w:hAnsiTheme="majorBidi" w:cstheme="majorBidi"/>
          <w:sz w:val="24"/>
          <w:szCs w:val="24"/>
        </w:rPr>
        <w:t xml:space="preserve">. “Earning Management and Audit Quality of Public Firm: Evidence </w:t>
      </w:r>
      <w:r w:rsidRPr="007E3F92">
        <w:rPr>
          <w:rFonts w:asciiTheme="majorBidi" w:hAnsiTheme="majorBidi" w:cstheme="majorBidi"/>
          <w:sz w:val="24"/>
          <w:szCs w:val="24"/>
        </w:rPr>
        <w:tab/>
        <w:t xml:space="preserve">from US”. </w:t>
      </w:r>
      <w:r w:rsidRPr="007E3F92">
        <w:rPr>
          <w:rFonts w:asciiTheme="majorBidi" w:hAnsiTheme="majorBidi" w:cstheme="majorBidi"/>
          <w:iCs/>
          <w:sz w:val="24"/>
          <w:szCs w:val="24"/>
        </w:rPr>
        <w:t>Research School Economics U</w:t>
      </w:r>
      <w:r w:rsidR="00AA06E3">
        <w:rPr>
          <w:rFonts w:asciiTheme="majorBidi" w:hAnsiTheme="majorBidi" w:cstheme="majorBidi"/>
          <w:iCs/>
          <w:sz w:val="24"/>
          <w:szCs w:val="24"/>
        </w:rPr>
        <w:t>niversity Rotterdam: Rotterdam.</w:t>
      </w:r>
    </w:p>
    <w:p w14:paraId="4B586C08" w14:textId="77777777" w:rsidR="00A66BAD" w:rsidRPr="007E3F92" w:rsidRDefault="00A66BAD" w:rsidP="0047083F">
      <w:pPr>
        <w:spacing w:after="0" w:line="360" w:lineRule="auto"/>
        <w:ind w:left="630" w:hanging="54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 xml:space="preserve">Keys, J. B., &amp; Biggs, W. D. (1990).A review of business games. In J. W. Gentry (Ed.), Guide to </w:t>
      </w:r>
      <w:r w:rsidRPr="007E3F92">
        <w:rPr>
          <w:rFonts w:asciiTheme="majorBidi" w:hAnsiTheme="majorBidi" w:cstheme="majorBidi"/>
          <w:color w:val="000000"/>
          <w:sz w:val="24"/>
          <w:szCs w:val="24"/>
        </w:rPr>
        <w:tab/>
        <w:t xml:space="preserve">business gaming and experiential learning (pp. 48-73). East Brunswick, NJ: Nichols/GP </w:t>
      </w:r>
      <w:r w:rsidRPr="007E3F92">
        <w:rPr>
          <w:rFonts w:asciiTheme="majorBidi" w:hAnsiTheme="majorBidi" w:cstheme="majorBidi"/>
          <w:color w:val="000000"/>
          <w:sz w:val="24"/>
          <w:szCs w:val="24"/>
        </w:rPr>
        <w:tab/>
        <w:t>Publishing.</w:t>
      </w:r>
    </w:p>
    <w:p w14:paraId="0A512C42" w14:textId="584E8E54" w:rsidR="00A66BAD" w:rsidRPr="007E3F92" w:rsidRDefault="00A66BAD" w:rsidP="00AA06E3">
      <w:pPr>
        <w:pStyle w:val="Default"/>
        <w:spacing w:line="360" w:lineRule="auto"/>
        <w:ind w:left="630" w:hanging="540"/>
        <w:jc w:val="both"/>
        <w:rPr>
          <w:rFonts w:asciiTheme="majorBidi" w:hAnsiTheme="majorBidi" w:cstheme="majorBidi"/>
        </w:rPr>
      </w:pPr>
      <w:r w:rsidRPr="007E3F92">
        <w:rPr>
          <w:rFonts w:asciiTheme="majorBidi" w:hAnsiTheme="majorBidi" w:cstheme="majorBidi"/>
        </w:rPr>
        <w:t>Lyon &amp; Maher (</w:t>
      </w:r>
      <w:r w:rsidR="00171335">
        <w:rPr>
          <w:rFonts w:asciiTheme="majorBidi" w:hAnsiTheme="majorBidi" w:cstheme="majorBidi"/>
        </w:rPr>
        <w:t>2018</w:t>
      </w:r>
      <w:r w:rsidRPr="007E3F92">
        <w:rPr>
          <w:rFonts w:asciiTheme="majorBidi" w:hAnsiTheme="majorBidi" w:cstheme="majorBidi"/>
        </w:rPr>
        <w:t xml:space="preserve">). The importance of business risk in setting audit fees: Evidence from </w:t>
      </w:r>
      <w:r w:rsidRPr="007E3F92">
        <w:rPr>
          <w:rFonts w:asciiTheme="majorBidi" w:hAnsiTheme="majorBidi" w:cstheme="majorBidi"/>
        </w:rPr>
        <w:tab/>
        <w:t xml:space="preserve">cases of client misconduct. </w:t>
      </w:r>
      <w:r w:rsidRPr="007E3F92">
        <w:rPr>
          <w:rFonts w:asciiTheme="majorBidi" w:hAnsiTheme="majorBidi" w:cstheme="majorBidi"/>
          <w:iCs/>
        </w:rPr>
        <w:t xml:space="preserve">Journal of Accounting Research, </w:t>
      </w:r>
      <w:r w:rsidR="00AA06E3">
        <w:rPr>
          <w:rFonts w:asciiTheme="majorBidi" w:hAnsiTheme="majorBidi" w:cstheme="majorBidi"/>
        </w:rPr>
        <w:t xml:space="preserve">43(1), 133-151. </w:t>
      </w:r>
    </w:p>
    <w:p w14:paraId="29FCE368" w14:textId="7F594FCA" w:rsidR="00A66BAD" w:rsidRPr="007E3F92" w:rsidRDefault="00A66BAD" w:rsidP="00AA06E3">
      <w:pPr>
        <w:pStyle w:val="Default"/>
        <w:spacing w:line="360" w:lineRule="auto"/>
        <w:ind w:left="630" w:hanging="540"/>
        <w:jc w:val="both"/>
        <w:rPr>
          <w:rFonts w:asciiTheme="majorBidi" w:hAnsiTheme="majorBidi" w:cstheme="majorBidi"/>
        </w:rPr>
      </w:pPr>
      <w:r w:rsidRPr="007E3F92">
        <w:rPr>
          <w:rFonts w:asciiTheme="majorBidi" w:hAnsiTheme="majorBidi" w:cstheme="majorBidi"/>
        </w:rPr>
        <w:t>Locke, E. A., &amp; Latham G.P. (</w:t>
      </w:r>
      <w:r>
        <w:rPr>
          <w:rFonts w:asciiTheme="majorBidi" w:hAnsiTheme="majorBidi" w:cstheme="majorBidi"/>
        </w:rPr>
        <w:t>2021</w:t>
      </w:r>
      <w:r w:rsidRPr="007E3F92">
        <w:rPr>
          <w:rFonts w:asciiTheme="majorBidi" w:hAnsiTheme="majorBidi" w:cstheme="majorBidi"/>
        </w:rPr>
        <w:t>).Building a practically</w:t>
      </w:r>
      <w:r w:rsidR="00AA06E3">
        <w:rPr>
          <w:rFonts w:asciiTheme="majorBidi" w:hAnsiTheme="majorBidi" w:cstheme="majorBidi"/>
        </w:rPr>
        <w:t xml:space="preserve"> useful theory of goal setting.</w:t>
      </w:r>
    </w:p>
    <w:p w14:paraId="327A7191" w14:textId="429CCEE6" w:rsidR="00A66BAD" w:rsidRPr="007E3F92" w:rsidRDefault="00A66BAD" w:rsidP="00AA06E3">
      <w:pPr>
        <w:autoSpaceDE w:val="0"/>
        <w:autoSpaceDN w:val="0"/>
        <w:adjustRightInd w:val="0"/>
        <w:spacing w:after="0" w:line="360" w:lineRule="auto"/>
        <w:ind w:left="630" w:hanging="540"/>
        <w:jc w:val="both"/>
        <w:rPr>
          <w:rFonts w:asciiTheme="majorBidi" w:hAnsiTheme="majorBidi" w:cstheme="majorBidi"/>
          <w:sz w:val="24"/>
          <w:szCs w:val="24"/>
        </w:rPr>
      </w:pPr>
      <w:r w:rsidRPr="007E3F92">
        <w:rPr>
          <w:rFonts w:asciiTheme="majorBidi" w:hAnsiTheme="majorBidi" w:cstheme="majorBidi"/>
          <w:sz w:val="24"/>
          <w:szCs w:val="24"/>
        </w:rPr>
        <w:t xml:space="preserve">Lennox S. Clive. 1999.“Audit Quality &amp; Auditor Size: An Evaluation of Reputation and Deep </w:t>
      </w:r>
      <w:r w:rsidRPr="007E3F92">
        <w:rPr>
          <w:rFonts w:asciiTheme="majorBidi" w:hAnsiTheme="majorBidi" w:cstheme="majorBidi"/>
          <w:sz w:val="24"/>
          <w:szCs w:val="24"/>
        </w:rPr>
        <w:tab/>
        <w:t>Pockets Hypotheses”</w:t>
      </w:r>
      <w:r w:rsidRPr="007E3F92">
        <w:rPr>
          <w:rFonts w:asciiTheme="majorBidi" w:hAnsiTheme="majorBidi" w:cstheme="majorBidi"/>
          <w:iCs/>
          <w:sz w:val="24"/>
          <w:szCs w:val="24"/>
        </w:rPr>
        <w:t>.JournalofBusiness Finance &amp;Accounting,</w:t>
      </w:r>
      <w:r w:rsidR="00AA06E3">
        <w:rPr>
          <w:rFonts w:asciiTheme="majorBidi" w:hAnsiTheme="majorBidi" w:cstheme="majorBidi"/>
          <w:sz w:val="24"/>
          <w:szCs w:val="24"/>
        </w:rPr>
        <w:t>Vol. 26, No. 7-8,</w:t>
      </w:r>
    </w:p>
    <w:p w14:paraId="1E63A231" w14:textId="77777777" w:rsidR="00A66BAD" w:rsidRPr="007E3F92" w:rsidRDefault="00A66BAD" w:rsidP="0047083F">
      <w:pPr>
        <w:autoSpaceDE w:val="0"/>
        <w:autoSpaceDN w:val="0"/>
        <w:adjustRightInd w:val="0"/>
        <w:spacing w:after="0" w:line="360" w:lineRule="auto"/>
        <w:ind w:left="630" w:hanging="540"/>
        <w:jc w:val="both"/>
        <w:rPr>
          <w:rFonts w:asciiTheme="majorBidi" w:hAnsiTheme="majorBidi" w:cstheme="majorBidi"/>
          <w:sz w:val="24"/>
          <w:szCs w:val="24"/>
        </w:rPr>
      </w:pPr>
      <w:r w:rsidRPr="007E3F92">
        <w:rPr>
          <w:rFonts w:asciiTheme="majorBidi" w:hAnsiTheme="majorBidi" w:cstheme="majorBidi"/>
          <w:sz w:val="24"/>
          <w:szCs w:val="24"/>
        </w:rPr>
        <w:t xml:space="preserve">Myers, J. N., Myers, L. A., Palmrose, Z.-V., and Scholz, S. (2003). Mandatory Auditor Rotation: </w:t>
      </w:r>
      <w:r w:rsidRPr="007E3F92">
        <w:rPr>
          <w:rFonts w:asciiTheme="majorBidi" w:hAnsiTheme="majorBidi" w:cstheme="majorBidi"/>
          <w:sz w:val="24"/>
          <w:szCs w:val="24"/>
        </w:rPr>
        <w:tab/>
        <w:t xml:space="preserve">Evidence from Restatements. </w:t>
      </w:r>
      <w:r w:rsidRPr="007E3F92">
        <w:rPr>
          <w:rFonts w:asciiTheme="majorBidi" w:hAnsiTheme="majorBidi" w:cstheme="majorBidi"/>
          <w:iCs/>
          <w:sz w:val="24"/>
          <w:szCs w:val="24"/>
        </w:rPr>
        <w:t>Academic Working</w:t>
      </w:r>
      <w:r w:rsidRPr="007E3F92">
        <w:rPr>
          <w:rFonts w:asciiTheme="majorBidi" w:hAnsiTheme="majorBidi" w:cstheme="majorBidi"/>
          <w:sz w:val="24"/>
          <w:szCs w:val="24"/>
        </w:rPr>
        <w:t>.</w:t>
      </w:r>
    </w:p>
    <w:p w14:paraId="6F51F575" w14:textId="77777777" w:rsidR="00A66BAD" w:rsidRPr="007E3F92" w:rsidRDefault="00A66BAD" w:rsidP="0047083F">
      <w:pPr>
        <w:pStyle w:val="ListParagraph"/>
        <w:autoSpaceDE w:val="0"/>
        <w:autoSpaceDN w:val="0"/>
        <w:adjustRightInd w:val="0"/>
        <w:spacing w:after="0" w:line="360" w:lineRule="auto"/>
        <w:ind w:left="630" w:hanging="540"/>
        <w:jc w:val="both"/>
        <w:rPr>
          <w:rFonts w:asciiTheme="majorBidi" w:hAnsiTheme="majorBidi" w:cstheme="majorBidi"/>
          <w:sz w:val="24"/>
          <w:szCs w:val="24"/>
        </w:rPr>
      </w:pPr>
    </w:p>
    <w:p w14:paraId="36428A88" w14:textId="286D4EDD" w:rsidR="00A66BAD" w:rsidRPr="007E3F92" w:rsidRDefault="00A66BAD" w:rsidP="0047083F">
      <w:pPr>
        <w:pStyle w:val="ListParagraph"/>
        <w:autoSpaceDE w:val="0"/>
        <w:autoSpaceDN w:val="0"/>
        <w:adjustRightInd w:val="0"/>
        <w:spacing w:after="0" w:line="360" w:lineRule="auto"/>
        <w:ind w:left="630" w:hanging="540"/>
        <w:jc w:val="both"/>
        <w:rPr>
          <w:rFonts w:asciiTheme="majorBidi" w:hAnsiTheme="majorBidi" w:cstheme="majorBidi"/>
          <w:iCs/>
          <w:sz w:val="24"/>
          <w:szCs w:val="24"/>
        </w:rPr>
      </w:pPr>
      <w:r w:rsidRPr="007E3F92">
        <w:rPr>
          <w:rFonts w:asciiTheme="majorBidi" w:hAnsiTheme="majorBidi" w:cstheme="majorBidi"/>
          <w:sz w:val="24"/>
          <w:szCs w:val="24"/>
        </w:rPr>
        <w:lastRenderedPageBreak/>
        <w:t>Miettinen, J. (</w:t>
      </w:r>
      <w:r>
        <w:rPr>
          <w:rFonts w:asciiTheme="majorBidi" w:hAnsiTheme="majorBidi" w:cstheme="majorBidi"/>
          <w:sz w:val="24"/>
          <w:szCs w:val="24"/>
        </w:rPr>
        <w:t>2019</w:t>
      </w:r>
      <w:r w:rsidRPr="007E3F92">
        <w:rPr>
          <w:rFonts w:asciiTheme="majorBidi" w:hAnsiTheme="majorBidi" w:cstheme="majorBidi"/>
          <w:sz w:val="24"/>
          <w:szCs w:val="24"/>
        </w:rPr>
        <w:t xml:space="preserve">). The role of audit quality on the relationship between auditee’s agency </w:t>
      </w:r>
      <w:r w:rsidRPr="007E3F92">
        <w:rPr>
          <w:rFonts w:asciiTheme="majorBidi" w:hAnsiTheme="majorBidi" w:cstheme="majorBidi"/>
          <w:sz w:val="24"/>
          <w:szCs w:val="24"/>
        </w:rPr>
        <w:tab/>
        <w:t>problem and financial information quality.</w:t>
      </w:r>
      <w:r w:rsidRPr="007E3F92">
        <w:rPr>
          <w:rFonts w:asciiTheme="majorBidi" w:hAnsiTheme="majorBidi" w:cstheme="majorBidi"/>
          <w:iCs/>
          <w:sz w:val="24"/>
          <w:szCs w:val="24"/>
        </w:rPr>
        <w:t xml:space="preserve">Paper presented at the department of </w:t>
      </w:r>
      <w:r w:rsidRPr="007E3F92">
        <w:rPr>
          <w:rFonts w:asciiTheme="majorBidi" w:hAnsiTheme="majorBidi" w:cstheme="majorBidi"/>
          <w:iCs/>
          <w:sz w:val="24"/>
          <w:szCs w:val="24"/>
        </w:rPr>
        <w:tab/>
        <w:t>Accounting and Finance, University of Vaasa, Finland.</w:t>
      </w:r>
    </w:p>
    <w:p w14:paraId="31C95527" w14:textId="77777777" w:rsidR="00A66BAD" w:rsidRPr="007E3F92" w:rsidRDefault="00A66BAD" w:rsidP="0047083F">
      <w:pPr>
        <w:spacing w:after="0" w:line="360" w:lineRule="auto"/>
        <w:ind w:left="630" w:hanging="54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Miller, M. H., &amp; Modigliani, F. (1961).Dividend policy, growth, and the valuation of shares.</w:t>
      </w:r>
      <w:r w:rsidRPr="007E3F92">
        <w:rPr>
          <w:rFonts w:asciiTheme="majorBidi" w:hAnsiTheme="majorBidi" w:cstheme="majorBidi"/>
          <w:color w:val="000000"/>
          <w:sz w:val="24"/>
          <w:szCs w:val="24"/>
        </w:rPr>
        <w:tab/>
        <w:t>Journal of Business, 34, 411-433.</w:t>
      </w:r>
    </w:p>
    <w:p w14:paraId="13D49987" w14:textId="77777777" w:rsidR="00A66BAD" w:rsidRPr="007E3F92" w:rsidRDefault="00A66BAD" w:rsidP="0047083F">
      <w:pPr>
        <w:autoSpaceDE w:val="0"/>
        <w:autoSpaceDN w:val="0"/>
        <w:adjustRightInd w:val="0"/>
        <w:spacing w:after="0" w:line="360" w:lineRule="auto"/>
        <w:ind w:left="630" w:hanging="540"/>
        <w:jc w:val="both"/>
        <w:rPr>
          <w:rFonts w:asciiTheme="majorBidi" w:hAnsiTheme="majorBidi" w:cstheme="majorBidi"/>
          <w:sz w:val="24"/>
          <w:szCs w:val="24"/>
        </w:rPr>
      </w:pPr>
      <w:r w:rsidRPr="007E3F92">
        <w:rPr>
          <w:rFonts w:asciiTheme="majorBidi" w:hAnsiTheme="majorBidi" w:cstheme="majorBidi"/>
          <w:sz w:val="24"/>
          <w:szCs w:val="24"/>
        </w:rPr>
        <w:t xml:space="preserve">MBA, A. (2013). Mandatory Audit Firm Rotation and Audit Quality In Nigerian Deposit Money </w:t>
      </w:r>
      <w:r w:rsidRPr="007E3F92">
        <w:rPr>
          <w:rFonts w:asciiTheme="majorBidi" w:hAnsiTheme="majorBidi" w:cstheme="majorBidi"/>
          <w:sz w:val="24"/>
          <w:szCs w:val="24"/>
        </w:rPr>
        <w:tab/>
        <w:t>Banks.</w:t>
      </w:r>
    </w:p>
    <w:p w14:paraId="0AB06FEF" w14:textId="43F945B3" w:rsidR="00A66BAD" w:rsidRPr="00AA06E3" w:rsidRDefault="00A66BAD" w:rsidP="00AA06E3">
      <w:pPr>
        <w:autoSpaceDE w:val="0"/>
        <w:autoSpaceDN w:val="0"/>
        <w:adjustRightInd w:val="0"/>
        <w:spacing w:after="0" w:line="360" w:lineRule="auto"/>
        <w:ind w:left="630" w:hanging="540"/>
        <w:jc w:val="both"/>
        <w:rPr>
          <w:rFonts w:asciiTheme="majorBidi" w:hAnsiTheme="majorBidi" w:cstheme="majorBidi"/>
          <w:sz w:val="24"/>
          <w:szCs w:val="24"/>
        </w:rPr>
      </w:pPr>
      <w:r w:rsidRPr="007E3F92">
        <w:rPr>
          <w:rFonts w:asciiTheme="majorBidi" w:hAnsiTheme="majorBidi" w:cstheme="majorBidi"/>
          <w:sz w:val="24"/>
          <w:szCs w:val="24"/>
        </w:rPr>
        <w:t>Nelson, M., Elliott, J., &amp;Turpley, R. (</w:t>
      </w:r>
      <w:r>
        <w:rPr>
          <w:rFonts w:asciiTheme="majorBidi" w:hAnsiTheme="majorBidi" w:cstheme="majorBidi"/>
          <w:sz w:val="24"/>
          <w:szCs w:val="24"/>
        </w:rPr>
        <w:t>2021</w:t>
      </w:r>
      <w:r w:rsidRPr="007E3F92">
        <w:rPr>
          <w:rFonts w:asciiTheme="majorBidi" w:hAnsiTheme="majorBidi" w:cstheme="majorBidi"/>
          <w:sz w:val="24"/>
          <w:szCs w:val="24"/>
        </w:rPr>
        <w:t xml:space="preserve">).Evidence from auditors about manager’s and </w:t>
      </w:r>
      <w:r w:rsidR="00AA06E3">
        <w:rPr>
          <w:rFonts w:asciiTheme="majorBidi" w:hAnsiTheme="majorBidi" w:cstheme="majorBidi"/>
          <w:sz w:val="24"/>
          <w:szCs w:val="24"/>
        </w:rPr>
        <w:tab/>
        <w:t>auditor’s earnings management.</w:t>
      </w:r>
    </w:p>
    <w:p w14:paraId="29EF526F" w14:textId="4BAFC6DA" w:rsidR="00A66BAD" w:rsidRPr="00AA06E3" w:rsidRDefault="00A66BAD" w:rsidP="00AA06E3">
      <w:pPr>
        <w:pStyle w:val="Default"/>
        <w:spacing w:line="360" w:lineRule="auto"/>
        <w:ind w:left="630" w:hanging="540"/>
        <w:jc w:val="both"/>
        <w:rPr>
          <w:rFonts w:asciiTheme="majorBidi" w:hAnsiTheme="majorBidi" w:cstheme="majorBidi"/>
          <w:iCs/>
        </w:rPr>
      </w:pPr>
      <w:r w:rsidRPr="007E3F92">
        <w:rPr>
          <w:rFonts w:asciiTheme="majorBidi" w:hAnsiTheme="majorBidi" w:cstheme="majorBidi"/>
        </w:rPr>
        <w:t>Nuratama, I. P. (</w:t>
      </w:r>
      <w:r>
        <w:rPr>
          <w:rFonts w:asciiTheme="majorBidi" w:hAnsiTheme="majorBidi" w:cstheme="majorBidi"/>
        </w:rPr>
        <w:t>2019</w:t>
      </w:r>
      <w:r w:rsidRPr="007E3F92">
        <w:rPr>
          <w:rFonts w:asciiTheme="majorBidi" w:hAnsiTheme="majorBidi" w:cstheme="majorBidi"/>
        </w:rPr>
        <w:t>).</w:t>
      </w:r>
      <w:r w:rsidRPr="007E3F92">
        <w:rPr>
          <w:rFonts w:asciiTheme="majorBidi" w:hAnsiTheme="majorBidi" w:cstheme="majorBidi"/>
          <w:iCs/>
        </w:rPr>
        <w:t xml:space="preserve">Tenure Influence and Public Accountant Firm Reputation on Audit </w:t>
      </w:r>
      <w:r w:rsidRPr="007E3F92">
        <w:rPr>
          <w:rFonts w:asciiTheme="majorBidi" w:hAnsiTheme="majorBidi" w:cstheme="majorBidi"/>
          <w:iCs/>
        </w:rPr>
        <w:tab/>
        <w:t xml:space="preserve">Quality by the Audit Committee as Moderation variable (Case Study at Manufacturing </w:t>
      </w:r>
      <w:r w:rsidRPr="007E3F92">
        <w:rPr>
          <w:rFonts w:asciiTheme="majorBidi" w:hAnsiTheme="majorBidi" w:cstheme="majorBidi"/>
          <w:iCs/>
        </w:rPr>
        <w:tab/>
        <w:t xml:space="preserve">Companies Listed on the Stock Exchange Year </w:t>
      </w:r>
      <w:r w:rsidR="00171335">
        <w:rPr>
          <w:rFonts w:asciiTheme="majorBidi" w:hAnsiTheme="majorBidi" w:cstheme="majorBidi"/>
          <w:iCs/>
        </w:rPr>
        <w:t>2018</w:t>
      </w:r>
      <w:r w:rsidR="00AA06E3">
        <w:rPr>
          <w:rFonts w:asciiTheme="majorBidi" w:hAnsiTheme="majorBidi" w:cstheme="majorBidi"/>
          <w:iCs/>
        </w:rPr>
        <w:t>-2009).</w:t>
      </w:r>
    </w:p>
    <w:p w14:paraId="5D3A42B7" w14:textId="1AC53746" w:rsidR="00A66BAD" w:rsidRPr="007E3F92" w:rsidRDefault="00A66BAD" w:rsidP="0047083F">
      <w:pPr>
        <w:pStyle w:val="ListParagraph"/>
        <w:autoSpaceDE w:val="0"/>
        <w:autoSpaceDN w:val="0"/>
        <w:adjustRightInd w:val="0"/>
        <w:spacing w:after="0" w:line="360" w:lineRule="auto"/>
        <w:ind w:left="630" w:hanging="54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Okere, R. (</w:t>
      </w:r>
      <w:r>
        <w:rPr>
          <w:rFonts w:asciiTheme="majorBidi" w:hAnsiTheme="majorBidi" w:cstheme="majorBidi"/>
          <w:color w:val="000000"/>
          <w:sz w:val="24"/>
          <w:szCs w:val="24"/>
        </w:rPr>
        <w:t>2022</w:t>
      </w:r>
      <w:r w:rsidRPr="007E3F92">
        <w:rPr>
          <w:rFonts w:asciiTheme="majorBidi" w:hAnsiTheme="majorBidi" w:cstheme="majorBidi"/>
          <w:color w:val="000000"/>
          <w:sz w:val="24"/>
          <w:szCs w:val="24"/>
        </w:rPr>
        <w:t>, February 15). Nigeria’s food, beverage industry riding above the storm.</w:t>
      </w:r>
      <w:r w:rsidRPr="007E3F92">
        <w:rPr>
          <w:rFonts w:asciiTheme="majorBidi" w:hAnsiTheme="majorBidi" w:cstheme="majorBidi"/>
          <w:color w:val="000000"/>
          <w:sz w:val="24"/>
          <w:szCs w:val="24"/>
        </w:rPr>
        <w:tab/>
      </w:r>
      <w:r w:rsidRPr="007E3F92">
        <w:rPr>
          <w:rFonts w:asciiTheme="majorBidi" w:hAnsiTheme="majorBidi" w:cstheme="majorBidi"/>
          <w:iCs/>
          <w:color w:val="000000"/>
          <w:sz w:val="24"/>
          <w:szCs w:val="24"/>
        </w:rPr>
        <w:t>Guardian</w:t>
      </w:r>
      <w:r w:rsidRPr="007E3F92">
        <w:rPr>
          <w:rFonts w:asciiTheme="majorBidi" w:hAnsiTheme="majorBidi" w:cstheme="majorBidi"/>
          <w:color w:val="000000"/>
          <w:sz w:val="24"/>
          <w:szCs w:val="24"/>
        </w:rPr>
        <w:t xml:space="preserve">.Retrieved on December 3, </w:t>
      </w:r>
      <w:r>
        <w:rPr>
          <w:rFonts w:asciiTheme="majorBidi" w:hAnsiTheme="majorBidi" w:cstheme="majorBidi"/>
          <w:color w:val="000000"/>
          <w:sz w:val="24"/>
          <w:szCs w:val="24"/>
        </w:rPr>
        <w:t>2022</w:t>
      </w:r>
      <w:r w:rsidRPr="007E3F92">
        <w:rPr>
          <w:rFonts w:asciiTheme="majorBidi" w:hAnsiTheme="majorBidi" w:cstheme="majorBidi"/>
          <w:color w:val="000000"/>
          <w:sz w:val="24"/>
          <w:szCs w:val="24"/>
        </w:rPr>
        <w:t xml:space="preserve"> from </w:t>
      </w:r>
      <w:hyperlink r:id="rId11" w:history="1">
        <w:r w:rsidRPr="007E3F92">
          <w:rPr>
            <w:rStyle w:val="Hyperlink"/>
            <w:rFonts w:asciiTheme="majorBidi" w:hAnsiTheme="majorBidi" w:cstheme="majorBidi"/>
            <w:sz w:val="24"/>
            <w:szCs w:val="24"/>
          </w:rPr>
          <w:t>http://www.ngrguardiannews.com</w:t>
        </w:r>
      </w:hyperlink>
      <w:r w:rsidRPr="007E3F92">
        <w:rPr>
          <w:rFonts w:asciiTheme="majorBidi" w:hAnsiTheme="majorBidi" w:cstheme="majorBidi"/>
          <w:color w:val="000000"/>
          <w:sz w:val="24"/>
          <w:szCs w:val="24"/>
        </w:rPr>
        <w:t>.</w:t>
      </w:r>
    </w:p>
    <w:p w14:paraId="69119EE1" w14:textId="2686546D" w:rsidR="00A66BAD" w:rsidRPr="00AA06E3" w:rsidRDefault="00A66BAD" w:rsidP="00AA06E3">
      <w:pPr>
        <w:autoSpaceDE w:val="0"/>
        <w:autoSpaceDN w:val="0"/>
        <w:adjustRightInd w:val="0"/>
        <w:spacing w:after="0" w:line="360" w:lineRule="auto"/>
        <w:ind w:left="630" w:hanging="540"/>
        <w:jc w:val="both"/>
        <w:rPr>
          <w:rFonts w:asciiTheme="majorBidi" w:hAnsiTheme="majorBidi" w:cstheme="majorBidi"/>
          <w:sz w:val="24"/>
          <w:szCs w:val="24"/>
        </w:rPr>
      </w:pPr>
      <w:r w:rsidRPr="007E3F92">
        <w:rPr>
          <w:rFonts w:asciiTheme="majorBidi" w:hAnsiTheme="majorBidi" w:cstheme="majorBidi"/>
          <w:sz w:val="24"/>
          <w:szCs w:val="24"/>
        </w:rPr>
        <w:tab/>
        <w:t>De Angelo, L.E. (</w:t>
      </w:r>
      <w:r w:rsidR="00171335">
        <w:rPr>
          <w:rFonts w:asciiTheme="majorBidi" w:hAnsiTheme="majorBidi" w:cstheme="majorBidi"/>
          <w:sz w:val="24"/>
          <w:szCs w:val="24"/>
        </w:rPr>
        <w:t>2020</w:t>
      </w:r>
      <w:r w:rsidRPr="007E3F92">
        <w:rPr>
          <w:rFonts w:asciiTheme="majorBidi" w:hAnsiTheme="majorBidi" w:cstheme="majorBidi"/>
          <w:sz w:val="24"/>
          <w:szCs w:val="24"/>
        </w:rPr>
        <w:t>). Auditor size and audit quality.Journal of Accoun</w:t>
      </w:r>
      <w:r w:rsidR="00AA06E3">
        <w:rPr>
          <w:rFonts w:asciiTheme="majorBidi" w:hAnsiTheme="majorBidi" w:cstheme="majorBidi"/>
          <w:sz w:val="24"/>
          <w:szCs w:val="24"/>
        </w:rPr>
        <w:t xml:space="preserve">ting and </w:t>
      </w:r>
      <w:r w:rsidR="00AA06E3">
        <w:rPr>
          <w:rFonts w:asciiTheme="majorBidi" w:hAnsiTheme="majorBidi" w:cstheme="majorBidi"/>
          <w:sz w:val="24"/>
          <w:szCs w:val="24"/>
        </w:rPr>
        <w:tab/>
        <w:t>Economics, 3,183-199.</w:t>
      </w:r>
    </w:p>
    <w:p w14:paraId="487BCA03" w14:textId="609B07F4" w:rsidR="00A66BAD" w:rsidRPr="007E3F92" w:rsidRDefault="00A66BAD" w:rsidP="00AA06E3">
      <w:pPr>
        <w:autoSpaceDE w:val="0"/>
        <w:autoSpaceDN w:val="0"/>
        <w:adjustRightInd w:val="0"/>
        <w:spacing w:after="0" w:line="360" w:lineRule="auto"/>
        <w:ind w:left="630" w:hanging="540"/>
        <w:jc w:val="both"/>
        <w:rPr>
          <w:rFonts w:asciiTheme="majorBidi" w:hAnsiTheme="majorBidi" w:cstheme="majorBidi"/>
          <w:sz w:val="24"/>
          <w:szCs w:val="24"/>
        </w:rPr>
      </w:pPr>
      <w:r w:rsidRPr="007E3F92">
        <w:rPr>
          <w:rFonts w:asciiTheme="majorBidi" w:hAnsiTheme="majorBidi" w:cstheme="majorBidi"/>
          <w:sz w:val="24"/>
          <w:szCs w:val="24"/>
        </w:rPr>
        <w:t xml:space="preserve">Onaolapo, A. A., Ajulo, O. B. &amp;Onifade, H. O. (2017). Effect of audit fees on audit quality: </w:t>
      </w:r>
      <w:r w:rsidRPr="007E3F92">
        <w:rPr>
          <w:rFonts w:asciiTheme="majorBidi" w:hAnsiTheme="majorBidi" w:cstheme="majorBidi"/>
          <w:sz w:val="24"/>
          <w:szCs w:val="24"/>
        </w:rPr>
        <w:tab/>
        <w:t xml:space="preserve">Evidence from cement manufacturing companies in Nigeria. European Journal of </w:t>
      </w:r>
      <w:r w:rsidRPr="007E3F92">
        <w:rPr>
          <w:rFonts w:asciiTheme="majorBidi" w:hAnsiTheme="majorBidi" w:cstheme="majorBidi"/>
          <w:sz w:val="24"/>
          <w:szCs w:val="24"/>
        </w:rPr>
        <w:tab/>
        <w:t>Accounting, Auditing an</w:t>
      </w:r>
      <w:r w:rsidR="00AA06E3">
        <w:rPr>
          <w:rFonts w:asciiTheme="majorBidi" w:hAnsiTheme="majorBidi" w:cstheme="majorBidi"/>
          <w:sz w:val="24"/>
          <w:szCs w:val="24"/>
        </w:rPr>
        <w:t>d Finance Research, 5(1), 6-17.</w:t>
      </w:r>
    </w:p>
    <w:p w14:paraId="6D9D7B3D" w14:textId="5B614272" w:rsidR="00A66BAD" w:rsidRPr="007E3F92" w:rsidRDefault="00A66BAD" w:rsidP="00AA06E3">
      <w:pPr>
        <w:pStyle w:val="Default"/>
        <w:spacing w:line="360" w:lineRule="auto"/>
        <w:ind w:left="630" w:hanging="540"/>
        <w:jc w:val="both"/>
        <w:rPr>
          <w:rFonts w:asciiTheme="majorBidi" w:hAnsiTheme="majorBidi" w:cstheme="majorBidi"/>
        </w:rPr>
      </w:pPr>
      <w:r w:rsidRPr="00A66BAD">
        <w:rPr>
          <w:rFonts w:asciiTheme="majorBidi" w:hAnsiTheme="majorBidi" w:cstheme="majorBidi"/>
          <w:lang w:val="fr-FR"/>
        </w:rPr>
        <w:t xml:space="preserve">O'Sullivan, N., &amp;Diacon, S. R. (2021). </w:t>
      </w:r>
      <w:r w:rsidRPr="007E3F92">
        <w:rPr>
          <w:rFonts w:asciiTheme="majorBidi" w:hAnsiTheme="majorBidi" w:cstheme="majorBidi"/>
        </w:rPr>
        <w:t xml:space="preserve">The impact of ownership, governance and non‐audit </w:t>
      </w:r>
      <w:r w:rsidRPr="007E3F92">
        <w:rPr>
          <w:rFonts w:asciiTheme="majorBidi" w:hAnsiTheme="majorBidi" w:cstheme="majorBidi"/>
        </w:rPr>
        <w:tab/>
        <w:t xml:space="preserve">services on audit fees: Evidence from the insurance industry. </w:t>
      </w:r>
      <w:r w:rsidRPr="007E3F92">
        <w:rPr>
          <w:rFonts w:asciiTheme="majorBidi" w:hAnsiTheme="majorBidi" w:cstheme="majorBidi"/>
          <w:iCs/>
        </w:rPr>
        <w:t xml:space="preserve">International Journal of </w:t>
      </w:r>
      <w:r w:rsidRPr="007E3F92">
        <w:rPr>
          <w:rFonts w:asciiTheme="majorBidi" w:hAnsiTheme="majorBidi" w:cstheme="majorBidi"/>
          <w:iCs/>
        </w:rPr>
        <w:tab/>
        <w:t xml:space="preserve">Auditing, </w:t>
      </w:r>
      <w:r w:rsidR="00AA06E3">
        <w:rPr>
          <w:rFonts w:asciiTheme="majorBidi" w:hAnsiTheme="majorBidi" w:cstheme="majorBidi"/>
        </w:rPr>
        <w:t xml:space="preserve">6(1), 93-107. </w:t>
      </w:r>
    </w:p>
    <w:p w14:paraId="4D8DD263" w14:textId="77777777" w:rsidR="00A66BAD" w:rsidRPr="007E3F92" w:rsidRDefault="00A66BAD" w:rsidP="0047083F">
      <w:pPr>
        <w:pStyle w:val="Default"/>
        <w:spacing w:line="360" w:lineRule="auto"/>
        <w:ind w:left="630" w:hanging="540"/>
        <w:jc w:val="both"/>
        <w:rPr>
          <w:rFonts w:asciiTheme="majorBidi" w:hAnsiTheme="majorBidi" w:cstheme="majorBidi"/>
        </w:rPr>
      </w:pPr>
      <w:r w:rsidRPr="007E3F92">
        <w:rPr>
          <w:rFonts w:asciiTheme="majorBidi" w:hAnsiTheme="majorBidi" w:cstheme="majorBidi"/>
        </w:rPr>
        <w:t xml:space="preserve">Oladipupo, A. O. &amp;Monye- Emina, H. E. (2016). Do abnormal audit fees matter in Nigerian </w:t>
      </w:r>
      <w:r w:rsidRPr="007E3F92">
        <w:rPr>
          <w:rFonts w:asciiTheme="majorBidi" w:hAnsiTheme="majorBidi" w:cstheme="majorBidi"/>
        </w:rPr>
        <w:tab/>
        <w:t xml:space="preserve">audit market? </w:t>
      </w:r>
      <w:r w:rsidRPr="007E3F92">
        <w:rPr>
          <w:rFonts w:asciiTheme="majorBidi" w:hAnsiTheme="majorBidi" w:cstheme="majorBidi"/>
          <w:iCs/>
        </w:rPr>
        <w:t xml:space="preserve">International Journal of Business and Financial Management Research, 4, </w:t>
      </w:r>
      <w:r w:rsidRPr="007E3F92">
        <w:rPr>
          <w:rFonts w:asciiTheme="majorBidi" w:hAnsiTheme="majorBidi" w:cstheme="majorBidi"/>
          <w:iCs/>
        </w:rPr>
        <w:tab/>
      </w:r>
      <w:r w:rsidRPr="007E3F92">
        <w:rPr>
          <w:rFonts w:asciiTheme="majorBidi" w:hAnsiTheme="majorBidi" w:cstheme="majorBidi"/>
        </w:rPr>
        <w:t xml:space="preserve">64-73. </w:t>
      </w:r>
    </w:p>
    <w:p w14:paraId="54CD0A4A" w14:textId="77777777" w:rsidR="00A66BAD" w:rsidRPr="007E3F92" w:rsidRDefault="00A66BAD" w:rsidP="0047083F">
      <w:pPr>
        <w:pStyle w:val="Default"/>
        <w:spacing w:line="360" w:lineRule="auto"/>
        <w:ind w:left="630" w:hanging="540"/>
        <w:jc w:val="both"/>
        <w:rPr>
          <w:rFonts w:asciiTheme="majorBidi" w:hAnsiTheme="majorBidi" w:cstheme="majorBidi"/>
        </w:rPr>
      </w:pPr>
    </w:p>
    <w:p w14:paraId="6A66C58F" w14:textId="3355FF77" w:rsidR="00A66BAD" w:rsidRPr="00AA06E3" w:rsidRDefault="00A66BAD" w:rsidP="00AA06E3">
      <w:pPr>
        <w:autoSpaceDE w:val="0"/>
        <w:autoSpaceDN w:val="0"/>
        <w:adjustRightInd w:val="0"/>
        <w:spacing w:after="0" w:line="360" w:lineRule="auto"/>
        <w:ind w:left="630" w:hanging="540"/>
        <w:jc w:val="both"/>
        <w:rPr>
          <w:rFonts w:asciiTheme="majorBidi" w:hAnsiTheme="majorBidi" w:cstheme="majorBidi"/>
          <w:sz w:val="24"/>
          <w:szCs w:val="24"/>
        </w:rPr>
      </w:pPr>
      <w:r w:rsidRPr="007E3F92">
        <w:rPr>
          <w:rFonts w:asciiTheme="majorBidi" w:hAnsiTheme="majorBidi" w:cstheme="majorBidi"/>
          <w:sz w:val="24"/>
          <w:szCs w:val="24"/>
        </w:rPr>
        <w:lastRenderedPageBreak/>
        <w:t>Palmrose, Z. V. 1988. “An Analysis of Auditor Litigation and Audit Service Quality”.</w:t>
      </w:r>
      <w:r w:rsidRPr="007E3F92">
        <w:rPr>
          <w:rFonts w:asciiTheme="majorBidi" w:hAnsiTheme="majorBidi" w:cstheme="majorBidi"/>
          <w:iCs/>
          <w:sz w:val="24"/>
          <w:szCs w:val="24"/>
        </w:rPr>
        <w:t>The</w:t>
      </w:r>
      <w:r w:rsidRPr="007E3F92">
        <w:rPr>
          <w:rFonts w:asciiTheme="majorBidi" w:hAnsiTheme="majorBidi" w:cstheme="majorBidi"/>
          <w:iCs/>
          <w:sz w:val="24"/>
          <w:szCs w:val="24"/>
        </w:rPr>
        <w:tab/>
        <w:t>Accounting Review.</w:t>
      </w:r>
      <w:r w:rsidR="00AA06E3">
        <w:rPr>
          <w:rFonts w:asciiTheme="majorBidi" w:hAnsiTheme="majorBidi" w:cstheme="majorBidi"/>
          <w:sz w:val="24"/>
          <w:szCs w:val="24"/>
        </w:rPr>
        <w:t>Vol.63, No. 1, pp.55-73.</w:t>
      </w:r>
    </w:p>
    <w:p w14:paraId="7727370E" w14:textId="0E340285" w:rsidR="00A66BAD" w:rsidRPr="007E3F92" w:rsidRDefault="00A66BAD" w:rsidP="00AA06E3">
      <w:pPr>
        <w:pStyle w:val="Default"/>
        <w:spacing w:line="360" w:lineRule="auto"/>
        <w:ind w:left="630" w:hanging="540"/>
        <w:jc w:val="both"/>
        <w:rPr>
          <w:rFonts w:asciiTheme="majorBidi" w:hAnsiTheme="majorBidi" w:cstheme="majorBidi"/>
        </w:rPr>
      </w:pPr>
      <w:r w:rsidRPr="007E3F92">
        <w:rPr>
          <w:rFonts w:asciiTheme="majorBidi" w:hAnsiTheme="majorBidi" w:cstheme="majorBidi"/>
        </w:rPr>
        <w:t>Rossi, Barbara (</w:t>
      </w:r>
      <w:r>
        <w:rPr>
          <w:rFonts w:asciiTheme="majorBidi" w:hAnsiTheme="majorBidi" w:cstheme="majorBidi"/>
        </w:rPr>
        <w:t>2022</w:t>
      </w:r>
      <w:r w:rsidRPr="007E3F92">
        <w:rPr>
          <w:rFonts w:asciiTheme="majorBidi" w:hAnsiTheme="majorBidi" w:cstheme="majorBidi"/>
        </w:rPr>
        <w:t xml:space="preserve">). The changing relationship between commodity prices and prices of other </w:t>
      </w:r>
      <w:r w:rsidRPr="007E3F92">
        <w:rPr>
          <w:rFonts w:asciiTheme="majorBidi" w:hAnsiTheme="majorBidi" w:cstheme="majorBidi"/>
        </w:rPr>
        <w:tab/>
        <w:t>assets with Global market integration</w:t>
      </w:r>
      <w:r w:rsidR="00AA06E3">
        <w:rPr>
          <w:rFonts w:asciiTheme="majorBidi" w:hAnsiTheme="majorBidi" w:cstheme="majorBidi"/>
        </w:rPr>
        <w:t>, ICREA, CREI, DUKE, UPF, BGSE.</w:t>
      </w:r>
    </w:p>
    <w:p w14:paraId="34A9EF7F" w14:textId="5763B61E" w:rsidR="00A66BAD" w:rsidRPr="00AA06E3" w:rsidRDefault="00A66BAD" w:rsidP="00AA06E3">
      <w:pPr>
        <w:autoSpaceDE w:val="0"/>
        <w:autoSpaceDN w:val="0"/>
        <w:adjustRightInd w:val="0"/>
        <w:spacing w:after="0" w:line="360" w:lineRule="auto"/>
        <w:ind w:left="630" w:hanging="540"/>
        <w:jc w:val="both"/>
        <w:rPr>
          <w:rFonts w:asciiTheme="majorBidi" w:hAnsiTheme="majorBidi" w:cstheme="majorBidi"/>
          <w:sz w:val="24"/>
          <w:szCs w:val="24"/>
        </w:rPr>
      </w:pPr>
      <w:r w:rsidRPr="007E3F92">
        <w:rPr>
          <w:rFonts w:asciiTheme="majorBidi" w:hAnsiTheme="majorBidi" w:cstheme="majorBidi"/>
          <w:sz w:val="24"/>
          <w:szCs w:val="24"/>
        </w:rPr>
        <w:t xml:space="preserve">Rusmin, R., 2010. “Auditor quality and Earnings Management: Singaporean Evidence”. </w:t>
      </w:r>
      <w:r w:rsidRPr="007E3F92">
        <w:rPr>
          <w:rFonts w:asciiTheme="majorBidi" w:hAnsiTheme="majorBidi" w:cstheme="majorBidi"/>
          <w:sz w:val="24"/>
          <w:szCs w:val="24"/>
        </w:rPr>
        <w:tab/>
      </w:r>
      <w:r w:rsidRPr="007E3F92">
        <w:rPr>
          <w:rFonts w:asciiTheme="majorBidi" w:hAnsiTheme="majorBidi" w:cstheme="majorBidi"/>
          <w:iCs/>
          <w:sz w:val="24"/>
          <w:szCs w:val="24"/>
        </w:rPr>
        <w:t>Managerial Auditing Journal</w:t>
      </w:r>
      <w:r w:rsidRPr="007E3F92">
        <w:rPr>
          <w:rFonts w:asciiTheme="majorBidi" w:hAnsiTheme="majorBidi" w:cstheme="majorBidi"/>
          <w:sz w:val="24"/>
          <w:szCs w:val="24"/>
        </w:rPr>
        <w:t>. Vol. 25,</w:t>
      </w:r>
      <w:r w:rsidR="00AA06E3">
        <w:rPr>
          <w:rFonts w:asciiTheme="majorBidi" w:hAnsiTheme="majorBidi" w:cstheme="majorBidi"/>
          <w:sz w:val="24"/>
          <w:szCs w:val="24"/>
        </w:rPr>
        <w:t xml:space="preserve"> No. 7, pp. 618-638.</w:t>
      </w:r>
    </w:p>
    <w:p w14:paraId="4CB9FE48" w14:textId="0872FF3B" w:rsidR="00A66BAD" w:rsidRPr="007E3F92" w:rsidRDefault="00A66BAD" w:rsidP="00AA06E3">
      <w:pPr>
        <w:autoSpaceDE w:val="0"/>
        <w:autoSpaceDN w:val="0"/>
        <w:adjustRightInd w:val="0"/>
        <w:spacing w:after="0" w:line="360" w:lineRule="auto"/>
        <w:ind w:left="630" w:hanging="540"/>
        <w:jc w:val="both"/>
        <w:rPr>
          <w:rFonts w:asciiTheme="majorBidi" w:hAnsiTheme="majorBidi" w:cstheme="majorBidi"/>
          <w:sz w:val="24"/>
          <w:szCs w:val="24"/>
        </w:rPr>
      </w:pPr>
      <w:r w:rsidRPr="007E3F92">
        <w:rPr>
          <w:rFonts w:asciiTheme="majorBidi" w:hAnsiTheme="majorBidi" w:cstheme="majorBidi"/>
          <w:sz w:val="24"/>
          <w:szCs w:val="24"/>
        </w:rPr>
        <w:t xml:space="preserve">Rahmina, L. Y. &amp;Agoes, S. (2014). Influence of auditor independence, audit tenure, and audit </w:t>
      </w:r>
      <w:r w:rsidRPr="007E3F92">
        <w:rPr>
          <w:rFonts w:asciiTheme="majorBidi" w:hAnsiTheme="majorBidi" w:cstheme="majorBidi"/>
          <w:sz w:val="24"/>
          <w:szCs w:val="24"/>
        </w:rPr>
        <w:tab/>
        <w:t xml:space="preserve">fee on audit quality of members of capital market accountant forum in Indonesia. </w:t>
      </w:r>
      <w:r w:rsidRPr="007E3F92">
        <w:rPr>
          <w:rFonts w:asciiTheme="majorBidi" w:hAnsiTheme="majorBidi" w:cstheme="majorBidi"/>
          <w:sz w:val="24"/>
          <w:szCs w:val="24"/>
        </w:rPr>
        <w:tab/>
        <w:t>Procedia - Social and Beha</w:t>
      </w:r>
      <w:r w:rsidR="00AA06E3">
        <w:rPr>
          <w:rFonts w:asciiTheme="majorBidi" w:hAnsiTheme="majorBidi" w:cstheme="majorBidi"/>
          <w:sz w:val="24"/>
          <w:szCs w:val="24"/>
        </w:rPr>
        <w:t>vioral Sciences 164, 324 – 331.</w:t>
      </w:r>
    </w:p>
    <w:p w14:paraId="7909C9AB" w14:textId="3C53BF3A" w:rsidR="00A66BAD" w:rsidRPr="007E3F92" w:rsidRDefault="00A66BAD" w:rsidP="00AA06E3">
      <w:pPr>
        <w:autoSpaceDE w:val="0"/>
        <w:autoSpaceDN w:val="0"/>
        <w:adjustRightInd w:val="0"/>
        <w:spacing w:after="0" w:line="360" w:lineRule="auto"/>
        <w:ind w:left="630" w:hanging="540"/>
        <w:jc w:val="both"/>
        <w:rPr>
          <w:rFonts w:asciiTheme="majorBidi" w:hAnsiTheme="majorBidi" w:cstheme="majorBidi"/>
          <w:sz w:val="24"/>
          <w:szCs w:val="24"/>
        </w:rPr>
      </w:pPr>
      <w:r w:rsidRPr="007E3F92">
        <w:rPr>
          <w:rFonts w:asciiTheme="majorBidi" w:hAnsiTheme="majorBidi" w:cstheme="majorBidi"/>
          <w:sz w:val="24"/>
          <w:szCs w:val="24"/>
        </w:rPr>
        <w:t>Serens G, Abdolmuhammadi MJ (</w:t>
      </w:r>
      <w:r w:rsidR="00EE7935">
        <w:rPr>
          <w:rFonts w:asciiTheme="majorBidi" w:hAnsiTheme="majorBidi" w:cstheme="majorBidi"/>
          <w:sz w:val="24"/>
          <w:szCs w:val="24"/>
        </w:rPr>
        <w:t>2021</w:t>
      </w:r>
      <w:r w:rsidRPr="007E3F92">
        <w:rPr>
          <w:rFonts w:asciiTheme="majorBidi" w:hAnsiTheme="majorBidi" w:cstheme="majorBidi"/>
          <w:sz w:val="24"/>
          <w:szCs w:val="24"/>
        </w:rPr>
        <w:t>).  Agency theory as a pre</w:t>
      </w:r>
      <w:r w:rsidR="00AA06E3">
        <w:rPr>
          <w:rFonts w:asciiTheme="majorBidi" w:hAnsiTheme="majorBidi" w:cstheme="majorBidi"/>
          <w:sz w:val="24"/>
          <w:szCs w:val="24"/>
        </w:rPr>
        <w:t xml:space="preserve">dictor of the size of internal </w:t>
      </w:r>
      <w:r w:rsidRPr="007E3F92">
        <w:rPr>
          <w:rFonts w:asciiTheme="majorBidi" w:hAnsiTheme="majorBidi" w:cstheme="majorBidi"/>
          <w:sz w:val="24"/>
          <w:szCs w:val="24"/>
        </w:rPr>
        <w:t>Audit function in Belgium Companies. Paper prese</w:t>
      </w:r>
      <w:r w:rsidR="00AA06E3">
        <w:rPr>
          <w:rFonts w:asciiTheme="majorBidi" w:hAnsiTheme="majorBidi" w:cstheme="majorBidi"/>
          <w:sz w:val="24"/>
          <w:szCs w:val="24"/>
        </w:rPr>
        <w:t xml:space="preserve">nted at the Annual congress of </w:t>
      </w:r>
      <w:r w:rsidRPr="007E3F92">
        <w:rPr>
          <w:rFonts w:asciiTheme="majorBidi" w:hAnsiTheme="majorBidi" w:cstheme="majorBidi"/>
          <w:sz w:val="24"/>
          <w:szCs w:val="24"/>
        </w:rPr>
        <w:t>European     Ac</w:t>
      </w:r>
      <w:r w:rsidR="00AA06E3">
        <w:rPr>
          <w:rFonts w:asciiTheme="majorBidi" w:hAnsiTheme="majorBidi" w:cstheme="majorBidi"/>
          <w:sz w:val="24"/>
          <w:szCs w:val="24"/>
        </w:rPr>
        <w:t>counting Association in Lisbon.</w:t>
      </w:r>
    </w:p>
    <w:p w14:paraId="6EA45F7F" w14:textId="5434F87E" w:rsidR="00A66BAD" w:rsidRPr="007E3F92" w:rsidRDefault="00A66BAD" w:rsidP="00AA06E3">
      <w:pPr>
        <w:autoSpaceDE w:val="0"/>
        <w:autoSpaceDN w:val="0"/>
        <w:adjustRightInd w:val="0"/>
        <w:spacing w:after="0" w:line="360" w:lineRule="auto"/>
        <w:ind w:left="630" w:hanging="540"/>
        <w:jc w:val="both"/>
        <w:rPr>
          <w:rFonts w:asciiTheme="majorBidi" w:hAnsiTheme="majorBidi" w:cstheme="majorBidi"/>
          <w:bCs/>
          <w:sz w:val="24"/>
          <w:szCs w:val="24"/>
        </w:rPr>
      </w:pPr>
      <w:r w:rsidRPr="007E3F92">
        <w:rPr>
          <w:rFonts w:asciiTheme="majorBidi" w:hAnsiTheme="majorBidi" w:cstheme="majorBidi"/>
          <w:bCs/>
          <w:sz w:val="24"/>
          <w:szCs w:val="24"/>
        </w:rPr>
        <w:t xml:space="preserve">SMII, T. (2016) the impact of the audit quality on that of the accounting profits: the case of </w:t>
      </w:r>
      <w:r w:rsidRPr="007E3F92">
        <w:rPr>
          <w:rFonts w:asciiTheme="majorBidi" w:hAnsiTheme="majorBidi" w:cstheme="majorBidi"/>
          <w:bCs/>
          <w:sz w:val="24"/>
          <w:szCs w:val="24"/>
        </w:rPr>
        <w:tab/>
        <w:t>companies listed on the TSE. International Journal of Man</w:t>
      </w:r>
      <w:r w:rsidR="00AA06E3">
        <w:rPr>
          <w:rFonts w:asciiTheme="majorBidi" w:hAnsiTheme="majorBidi" w:cstheme="majorBidi"/>
          <w:bCs/>
          <w:sz w:val="24"/>
          <w:szCs w:val="24"/>
        </w:rPr>
        <w:t xml:space="preserve">aging Value and Supply </w:t>
      </w:r>
      <w:r w:rsidR="00AA06E3">
        <w:rPr>
          <w:rFonts w:asciiTheme="majorBidi" w:hAnsiTheme="majorBidi" w:cstheme="majorBidi"/>
          <w:bCs/>
          <w:sz w:val="24"/>
          <w:szCs w:val="24"/>
        </w:rPr>
        <w:tab/>
        <w:t>Chains.</w:t>
      </w:r>
    </w:p>
    <w:p w14:paraId="32F08D83" w14:textId="77777777" w:rsidR="00A66BAD" w:rsidRPr="007E3F92" w:rsidRDefault="00A66BAD" w:rsidP="0047083F">
      <w:pPr>
        <w:autoSpaceDE w:val="0"/>
        <w:autoSpaceDN w:val="0"/>
        <w:adjustRightInd w:val="0"/>
        <w:spacing w:after="0" w:line="360" w:lineRule="auto"/>
        <w:ind w:left="630" w:hanging="540"/>
        <w:jc w:val="both"/>
        <w:rPr>
          <w:rFonts w:asciiTheme="majorBidi" w:hAnsiTheme="majorBidi" w:cstheme="majorBidi"/>
          <w:sz w:val="24"/>
          <w:szCs w:val="24"/>
        </w:rPr>
      </w:pPr>
      <w:r w:rsidRPr="007E3F92">
        <w:rPr>
          <w:rFonts w:asciiTheme="majorBidi" w:hAnsiTheme="majorBidi" w:cstheme="majorBidi"/>
          <w:sz w:val="24"/>
          <w:szCs w:val="24"/>
        </w:rPr>
        <w:t xml:space="preserve">Teoh, S.H., and T.J. Wong. 1993. “Perceived Auditor Quality and The Earnings Response </w:t>
      </w:r>
      <w:r w:rsidRPr="007E3F92">
        <w:rPr>
          <w:rFonts w:asciiTheme="majorBidi" w:hAnsiTheme="majorBidi" w:cstheme="majorBidi"/>
          <w:sz w:val="24"/>
          <w:szCs w:val="24"/>
        </w:rPr>
        <w:tab/>
        <w:t>Coefficient”</w:t>
      </w:r>
      <w:r w:rsidRPr="007E3F92">
        <w:rPr>
          <w:rFonts w:asciiTheme="majorBidi" w:hAnsiTheme="majorBidi" w:cstheme="majorBidi"/>
          <w:iCs/>
          <w:sz w:val="24"/>
          <w:szCs w:val="24"/>
        </w:rPr>
        <w:t>. The Accounting Review</w:t>
      </w:r>
      <w:r w:rsidRPr="007E3F92">
        <w:rPr>
          <w:rFonts w:asciiTheme="majorBidi" w:hAnsiTheme="majorBidi" w:cstheme="majorBidi"/>
          <w:sz w:val="24"/>
          <w:szCs w:val="24"/>
        </w:rPr>
        <w:t>.Vol.68, No.2 pp. 346-366.</w:t>
      </w:r>
    </w:p>
    <w:p w14:paraId="12742E04" w14:textId="6D5271BD" w:rsidR="00A66BAD" w:rsidRPr="007E3F92" w:rsidRDefault="00A66BAD" w:rsidP="00AA06E3">
      <w:pPr>
        <w:autoSpaceDE w:val="0"/>
        <w:autoSpaceDN w:val="0"/>
        <w:adjustRightInd w:val="0"/>
        <w:spacing w:after="0" w:line="360" w:lineRule="auto"/>
        <w:ind w:left="630" w:hanging="540"/>
        <w:jc w:val="both"/>
        <w:rPr>
          <w:rFonts w:asciiTheme="majorBidi" w:hAnsiTheme="majorBidi" w:cstheme="majorBidi"/>
          <w:sz w:val="24"/>
          <w:szCs w:val="24"/>
        </w:rPr>
      </w:pPr>
      <w:r w:rsidRPr="007E3F92">
        <w:rPr>
          <w:rFonts w:asciiTheme="majorBidi" w:hAnsiTheme="majorBidi" w:cstheme="majorBidi"/>
          <w:sz w:val="24"/>
          <w:szCs w:val="24"/>
        </w:rPr>
        <w:t xml:space="preserve">Vanstraelen, A. (2000): Impact of Renewable long-term audit mandates on audit quality, </w:t>
      </w:r>
      <w:r w:rsidRPr="007E3F92">
        <w:rPr>
          <w:rFonts w:asciiTheme="majorBidi" w:hAnsiTheme="majorBidi" w:cstheme="majorBidi"/>
          <w:iCs/>
          <w:sz w:val="24"/>
          <w:szCs w:val="24"/>
        </w:rPr>
        <w:t xml:space="preserve">The </w:t>
      </w:r>
      <w:r w:rsidRPr="007E3F92">
        <w:rPr>
          <w:rFonts w:asciiTheme="majorBidi" w:hAnsiTheme="majorBidi" w:cstheme="majorBidi"/>
          <w:iCs/>
          <w:sz w:val="24"/>
          <w:szCs w:val="24"/>
        </w:rPr>
        <w:tab/>
        <w:t xml:space="preserve">European Accounting Review, </w:t>
      </w:r>
      <w:r w:rsidR="00AA06E3">
        <w:rPr>
          <w:rFonts w:asciiTheme="majorBidi" w:hAnsiTheme="majorBidi" w:cstheme="majorBidi"/>
          <w:sz w:val="24"/>
          <w:szCs w:val="24"/>
        </w:rPr>
        <w:t>9: 419-442.</w:t>
      </w:r>
    </w:p>
    <w:p w14:paraId="7D5E776C" w14:textId="19FDDBA5" w:rsidR="00A66BAD" w:rsidRPr="007E3F92" w:rsidRDefault="00A66BAD" w:rsidP="00AA06E3">
      <w:pPr>
        <w:autoSpaceDE w:val="0"/>
        <w:autoSpaceDN w:val="0"/>
        <w:adjustRightInd w:val="0"/>
        <w:spacing w:after="0" w:line="360" w:lineRule="auto"/>
        <w:ind w:left="630" w:hanging="540"/>
        <w:jc w:val="both"/>
        <w:rPr>
          <w:rFonts w:asciiTheme="majorBidi" w:hAnsiTheme="majorBidi" w:cstheme="majorBidi"/>
          <w:sz w:val="24"/>
          <w:szCs w:val="24"/>
        </w:rPr>
      </w:pPr>
      <w:r w:rsidRPr="007E3F92">
        <w:rPr>
          <w:rFonts w:asciiTheme="majorBidi" w:hAnsiTheme="majorBidi" w:cstheme="majorBidi"/>
          <w:sz w:val="24"/>
          <w:szCs w:val="24"/>
        </w:rPr>
        <w:t xml:space="preserve">Wibowo, A. and Rossieta H. 2009. “Determinant Factors of Audit Quality: A Study Earnings </w:t>
      </w:r>
      <w:r w:rsidRPr="007E3F92">
        <w:rPr>
          <w:rFonts w:asciiTheme="majorBidi" w:hAnsiTheme="majorBidi" w:cstheme="majorBidi"/>
          <w:sz w:val="24"/>
          <w:szCs w:val="24"/>
        </w:rPr>
        <w:tab/>
        <w:t xml:space="preserve">Surprise BenchmarkApproach”. </w:t>
      </w:r>
      <w:r w:rsidRPr="007E3F92">
        <w:rPr>
          <w:rFonts w:asciiTheme="majorBidi" w:hAnsiTheme="majorBidi" w:cstheme="majorBidi"/>
          <w:iCs/>
          <w:sz w:val="24"/>
          <w:szCs w:val="24"/>
        </w:rPr>
        <w:t xml:space="preserve">Working paper in XII National Accounting Conference </w:t>
      </w:r>
      <w:r w:rsidRPr="007E3F92">
        <w:rPr>
          <w:rFonts w:asciiTheme="majorBidi" w:hAnsiTheme="majorBidi" w:cstheme="majorBidi"/>
          <w:iCs/>
          <w:sz w:val="24"/>
          <w:szCs w:val="24"/>
        </w:rPr>
        <w:tab/>
        <w:t>of Indonesia</w:t>
      </w:r>
      <w:r w:rsidR="00AA06E3">
        <w:rPr>
          <w:rFonts w:asciiTheme="majorBidi" w:hAnsiTheme="majorBidi" w:cstheme="majorBidi"/>
          <w:sz w:val="24"/>
          <w:szCs w:val="24"/>
        </w:rPr>
        <w:t>, Palembang, Indonesia.</w:t>
      </w:r>
    </w:p>
    <w:p w14:paraId="2C186CD6" w14:textId="77777777" w:rsidR="00A66BAD" w:rsidRPr="007E3F92" w:rsidRDefault="00A66BAD" w:rsidP="0047083F">
      <w:pPr>
        <w:autoSpaceDE w:val="0"/>
        <w:autoSpaceDN w:val="0"/>
        <w:adjustRightInd w:val="0"/>
        <w:spacing w:after="0" w:line="360" w:lineRule="auto"/>
        <w:ind w:left="630" w:hanging="540"/>
        <w:jc w:val="both"/>
        <w:rPr>
          <w:rFonts w:asciiTheme="majorBidi" w:hAnsiTheme="majorBidi" w:cstheme="majorBidi"/>
          <w:sz w:val="24"/>
          <w:szCs w:val="24"/>
        </w:rPr>
      </w:pPr>
      <w:r w:rsidRPr="007E3F92">
        <w:rPr>
          <w:rFonts w:asciiTheme="majorBidi" w:hAnsiTheme="majorBidi" w:cstheme="majorBidi"/>
          <w:sz w:val="24"/>
          <w:szCs w:val="24"/>
        </w:rPr>
        <w:t xml:space="preserve">Wati, C., and Bambang, S. 2003. “Factors Affecting Independent in Appearance of </w:t>
      </w:r>
      <w:r w:rsidRPr="007E3F92">
        <w:rPr>
          <w:rFonts w:asciiTheme="majorBidi" w:hAnsiTheme="majorBidi" w:cstheme="majorBidi"/>
          <w:sz w:val="24"/>
          <w:szCs w:val="24"/>
        </w:rPr>
        <w:tab/>
        <w:t>Auditors”.</w:t>
      </w:r>
      <w:r w:rsidRPr="007E3F92">
        <w:rPr>
          <w:rFonts w:asciiTheme="majorBidi" w:hAnsiTheme="majorBidi" w:cstheme="majorBidi"/>
          <w:iCs/>
          <w:sz w:val="24"/>
          <w:szCs w:val="24"/>
        </w:rPr>
        <w:t>TEMA</w:t>
      </w:r>
      <w:r w:rsidRPr="007E3F92">
        <w:rPr>
          <w:rFonts w:asciiTheme="majorBidi" w:hAnsiTheme="majorBidi" w:cstheme="majorBidi"/>
          <w:sz w:val="24"/>
          <w:szCs w:val="24"/>
        </w:rPr>
        <w:t>. Vol. IV,No.2, pp. 85-101</w:t>
      </w:r>
    </w:p>
    <w:p w14:paraId="4014184C" w14:textId="77777777" w:rsidR="00A66BAD" w:rsidRPr="007E3F92" w:rsidRDefault="00A66BAD" w:rsidP="0047083F">
      <w:pPr>
        <w:pStyle w:val="Default"/>
        <w:spacing w:line="360" w:lineRule="auto"/>
        <w:ind w:left="630" w:hanging="540"/>
        <w:jc w:val="both"/>
        <w:rPr>
          <w:rFonts w:asciiTheme="majorBidi" w:hAnsiTheme="majorBidi" w:cstheme="majorBidi"/>
        </w:rPr>
      </w:pPr>
    </w:p>
    <w:p w14:paraId="17EF402B" w14:textId="3D50CD24" w:rsidR="00A66BAD" w:rsidRPr="007E3F92" w:rsidRDefault="00A66BAD" w:rsidP="00AA06E3">
      <w:pPr>
        <w:pStyle w:val="Default"/>
        <w:spacing w:line="360" w:lineRule="auto"/>
        <w:ind w:left="630" w:hanging="540"/>
        <w:jc w:val="both"/>
        <w:rPr>
          <w:rFonts w:asciiTheme="majorBidi" w:hAnsiTheme="majorBidi" w:cstheme="majorBidi"/>
        </w:rPr>
      </w:pPr>
      <w:r w:rsidRPr="007E3F92">
        <w:rPr>
          <w:rFonts w:asciiTheme="majorBidi" w:hAnsiTheme="majorBidi" w:cstheme="majorBidi"/>
        </w:rPr>
        <w:lastRenderedPageBreak/>
        <w:t>Yuniarti, R. (</w:t>
      </w:r>
      <w:r>
        <w:rPr>
          <w:rFonts w:asciiTheme="majorBidi" w:hAnsiTheme="majorBidi" w:cstheme="majorBidi"/>
        </w:rPr>
        <w:t>2019</w:t>
      </w:r>
      <w:r w:rsidRPr="007E3F92">
        <w:rPr>
          <w:rFonts w:asciiTheme="majorBidi" w:hAnsiTheme="majorBidi" w:cstheme="majorBidi"/>
        </w:rPr>
        <w:t xml:space="preserve">). Audit firm size, audit fee and audit quality. </w:t>
      </w:r>
      <w:r w:rsidRPr="007E3F92">
        <w:rPr>
          <w:rFonts w:asciiTheme="majorBidi" w:hAnsiTheme="majorBidi" w:cstheme="majorBidi"/>
          <w:iCs/>
        </w:rPr>
        <w:t xml:space="preserve">Journal of Global Management, </w:t>
      </w:r>
      <w:r w:rsidRPr="007E3F92">
        <w:rPr>
          <w:rFonts w:asciiTheme="majorBidi" w:hAnsiTheme="majorBidi" w:cstheme="majorBidi"/>
          <w:iCs/>
        </w:rPr>
        <w:tab/>
        <w:t>2</w:t>
      </w:r>
      <w:r w:rsidR="00AA06E3">
        <w:rPr>
          <w:rFonts w:asciiTheme="majorBidi" w:hAnsiTheme="majorBidi" w:cstheme="majorBidi"/>
        </w:rPr>
        <w:t>(1), 84-97.</w:t>
      </w:r>
    </w:p>
    <w:p w14:paraId="79A9F310" w14:textId="61BDC759" w:rsidR="00A66BAD" w:rsidRPr="007E3F92" w:rsidRDefault="00A66BAD" w:rsidP="00AA06E3">
      <w:pPr>
        <w:pStyle w:val="Default"/>
        <w:spacing w:line="360" w:lineRule="auto"/>
        <w:ind w:left="630" w:hanging="540"/>
        <w:jc w:val="both"/>
        <w:rPr>
          <w:rFonts w:asciiTheme="majorBidi" w:hAnsiTheme="majorBidi" w:cstheme="majorBidi"/>
        </w:rPr>
      </w:pPr>
      <w:r w:rsidRPr="00A66BAD">
        <w:rPr>
          <w:rFonts w:asciiTheme="majorBidi" w:hAnsiTheme="majorBidi" w:cstheme="majorBidi"/>
          <w:lang w:val="fr-FR"/>
        </w:rPr>
        <w:t xml:space="preserve">Yasin, F. M., &amp; Nelson, S. P. (2022). </w:t>
      </w:r>
      <w:r w:rsidRPr="007E3F92">
        <w:rPr>
          <w:rFonts w:asciiTheme="majorBidi" w:hAnsiTheme="majorBidi" w:cstheme="majorBidi"/>
        </w:rPr>
        <w:t xml:space="preserve">Audit committee and internal audit: Implications on audit </w:t>
      </w:r>
      <w:r w:rsidRPr="007E3F92">
        <w:rPr>
          <w:rFonts w:asciiTheme="majorBidi" w:hAnsiTheme="majorBidi" w:cstheme="majorBidi"/>
        </w:rPr>
        <w:tab/>
        <w:t xml:space="preserve">committee. </w:t>
      </w:r>
      <w:r w:rsidRPr="007E3F92">
        <w:rPr>
          <w:rFonts w:asciiTheme="majorBidi" w:hAnsiTheme="majorBidi" w:cstheme="majorBidi"/>
          <w:iCs/>
        </w:rPr>
        <w:t>International Journal of Economics, Management and Accounting</w:t>
      </w:r>
      <w:r w:rsidRPr="007E3F92">
        <w:rPr>
          <w:rFonts w:asciiTheme="majorBidi" w:hAnsiTheme="majorBidi" w:cstheme="majorBidi"/>
        </w:rPr>
        <w:t xml:space="preserve">, </w:t>
      </w:r>
      <w:r w:rsidRPr="007E3F92">
        <w:rPr>
          <w:rFonts w:asciiTheme="majorBidi" w:hAnsiTheme="majorBidi" w:cstheme="majorBidi"/>
          <w:iCs/>
        </w:rPr>
        <w:t>20</w:t>
      </w:r>
      <w:r w:rsidR="00AA06E3">
        <w:rPr>
          <w:rFonts w:asciiTheme="majorBidi" w:hAnsiTheme="majorBidi" w:cstheme="majorBidi"/>
        </w:rPr>
        <w:t xml:space="preserve">(2), </w:t>
      </w:r>
      <w:r w:rsidR="00AA06E3">
        <w:rPr>
          <w:rFonts w:asciiTheme="majorBidi" w:hAnsiTheme="majorBidi" w:cstheme="majorBidi"/>
        </w:rPr>
        <w:tab/>
        <w:t>187–218.</w:t>
      </w:r>
    </w:p>
    <w:p w14:paraId="07DEB509" w14:textId="59EB3FE5" w:rsidR="00A66BAD" w:rsidRPr="007E3F92" w:rsidRDefault="00A66BAD" w:rsidP="0047083F">
      <w:pPr>
        <w:autoSpaceDE w:val="0"/>
        <w:autoSpaceDN w:val="0"/>
        <w:adjustRightInd w:val="0"/>
        <w:spacing w:after="0" w:line="360" w:lineRule="auto"/>
        <w:ind w:left="630" w:hanging="540"/>
        <w:jc w:val="both"/>
        <w:rPr>
          <w:rFonts w:asciiTheme="majorBidi" w:hAnsiTheme="majorBidi" w:cstheme="majorBidi"/>
          <w:sz w:val="24"/>
          <w:szCs w:val="24"/>
        </w:rPr>
      </w:pPr>
      <w:r w:rsidRPr="007E3F92">
        <w:rPr>
          <w:rFonts w:asciiTheme="majorBidi" w:hAnsiTheme="majorBidi" w:cstheme="majorBidi"/>
          <w:sz w:val="24"/>
          <w:szCs w:val="24"/>
        </w:rPr>
        <w:t>Zawawi, M. (</w:t>
      </w:r>
      <w:r w:rsidR="00EE7935">
        <w:rPr>
          <w:rFonts w:asciiTheme="majorBidi" w:hAnsiTheme="majorBidi" w:cstheme="majorBidi"/>
          <w:sz w:val="24"/>
          <w:szCs w:val="24"/>
        </w:rPr>
        <w:t>2021</w:t>
      </w:r>
      <w:r w:rsidRPr="007E3F92">
        <w:rPr>
          <w:rFonts w:asciiTheme="majorBidi" w:hAnsiTheme="majorBidi" w:cstheme="majorBidi"/>
          <w:sz w:val="24"/>
          <w:szCs w:val="24"/>
        </w:rPr>
        <w:t>). Audit Firm Tenure and Financial Reporting Quality in Malaysia. M.Sc</w:t>
      </w:r>
      <w:r w:rsidRPr="007E3F92">
        <w:rPr>
          <w:rFonts w:asciiTheme="majorBidi" w:hAnsiTheme="majorBidi" w:cstheme="majorBidi"/>
          <w:sz w:val="24"/>
          <w:szCs w:val="24"/>
        </w:rPr>
        <w:tab/>
        <w:t>T</w:t>
      </w:r>
    </w:p>
    <w:p w14:paraId="05D3D671" w14:textId="77777777" w:rsidR="00A66BAD" w:rsidRDefault="00A66BAD" w:rsidP="00322954">
      <w:pPr>
        <w:spacing w:after="0" w:line="360" w:lineRule="auto"/>
        <w:jc w:val="center"/>
        <w:rPr>
          <w:rFonts w:asciiTheme="majorBidi" w:hAnsiTheme="majorBidi" w:cstheme="majorBidi"/>
          <w:b/>
          <w:bCs/>
          <w:sz w:val="24"/>
          <w:szCs w:val="24"/>
        </w:rPr>
      </w:pPr>
    </w:p>
    <w:p w14:paraId="2AD65B0F" w14:textId="77777777" w:rsidR="00A66BAD" w:rsidRDefault="00A66BAD" w:rsidP="00322954">
      <w:pPr>
        <w:spacing w:after="0" w:line="360" w:lineRule="auto"/>
        <w:jc w:val="center"/>
        <w:rPr>
          <w:rFonts w:asciiTheme="majorBidi" w:hAnsiTheme="majorBidi" w:cstheme="majorBidi"/>
          <w:b/>
          <w:bCs/>
          <w:sz w:val="24"/>
          <w:szCs w:val="24"/>
        </w:rPr>
      </w:pPr>
    </w:p>
    <w:p w14:paraId="7C701627" w14:textId="77777777" w:rsidR="00A66BAD" w:rsidRDefault="00A66BAD" w:rsidP="00322954">
      <w:pPr>
        <w:spacing w:line="360" w:lineRule="auto"/>
      </w:pPr>
    </w:p>
    <w:p w14:paraId="16163EFB" w14:textId="77777777" w:rsidR="00A66BAD" w:rsidRDefault="00A66BAD" w:rsidP="00322954">
      <w:pPr>
        <w:spacing w:line="360" w:lineRule="auto"/>
      </w:pPr>
    </w:p>
    <w:sectPr w:rsidR="00A66BAD" w:rsidSect="00322954">
      <w:pgSz w:w="11952" w:h="14688"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908C2D" w14:textId="77777777" w:rsidR="001F3360" w:rsidRDefault="001F3360">
      <w:pPr>
        <w:spacing w:after="0" w:line="240" w:lineRule="auto"/>
      </w:pPr>
      <w:r>
        <w:separator/>
      </w:r>
    </w:p>
  </w:endnote>
  <w:endnote w:type="continuationSeparator" w:id="0">
    <w:p w14:paraId="21C7F336" w14:textId="77777777" w:rsidR="001F3360" w:rsidRDefault="001F3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ECFD9" w14:textId="77777777" w:rsidR="00322954" w:rsidRDefault="00322954" w:rsidP="005053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48B770" w14:textId="77777777" w:rsidR="00322954" w:rsidRDefault="003229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241B0" w14:textId="77777777" w:rsidR="00322954" w:rsidRDefault="00322954" w:rsidP="005053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3DA7">
      <w:rPr>
        <w:rStyle w:val="PageNumber"/>
        <w:noProof/>
      </w:rPr>
      <w:t>1</w:t>
    </w:r>
    <w:r>
      <w:rPr>
        <w:rStyle w:val="PageNumber"/>
      </w:rPr>
      <w:fldChar w:fldCharType="end"/>
    </w:r>
  </w:p>
  <w:p w14:paraId="18AEC432" w14:textId="77777777" w:rsidR="00322954" w:rsidRDefault="00322954" w:rsidP="005053C7">
    <w:pPr>
      <w:pStyle w:val="Footer"/>
    </w:pPr>
  </w:p>
  <w:p w14:paraId="03A9820B" w14:textId="77777777" w:rsidR="00322954" w:rsidRDefault="003229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2C3ABB" w14:textId="77777777" w:rsidR="001F3360" w:rsidRDefault="001F3360">
      <w:pPr>
        <w:spacing w:after="0" w:line="240" w:lineRule="auto"/>
      </w:pPr>
      <w:r>
        <w:separator/>
      </w:r>
    </w:p>
  </w:footnote>
  <w:footnote w:type="continuationSeparator" w:id="0">
    <w:p w14:paraId="6E89EE8D" w14:textId="77777777" w:rsidR="001F3360" w:rsidRDefault="001F33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5472"/>
    <w:multiLevelType w:val="hybridMultilevel"/>
    <w:tmpl w:val="B486F4C4"/>
    <w:lvl w:ilvl="0" w:tplc="0409001B">
      <w:start w:val="1"/>
      <w:numFmt w:val="lowerRoman"/>
      <w:lvlText w:val="%1."/>
      <w:lvlJc w:val="righ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
    <w:nsid w:val="134E3F7F"/>
    <w:multiLevelType w:val="multilevel"/>
    <w:tmpl w:val="660AEC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CE4667"/>
    <w:multiLevelType w:val="multilevel"/>
    <w:tmpl w:val="32D2FBC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56621A3"/>
    <w:multiLevelType w:val="hybridMultilevel"/>
    <w:tmpl w:val="08D8A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705035"/>
    <w:multiLevelType w:val="multilevel"/>
    <w:tmpl w:val="8418100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B7478A0"/>
    <w:multiLevelType w:val="hybridMultilevel"/>
    <w:tmpl w:val="C3923E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0BE570C"/>
    <w:multiLevelType w:val="hybridMultilevel"/>
    <w:tmpl w:val="49769BA4"/>
    <w:lvl w:ilvl="0" w:tplc="0E54F51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304DAB"/>
    <w:multiLevelType w:val="hybridMultilevel"/>
    <w:tmpl w:val="98A0B8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1043D6"/>
    <w:multiLevelType w:val="hybridMultilevel"/>
    <w:tmpl w:val="D16811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BF02D9"/>
    <w:multiLevelType w:val="multilevel"/>
    <w:tmpl w:val="BC746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645FC3"/>
    <w:multiLevelType w:val="hybridMultilevel"/>
    <w:tmpl w:val="0FDEF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3">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4">
    <w:nsid w:val="4E6F45BC"/>
    <w:multiLevelType w:val="hybridMultilevel"/>
    <w:tmpl w:val="0FDEF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5A7ECB"/>
    <w:multiLevelType w:val="hybridMultilevel"/>
    <w:tmpl w:val="0FDEF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722BBB"/>
    <w:multiLevelType w:val="multilevel"/>
    <w:tmpl w:val="B52864C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77161D7"/>
    <w:multiLevelType w:val="hybridMultilevel"/>
    <w:tmpl w:val="6396D57C"/>
    <w:lvl w:ilvl="0" w:tplc="0409001B">
      <w:start w:val="1"/>
      <w:numFmt w:val="lowerRoman"/>
      <w:lvlText w:val="%1."/>
      <w:lvlJc w:val="right"/>
      <w:pPr>
        <w:ind w:left="926" w:hanging="360"/>
      </w:p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8">
    <w:nsid w:val="5EDB5544"/>
    <w:multiLevelType w:val="multilevel"/>
    <w:tmpl w:val="D0A4B3B8"/>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63B73796"/>
    <w:multiLevelType w:val="multilevel"/>
    <w:tmpl w:val="7E864A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7336152"/>
    <w:multiLevelType w:val="multilevel"/>
    <w:tmpl w:val="A23AF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2">
    <w:nsid w:val="70EA02F8"/>
    <w:multiLevelType w:val="hybridMultilevel"/>
    <w:tmpl w:val="348E884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3">
    <w:nsid w:val="78AF360F"/>
    <w:multiLevelType w:val="hybridMultilevel"/>
    <w:tmpl w:val="0FDEF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B61C59"/>
    <w:multiLevelType w:val="hybridMultilevel"/>
    <w:tmpl w:val="4F4EC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7"/>
  </w:num>
  <w:num w:numId="4">
    <w:abstractNumId w:val="22"/>
  </w:num>
  <w:num w:numId="5">
    <w:abstractNumId w:val="3"/>
  </w:num>
  <w:num w:numId="6">
    <w:abstractNumId w:val="4"/>
  </w:num>
  <w:num w:numId="7">
    <w:abstractNumId w:val="8"/>
  </w:num>
  <w:num w:numId="8">
    <w:abstractNumId w:val="5"/>
  </w:num>
  <w:num w:numId="9">
    <w:abstractNumId w:val="15"/>
  </w:num>
  <w:num w:numId="10">
    <w:abstractNumId w:val="23"/>
  </w:num>
  <w:num w:numId="11">
    <w:abstractNumId w:val="11"/>
  </w:num>
  <w:num w:numId="12">
    <w:abstractNumId w:val="24"/>
  </w:num>
  <w:num w:numId="13">
    <w:abstractNumId w:val="9"/>
  </w:num>
  <w:num w:numId="14">
    <w:abstractNumId w:val="17"/>
  </w:num>
  <w:num w:numId="15">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2"/>
  </w:num>
  <w:num w:numId="20">
    <w:abstractNumId w:val="10"/>
  </w:num>
  <w:num w:numId="21">
    <w:abstractNumId w:val="18"/>
  </w:num>
  <w:num w:numId="22">
    <w:abstractNumId w:val="20"/>
  </w:num>
  <w:num w:numId="23">
    <w:abstractNumId w:val="19"/>
  </w:num>
  <w:num w:numId="24">
    <w:abstractNumId w:val="1"/>
  </w:num>
  <w:num w:numId="25">
    <w:abstractNumId w:val="16"/>
  </w:num>
  <w:num w:numId="26">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BAD"/>
    <w:rsid w:val="00024B01"/>
    <w:rsid w:val="00077965"/>
    <w:rsid w:val="00080B31"/>
    <w:rsid w:val="001103F0"/>
    <w:rsid w:val="00171335"/>
    <w:rsid w:val="001F3360"/>
    <w:rsid w:val="002407DE"/>
    <w:rsid w:val="00304AB3"/>
    <w:rsid w:val="00322954"/>
    <w:rsid w:val="004074D7"/>
    <w:rsid w:val="0047083F"/>
    <w:rsid w:val="004C29D6"/>
    <w:rsid w:val="004C5B6A"/>
    <w:rsid w:val="004D3174"/>
    <w:rsid w:val="005053C7"/>
    <w:rsid w:val="00541CD4"/>
    <w:rsid w:val="00546D15"/>
    <w:rsid w:val="00564945"/>
    <w:rsid w:val="005D00F9"/>
    <w:rsid w:val="00712AF6"/>
    <w:rsid w:val="007661A8"/>
    <w:rsid w:val="00767106"/>
    <w:rsid w:val="007758C6"/>
    <w:rsid w:val="007B7CA7"/>
    <w:rsid w:val="007F29C0"/>
    <w:rsid w:val="0081559E"/>
    <w:rsid w:val="0082262B"/>
    <w:rsid w:val="008534D1"/>
    <w:rsid w:val="00867865"/>
    <w:rsid w:val="008D36AC"/>
    <w:rsid w:val="008F4A9A"/>
    <w:rsid w:val="00953DA7"/>
    <w:rsid w:val="00977CB2"/>
    <w:rsid w:val="00982645"/>
    <w:rsid w:val="0099235C"/>
    <w:rsid w:val="009B4B11"/>
    <w:rsid w:val="00A31B11"/>
    <w:rsid w:val="00A66BAD"/>
    <w:rsid w:val="00AA06E3"/>
    <w:rsid w:val="00AC7B9E"/>
    <w:rsid w:val="00B67CF0"/>
    <w:rsid w:val="00BB1BB5"/>
    <w:rsid w:val="00C06F87"/>
    <w:rsid w:val="00CA6084"/>
    <w:rsid w:val="00D26A64"/>
    <w:rsid w:val="00DC41DF"/>
    <w:rsid w:val="00DF5F50"/>
    <w:rsid w:val="00E85879"/>
    <w:rsid w:val="00EA1896"/>
    <w:rsid w:val="00EE7935"/>
    <w:rsid w:val="00F164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9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BAD"/>
    <w:rPr>
      <w:kern w:val="0"/>
      <w14:ligatures w14:val="none"/>
    </w:rPr>
  </w:style>
  <w:style w:type="paragraph" w:styleId="Heading1">
    <w:name w:val="heading 1"/>
    <w:basedOn w:val="Normal"/>
    <w:next w:val="Normal"/>
    <w:link w:val="Heading1Char"/>
    <w:uiPriority w:val="9"/>
    <w:qFormat/>
    <w:rsid w:val="00A66BAD"/>
    <w:pPr>
      <w:keepNext/>
      <w:spacing w:before="240" w:after="60" w:line="276" w:lineRule="auto"/>
      <w:outlineLvl w:val="0"/>
    </w:pPr>
    <w:rPr>
      <w:rFonts w:ascii="Cambria" w:eastAsia="Times New Roman" w:hAnsi="Cambria" w:cs="Times New Roman"/>
      <w:b/>
      <w:bCs/>
      <w:kern w:val="32"/>
      <w:sz w:val="32"/>
      <w:szCs w:val="32"/>
      <w:lang w:eastAsia="zh-CN"/>
    </w:rPr>
  </w:style>
  <w:style w:type="paragraph" w:styleId="Heading4">
    <w:name w:val="heading 4"/>
    <w:basedOn w:val="Normal"/>
    <w:next w:val="Normal"/>
    <w:link w:val="Heading4Char"/>
    <w:uiPriority w:val="9"/>
    <w:semiHidden/>
    <w:unhideWhenUsed/>
    <w:qFormat/>
    <w:rsid w:val="00A66BAD"/>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BAD"/>
    <w:rPr>
      <w:rFonts w:ascii="Cambria" w:eastAsia="Times New Roman" w:hAnsi="Cambria" w:cs="Times New Roman"/>
      <w:b/>
      <w:bCs/>
      <w:kern w:val="32"/>
      <w:sz w:val="32"/>
      <w:szCs w:val="32"/>
      <w:lang w:val="en-US" w:eastAsia="zh-CN"/>
      <w14:ligatures w14:val="none"/>
    </w:rPr>
  </w:style>
  <w:style w:type="character" w:customStyle="1" w:styleId="Heading4Char">
    <w:name w:val="Heading 4 Char"/>
    <w:basedOn w:val="DefaultParagraphFont"/>
    <w:link w:val="Heading4"/>
    <w:uiPriority w:val="9"/>
    <w:semiHidden/>
    <w:rsid w:val="00A66BAD"/>
    <w:rPr>
      <w:rFonts w:asciiTheme="majorHAnsi" w:eastAsiaTheme="majorEastAsia" w:hAnsiTheme="majorHAnsi" w:cstheme="majorBidi"/>
      <w:b/>
      <w:bCs/>
      <w:i/>
      <w:iCs/>
      <w:color w:val="4472C4" w:themeColor="accent1"/>
      <w:kern w:val="0"/>
      <w:lang w:val="en-US"/>
      <w14:ligatures w14:val="none"/>
    </w:rPr>
  </w:style>
  <w:style w:type="paragraph" w:customStyle="1" w:styleId="Default">
    <w:name w:val="Default"/>
    <w:rsid w:val="00A66BA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TableGrid">
    <w:name w:val="Table Grid"/>
    <w:basedOn w:val="TableNormal"/>
    <w:uiPriority w:val="39"/>
    <w:rsid w:val="00A66BAD"/>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66BAD"/>
    <w:pPr>
      <w:ind w:left="720"/>
      <w:contextualSpacing/>
    </w:pPr>
  </w:style>
  <w:style w:type="paragraph" w:styleId="BalloonText">
    <w:name w:val="Balloon Text"/>
    <w:basedOn w:val="Normal"/>
    <w:link w:val="BalloonTextChar"/>
    <w:uiPriority w:val="99"/>
    <w:semiHidden/>
    <w:unhideWhenUsed/>
    <w:rsid w:val="00A66B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BAD"/>
    <w:rPr>
      <w:rFonts w:ascii="Segoe UI" w:hAnsi="Segoe UI" w:cs="Segoe UI"/>
      <w:kern w:val="0"/>
      <w:sz w:val="18"/>
      <w:szCs w:val="18"/>
      <w:lang w:val="en-US"/>
      <w14:ligatures w14:val="none"/>
    </w:rPr>
  </w:style>
  <w:style w:type="character" w:styleId="Hyperlink">
    <w:name w:val="Hyperlink"/>
    <w:basedOn w:val="DefaultParagraphFont"/>
    <w:uiPriority w:val="99"/>
    <w:unhideWhenUsed/>
    <w:rsid w:val="00A66BAD"/>
    <w:rPr>
      <w:color w:val="0563C1" w:themeColor="hyperlink"/>
      <w:u w:val="single"/>
    </w:rPr>
  </w:style>
  <w:style w:type="paragraph" w:styleId="Header">
    <w:name w:val="header"/>
    <w:basedOn w:val="Normal"/>
    <w:link w:val="HeaderChar"/>
    <w:uiPriority w:val="99"/>
    <w:unhideWhenUsed/>
    <w:rsid w:val="00A66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BAD"/>
    <w:rPr>
      <w:kern w:val="0"/>
      <w:lang w:val="en-US"/>
      <w14:ligatures w14:val="none"/>
    </w:rPr>
  </w:style>
  <w:style w:type="paragraph" w:styleId="Footer">
    <w:name w:val="footer"/>
    <w:basedOn w:val="Normal"/>
    <w:link w:val="FooterChar"/>
    <w:uiPriority w:val="99"/>
    <w:unhideWhenUsed/>
    <w:rsid w:val="00A66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BAD"/>
    <w:rPr>
      <w:kern w:val="0"/>
      <w:lang w:val="en-US"/>
      <w14:ligatures w14:val="none"/>
    </w:rPr>
  </w:style>
  <w:style w:type="paragraph" w:styleId="TOC1">
    <w:name w:val="toc 1"/>
    <w:basedOn w:val="Normal"/>
    <w:next w:val="Normal"/>
    <w:autoRedefine/>
    <w:uiPriority w:val="39"/>
    <w:semiHidden/>
    <w:unhideWhenUsed/>
    <w:rsid w:val="00A66BAD"/>
    <w:pPr>
      <w:tabs>
        <w:tab w:val="right" w:leader="dot" w:pos="9350"/>
      </w:tabs>
      <w:spacing w:after="100" w:line="360" w:lineRule="auto"/>
    </w:pPr>
    <w:rPr>
      <w:rFonts w:ascii="Times New Roman" w:eastAsia="Times New Roman" w:hAnsi="Times New Roman" w:cs="Times New Roman"/>
      <w:noProof/>
      <w:sz w:val="24"/>
      <w:szCs w:val="24"/>
      <w:lang w:val="en-GB" w:eastAsia="en-GB"/>
    </w:rPr>
  </w:style>
  <w:style w:type="paragraph" w:styleId="TOCHeading">
    <w:name w:val="TOC Heading"/>
    <w:basedOn w:val="Heading1"/>
    <w:next w:val="Normal"/>
    <w:uiPriority w:val="39"/>
    <w:semiHidden/>
    <w:unhideWhenUsed/>
    <w:qFormat/>
    <w:rsid w:val="00A66BAD"/>
    <w:pPr>
      <w:keepLines/>
      <w:spacing w:before="480" w:after="0"/>
      <w:outlineLvl w:val="9"/>
    </w:pPr>
    <w:rPr>
      <w:color w:val="365F91"/>
      <w:kern w:val="0"/>
      <w:sz w:val="28"/>
      <w:szCs w:val="28"/>
      <w:lang w:eastAsia="ja-JP"/>
    </w:rPr>
  </w:style>
  <w:style w:type="character" w:customStyle="1" w:styleId="fontstyle01">
    <w:name w:val="fontstyle01"/>
    <w:basedOn w:val="DefaultParagraphFont"/>
    <w:rsid w:val="00A66BAD"/>
    <w:rPr>
      <w:rFonts w:ascii="Times New Roman" w:hAnsi="Times New Roman" w:cs="Times New Roman" w:hint="default"/>
      <w:b w:val="0"/>
      <w:bCs w:val="0"/>
      <w:i w:val="0"/>
      <w:iCs w:val="0"/>
      <w:color w:val="000000"/>
      <w:sz w:val="24"/>
      <w:szCs w:val="24"/>
    </w:rPr>
  </w:style>
  <w:style w:type="character" w:styleId="PageNumber">
    <w:name w:val="page number"/>
    <w:basedOn w:val="DefaultParagraphFont"/>
    <w:uiPriority w:val="99"/>
    <w:semiHidden/>
    <w:unhideWhenUsed/>
    <w:rsid w:val="00A66BAD"/>
  </w:style>
  <w:style w:type="paragraph" w:styleId="NoSpacing">
    <w:name w:val="No Spacing"/>
    <w:uiPriority w:val="1"/>
    <w:qFormat/>
    <w:rsid w:val="00A66BAD"/>
    <w:pPr>
      <w:spacing w:after="0" w:line="240" w:lineRule="auto"/>
    </w:pPr>
    <w:rPr>
      <w:kern w:val="0"/>
      <w14:ligatures w14:val="none"/>
    </w:rPr>
  </w:style>
  <w:style w:type="paragraph" w:styleId="NormalWeb">
    <w:name w:val="Normal (Web)"/>
    <w:basedOn w:val="Normal"/>
    <w:uiPriority w:val="99"/>
    <w:unhideWhenUsed/>
    <w:rsid w:val="00A66BAD"/>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A66BA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66BAD"/>
    <w:rPr>
      <w:rFonts w:ascii="Arial" w:eastAsia="Times New Roman" w:hAnsi="Arial" w:cs="Arial"/>
      <w:vanish/>
      <w:kern w:val="0"/>
      <w:sz w:val="16"/>
      <w:szCs w:val="16"/>
      <w:lang w:val="en-US"/>
      <w14:ligatures w14:val="none"/>
    </w:rPr>
  </w:style>
  <w:style w:type="paragraph" w:styleId="z-BottomofForm">
    <w:name w:val="HTML Bottom of Form"/>
    <w:basedOn w:val="Normal"/>
    <w:next w:val="Normal"/>
    <w:link w:val="z-BottomofFormChar"/>
    <w:hidden/>
    <w:uiPriority w:val="99"/>
    <w:semiHidden/>
    <w:unhideWhenUsed/>
    <w:rsid w:val="00A66BA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66BAD"/>
    <w:rPr>
      <w:rFonts w:ascii="Arial" w:eastAsia="Times New Roman" w:hAnsi="Arial" w:cs="Arial"/>
      <w:vanish/>
      <w:kern w:val="0"/>
      <w:sz w:val="16"/>
      <w:szCs w:val="16"/>
      <w:lang w:val="en-US"/>
      <w14:ligatures w14:val="none"/>
    </w:rPr>
  </w:style>
  <w:style w:type="character" w:styleId="Strong">
    <w:name w:val="Strong"/>
    <w:basedOn w:val="DefaultParagraphFont"/>
    <w:uiPriority w:val="22"/>
    <w:qFormat/>
    <w:rsid w:val="008534D1"/>
    <w:rPr>
      <w:b/>
      <w:bCs/>
    </w:rPr>
  </w:style>
  <w:style w:type="character" w:styleId="Emphasis">
    <w:name w:val="Emphasis"/>
    <w:basedOn w:val="DefaultParagraphFont"/>
    <w:uiPriority w:val="20"/>
    <w:qFormat/>
    <w:rsid w:val="008534D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BAD"/>
    <w:rPr>
      <w:kern w:val="0"/>
      <w14:ligatures w14:val="none"/>
    </w:rPr>
  </w:style>
  <w:style w:type="paragraph" w:styleId="Heading1">
    <w:name w:val="heading 1"/>
    <w:basedOn w:val="Normal"/>
    <w:next w:val="Normal"/>
    <w:link w:val="Heading1Char"/>
    <w:uiPriority w:val="9"/>
    <w:qFormat/>
    <w:rsid w:val="00A66BAD"/>
    <w:pPr>
      <w:keepNext/>
      <w:spacing w:before="240" w:after="60" w:line="276" w:lineRule="auto"/>
      <w:outlineLvl w:val="0"/>
    </w:pPr>
    <w:rPr>
      <w:rFonts w:ascii="Cambria" w:eastAsia="Times New Roman" w:hAnsi="Cambria" w:cs="Times New Roman"/>
      <w:b/>
      <w:bCs/>
      <w:kern w:val="32"/>
      <w:sz w:val="32"/>
      <w:szCs w:val="32"/>
      <w:lang w:eastAsia="zh-CN"/>
    </w:rPr>
  </w:style>
  <w:style w:type="paragraph" w:styleId="Heading4">
    <w:name w:val="heading 4"/>
    <w:basedOn w:val="Normal"/>
    <w:next w:val="Normal"/>
    <w:link w:val="Heading4Char"/>
    <w:uiPriority w:val="9"/>
    <w:semiHidden/>
    <w:unhideWhenUsed/>
    <w:qFormat/>
    <w:rsid w:val="00A66BAD"/>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BAD"/>
    <w:rPr>
      <w:rFonts w:ascii="Cambria" w:eastAsia="Times New Roman" w:hAnsi="Cambria" w:cs="Times New Roman"/>
      <w:b/>
      <w:bCs/>
      <w:kern w:val="32"/>
      <w:sz w:val="32"/>
      <w:szCs w:val="32"/>
      <w:lang w:val="en-US" w:eastAsia="zh-CN"/>
      <w14:ligatures w14:val="none"/>
    </w:rPr>
  </w:style>
  <w:style w:type="character" w:customStyle="1" w:styleId="Heading4Char">
    <w:name w:val="Heading 4 Char"/>
    <w:basedOn w:val="DefaultParagraphFont"/>
    <w:link w:val="Heading4"/>
    <w:uiPriority w:val="9"/>
    <w:semiHidden/>
    <w:rsid w:val="00A66BAD"/>
    <w:rPr>
      <w:rFonts w:asciiTheme="majorHAnsi" w:eastAsiaTheme="majorEastAsia" w:hAnsiTheme="majorHAnsi" w:cstheme="majorBidi"/>
      <w:b/>
      <w:bCs/>
      <w:i/>
      <w:iCs/>
      <w:color w:val="4472C4" w:themeColor="accent1"/>
      <w:kern w:val="0"/>
      <w:lang w:val="en-US"/>
      <w14:ligatures w14:val="none"/>
    </w:rPr>
  </w:style>
  <w:style w:type="paragraph" w:customStyle="1" w:styleId="Default">
    <w:name w:val="Default"/>
    <w:rsid w:val="00A66BA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TableGrid">
    <w:name w:val="Table Grid"/>
    <w:basedOn w:val="TableNormal"/>
    <w:uiPriority w:val="39"/>
    <w:rsid w:val="00A66BAD"/>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66BAD"/>
    <w:pPr>
      <w:ind w:left="720"/>
      <w:contextualSpacing/>
    </w:pPr>
  </w:style>
  <w:style w:type="paragraph" w:styleId="BalloonText">
    <w:name w:val="Balloon Text"/>
    <w:basedOn w:val="Normal"/>
    <w:link w:val="BalloonTextChar"/>
    <w:uiPriority w:val="99"/>
    <w:semiHidden/>
    <w:unhideWhenUsed/>
    <w:rsid w:val="00A66B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BAD"/>
    <w:rPr>
      <w:rFonts w:ascii="Segoe UI" w:hAnsi="Segoe UI" w:cs="Segoe UI"/>
      <w:kern w:val="0"/>
      <w:sz w:val="18"/>
      <w:szCs w:val="18"/>
      <w:lang w:val="en-US"/>
      <w14:ligatures w14:val="none"/>
    </w:rPr>
  </w:style>
  <w:style w:type="character" w:styleId="Hyperlink">
    <w:name w:val="Hyperlink"/>
    <w:basedOn w:val="DefaultParagraphFont"/>
    <w:uiPriority w:val="99"/>
    <w:unhideWhenUsed/>
    <w:rsid w:val="00A66BAD"/>
    <w:rPr>
      <w:color w:val="0563C1" w:themeColor="hyperlink"/>
      <w:u w:val="single"/>
    </w:rPr>
  </w:style>
  <w:style w:type="paragraph" w:styleId="Header">
    <w:name w:val="header"/>
    <w:basedOn w:val="Normal"/>
    <w:link w:val="HeaderChar"/>
    <w:uiPriority w:val="99"/>
    <w:unhideWhenUsed/>
    <w:rsid w:val="00A66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BAD"/>
    <w:rPr>
      <w:kern w:val="0"/>
      <w:lang w:val="en-US"/>
      <w14:ligatures w14:val="none"/>
    </w:rPr>
  </w:style>
  <w:style w:type="paragraph" w:styleId="Footer">
    <w:name w:val="footer"/>
    <w:basedOn w:val="Normal"/>
    <w:link w:val="FooterChar"/>
    <w:uiPriority w:val="99"/>
    <w:unhideWhenUsed/>
    <w:rsid w:val="00A66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BAD"/>
    <w:rPr>
      <w:kern w:val="0"/>
      <w:lang w:val="en-US"/>
      <w14:ligatures w14:val="none"/>
    </w:rPr>
  </w:style>
  <w:style w:type="paragraph" w:styleId="TOC1">
    <w:name w:val="toc 1"/>
    <w:basedOn w:val="Normal"/>
    <w:next w:val="Normal"/>
    <w:autoRedefine/>
    <w:uiPriority w:val="39"/>
    <w:semiHidden/>
    <w:unhideWhenUsed/>
    <w:rsid w:val="00A66BAD"/>
    <w:pPr>
      <w:tabs>
        <w:tab w:val="right" w:leader="dot" w:pos="9350"/>
      </w:tabs>
      <w:spacing w:after="100" w:line="360" w:lineRule="auto"/>
    </w:pPr>
    <w:rPr>
      <w:rFonts w:ascii="Times New Roman" w:eastAsia="Times New Roman" w:hAnsi="Times New Roman" w:cs="Times New Roman"/>
      <w:noProof/>
      <w:sz w:val="24"/>
      <w:szCs w:val="24"/>
      <w:lang w:val="en-GB" w:eastAsia="en-GB"/>
    </w:rPr>
  </w:style>
  <w:style w:type="paragraph" w:styleId="TOCHeading">
    <w:name w:val="TOC Heading"/>
    <w:basedOn w:val="Heading1"/>
    <w:next w:val="Normal"/>
    <w:uiPriority w:val="39"/>
    <w:semiHidden/>
    <w:unhideWhenUsed/>
    <w:qFormat/>
    <w:rsid w:val="00A66BAD"/>
    <w:pPr>
      <w:keepLines/>
      <w:spacing w:before="480" w:after="0"/>
      <w:outlineLvl w:val="9"/>
    </w:pPr>
    <w:rPr>
      <w:color w:val="365F91"/>
      <w:kern w:val="0"/>
      <w:sz w:val="28"/>
      <w:szCs w:val="28"/>
      <w:lang w:eastAsia="ja-JP"/>
    </w:rPr>
  </w:style>
  <w:style w:type="character" w:customStyle="1" w:styleId="fontstyle01">
    <w:name w:val="fontstyle01"/>
    <w:basedOn w:val="DefaultParagraphFont"/>
    <w:rsid w:val="00A66BAD"/>
    <w:rPr>
      <w:rFonts w:ascii="Times New Roman" w:hAnsi="Times New Roman" w:cs="Times New Roman" w:hint="default"/>
      <w:b w:val="0"/>
      <w:bCs w:val="0"/>
      <w:i w:val="0"/>
      <w:iCs w:val="0"/>
      <w:color w:val="000000"/>
      <w:sz w:val="24"/>
      <w:szCs w:val="24"/>
    </w:rPr>
  </w:style>
  <w:style w:type="character" w:styleId="PageNumber">
    <w:name w:val="page number"/>
    <w:basedOn w:val="DefaultParagraphFont"/>
    <w:uiPriority w:val="99"/>
    <w:semiHidden/>
    <w:unhideWhenUsed/>
    <w:rsid w:val="00A66BAD"/>
  </w:style>
  <w:style w:type="paragraph" w:styleId="NoSpacing">
    <w:name w:val="No Spacing"/>
    <w:uiPriority w:val="1"/>
    <w:qFormat/>
    <w:rsid w:val="00A66BAD"/>
    <w:pPr>
      <w:spacing w:after="0" w:line="240" w:lineRule="auto"/>
    </w:pPr>
    <w:rPr>
      <w:kern w:val="0"/>
      <w14:ligatures w14:val="none"/>
    </w:rPr>
  </w:style>
  <w:style w:type="paragraph" w:styleId="NormalWeb">
    <w:name w:val="Normal (Web)"/>
    <w:basedOn w:val="Normal"/>
    <w:uiPriority w:val="99"/>
    <w:unhideWhenUsed/>
    <w:rsid w:val="00A66BAD"/>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A66BA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66BAD"/>
    <w:rPr>
      <w:rFonts w:ascii="Arial" w:eastAsia="Times New Roman" w:hAnsi="Arial" w:cs="Arial"/>
      <w:vanish/>
      <w:kern w:val="0"/>
      <w:sz w:val="16"/>
      <w:szCs w:val="16"/>
      <w:lang w:val="en-US"/>
      <w14:ligatures w14:val="none"/>
    </w:rPr>
  </w:style>
  <w:style w:type="paragraph" w:styleId="z-BottomofForm">
    <w:name w:val="HTML Bottom of Form"/>
    <w:basedOn w:val="Normal"/>
    <w:next w:val="Normal"/>
    <w:link w:val="z-BottomofFormChar"/>
    <w:hidden/>
    <w:uiPriority w:val="99"/>
    <w:semiHidden/>
    <w:unhideWhenUsed/>
    <w:rsid w:val="00A66BA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66BAD"/>
    <w:rPr>
      <w:rFonts w:ascii="Arial" w:eastAsia="Times New Roman" w:hAnsi="Arial" w:cs="Arial"/>
      <w:vanish/>
      <w:kern w:val="0"/>
      <w:sz w:val="16"/>
      <w:szCs w:val="16"/>
      <w:lang w:val="en-US"/>
      <w14:ligatures w14:val="none"/>
    </w:rPr>
  </w:style>
  <w:style w:type="character" w:styleId="Strong">
    <w:name w:val="Strong"/>
    <w:basedOn w:val="DefaultParagraphFont"/>
    <w:uiPriority w:val="22"/>
    <w:qFormat/>
    <w:rsid w:val="008534D1"/>
    <w:rPr>
      <w:b/>
      <w:bCs/>
    </w:rPr>
  </w:style>
  <w:style w:type="character" w:styleId="Emphasis">
    <w:name w:val="Emphasis"/>
    <w:basedOn w:val="DefaultParagraphFont"/>
    <w:uiPriority w:val="20"/>
    <w:qFormat/>
    <w:rsid w:val="008534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053476">
      <w:bodyDiv w:val="1"/>
      <w:marLeft w:val="0"/>
      <w:marRight w:val="0"/>
      <w:marTop w:val="0"/>
      <w:marBottom w:val="0"/>
      <w:divBdr>
        <w:top w:val="none" w:sz="0" w:space="0" w:color="auto"/>
        <w:left w:val="none" w:sz="0" w:space="0" w:color="auto"/>
        <w:bottom w:val="none" w:sz="0" w:space="0" w:color="auto"/>
        <w:right w:val="none" w:sz="0" w:space="0" w:color="auto"/>
      </w:divBdr>
      <w:divsChild>
        <w:div w:id="1634019889">
          <w:marLeft w:val="0"/>
          <w:marRight w:val="0"/>
          <w:marTop w:val="0"/>
          <w:marBottom w:val="0"/>
          <w:divBdr>
            <w:top w:val="none" w:sz="0" w:space="0" w:color="auto"/>
            <w:left w:val="none" w:sz="0" w:space="0" w:color="auto"/>
            <w:bottom w:val="none" w:sz="0" w:space="0" w:color="auto"/>
            <w:right w:val="none" w:sz="0" w:space="0" w:color="auto"/>
          </w:divBdr>
          <w:divsChild>
            <w:div w:id="473110609">
              <w:marLeft w:val="0"/>
              <w:marRight w:val="0"/>
              <w:marTop w:val="0"/>
              <w:marBottom w:val="0"/>
              <w:divBdr>
                <w:top w:val="none" w:sz="0" w:space="0" w:color="auto"/>
                <w:left w:val="none" w:sz="0" w:space="0" w:color="auto"/>
                <w:bottom w:val="none" w:sz="0" w:space="0" w:color="auto"/>
                <w:right w:val="none" w:sz="0" w:space="0" w:color="auto"/>
              </w:divBdr>
              <w:divsChild>
                <w:div w:id="88140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72628">
          <w:marLeft w:val="0"/>
          <w:marRight w:val="0"/>
          <w:marTop w:val="0"/>
          <w:marBottom w:val="0"/>
          <w:divBdr>
            <w:top w:val="none" w:sz="0" w:space="0" w:color="auto"/>
            <w:left w:val="none" w:sz="0" w:space="0" w:color="auto"/>
            <w:bottom w:val="none" w:sz="0" w:space="0" w:color="auto"/>
            <w:right w:val="none" w:sz="0" w:space="0" w:color="auto"/>
          </w:divBdr>
          <w:divsChild>
            <w:div w:id="1001397135">
              <w:marLeft w:val="0"/>
              <w:marRight w:val="0"/>
              <w:marTop w:val="0"/>
              <w:marBottom w:val="0"/>
              <w:divBdr>
                <w:top w:val="none" w:sz="0" w:space="0" w:color="auto"/>
                <w:left w:val="none" w:sz="0" w:space="0" w:color="auto"/>
                <w:bottom w:val="none" w:sz="0" w:space="0" w:color="auto"/>
                <w:right w:val="none" w:sz="0" w:space="0" w:color="auto"/>
              </w:divBdr>
              <w:divsChild>
                <w:div w:id="1109618694">
                  <w:marLeft w:val="0"/>
                  <w:marRight w:val="0"/>
                  <w:marTop w:val="0"/>
                  <w:marBottom w:val="0"/>
                  <w:divBdr>
                    <w:top w:val="none" w:sz="0" w:space="0" w:color="auto"/>
                    <w:left w:val="none" w:sz="0" w:space="0" w:color="auto"/>
                    <w:bottom w:val="none" w:sz="0" w:space="0" w:color="auto"/>
                    <w:right w:val="none" w:sz="0" w:space="0" w:color="auto"/>
                  </w:divBdr>
                  <w:divsChild>
                    <w:div w:id="845704311">
                      <w:marLeft w:val="0"/>
                      <w:marRight w:val="0"/>
                      <w:marTop w:val="0"/>
                      <w:marBottom w:val="0"/>
                      <w:divBdr>
                        <w:top w:val="none" w:sz="0" w:space="0" w:color="auto"/>
                        <w:left w:val="none" w:sz="0" w:space="0" w:color="auto"/>
                        <w:bottom w:val="none" w:sz="0" w:space="0" w:color="auto"/>
                        <w:right w:val="none" w:sz="0" w:space="0" w:color="auto"/>
                      </w:divBdr>
                      <w:divsChild>
                        <w:div w:id="832257623">
                          <w:marLeft w:val="0"/>
                          <w:marRight w:val="0"/>
                          <w:marTop w:val="0"/>
                          <w:marBottom w:val="0"/>
                          <w:divBdr>
                            <w:top w:val="none" w:sz="0" w:space="0" w:color="auto"/>
                            <w:left w:val="none" w:sz="0" w:space="0" w:color="auto"/>
                            <w:bottom w:val="none" w:sz="0" w:space="0" w:color="auto"/>
                            <w:right w:val="none" w:sz="0" w:space="0" w:color="auto"/>
                          </w:divBdr>
                          <w:divsChild>
                            <w:div w:id="1190215802">
                              <w:marLeft w:val="0"/>
                              <w:marRight w:val="0"/>
                              <w:marTop w:val="0"/>
                              <w:marBottom w:val="0"/>
                              <w:divBdr>
                                <w:top w:val="none" w:sz="0" w:space="0" w:color="auto"/>
                                <w:left w:val="none" w:sz="0" w:space="0" w:color="auto"/>
                                <w:bottom w:val="none" w:sz="0" w:space="0" w:color="auto"/>
                                <w:right w:val="none" w:sz="0" w:space="0" w:color="auto"/>
                              </w:divBdr>
                              <w:divsChild>
                                <w:div w:id="75786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683642">
          <w:marLeft w:val="0"/>
          <w:marRight w:val="0"/>
          <w:marTop w:val="0"/>
          <w:marBottom w:val="0"/>
          <w:divBdr>
            <w:top w:val="none" w:sz="0" w:space="0" w:color="auto"/>
            <w:left w:val="none" w:sz="0" w:space="0" w:color="auto"/>
            <w:bottom w:val="none" w:sz="0" w:space="0" w:color="auto"/>
            <w:right w:val="none" w:sz="0" w:space="0" w:color="auto"/>
          </w:divBdr>
          <w:divsChild>
            <w:div w:id="5716470">
              <w:marLeft w:val="0"/>
              <w:marRight w:val="0"/>
              <w:marTop w:val="0"/>
              <w:marBottom w:val="0"/>
              <w:divBdr>
                <w:top w:val="none" w:sz="0" w:space="0" w:color="auto"/>
                <w:left w:val="none" w:sz="0" w:space="0" w:color="auto"/>
                <w:bottom w:val="none" w:sz="0" w:space="0" w:color="auto"/>
                <w:right w:val="none" w:sz="0" w:space="0" w:color="auto"/>
              </w:divBdr>
              <w:divsChild>
                <w:div w:id="1011418442">
                  <w:marLeft w:val="0"/>
                  <w:marRight w:val="0"/>
                  <w:marTop w:val="0"/>
                  <w:marBottom w:val="0"/>
                  <w:divBdr>
                    <w:top w:val="none" w:sz="0" w:space="0" w:color="auto"/>
                    <w:left w:val="none" w:sz="0" w:space="0" w:color="auto"/>
                    <w:bottom w:val="none" w:sz="0" w:space="0" w:color="auto"/>
                    <w:right w:val="none" w:sz="0" w:space="0" w:color="auto"/>
                  </w:divBdr>
                  <w:divsChild>
                    <w:div w:id="167865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22386">
          <w:marLeft w:val="0"/>
          <w:marRight w:val="0"/>
          <w:marTop w:val="0"/>
          <w:marBottom w:val="0"/>
          <w:divBdr>
            <w:top w:val="none" w:sz="0" w:space="0" w:color="auto"/>
            <w:left w:val="none" w:sz="0" w:space="0" w:color="auto"/>
            <w:bottom w:val="none" w:sz="0" w:space="0" w:color="auto"/>
            <w:right w:val="none" w:sz="0" w:space="0" w:color="auto"/>
          </w:divBdr>
          <w:divsChild>
            <w:div w:id="2029015686">
              <w:marLeft w:val="0"/>
              <w:marRight w:val="0"/>
              <w:marTop w:val="0"/>
              <w:marBottom w:val="0"/>
              <w:divBdr>
                <w:top w:val="none" w:sz="0" w:space="0" w:color="auto"/>
                <w:left w:val="none" w:sz="0" w:space="0" w:color="auto"/>
                <w:bottom w:val="none" w:sz="0" w:space="0" w:color="auto"/>
                <w:right w:val="none" w:sz="0" w:space="0" w:color="auto"/>
              </w:divBdr>
              <w:divsChild>
                <w:div w:id="1989898675">
                  <w:marLeft w:val="0"/>
                  <w:marRight w:val="0"/>
                  <w:marTop w:val="0"/>
                  <w:marBottom w:val="0"/>
                  <w:divBdr>
                    <w:top w:val="none" w:sz="0" w:space="0" w:color="auto"/>
                    <w:left w:val="none" w:sz="0" w:space="0" w:color="auto"/>
                    <w:bottom w:val="none" w:sz="0" w:space="0" w:color="auto"/>
                    <w:right w:val="none" w:sz="0" w:space="0" w:color="auto"/>
                  </w:divBdr>
                  <w:divsChild>
                    <w:div w:id="275601117">
                      <w:marLeft w:val="0"/>
                      <w:marRight w:val="0"/>
                      <w:marTop w:val="0"/>
                      <w:marBottom w:val="0"/>
                      <w:divBdr>
                        <w:top w:val="none" w:sz="0" w:space="0" w:color="auto"/>
                        <w:left w:val="none" w:sz="0" w:space="0" w:color="auto"/>
                        <w:bottom w:val="none" w:sz="0" w:space="0" w:color="auto"/>
                        <w:right w:val="none" w:sz="0" w:space="0" w:color="auto"/>
                      </w:divBdr>
                      <w:divsChild>
                        <w:div w:id="2117600000">
                          <w:marLeft w:val="0"/>
                          <w:marRight w:val="0"/>
                          <w:marTop w:val="0"/>
                          <w:marBottom w:val="0"/>
                          <w:divBdr>
                            <w:top w:val="none" w:sz="0" w:space="0" w:color="auto"/>
                            <w:left w:val="none" w:sz="0" w:space="0" w:color="auto"/>
                            <w:bottom w:val="none" w:sz="0" w:space="0" w:color="auto"/>
                            <w:right w:val="none" w:sz="0" w:space="0" w:color="auto"/>
                          </w:divBdr>
                          <w:divsChild>
                            <w:div w:id="2068651420">
                              <w:marLeft w:val="0"/>
                              <w:marRight w:val="0"/>
                              <w:marTop w:val="0"/>
                              <w:marBottom w:val="0"/>
                              <w:divBdr>
                                <w:top w:val="none" w:sz="0" w:space="0" w:color="auto"/>
                                <w:left w:val="none" w:sz="0" w:space="0" w:color="auto"/>
                                <w:bottom w:val="none" w:sz="0" w:space="0" w:color="auto"/>
                                <w:right w:val="none" w:sz="0" w:space="0" w:color="auto"/>
                              </w:divBdr>
                              <w:divsChild>
                                <w:div w:id="65610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223565">
          <w:marLeft w:val="0"/>
          <w:marRight w:val="0"/>
          <w:marTop w:val="0"/>
          <w:marBottom w:val="0"/>
          <w:divBdr>
            <w:top w:val="none" w:sz="0" w:space="0" w:color="auto"/>
            <w:left w:val="none" w:sz="0" w:space="0" w:color="auto"/>
            <w:bottom w:val="none" w:sz="0" w:space="0" w:color="auto"/>
            <w:right w:val="none" w:sz="0" w:space="0" w:color="auto"/>
          </w:divBdr>
          <w:divsChild>
            <w:div w:id="350227216">
              <w:marLeft w:val="0"/>
              <w:marRight w:val="0"/>
              <w:marTop w:val="0"/>
              <w:marBottom w:val="0"/>
              <w:divBdr>
                <w:top w:val="none" w:sz="0" w:space="0" w:color="auto"/>
                <w:left w:val="none" w:sz="0" w:space="0" w:color="auto"/>
                <w:bottom w:val="none" w:sz="0" w:space="0" w:color="auto"/>
                <w:right w:val="none" w:sz="0" w:space="0" w:color="auto"/>
              </w:divBdr>
              <w:divsChild>
                <w:div w:id="104644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001590">
      <w:bodyDiv w:val="1"/>
      <w:marLeft w:val="0"/>
      <w:marRight w:val="0"/>
      <w:marTop w:val="0"/>
      <w:marBottom w:val="0"/>
      <w:divBdr>
        <w:top w:val="none" w:sz="0" w:space="0" w:color="auto"/>
        <w:left w:val="none" w:sz="0" w:space="0" w:color="auto"/>
        <w:bottom w:val="none" w:sz="0" w:space="0" w:color="auto"/>
        <w:right w:val="none" w:sz="0" w:space="0" w:color="auto"/>
      </w:divBdr>
    </w:div>
    <w:div w:id="162241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grguardiannews.com" TargetMode="External"/><Relationship Id="rId5" Type="http://schemas.openxmlformats.org/officeDocument/2006/relationships/webSettings" Target="webSettings.xml"/><Relationship Id="rId10" Type="http://schemas.openxmlformats.org/officeDocument/2006/relationships/hyperlink" Target="http://www.pcaobus.org\"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50</Pages>
  <Words>12252</Words>
  <Characters>69839</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MAROOF ADENIYI</dc:creator>
  <cp:lastModifiedBy>ACER</cp:lastModifiedBy>
  <cp:revision>5</cp:revision>
  <cp:lastPrinted>2025-05-06T13:23:00Z</cp:lastPrinted>
  <dcterms:created xsi:type="dcterms:W3CDTF">2025-05-22T15:11:00Z</dcterms:created>
  <dcterms:modified xsi:type="dcterms:W3CDTF">2025-05-22T16:22:00Z</dcterms:modified>
</cp:coreProperties>
</file>