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F6" w:rsidRDefault="005B13F6">
      <w:pPr>
        <w:rPr>
          <w:rFonts w:ascii="Times New Roman" w:hAnsi="Times New Roman" w:cs="Times New Roman"/>
          <w:b/>
          <w:sz w:val="27"/>
          <w:szCs w:val="27"/>
        </w:rPr>
      </w:pP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bCs/>
          <w:sz w:val="32"/>
          <w:szCs w:val="32"/>
        </w:rPr>
        <w:t>THE IMPACT OF WORK FORCE DOWNSIZING ON MORALE, COMMITMENT, AND COMPANY PERFORMANCE</w:t>
      </w: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bCs/>
          <w:sz w:val="32"/>
          <w:szCs w:val="32"/>
        </w:rPr>
        <w:t>( A Case Study of Remto Industries in Ilorin, Kwara State, Nigeria)</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36"/>
          <w:szCs w:val="26"/>
        </w:rPr>
      </w:pPr>
    </w:p>
    <w:p w:rsidR="00DB4131" w:rsidRPr="00DB4131" w:rsidRDefault="00DB4131" w:rsidP="00DB4131">
      <w:pPr>
        <w:pStyle w:val="Bodytext20"/>
        <w:shd w:val="clear" w:color="auto" w:fill="auto"/>
        <w:spacing w:line="360" w:lineRule="auto"/>
        <w:jc w:val="center"/>
        <w:rPr>
          <w:rStyle w:val="Bodytext2Bold"/>
          <w:rFonts w:ascii="Times New Roman" w:hAnsi="Times New Roman" w:cs="Times New Roman"/>
          <w:sz w:val="36"/>
          <w:szCs w:val="26"/>
        </w:rPr>
      </w:pPr>
      <w:r w:rsidRPr="00DB4131">
        <w:rPr>
          <w:rStyle w:val="Bodytext2Bold"/>
          <w:rFonts w:ascii="Times New Roman" w:hAnsi="Times New Roman" w:cs="Times New Roman"/>
          <w:sz w:val="36"/>
          <w:szCs w:val="26"/>
        </w:rPr>
        <w:t>By</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Pr="00DB4131" w:rsidRDefault="00DB4131" w:rsidP="00DB4131">
      <w:pPr>
        <w:pStyle w:val="Bodytext20"/>
        <w:shd w:val="clear" w:color="auto" w:fill="auto"/>
        <w:spacing w:line="360" w:lineRule="auto"/>
        <w:jc w:val="center"/>
        <w:rPr>
          <w:rStyle w:val="Bodytext2Bold"/>
          <w:rFonts w:ascii="Arial Black" w:hAnsi="Arial Black" w:cs="Times New Roman"/>
          <w:i w:val="0"/>
          <w:sz w:val="40"/>
          <w:szCs w:val="26"/>
        </w:rPr>
      </w:pPr>
      <w:r w:rsidRPr="00DB4131">
        <w:rPr>
          <w:rStyle w:val="Bodytext2Bold"/>
          <w:rFonts w:ascii="Arial Black" w:hAnsi="Arial Black" w:cs="Times New Roman"/>
          <w:i w:val="0"/>
          <w:sz w:val="40"/>
          <w:szCs w:val="26"/>
        </w:rPr>
        <w:t>RASAK FAREEDAH AJOKE</w:t>
      </w:r>
    </w:p>
    <w:p w:rsidR="00DB4131" w:rsidRPr="00DB4131" w:rsidRDefault="00DB4131" w:rsidP="00DB4131">
      <w:pPr>
        <w:pStyle w:val="Bodytext20"/>
        <w:spacing w:line="360" w:lineRule="auto"/>
        <w:jc w:val="center"/>
        <w:rPr>
          <w:rStyle w:val="Bodytext2Bold"/>
          <w:rFonts w:ascii="Arial Black" w:hAnsi="Arial Black" w:cs="Times New Roman"/>
          <w:i w:val="0"/>
          <w:sz w:val="40"/>
          <w:szCs w:val="26"/>
        </w:rPr>
      </w:pPr>
      <w:r w:rsidRPr="00DB4131">
        <w:rPr>
          <w:rStyle w:val="Bodytext2Bold"/>
          <w:rFonts w:ascii="Arial Black" w:hAnsi="Arial Black" w:cs="Times New Roman"/>
          <w:i w:val="0"/>
          <w:sz w:val="40"/>
          <w:szCs w:val="26"/>
        </w:rPr>
        <w:t>ND/23/BAM/PT/0142</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SUBMITTED TO THE DEPARTMENT OF BUSINESS ADMINISTRATION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INSTITUTE OF FINANCE AND MANAGEMENT STUDIES</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KWARA STATE POLYTECHNIC, ILORIN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IN PARTIAL FULFILLMENT OF THE REQUIREMENTS FOR THE AWARD OF NATIONAL DIPLOMA (ND) IN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BUSINESS ADMINISTRATION</w:t>
      </w: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jc w:val="center"/>
        <w:rPr>
          <w:rStyle w:val="Bodytext2Bold"/>
          <w:rFonts w:ascii="Times New Roman" w:hAnsi="Times New Roman" w:cs="Times New Roman"/>
          <w:sz w:val="26"/>
          <w:szCs w:val="26"/>
        </w:rPr>
      </w:pPr>
      <w:r>
        <w:rPr>
          <w:rStyle w:val="Bodytext2Bold"/>
          <w:rFonts w:ascii="Times New Roman" w:hAnsi="Times New Roman" w:cs="Times New Roman"/>
          <w:sz w:val="26"/>
          <w:szCs w:val="26"/>
        </w:rPr>
        <w:t>JULY, 2025</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rPr>
          <w:rStyle w:val="Bodytext2Bold"/>
          <w:rFonts w:ascii="Times New Roman" w:hAnsi="Times New Roman" w:cs="Times New Roman"/>
          <w:i w:val="0"/>
          <w:iCs w:val="0"/>
          <w:sz w:val="26"/>
          <w:szCs w:val="26"/>
        </w:rPr>
      </w:pPr>
      <w:r>
        <w:rPr>
          <w:rStyle w:val="Bodytext2Bold"/>
          <w:rFonts w:ascii="Times New Roman" w:hAnsi="Times New Roman" w:cs="Times New Roman"/>
          <w:sz w:val="26"/>
          <w:szCs w:val="26"/>
        </w:rPr>
        <w:br w:type="page"/>
      </w:r>
    </w:p>
    <w:p w:rsidR="00DB4131" w:rsidRPr="00424C66" w:rsidRDefault="00DB4131" w:rsidP="00DB4131">
      <w:pPr>
        <w:pStyle w:val="Bodytext20"/>
        <w:shd w:val="clear" w:color="auto" w:fill="auto"/>
        <w:spacing w:line="360" w:lineRule="auto"/>
        <w:jc w:val="center"/>
        <w:rPr>
          <w:rStyle w:val="Bodytext2Bold"/>
          <w:rFonts w:ascii="Times New Roman" w:hAnsi="Times New Roman" w:cs="Times New Roman"/>
          <w:i w:val="0"/>
          <w:sz w:val="26"/>
          <w:szCs w:val="26"/>
        </w:rPr>
      </w:pPr>
      <w:r w:rsidRPr="00424C66">
        <w:rPr>
          <w:rStyle w:val="Bodytext2Bold"/>
          <w:rFonts w:ascii="Times New Roman" w:hAnsi="Times New Roman" w:cs="Times New Roman"/>
          <w:i w:val="0"/>
          <w:sz w:val="26"/>
          <w:szCs w:val="26"/>
        </w:rPr>
        <w:lastRenderedPageBreak/>
        <w:t>CERTIFICATION</w:t>
      </w:r>
    </w:p>
    <w:p w:rsidR="00DB4131" w:rsidRPr="00424C66" w:rsidRDefault="00DB4131" w:rsidP="00DB4131">
      <w:pPr>
        <w:pStyle w:val="Bodytext20"/>
        <w:shd w:val="clear" w:color="auto" w:fill="auto"/>
        <w:spacing w:line="360" w:lineRule="auto"/>
        <w:rPr>
          <w:rStyle w:val="Bodytext2Bold"/>
          <w:rFonts w:ascii="Times New Roman" w:hAnsi="Times New Roman" w:cs="Times New Roman"/>
          <w:b w:val="0"/>
          <w:i w:val="0"/>
          <w:sz w:val="26"/>
          <w:szCs w:val="26"/>
        </w:rPr>
      </w:pPr>
      <w:r w:rsidRPr="00424C66">
        <w:rPr>
          <w:rStyle w:val="Bodytext2Bold"/>
          <w:rFonts w:ascii="Times New Roman" w:hAnsi="Times New Roman" w:cs="Times New Roman"/>
          <w:b w:val="0"/>
          <w:i w:val="0"/>
          <w:sz w:val="26"/>
          <w:szCs w:val="26"/>
        </w:rPr>
        <w:t>This research work has been read and approved in partial fulfillment of the requirements for the award National Diploma (ND) in Business Administration and Management by the Department of Business Administration and Management Studies, Institute of Finance and Management Studies (IFMS), Kwara State Polytechnic.</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                      ____________________________</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SANUSI S.I</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Supervisor)</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_______________________________    </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_________________________</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DR. ALIYU U.B</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(Project Coordinator)</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_______________________________               ____________________________</w:t>
      </w:r>
    </w:p>
    <w:p w:rsidR="00DB4131" w:rsidRDefault="00424C66"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MR. ALAKOSO I.</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 xml:space="preserve">(Head Of Department) </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_____________________________                         __________________________</w:t>
      </w:r>
    </w:p>
    <w:p w:rsidR="00DB4131" w:rsidRDefault="00424C66"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(External Examiner)</w:t>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Pr>
          <w:rStyle w:val="Bodytext2Bold"/>
          <w:rFonts w:ascii="Times New Roman" w:hAnsi="Times New Roman" w:cs="Times New Roman"/>
          <w:sz w:val="26"/>
          <w:szCs w:val="26"/>
        </w:rPr>
        <w:tab/>
      </w:r>
      <w:r w:rsidR="00DB4131">
        <w:rPr>
          <w:rStyle w:val="Bodytext2Bold"/>
          <w:rFonts w:ascii="Times New Roman" w:hAnsi="Times New Roman" w:cs="Times New Roman"/>
          <w:sz w:val="26"/>
          <w:szCs w:val="26"/>
        </w:rPr>
        <w:t>DATE</w:t>
      </w: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p>
    <w:p w:rsidR="00DB4131" w:rsidRDefault="00DB4131" w:rsidP="00DB4131">
      <w:pPr>
        <w:pStyle w:val="Bodytext20"/>
        <w:shd w:val="clear" w:color="auto" w:fill="auto"/>
        <w:spacing w:line="360" w:lineRule="auto"/>
        <w:rPr>
          <w:rStyle w:val="Bodytext2Bold"/>
          <w:rFonts w:ascii="Times New Roman" w:hAnsi="Times New Roman" w:cs="Times New Roman"/>
          <w:sz w:val="26"/>
          <w:szCs w:val="26"/>
        </w:rPr>
      </w:pPr>
      <w:r>
        <w:rPr>
          <w:rStyle w:val="Bodytext2Bold"/>
          <w:rFonts w:ascii="Times New Roman" w:hAnsi="Times New Roman" w:cs="Times New Roman"/>
          <w:sz w:val="26"/>
          <w:szCs w:val="26"/>
        </w:rPr>
        <w:t>​​</w:t>
      </w:r>
    </w:p>
    <w:p w:rsidR="00DB4131" w:rsidRDefault="00DB4131" w:rsidP="00DB4131">
      <w:pPr>
        <w:rPr>
          <w:rStyle w:val="Bodytext2Bold"/>
          <w:rFonts w:ascii="Times New Roman" w:hAnsi="Times New Roman" w:cs="Times New Roman"/>
          <w:i w:val="0"/>
          <w:iCs w:val="0"/>
          <w:sz w:val="26"/>
          <w:szCs w:val="26"/>
        </w:rPr>
      </w:pPr>
      <w:r>
        <w:rPr>
          <w:rStyle w:val="Bodytext2Bold"/>
          <w:rFonts w:ascii="Times New Roman" w:hAnsi="Times New Roman" w:cs="Times New Roman"/>
          <w:sz w:val="26"/>
          <w:szCs w:val="26"/>
        </w:rPr>
        <w:br w:type="page"/>
      </w:r>
    </w:p>
    <w:p w:rsidR="00DB4131" w:rsidRPr="00424C66" w:rsidRDefault="00DB4131" w:rsidP="00DB4131">
      <w:pPr>
        <w:pStyle w:val="Bodytext20"/>
        <w:shd w:val="clear" w:color="auto" w:fill="auto"/>
        <w:spacing w:line="360" w:lineRule="auto"/>
        <w:jc w:val="center"/>
        <w:rPr>
          <w:rStyle w:val="Bodytext2Bold"/>
          <w:rFonts w:asciiTheme="majorHAnsi" w:hAnsiTheme="majorHAnsi" w:cs="Times New Roman"/>
          <w:i w:val="0"/>
          <w:sz w:val="24"/>
          <w:szCs w:val="24"/>
        </w:rPr>
      </w:pPr>
      <w:r w:rsidRPr="00424C66">
        <w:rPr>
          <w:rStyle w:val="Bodytext2Bold"/>
          <w:rFonts w:asciiTheme="majorHAnsi" w:hAnsiTheme="majorHAnsi" w:cs="Times New Roman"/>
          <w:i w:val="0"/>
          <w:sz w:val="24"/>
          <w:szCs w:val="24"/>
        </w:rPr>
        <w:lastRenderedPageBreak/>
        <w:t>DEDICATION</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spacing w:line="360" w:lineRule="auto"/>
        <w:rPr>
          <w:rStyle w:val="Bodytext2Bold"/>
          <w:rFonts w:asciiTheme="majorHAnsi" w:hAnsiTheme="majorHAnsi" w:cs="Times New Roman"/>
          <w:i w:val="0"/>
          <w:iCs w:val="0"/>
          <w:sz w:val="24"/>
          <w:szCs w:val="24"/>
        </w:rPr>
      </w:pPr>
      <w:r w:rsidRPr="00011B9C">
        <w:rPr>
          <w:rStyle w:val="Bodytext2Bold"/>
          <w:rFonts w:asciiTheme="majorHAnsi" w:hAnsiTheme="majorHAnsi" w:cs="Times New Roman"/>
          <w:sz w:val="24"/>
          <w:szCs w:val="24"/>
        </w:rPr>
        <w:br w:type="page"/>
      </w:r>
    </w:p>
    <w:p w:rsidR="00DB4131" w:rsidRPr="00011B9C" w:rsidRDefault="00DB4131" w:rsidP="00DB4131">
      <w:pPr>
        <w:pStyle w:val="Bodytext20"/>
        <w:shd w:val="clear" w:color="auto" w:fill="auto"/>
        <w:spacing w:line="360" w:lineRule="auto"/>
        <w:jc w:val="center"/>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lastRenderedPageBreak/>
        <w:t>ACKNOWLEDGEMENT</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My appreciation goes to Almighty </w:t>
      </w:r>
      <w:r w:rsidR="00424C66">
        <w:rPr>
          <w:rStyle w:val="Bodytext2Bold"/>
          <w:rFonts w:asciiTheme="majorHAnsi" w:hAnsiTheme="majorHAnsi" w:cs="Times New Roman"/>
          <w:b w:val="0"/>
          <w:i w:val="0"/>
          <w:sz w:val="24"/>
          <w:szCs w:val="24"/>
        </w:rPr>
        <w:t>Allah</w:t>
      </w:r>
      <w:r w:rsidRPr="00424C66">
        <w:rPr>
          <w:rStyle w:val="Bodytext2Bold"/>
          <w:rFonts w:asciiTheme="majorHAnsi" w:hAnsiTheme="majorHAnsi" w:cs="Times New Roman"/>
          <w:b w:val="0"/>
          <w:i w:val="0"/>
          <w:sz w:val="24"/>
          <w:szCs w:val="24"/>
        </w:rPr>
        <w:t xml:space="preserve"> for his guidance and protection over my life up till moment and for the mercies he has granted me in the course and my pursuit of this National Diploma programme may his be highly glorified.</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My profound appreciation goes to my honest dedicated supervisor </w:t>
      </w:r>
      <w:r w:rsidRPr="00424C66">
        <w:rPr>
          <w:rStyle w:val="Bodytext2Bold"/>
          <w:rFonts w:asciiTheme="majorHAnsi" w:hAnsiTheme="majorHAnsi" w:cs="Times New Roman"/>
          <w:i w:val="0"/>
          <w:sz w:val="24"/>
          <w:szCs w:val="24"/>
        </w:rPr>
        <w:t xml:space="preserve">MR. </w:t>
      </w:r>
      <w:r w:rsidR="00424C66" w:rsidRPr="00424C66">
        <w:rPr>
          <w:rStyle w:val="Bodytext2Bold"/>
          <w:rFonts w:asciiTheme="majorHAnsi" w:hAnsiTheme="majorHAnsi" w:cs="Times New Roman"/>
          <w:i w:val="0"/>
          <w:sz w:val="24"/>
          <w:szCs w:val="24"/>
        </w:rPr>
        <w:t>SANUSI S.I</w:t>
      </w:r>
      <w:r w:rsidRPr="00424C66">
        <w:rPr>
          <w:rStyle w:val="Bodytext2Bold"/>
          <w:rFonts w:asciiTheme="majorHAnsi" w:hAnsiTheme="majorHAnsi" w:cs="Times New Roman"/>
          <w:i w:val="0"/>
          <w:sz w:val="24"/>
          <w:szCs w:val="24"/>
        </w:rPr>
        <w:t>.</w:t>
      </w:r>
      <w:r w:rsidRPr="00424C66">
        <w:rPr>
          <w:rStyle w:val="Bodytext2Bold"/>
          <w:rFonts w:asciiTheme="majorHAnsi" w:hAnsiTheme="majorHAnsi" w:cs="Times New Roman"/>
          <w:b w:val="0"/>
          <w:i w:val="0"/>
          <w:sz w:val="24"/>
          <w:szCs w:val="24"/>
        </w:rPr>
        <w:t xml:space="preserve"> who took it officially as well as issue on how to pursue through my project work and made my work very easy through his comments, contributions and corrections.</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 am very grateful to the Head of the Department of Business Administration and Management </w:t>
      </w:r>
      <w:r w:rsidRPr="00424C66">
        <w:rPr>
          <w:rStyle w:val="Bodytext2Bold"/>
          <w:rFonts w:asciiTheme="majorHAnsi" w:hAnsiTheme="majorHAnsi" w:cs="Times New Roman"/>
          <w:i w:val="0"/>
          <w:sz w:val="24"/>
          <w:szCs w:val="24"/>
        </w:rPr>
        <w:t>MR ALAKOSO</w:t>
      </w:r>
      <w:r w:rsidRPr="00424C66">
        <w:rPr>
          <w:rStyle w:val="Bodytext2Bold"/>
          <w:rFonts w:asciiTheme="majorHAnsi" w:hAnsiTheme="majorHAnsi" w:cs="Times New Roman"/>
          <w:b w:val="0"/>
          <w:i w:val="0"/>
          <w:sz w:val="24"/>
          <w:szCs w:val="24"/>
        </w:rPr>
        <w:t xml:space="preserve"> I. for his encouragement and all lecturers in my Department for your support and Advice.</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 will like to express my gratitude to my parent </w:t>
      </w:r>
      <w:r w:rsidRPr="00424C66">
        <w:rPr>
          <w:rStyle w:val="Bodytext2Bold"/>
          <w:rFonts w:asciiTheme="majorHAnsi" w:hAnsiTheme="majorHAnsi" w:cs="Times New Roman"/>
          <w:i w:val="0"/>
          <w:sz w:val="24"/>
          <w:szCs w:val="24"/>
        </w:rPr>
        <w:t xml:space="preserve">MR. &amp; MRS </w:t>
      </w:r>
      <w:r w:rsidR="00424C66" w:rsidRPr="00424C66">
        <w:rPr>
          <w:rStyle w:val="Bodytext2Bold"/>
          <w:rFonts w:asciiTheme="majorHAnsi" w:hAnsiTheme="majorHAnsi" w:cs="Times New Roman"/>
          <w:i w:val="0"/>
          <w:sz w:val="24"/>
          <w:szCs w:val="24"/>
        </w:rPr>
        <w:t>RASAK</w:t>
      </w:r>
      <w:r w:rsidRPr="00424C66">
        <w:rPr>
          <w:rStyle w:val="Bodytext2Bold"/>
          <w:rFonts w:asciiTheme="majorHAnsi" w:hAnsiTheme="majorHAnsi" w:cs="Times New Roman"/>
          <w:i w:val="0"/>
          <w:sz w:val="24"/>
          <w:szCs w:val="24"/>
        </w:rPr>
        <w:t xml:space="preserve"> </w:t>
      </w:r>
      <w:r w:rsidRPr="00424C66">
        <w:rPr>
          <w:rStyle w:val="Bodytext2Bold"/>
          <w:rFonts w:asciiTheme="majorHAnsi" w:hAnsiTheme="majorHAnsi" w:cs="Times New Roman"/>
          <w:b w:val="0"/>
          <w:i w:val="0"/>
          <w:sz w:val="24"/>
          <w:szCs w:val="24"/>
        </w:rPr>
        <w:t xml:space="preserve">for their limitless effort in aspect of finance, prayer and encouragement, I pray they shall wait to eat the fruit of their labour. </w:t>
      </w:r>
    </w:p>
    <w:p w:rsidR="00DB4131" w:rsidRPr="00424C66" w:rsidRDefault="00DB4131" w:rsidP="00DB4131">
      <w:pPr>
        <w:pStyle w:val="Bodytext20"/>
        <w:shd w:val="clear" w:color="auto" w:fill="auto"/>
        <w:spacing w:line="360" w:lineRule="auto"/>
        <w:ind w:firstLine="720"/>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In a special way I will like to appreciate my supporting friends that stood by me during my study. </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GOD BLESS YOU ALL.</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424C66" w:rsidRDefault="00424C66">
      <w:pPr>
        <w:spacing w:after="160" w:line="259" w:lineRule="auto"/>
        <w:rPr>
          <w:rStyle w:val="Bodytext2Bold"/>
          <w:rFonts w:asciiTheme="majorHAnsi" w:hAnsiTheme="majorHAnsi" w:cs="Times New Roman"/>
          <w:sz w:val="24"/>
          <w:szCs w:val="24"/>
        </w:rPr>
      </w:pPr>
      <w:r>
        <w:rPr>
          <w:rStyle w:val="Bodytext2Bold"/>
          <w:rFonts w:asciiTheme="majorHAnsi" w:hAnsiTheme="majorHAnsi" w:cs="Times New Roman"/>
          <w:sz w:val="24"/>
          <w:szCs w:val="24"/>
        </w:rPr>
        <w:br w:type="page"/>
      </w:r>
    </w:p>
    <w:p w:rsidR="00DB4131" w:rsidRPr="00424C66" w:rsidRDefault="00DB4131" w:rsidP="00424C66">
      <w:pPr>
        <w:pStyle w:val="Bodytext20"/>
        <w:shd w:val="clear" w:color="auto" w:fill="auto"/>
        <w:spacing w:line="360" w:lineRule="auto"/>
        <w:jc w:val="center"/>
        <w:rPr>
          <w:rStyle w:val="Bodytext2Bold"/>
          <w:rFonts w:asciiTheme="majorHAnsi" w:hAnsiTheme="majorHAnsi" w:cs="Times New Roman"/>
          <w:i w:val="0"/>
          <w:sz w:val="24"/>
          <w:szCs w:val="24"/>
        </w:rPr>
      </w:pPr>
      <w:r w:rsidRPr="00424C66">
        <w:rPr>
          <w:rStyle w:val="Bodytext2Bold"/>
          <w:rFonts w:asciiTheme="majorHAnsi" w:hAnsiTheme="majorHAnsi" w:cs="Times New Roman"/>
          <w:i w:val="0"/>
          <w:sz w:val="24"/>
          <w:szCs w:val="24"/>
        </w:rPr>
        <w:lastRenderedPageBreak/>
        <w:t>TABLE OF CONTENTS</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Title page​​​​​​​​​​​</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Certification​​​​​​​​​​​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Declaration​​​​​​​​​​​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iii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Dedication​​​​​​​​​​​</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iv</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Acknowledgement ​​​​​​​​</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Table of Contents​​​​​​​​​​</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vi</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Abstract​​​​​​​​​​​</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vii</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ONE: INTRODUCTION</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1.1</w:t>
      </w:r>
      <w:r w:rsidRPr="00424C66">
        <w:rPr>
          <w:rStyle w:val="Bodytext2Bold"/>
          <w:rFonts w:asciiTheme="majorHAnsi" w:hAnsiTheme="majorHAnsi" w:cs="Times New Roman"/>
          <w:b w:val="0"/>
          <w:i w:val="0"/>
          <w:sz w:val="24"/>
          <w:szCs w:val="24"/>
        </w:rPr>
        <w:tab/>
        <w:t>​Background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1.2​</w:t>
      </w:r>
      <w:r w:rsidRPr="00424C66">
        <w:rPr>
          <w:rStyle w:val="Bodytext2Bold"/>
          <w:rFonts w:asciiTheme="majorHAnsi" w:hAnsiTheme="majorHAnsi" w:cs="Times New Roman"/>
          <w:b w:val="0"/>
          <w:i w:val="0"/>
          <w:sz w:val="24"/>
          <w:szCs w:val="24"/>
        </w:rPr>
        <w:tab/>
        <w:t>Statements of the research problem​​​​​​</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2</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1.3​</w:t>
      </w:r>
      <w:r w:rsidRPr="00424C66">
        <w:rPr>
          <w:rStyle w:val="Bodytext2Bold"/>
          <w:rFonts w:asciiTheme="majorHAnsi" w:hAnsiTheme="majorHAnsi" w:cs="Times New Roman"/>
          <w:b w:val="0"/>
          <w:i w:val="0"/>
          <w:sz w:val="24"/>
          <w:szCs w:val="24"/>
        </w:rPr>
        <w:tab/>
        <w:t>Objectives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1.4</w:t>
      </w:r>
      <w:r w:rsidRPr="00424C66">
        <w:rPr>
          <w:rStyle w:val="Bodytext2Bold"/>
          <w:rFonts w:asciiTheme="majorHAnsi" w:hAnsiTheme="majorHAnsi" w:cs="Times New Roman"/>
          <w:b w:val="0"/>
          <w:i w:val="0"/>
          <w:sz w:val="24"/>
          <w:szCs w:val="24"/>
        </w:rPr>
        <w:tab/>
        <w:t>​Research Questions​​​​​​​​</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1.5</w:t>
      </w:r>
      <w:r w:rsidRPr="00424C66">
        <w:rPr>
          <w:rStyle w:val="Bodytext2Bold"/>
          <w:rFonts w:asciiTheme="majorHAnsi" w:hAnsiTheme="majorHAnsi" w:cs="Times New Roman"/>
          <w:b w:val="0"/>
          <w:i w:val="0"/>
          <w:sz w:val="24"/>
          <w:szCs w:val="24"/>
        </w:rPr>
        <w:tab/>
        <w:t>​Research Hypotheses ​​​​​​​​</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1.6</w:t>
      </w:r>
      <w:r w:rsidRPr="00424C66">
        <w:rPr>
          <w:rStyle w:val="Bodytext2Bold"/>
          <w:rFonts w:asciiTheme="majorHAnsi" w:hAnsiTheme="majorHAnsi" w:cs="Times New Roman"/>
          <w:b w:val="0"/>
          <w:i w:val="0"/>
          <w:sz w:val="24"/>
          <w:szCs w:val="24"/>
        </w:rPr>
        <w:tab/>
        <w:t>​Significance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4</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1.7​</w:t>
      </w:r>
      <w:r w:rsidRPr="00424C66">
        <w:rPr>
          <w:rStyle w:val="Bodytext2Bold"/>
          <w:rFonts w:asciiTheme="majorHAnsi" w:hAnsiTheme="majorHAnsi" w:cs="Times New Roman"/>
          <w:b w:val="0"/>
          <w:i w:val="0"/>
          <w:sz w:val="24"/>
          <w:szCs w:val="24"/>
        </w:rPr>
        <w:tab/>
        <w:t>Scope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5</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1.8​</w:t>
      </w:r>
      <w:r w:rsidRPr="00424C66">
        <w:rPr>
          <w:rStyle w:val="Bodytext2Bold"/>
          <w:rFonts w:asciiTheme="majorHAnsi" w:hAnsiTheme="majorHAnsi" w:cs="Times New Roman"/>
          <w:b w:val="0"/>
          <w:i w:val="0"/>
          <w:sz w:val="24"/>
          <w:szCs w:val="24"/>
        </w:rPr>
        <w:tab/>
        <w:t>Limitations of the study​​​​​​​​</w:t>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r>
      <w:r w:rsidR="00424C66">
        <w:rPr>
          <w:rStyle w:val="Bodytext2Bold"/>
          <w:rFonts w:asciiTheme="majorHAnsi" w:hAnsiTheme="majorHAnsi" w:cs="Times New Roman"/>
          <w:b w:val="0"/>
          <w:i w:val="0"/>
          <w:sz w:val="24"/>
          <w:szCs w:val="24"/>
        </w:rPr>
        <w:tab/>
        <w:t>6</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1.9​</w:t>
      </w:r>
      <w:r w:rsidRPr="00424C66">
        <w:rPr>
          <w:rStyle w:val="Bodytext2Bold"/>
          <w:rFonts w:asciiTheme="majorHAnsi" w:hAnsiTheme="majorHAnsi" w:cs="Times New Roman"/>
          <w:b w:val="0"/>
          <w:i w:val="0"/>
          <w:sz w:val="24"/>
          <w:szCs w:val="24"/>
        </w:rPr>
        <w:tab/>
        <w:t>Operationalization​ of the Study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1.10​</w:t>
      </w:r>
      <w:r w:rsidRPr="00424C66">
        <w:rPr>
          <w:rStyle w:val="Bodytext2Bold"/>
          <w:rFonts w:asciiTheme="majorHAnsi" w:hAnsiTheme="majorHAnsi" w:cs="Times New Roman"/>
          <w:b w:val="0"/>
          <w:i w:val="0"/>
          <w:sz w:val="24"/>
          <w:szCs w:val="24"/>
        </w:rPr>
        <w:tab/>
        <w:t>Definition terms</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​​​​​​​​​8</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TWO: LITERATURE REVIEW</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2.0</w:t>
      </w:r>
      <w:r w:rsidRPr="00424C66">
        <w:rPr>
          <w:rStyle w:val="Bodytext2Bold"/>
          <w:rFonts w:asciiTheme="majorHAnsi" w:hAnsiTheme="majorHAnsi" w:cs="Times New Roman"/>
          <w:b w:val="0"/>
          <w:i w:val="0"/>
          <w:sz w:val="24"/>
          <w:szCs w:val="24"/>
        </w:rPr>
        <w:tab/>
        <w:t>​Introduction​​​​​​​​​​</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w:t>
      </w:r>
      <w:r w:rsidRPr="00424C66">
        <w:rPr>
          <w:rStyle w:val="Bodytext2Bold"/>
          <w:rFonts w:asciiTheme="majorHAnsi" w:hAnsiTheme="majorHAnsi" w:cs="Times New Roman"/>
          <w:b w:val="0"/>
          <w:i w:val="0"/>
          <w:sz w:val="24"/>
          <w:szCs w:val="24"/>
        </w:rPr>
        <w:tab/>
        <w:t>​Conceptual Review​​​​​​​​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2.1.1</w:t>
      </w:r>
      <w:r w:rsidRPr="00424C66">
        <w:rPr>
          <w:rStyle w:val="Bodytext2Bold"/>
          <w:rFonts w:asciiTheme="majorHAnsi" w:hAnsiTheme="majorHAnsi" w:cs="Times New Roman"/>
          <w:b w:val="0"/>
          <w:i w:val="0"/>
          <w:sz w:val="24"/>
          <w:szCs w:val="24"/>
        </w:rPr>
        <w:tab/>
        <w:t>​Productivity​​​​​​​​​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2.1.2​</w:t>
      </w:r>
      <w:r w:rsidRPr="00424C66">
        <w:rPr>
          <w:rStyle w:val="Bodytext2Bold"/>
          <w:rFonts w:asciiTheme="majorHAnsi" w:hAnsiTheme="majorHAnsi" w:cs="Times New Roman"/>
          <w:b w:val="0"/>
          <w:i w:val="0"/>
          <w:sz w:val="24"/>
          <w:szCs w:val="24"/>
        </w:rPr>
        <w:tab/>
        <w:t>Customer Service​​​​​​​​​</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10</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2.1.3​</w:t>
      </w:r>
      <w:r w:rsidRPr="00424C66">
        <w:rPr>
          <w:rStyle w:val="Bodytext2Bold"/>
          <w:rFonts w:asciiTheme="majorHAnsi" w:hAnsiTheme="majorHAnsi" w:cs="Times New Roman"/>
          <w:b w:val="0"/>
          <w:i w:val="0"/>
          <w:sz w:val="24"/>
          <w:szCs w:val="24"/>
        </w:rPr>
        <w:tab/>
        <w:t>Characteristics of Customer Service</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2.1.4​</w:t>
      </w:r>
      <w:r w:rsidRPr="00424C66">
        <w:rPr>
          <w:rStyle w:val="Bodytext2Bold"/>
          <w:rFonts w:asciiTheme="majorHAnsi" w:hAnsiTheme="majorHAnsi" w:cs="Times New Roman"/>
          <w:b w:val="0"/>
          <w:i w:val="0"/>
          <w:sz w:val="24"/>
          <w:szCs w:val="24"/>
        </w:rPr>
        <w:tab/>
        <w:t>Profitability</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​​​​​​​​​​14</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2.1.5</w:t>
      </w:r>
      <w:r w:rsidRPr="00424C66">
        <w:rPr>
          <w:rStyle w:val="Bodytext2Bold"/>
          <w:rFonts w:asciiTheme="majorHAnsi" w:hAnsiTheme="majorHAnsi" w:cs="Times New Roman"/>
          <w:b w:val="0"/>
          <w:i w:val="0"/>
          <w:sz w:val="24"/>
          <w:szCs w:val="24"/>
        </w:rPr>
        <w:tab/>
        <w:t>​Product Logo​​​​​​​​​</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15</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2.1.6​</w:t>
      </w:r>
      <w:r w:rsidRPr="00424C66">
        <w:rPr>
          <w:rStyle w:val="Bodytext2Bold"/>
          <w:rFonts w:asciiTheme="majorHAnsi" w:hAnsiTheme="majorHAnsi" w:cs="Times New Roman"/>
          <w:b w:val="0"/>
          <w:i w:val="0"/>
          <w:sz w:val="24"/>
          <w:szCs w:val="24"/>
        </w:rPr>
        <w:tab/>
        <w:t>Packaging</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2.1.7</w:t>
      </w:r>
      <w:r w:rsidRPr="00424C66">
        <w:rPr>
          <w:rStyle w:val="Bodytext2Bold"/>
          <w:rFonts w:asciiTheme="majorHAnsi" w:hAnsiTheme="majorHAnsi" w:cs="Times New Roman"/>
          <w:b w:val="0"/>
          <w:i w:val="0"/>
          <w:sz w:val="24"/>
          <w:szCs w:val="24"/>
        </w:rPr>
        <w:tab/>
        <w:t>​Price of a Product​​​​​​​​​</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18</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 xml:space="preserve">2.1.8 </w:t>
      </w:r>
      <w:r w:rsidRPr="00424C66">
        <w:rPr>
          <w:rStyle w:val="Bodytext2Bold"/>
          <w:rFonts w:asciiTheme="majorHAnsi" w:hAnsiTheme="majorHAnsi" w:cs="Times New Roman"/>
          <w:b w:val="0"/>
          <w:i w:val="0"/>
          <w:sz w:val="24"/>
          <w:szCs w:val="24"/>
        </w:rPr>
        <w:tab/>
        <w:t>Branding​​​​​​​​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19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2.1.9. Importance of Branding​​​​​​​​</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lastRenderedPageBreak/>
        <w:t>2.2​</w:t>
      </w:r>
      <w:r w:rsidRPr="00424C66">
        <w:rPr>
          <w:rStyle w:val="Bodytext2Bold"/>
          <w:rFonts w:asciiTheme="majorHAnsi" w:hAnsiTheme="majorHAnsi" w:cs="Times New Roman"/>
          <w:b w:val="0"/>
          <w:i w:val="0"/>
          <w:sz w:val="24"/>
          <w:szCs w:val="24"/>
        </w:rPr>
        <w:tab/>
        <w:t>Theoretical Framework​​​​​​​​</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2.2.1​</w:t>
      </w:r>
      <w:r w:rsidRPr="00424C66">
        <w:rPr>
          <w:rStyle w:val="Bodytext2Bold"/>
          <w:rFonts w:asciiTheme="majorHAnsi" w:hAnsiTheme="majorHAnsi" w:cs="Times New Roman"/>
          <w:b w:val="0"/>
          <w:i w:val="0"/>
          <w:sz w:val="24"/>
          <w:szCs w:val="24"/>
        </w:rPr>
        <w:tab/>
        <w:t>Resource-Based 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23</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2.2.2​</w:t>
      </w:r>
      <w:r w:rsidRPr="00424C66">
        <w:rPr>
          <w:rStyle w:val="Bodytext2Bold"/>
          <w:rFonts w:asciiTheme="majorHAnsi" w:hAnsiTheme="majorHAnsi" w:cs="Times New Roman"/>
          <w:b w:val="0"/>
          <w:i w:val="0"/>
          <w:sz w:val="24"/>
          <w:szCs w:val="24"/>
        </w:rPr>
        <w:tab/>
        <w:t>Competence-Based Competition​​​​​​</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27</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2.2.3​</w:t>
      </w:r>
      <w:r w:rsidRPr="00424C66">
        <w:rPr>
          <w:rStyle w:val="Bodytext2Bold"/>
          <w:rFonts w:asciiTheme="majorHAnsi" w:hAnsiTheme="majorHAnsi" w:cs="Times New Roman"/>
          <w:b w:val="0"/>
          <w:i w:val="0"/>
          <w:sz w:val="24"/>
          <w:szCs w:val="24"/>
        </w:rPr>
        <w:tab/>
        <w:t>Dynamic Capabilities View​​​​​​​</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29</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2.3​</w:t>
      </w:r>
      <w:r w:rsidRPr="00424C66">
        <w:rPr>
          <w:rStyle w:val="Bodytext2Bold"/>
          <w:rFonts w:asciiTheme="majorHAnsi" w:hAnsiTheme="majorHAnsi" w:cs="Times New Roman"/>
          <w:b w:val="0"/>
          <w:i w:val="0"/>
          <w:sz w:val="24"/>
          <w:szCs w:val="24"/>
        </w:rPr>
        <w:tab/>
        <w:t>Empirical Review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31</w:t>
      </w:r>
    </w:p>
    <w:p w:rsidR="00DB4131" w:rsidRPr="00424C66"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424C66">
        <w:rPr>
          <w:rStyle w:val="Bodytext2Bold"/>
          <w:rFonts w:asciiTheme="majorHAnsi" w:hAnsiTheme="majorHAnsi" w:cs="Times New Roman"/>
          <w:b w:val="0"/>
          <w:i w:val="0"/>
          <w:sz w:val="24"/>
          <w:szCs w:val="24"/>
        </w:rPr>
        <w:t>2.4​</w:t>
      </w:r>
      <w:r w:rsidRPr="00424C66">
        <w:rPr>
          <w:rStyle w:val="Bodytext2Bold"/>
          <w:rFonts w:asciiTheme="majorHAnsi" w:hAnsiTheme="majorHAnsi" w:cs="Times New Roman"/>
          <w:b w:val="0"/>
          <w:i w:val="0"/>
          <w:sz w:val="24"/>
          <w:szCs w:val="24"/>
        </w:rPr>
        <w:tab/>
        <w:t>Gaps in Literature ​​​​​​​​​</w:t>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r>
      <w:r w:rsidRPr="00424C66">
        <w:rPr>
          <w:rStyle w:val="Bodytext2Bold"/>
          <w:rFonts w:asciiTheme="majorHAnsi" w:hAnsiTheme="majorHAnsi" w:cs="Times New Roman"/>
          <w:b w:val="0"/>
          <w:i w:val="0"/>
          <w:sz w:val="24"/>
          <w:szCs w:val="24"/>
        </w:rPr>
        <w:tab/>
        <w:t>34</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THREE: METHODOLOGY</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3.1</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3.2​</w:t>
      </w:r>
      <w:r w:rsidRPr="00F81A07">
        <w:rPr>
          <w:rStyle w:val="Bodytext2Bold"/>
          <w:rFonts w:asciiTheme="majorHAnsi" w:hAnsiTheme="majorHAnsi" w:cs="Times New Roman"/>
          <w:b w:val="0"/>
          <w:i w:val="0"/>
          <w:sz w:val="24"/>
          <w:szCs w:val="24"/>
        </w:rPr>
        <w:tab/>
        <w:t>Research Methods​​​​​​​​​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3.3​</w:t>
      </w:r>
      <w:r w:rsidRPr="00F81A07">
        <w:rPr>
          <w:rStyle w:val="Bodytext2Bold"/>
          <w:rFonts w:asciiTheme="majorHAnsi" w:hAnsiTheme="majorHAnsi" w:cs="Times New Roman"/>
          <w:b w:val="0"/>
          <w:i w:val="0"/>
          <w:sz w:val="24"/>
          <w:szCs w:val="24"/>
        </w:rPr>
        <w:tab/>
        <w:t>Research Design​​​​​​​​​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3.4​</w:t>
      </w:r>
      <w:r w:rsidRPr="00F81A07">
        <w:rPr>
          <w:rStyle w:val="Bodytext2Bold"/>
          <w:rFonts w:asciiTheme="majorHAnsi" w:hAnsiTheme="majorHAnsi" w:cs="Times New Roman"/>
          <w:b w:val="0"/>
          <w:i w:val="0"/>
          <w:sz w:val="24"/>
          <w:szCs w:val="24"/>
        </w:rPr>
        <w:tab/>
        <w:t>Population of Study​​​​​​​​</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3.5​</w:t>
      </w:r>
      <w:r w:rsidRPr="00F81A07">
        <w:rPr>
          <w:rStyle w:val="Bodytext2Bold"/>
          <w:rFonts w:asciiTheme="majorHAnsi" w:hAnsiTheme="majorHAnsi" w:cs="Times New Roman"/>
          <w:b w:val="0"/>
          <w:i w:val="0"/>
          <w:sz w:val="24"/>
          <w:szCs w:val="24"/>
        </w:rPr>
        <w:tab/>
        <w:t>Sample Size Determination​​​​​​​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3.6​</w:t>
      </w:r>
      <w:r w:rsidRPr="00F81A07">
        <w:rPr>
          <w:rStyle w:val="Bodytext2Bold"/>
          <w:rFonts w:asciiTheme="majorHAnsi" w:hAnsiTheme="majorHAnsi" w:cs="Times New Roman"/>
          <w:b w:val="0"/>
          <w:i w:val="0"/>
          <w:sz w:val="24"/>
          <w:szCs w:val="24"/>
        </w:rPr>
        <w:tab/>
        <w:t>Sampling Techniques​​​​​​​​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3.7​</w:t>
      </w:r>
      <w:r w:rsidRPr="00F81A07">
        <w:rPr>
          <w:rStyle w:val="Bodytext2Bold"/>
          <w:rFonts w:asciiTheme="majorHAnsi" w:hAnsiTheme="majorHAnsi" w:cs="Times New Roman"/>
          <w:b w:val="0"/>
          <w:i w:val="0"/>
          <w:sz w:val="24"/>
          <w:szCs w:val="24"/>
        </w:rPr>
        <w:tab/>
        <w:t>Source of Data Collection​​​​​​​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37</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3.8​</w:t>
      </w:r>
      <w:r w:rsidRPr="00F81A07">
        <w:rPr>
          <w:rStyle w:val="Bodytext2Bold"/>
          <w:rFonts w:asciiTheme="majorHAnsi" w:hAnsiTheme="majorHAnsi" w:cs="Times New Roman"/>
          <w:b w:val="0"/>
          <w:i w:val="0"/>
          <w:sz w:val="24"/>
          <w:szCs w:val="24"/>
        </w:rPr>
        <w:tab/>
        <w:t>Research Instruments​​​​​​​​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38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3.9​</w:t>
      </w:r>
      <w:r w:rsidRPr="00F81A07">
        <w:rPr>
          <w:rStyle w:val="Bodytext2Bold"/>
          <w:rFonts w:asciiTheme="majorHAnsi" w:hAnsiTheme="majorHAnsi" w:cs="Times New Roman"/>
          <w:b w:val="0"/>
          <w:i w:val="0"/>
          <w:sz w:val="24"/>
          <w:szCs w:val="24"/>
        </w:rPr>
        <w:tab/>
        <w:t>Validity and Reliability of the Data</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38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3.10​</w:t>
      </w:r>
      <w:r w:rsidRPr="00F81A07">
        <w:rPr>
          <w:rStyle w:val="Bodytext2Bold"/>
          <w:rFonts w:asciiTheme="majorHAnsi" w:hAnsiTheme="majorHAnsi" w:cs="Times New Roman"/>
          <w:b w:val="0"/>
          <w:i w:val="0"/>
          <w:sz w:val="24"/>
          <w:szCs w:val="24"/>
        </w:rPr>
        <w:tab/>
        <w:t xml:space="preserve">Method of Data Analysis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39</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FOUR: DATA PRESENTATION AND ANALYSIS</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4.0​</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40</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4.1​</w:t>
      </w:r>
      <w:r w:rsidRPr="00F81A07">
        <w:rPr>
          <w:rStyle w:val="Bodytext2Bold"/>
          <w:rFonts w:asciiTheme="majorHAnsi" w:hAnsiTheme="majorHAnsi" w:cs="Times New Roman"/>
          <w:b w:val="0"/>
          <w:i w:val="0"/>
          <w:sz w:val="24"/>
          <w:szCs w:val="24"/>
        </w:rPr>
        <w:tab/>
        <w:t>Data Presentation and Analysis​​​​​​​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48</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4.2​</w:t>
      </w:r>
      <w:r w:rsidRPr="00F81A07">
        <w:rPr>
          <w:rStyle w:val="Bodytext2Bold"/>
          <w:rFonts w:asciiTheme="majorHAnsi" w:hAnsiTheme="majorHAnsi" w:cs="Times New Roman"/>
          <w:b w:val="0"/>
          <w:i w:val="0"/>
          <w:sz w:val="24"/>
          <w:szCs w:val="24"/>
        </w:rPr>
        <w:tab/>
        <w:t>Test of hypotheses​​​​​​​​​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51</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4.3​</w:t>
      </w:r>
      <w:r w:rsidRPr="00F81A07">
        <w:rPr>
          <w:rStyle w:val="Bodytext2Bold"/>
          <w:rFonts w:asciiTheme="majorHAnsi" w:hAnsiTheme="majorHAnsi" w:cs="Times New Roman"/>
          <w:b w:val="0"/>
          <w:i w:val="0"/>
          <w:sz w:val="24"/>
          <w:szCs w:val="24"/>
        </w:rPr>
        <w:tab/>
        <w:t>Discussion of Results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w:t>
      </w:r>
      <w:r w:rsid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54</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CHAPTER FIVE: SUMMARY, CONCLUSION AND RECOMMENDATION</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 xml:space="preserve">5.0 </w:t>
      </w:r>
      <w:r w:rsidRPr="00F81A07">
        <w:rPr>
          <w:rStyle w:val="Bodytext2Bold"/>
          <w:rFonts w:asciiTheme="majorHAnsi" w:hAnsiTheme="majorHAnsi" w:cs="Times New Roman"/>
          <w:b w:val="0"/>
          <w:i w:val="0"/>
          <w:sz w:val="24"/>
          <w:szCs w:val="24"/>
        </w:rPr>
        <w:tab/>
        <w:t>Introduction​​​​​​​​​​</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55</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5.1​</w:t>
      </w:r>
      <w:r w:rsidRPr="00F81A07">
        <w:rPr>
          <w:rStyle w:val="Bodytext2Bold"/>
          <w:rFonts w:asciiTheme="majorHAnsi" w:hAnsiTheme="majorHAnsi" w:cs="Times New Roman"/>
          <w:b w:val="0"/>
          <w:i w:val="0"/>
          <w:sz w:val="24"/>
          <w:szCs w:val="24"/>
        </w:rPr>
        <w:tab/>
        <w:t>Summary of Findings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55</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5.2​</w:t>
      </w:r>
      <w:r w:rsidRPr="00F81A07">
        <w:rPr>
          <w:rStyle w:val="Bodytext2Bold"/>
          <w:rFonts w:asciiTheme="majorHAnsi" w:hAnsiTheme="majorHAnsi" w:cs="Times New Roman"/>
          <w:b w:val="0"/>
          <w:i w:val="0"/>
          <w:sz w:val="24"/>
          <w:szCs w:val="24"/>
        </w:rPr>
        <w:tab/>
        <w:t>Conclusions ​​​​​​​​​</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56</w:t>
      </w:r>
    </w:p>
    <w:p w:rsidR="00DB4131" w:rsidRPr="00F81A07" w:rsidRDefault="00DB4131" w:rsidP="00DB4131">
      <w:pPr>
        <w:pStyle w:val="Bodytext20"/>
        <w:shd w:val="clear" w:color="auto" w:fill="auto"/>
        <w:spacing w:line="360" w:lineRule="auto"/>
        <w:rPr>
          <w:rStyle w:val="Bodytext2Bold"/>
          <w:rFonts w:asciiTheme="majorHAnsi" w:hAnsiTheme="majorHAnsi" w:cs="Times New Roman"/>
          <w:b w:val="0"/>
          <w:i w:val="0"/>
          <w:sz w:val="24"/>
          <w:szCs w:val="24"/>
        </w:rPr>
      </w:pPr>
      <w:r w:rsidRPr="00F81A07">
        <w:rPr>
          <w:rStyle w:val="Bodytext2Bold"/>
          <w:rFonts w:asciiTheme="majorHAnsi" w:hAnsiTheme="majorHAnsi" w:cs="Times New Roman"/>
          <w:b w:val="0"/>
          <w:i w:val="0"/>
          <w:sz w:val="24"/>
          <w:szCs w:val="24"/>
        </w:rPr>
        <w:t>5.3​</w:t>
      </w:r>
      <w:r w:rsidRPr="00F81A07">
        <w:rPr>
          <w:rStyle w:val="Bodytext2Bold"/>
          <w:rFonts w:asciiTheme="majorHAnsi" w:hAnsiTheme="majorHAnsi" w:cs="Times New Roman"/>
          <w:b w:val="0"/>
          <w:i w:val="0"/>
          <w:sz w:val="24"/>
          <w:szCs w:val="24"/>
        </w:rPr>
        <w:tab/>
        <w:t>Recommendations​​​​​​​​​</w:t>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r>
      <w:r w:rsidRPr="00F81A07">
        <w:rPr>
          <w:rStyle w:val="Bodytext2Bold"/>
          <w:rFonts w:asciiTheme="majorHAnsi" w:hAnsiTheme="majorHAnsi" w:cs="Times New Roman"/>
          <w:b w:val="0"/>
          <w:i w:val="0"/>
          <w:sz w:val="24"/>
          <w:szCs w:val="24"/>
        </w:rPr>
        <w:tab/>
        <w:t>56</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b w:val="0"/>
          <w:sz w:val="24"/>
          <w:szCs w:val="24"/>
        </w:rPr>
      </w:pPr>
      <w:r w:rsidRPr="00011B9C">
        <w:rPr>
          <w:rStyle w:val="Bodytext2Bold"/>
          <w:rFonts w:asciiTheme="majorHAnsi" w:hAnsiTheme="majorHAnsi" w:cs="Times New Roman"/>
          <w:sz w:val="24"/>
          <w:szCs w:val="24"/>
        </w:rPr>
        <w:t>References</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w:t>
      </w:r>
      <w:r w:rsidRPr="00011B9C">
        <w:rPr>
          <w:rStyle w:val="Bodytext2Bold"/>
          <w:rFonts w:asciiTheme="majorHAnsi" w:hAnsiTheme="majorHAnsi" w:cs="Times New Roman"/>
          <w:sz w:val="24"/>
          <w:szCs w:val="24"/>
        </w:rPr>
        <w:tab/>
        <w:t>57</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b w:val="0"/>
          <w:sz w:val="24"/>
          <w:szCs w:val="24"/>
        </w:rPr>
      </w:pPr>
      <w:r w:rsidRPr="00011B9C">
        <w:rPr>
          <w:rStyle w:val="Bodytext2Bold"/>
          <w:rFonts w:asciiTheme="majorHAnsi" w:hAnsiTheme="majorHAnsi" w:cs="Times New Roman"/>
          <w:sz w:val="24"/>
          <w:szCs w:val="24"/>
        </w:rPr>
        <w:t>Appendix</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w:t>
      </w:r>
      <w:r w:rsidRPr="00011B9C">
        <w:rPr>
          <w:rStyle w:val="Bodytext2Bold"/>
          <w:rFonts w:asciiTheme="majorHAnsi" w:hAnsiTheme="majorHAnsi" w:cs="Times New Roman"/>
          <w:sz w:val="24"/>
          <w:szCs w:val="24"/>
        </w:rPr>
        <w:tab/>
        <w:t>62</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r w:rsidRPr="00011B9C">
        <w:rPr>
          <w:rStyle w:val="Bodytext2Bold"/>
          <w:rFonts w:asciiTheme="majorHAnsi" w:hAnsiTheme="majorHAnsi" w:cs="Times New Roman"/>
          <w:sz w:val="24"/>
          <w:szCs w:val="24"/>
        </w:rPr>
        <w:t>Questionnaire​​​​​​​​​​</w:t>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r>
      <w:r w:rsidRPr="00011B9C">
        <w:rPr>
          <w:rStyle w:val="Bodytext2Bold"/>
          <w:rFonts w:asciiTheme="majorHAnsi" w:hAnsiTheme="majorHAnsi" w:cs="Times New Roman"/>
          <w:sz w:val="24"/>
          <w:szCs w:val="24"/>
        </w:rPr>
        <w:tab/>
        <w:t>62</w:t>
      </w:r>
    </w:p>
    <w:p w:rsidR="00DB4131" w:rsidRPr="00011B9C" w:rsidRDefault="00DB4131" w:rsidP="00DB4131">
      <w:pPr>
        <w:pStyle w:val="Bodytext20"/>
        <w:shd w:val="clear" w:color="auto" w:fill="auto"/>
        <w:spacing w:line="360" w:lineRule="auto"/>
        <w:rPr>
          <w:rStyle w:val="Bodytext2Bold"/>
          <w:rFonts w:asciiTheme="majorHAnsi" w:hAnsiTheme="majorHAnsi" w:cs="Times New Roman"/>
          <w:sz w:val="24"/>
          <w:szCs w:val="24"/>
        </w:rPr>
      </w:pPr>
    </w:p>
    <w:p w:rsidR="005B13F6" w:rsidRDefault="005B13F6">
      <w:pPr>
        <w:rPr>
          <w:rFonts w:ascii="Times New Roman" w:hAnsi="Times New Roman" w:cs="Times New Roman"/>
          <w:b/>
          <w:sz w:val="27"/>
          <w:szCs w:val="27"/>
        </w:rPr>
      </w:pPr>
    </w:p>
    <w:p w:rsidR="005B13F6" w:rsidRDefault="005B13F6">
      <w:pPr>
        <w:rPr>
          <w:rFonts w:ascii="Times New Roman" w:hAnsi="Times New Roman" w:cs="Times New Roman"/>
          <w:b/>
          <w:sz w:val="27"/>
          <w:szCs w:val="27"/>
        </w:rPr>
      </w:pPr>
    </w:p>
    <w:p w:rsidR="005B13F6" w:rsidRDefault="005B13F6">
      <w:pPr>
        <w:spacing w:line="480" w:lineRule="auto"/>
        <w:rPr>
          <w:rFonts w:ascii="Times New Roman" w:hAnsi="Times New Roman" w:cs="Times New Roman"/>
          <w:i/>
          <w:sz w:val="27"/>
          <w:szCs w:val="27"/>
        </w:rPr>
      </w:pPr>
    </w:p>
    <w:p w:rsidR="00DB4131" w:rsidRDefault="00DB4131">
      <w:pPr>
        <w:spacing w:after="160" w:line="259" w:lineRule="auto"/>
        <w:rPr>
          <w:rFonts w:ascii="Times New Roman" w:hAnsi="Times New Roman" w:cs="Times New Roman"/>
          <w:i/>
          <w:sz w:val="27"/>
          <w:szCs w:val="27"/>
        </w:rPr>
      </w:pPr>
      <w:r>
        <w:rPr>
          <w:rFonts w:ascii="Times New Roman" w:hAnsi="Times New Roman" w:cs="Times New Roman"/>
          <w:i/>
          <w:sz w:val="27"/>
          <w:szCs w:val="27"/>
        </w:rPr>
        <w:br w:type="page"/>
      </w:r>
    </w:p>
    <w:p w:rsidR="005B13F6" w:rsidRDefault="00DB4131">
      <w:pPr>
        <w:spacing w:line="480" w:lineRule="auto"/>
        <w:jc w:val="center"/>
        <w:rPr>
          <w:rFonts w:ascii="Times New Roman" w:hAnsi="Times New Roman" w:cs="Times New Roman"/>
          <w:i/>
          <w:sz w:val="27"/>
          <w:szCs w:val="27"/>
        </w:rPr>
      </w:pPr>
      <w:r>
        <w:rPr>
          <w:rFonts w:ascii="Times New Roman" w:hAnsi="Times New Roman" w:cs="Times New Roman"/>
          <w:i/>
          <w:sz w:val="27"/>
          <w:szCs w:val="27"/>
        </w:rPr>
        <w:lastRenderedPageBreak/>
        <w:t>ABSTRACT</w:t>
      </w:r>
    </w:p>
    <w:p w:rsidR="005B13F6" w:rsidRDefault="00DB4131">
      <w:pPr>
        <w:spacing w:line="480" w:lineRule="auto"/>
        <w:jc w:val="both"/>
        <w:rPr>
          <w:rFonts w:ascii="Times New Roman" w:hAnsi="Times New Roman" w:cs="Times New Roman"/>
          <w:i/>
          <w:sz w:val="27"/>
          <w:szCs w:val="27"/>
        </w:rPr>
      </w:pPr>
      <w:r>
        <w:rPr>
          <w:rFonts w:ascii="Times New Roman" w:hAnsi="Times New Roman" w:cs="Times New Roman"/>
          <w:i/>
          <w:sz w:val="27"/>
          <w:szCs w:val="27"/>
        </w:rPr>
        <w:t>Many organizations make substantial investments in recruiting and training employees to meet their operational needs. However, research has shown that laying off employees to reduce operating costs can be detrimental to the survival of an organization. Despite the increasing prevalence of retrenchment exercises in business organizations worldwide, there is a concern that employee retrenchment may negatively affect the morale of existing employees and discourage potential employees. This study focuses on examining the impact of retrenchment on employee morale and loyalty in Remto Industrial Limited, located in Ilorin, Kwara State. The specific objectives of this study are as follows: firstly, to explore the significant relationship between retrenchment policies and employee morale; secondly, to investigate the effect of communication mediums on employee loyalty; and thirdly, to assess how changes in the work scheme at Remto Limited have affected employee loyalty.</w:t>
      </w:r>
    </w:p>
    <w:p w:rsidR="005B13F6" w:rsidRDefault="00DB4131">
      <w:pPr>
        <w:spacing w:line="480" w:lineRule="auto"/>
        <w:jc w:val="both"/>
        <w:rPr>
          <w:rFonts w:ascii="Times New Roman" w:hAnsi="Times New Roman" w:cs="Times New Roman"/>
          <w:i/>
          <w:sz w:val="27"/>
          <w:szCs w:val="27"/>
        </w:rPr>
      </w:pPr>
      <w:r>
        <w:rPr>
          <w:rFonts w:ascii="Times New Roman" w:hAnsi="Times New Roman" w:cs="Times New Roman"/>
          <w:i/>
          <w:sz w:val="27"/>
          <w:szCs w:val="27"/>
        </w:rPr>
        <w:t xml:space="preserve">To conduct this research, a descriptive survey method was employed to gather in-depth information on the subject. A sample of 85 employees from the industry was selected using a simple random sampling technique. Well-structured questionnaires based on a 5-point Likert scale were designed and administered to the respondents using the drop-and-pick method. Quantitative analysis was performed using a computer spreadsheet, specifically the Statistical Package for the Social Sciences </w:t>
      </w:r>
      <w:r>
        <w:rPr>
          <w:rFonts w:ascii="Times New Roman" w:hAnsi="Times New Roman" w:cs="Times New Roman"/>
          <w:i/>
          <w:sz w:val="27"/>
          <w:szCs w:val="27"/>
        </w:rPr>
        <w:lastRenderedPageBreak/>
        <w:t>(SPSS). Closed-ended questionnaire responses were electronically analyzed through coding. Descriptive statistics, such as mean scores and standard deviations, were used to assess response patterns. The results were then presented in the form of frequency tables and percentages.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i/>
          <w:sz w:val="27"/>
          <w:szCs w:val="27"/>
        </w:rPr>
        <w:t>The study findings revealed that the retrenchment process, including factors such as retirement age (R=0.926; p&lt;0.05), separation benefits (R=0.877; p&lt;0.05), and downsizing (R=856, p&lt;0.05), had various impacts on the morale of the surviving employees at Remto. Furthermore, verbal communication through the union and company magazine significantly influenced employee loyalty (β=0.497, β=0.541; p=0.00&lt;0.05). Other findings indicated that changes in working hours and salary structure (β=0.788, β=0.292; p=0.00&lt;0.05) had a positive and significant impact on employee morale, with the exception of the promotion exercise (β=0.014; p=0.763&gt;0.05). Based on these results, the study concludes that the issues related to retrenchment are not adequately addressed, particularly in terms of the promotion exercise, which received low ratings. The management of Remto Industrial Limited should implement policies regarding promotion exercises to complement existing benefits and enhance morale and loyalty in the industry.</w:t>
      </w:r>
    </w:p>
    <w:p w:rsidR="005B13F6" w:rsidRDefault="005B13F6">
      <w:pPr>
        <w:spacing w:line="480" w:lineRule="auto"/>
        <w:jc w:val="both"/>
        <w:rPr>
          <w:rFonts w:ascii="Times New Roman" w:hAnsi="Times New Roman" w:cs="Times New Roman"/>
          <w:sz w:val="27"/>
          <w:szCs w:val="27"/>
        </w:rPr>
      </w:pPr>
    </w:p>
    <w:p w:rsidR="005B13F6" w:rsidRDefault="005B13F6">
      <w:pPr>
        <w:spacing w:after="0" w:line="480" w:lineRule="auto"/>
        <w:jc w:val="center"/>
        <w:rPr>
          <w:rFonts w:ascii="Times New Roman" w:hAnsi="Times New Roman" w:cs="Times New Roman"/>
          <w:b/>
          <w:sz w:val="27"/>
          <w:szCs w:val="27"/>
        </w:rPr>
      </w:pPr>
    </w:p>
    <w:p w:rsidR="00DB4131" w:rsidRDefault="00DB4131">
      <w:pPr>
        <w:spacing w:after="160" w:line="259" w:lineRule="auto"/>
        <w:rPr>
          <w:rFonts w:ascii="Times New Roman" w:hAnsi="Times New Roman" w:cs="Times New Roman"/>
          <w:b/>
          <w:sz w:val="27"/>
          <w:szCs w:val="27"/>
        </w:rPr>
      </w:pPr>
      <w:r>
        <w:rPr>
          <w:rFonts w:ascii="Times New Roman" w:hAnsi="Times New Roman" w:cs="Times New Roman"/>
          <w:b/>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ONE</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INTRODUCTION</w:t>
      </w:r>
    </w:p>
    <w:p w:rsidR="005B13F6" w:rsidRDefault="00DB4131">
      <w:pPr>
        <w:pStyle w:val="ListParagraph"/>
        <w:numPr>
          <w:ilvl w:val="1"/>
          <w:numId w:val="8"/>
        </w:num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Background to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the face of prolonged economic decline, organizations grapple with the formidable challenge of sustaining a large workforce. The declaration of some employees' services as redundant not only results in diminished morale among those remaining in service but also instigates a pervasive sense of job insecurity. Economic constraints compel organizations to make difficult decisions, leading them to dispense with their human capital as a strategic measure to cut costs and ensure operational continuity.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human resource management department, encompassing training, development, recruitment, and separation, assumes a crucial role in addressing workforce challenges. This study delves into retrenchment, a process of separation often related to downsizing programs integral to organizational restructuring. Separation can stem from various factors such as death, layoff, and retirement. Retrenchment, a form of dismissal, signifies an organization's need for fewer workers, and irrespective of whether an employee is dismissed, the outcomes are costly both economically and in human terms.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Beyond cost savings, retrenchment introduces challenges affecting all employee hierarchies, compelling one employee to assume the workload of what three employees once did (Mohammed, 2012). Apart from reducing expenses and enhancing profits for shareholders, retrenchment impacts the morale of remaining </w:t>
      </w:r>
      <w:r>
        <w:rPr>
          <w:rFonts w:ascii="Times New Roman" w:hAnsi="Times New Roman" w:cs="Times New Roman"/>
          <w:sz w:val="27"/>
          <w:szCs w:val="27"/>
        </w:rPr>
        <w:lastRenderedPageBreak/>
        <w:t>employees, leading to a survivor syndrome due to insufficient information (Cascio, 1986). This phenomenon erodes the concept of lifetime employment, leaving employees anxious about their ability to cope in a redesigned work environment and apprehensive about potential terminations. While retrenchments should be a last resort, if necessary, early stakeholder involvement, meticulous planning, effective public relations, and addressing negative perceptions among workers are imperative (Prahalad, 1994).</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Employee morale, encapsulating total job satisfaction, prevailing atmosphere, and individual propensities, plays a pivotal role in determining organizational success or failure (Tephillah, 2014). Factors influencing workers' morale include workplace stability, clear roles, staffing levels, and the risk of violence. Notably, the fear of being retrenched is identified as a profound concern among employees (Noer, 2009; Aliyu, Ajani &amp;Adisa, 2013).</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Conversely, employee loyalty signifies an individual's devotion or attachment to a particular object, person, ideal, duty, or cause (Britannica, 1998). In the employment context, loyalty represents a psychological commitment to the organization, often developing from increased job satisfaction and high job security. The more satisfied an employee is with their working conditions, the more likely they are to develop a sense of loyalty toward the organization (Wan, 2015).</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Despite unanimous agreement in the existing literature about the impact of retrenchment on employee morale and loyalty, a well-defined theory or set of factors contributing to high morale remains elusive (Howitt, 2002). Furthermore, while extensive research has been conducted on employee retrenchment, morale, and loyalty in more developed countries, limited attempts have been made in Nigeria to establish the relationship between these concepts. This research is prompted by the recent surge in worker retrenchment in various private companies in Nigeria. It aims to understand how employees' morale and loyalty are affected by incessant retrenchment and assess any developments in the implementation of policies and practices in Nigerian organizations aimed at mitigating declining job security levels.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b/>
          <w:sz w:val="27"/>
          <w:szCs w:val="27"/>
        </w:rPr>
        <w:t>1.2</w:t>
      </w:r>
      <w:r>
        <w:rPr>
          <w:rFonts w:ascii="Times New Roman" w:hAnsi="Times New Roman" w:cs="Times New Roman"/>
          <w:b/>
          <w:sz w:val="27"/>
          <w:szCs w:val="27"/>
        </w:rPr>
        <w:tab/>
        <w:t>Statement of the Problem</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contemporary Nigeria, the dwindling job security landscape is a consequence of economic hardship, global economic downturn, and financial crises. Job security, as highlighted in a survey by James (2012), is considered the foremost contributor to employee performance. However, the prevailing economic conditions have compelled organizations, particularly private firms in Nigeria, to undergo retrenchment exercises in recent years as a strategic measure to trim operational costs, thereby impacting employee morale (Kolawole, Ajani &amp;Adisa, 2013). In response, managers must grasp the factors that can sustain employee engagement amidst retrenchment and mitigate negative reactions.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Following a retrenchment exercise, remaining employees encounter various challenges, including the fear of potential future retrenchments, alterations in work schemes, and heightened work pressure. These challenges intensify when previous retrenchment exercises in the organization were poorly managed and led to unnecessary conflicts. While maintaining high employee morale and performance during and after retrenchment is inherently challenging, a more positive response is likely when the process is perceived as transparent and inclusive, involving input from employees and their representatives. Additionally, employees' commitment to organizational goals may decline as they become aware that retrenched colleagues do not receive additional benefits for their years of service (Mohamed, 2012).</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Considering the outlined challenges and the significant investments organizations make in recruiting and training employees to meet operational demands, the practice of laying off employees to reduce operating costs is recognized as detrimental to organizational survival. Hence, this research seeks to investigate the impact of retrenchment on employees' morale and loyalty within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1.3 Research questions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order to comprehensively investigate the impact of retrenchment on employee morale and loyalty at Remto Industries in Ilorin, Kwara State, the study has formulated the following research questions:</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Is there a discernible relationship between retrenchment and employee morale at Remto Industries in Ilorin, Kwara State?</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Does the communication of the retrenchment process significantly influence employee loyalty at Remto Industries in Ilorin, Kwara State?</w:t>
      </w:r>
    </w:p>
    <w:p w:rsidR="005B13F6" w:rsidRDefault="00DB4131">
      <w:pPr>
        <w:pStyle w:val="ListParagraph"/>
        <w:numPr>
          <w:ilvl w:val="0"/>
          <w:numId w:val="21"/>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what extent do changes in the scheme of work influence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1.4 Objectives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primary objective of this study is to investigate the impact of retrenchment on employee morale and loyalty at Remto Industries in Ilorin, Kwara State, Nigeria. The specific objectives are as follows</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examine the relationship between retrenchment and employee morale at Remto Industries in Ilorin, Kwara State.</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investigate the significant influence of communication about the retrenchment process on employee loyalty at Remto Industries in Ilorin, Kwara State.</w:t>
      </w:r>
    </w:p>
    <w:p w:rsidR="005B13F6" w:rsidRDefault="00DB4131">
      <w:pPr>
        <w:pStyle w:val="ListParagraph"/>
        <w:numPr>
          <w:ilvl w:val="0"/>
          <w:numId w:val="22"/>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To assess the influence of changes in the scheme of work on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 Hypotheses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tested the following hypotheses:</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Ho1: There is no statistically significant relationship between retrenchment and employee morale at Remto Industries in Ilorin, Kwara State.</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Ho2: The communication of the retrenchment process to employees has no statistically significant influence on employee loyalty at Remto Industries in Ilorin, Kwara State.</w:t>
      </w:r>
    </w:p>
    <w:p w:rsidR="005B13F6" w:rsidRDefault="00DB4131">
      <w:pPr>
        <w:pStyle w:val="ListParagraph"/>
        <w:numPr>
          <w:ilvl w:val="0"/>
          <w:numId w:val="23"/>
        </w:numPr>
        <w:spacing w:after="0" w:line="480" w:lineRule="auto"/>
        <w:jc w:val="both"/>
        <w:rPr>
          <w:rFonts w:ascii="Times New Roman" w:hAnsi="Times New Roman" w:cs="Times New Roman"/>
          <w:sz w:val="27"/>
          <w:szCs w:val="27"/>
        </w:rPr>
      </w:pPr>
      <w:r>
        <w:rPr>
          <w:rFonts w:ascii="Times New Roman" w:hAnsi="Times New Roman" w:cs="Times New Roman"/>
          <w:sz w:val="27"/>
          <w:szCs w:val="27"/>
        </w:rPr>
        <w:t>Ho3: Changes in the scheme of work have no statistically significant influence on the morale of retrenchment survivors at Remto Industries in Ilorin, Kwara State.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1.6 Significance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research findings will contribute to the existing body of knowledge, serving as a valuable resource for future studies undertaken by researchers exploring related project topics. Additionally, the study's insights will be beneficial to the general public, human resources managers, and business owners, providing valuable guidance for effective human resource management and governance.</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1.7</w:t>
      </w:r>
      <w:r>
        <w:rPr>
          <w:rFonts w:ascii="Times New Roman" w:hAnsi="Times New Roman" w:cs="Times New Roman"/>
          <w:b/>
          <w:sz w:val="27"/>
          <w:szCs w:val="27"/>
        </w:rPr>
        <w:tab/>
        <w:t>Scope of the Study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was specifically confined to Ilorin, Kwara State, with a primary emphasis on Remto Industries situated at 5, New Yidi Road, Ilorin.</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1.8</w:t>
      </w:r>
      <w:r>
        <w:rPr>
          <w:rFonts w:ascii="Times New Roman" w:hAnsi="Times New Roman" w:cs="Times New Roman"/>
          <w:b/>
          <w:sz w:val="27"/>
          <w:szCs w:val="27"/>
        </w:rPr>
        <w:tab/>
        <w:t>Operational Definition of terms</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Retrenchment: 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lastRenderedPageBreak/>
        <w:t>Morale: Morale in human resources is defined as the job satisfaction, outlook, and feelings of well being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Loyalty: It is the state of being attached and devoted to organizations activities. It is defined as employees who are devoted to the success of their organization and believe that being an employee of this organization is in their best interest. It creates a strong link between the employee satisfaction productivity and company profitability.</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Downsizing Programs: These are programs which involves the intentional reduction in the size of workforce at all staffing levels, to survive a downturn, improve efficiencies, or become a more attractive candidate for acquisition or merger.</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Pension Rights: 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 xml:space="preserve">Cut-Cost: It is defined as actions taken to reduce the amount that is spent on a service or within an organization. It refers to measures implemented by a company to reduce its expenses and improve profitability. It may include laying off employees, reducing </w:t>
      </w:r>
      <w:r>
        <w:rPr>
          <w:rFonts w:ascii="Times New Roman" w:hAnsi="Times New Roman" w:cs="Times New Roman"/>
          <w:sz w:val="27"/>
          <w:szCs w:val="27"/>
        </w:rPr>
        <w:lastRenderedPageBreak/>
        <w:t>employee pay, downsizing to a smaller office or relocating to a less expensive building or working area.</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t>Alternative Work Schedule: 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5B13F6" w:rsidRDefault="00DB4131">
      <w:pPr>
        <w:spacing w:line="480" w:lineRule="auto"/>
        <w:rPr>
          <w:rFonts w:ascii="Times New Roman" w:hAnsi="Times New Roman" w:cs="Times New Roman"/>
          <w:sz w:val="27"/>
          <w:szCs w:val="27"/>
        </w:rPr>
      </w:pPr>
      <w:r>
        <w:rPr>
          <w:rFonts w:ascii="Times New Roman" w:hAnsi="Times New Roman" w:cs="Times New Roman"/>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CHAPTER TWO</w:t>
      </w:r>
    </w:p>
    <w:p w:rsidR="005B13F6" w:rsidRDefault="00DB4131">
      <w:pPr>
        <w:spacing w:after="0" w:line="480" w:lineRule="auto"/>
        <w:jc w:val="center"/>
        <w:rPr>
          <w:rFonts w:ascii="Times New Roman" w:hAnsi="Times New Roman" w:cs="Times New Roman"/>
          <w:sz w:val="27"/>
          <w:szCs w:val="27"/>
        </w:rPr>
      </w:pPr>
      <w:r>
        <w:rPr>
          <w:rFonts w:ascii="Times New Roman" w:hAnsi="Times New Roman" w:cs="Times New Roman"/>
          <w:b/>
          <w:sz w:val="27"/>
          <w:szCs w:val="27"/>
        </w:rPr>
        <w:t>LITERATURE REVIEW</w:t>
      </w: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2.1</w:t>
      </w:r>
      <w:r>
        <w:rPr>
          <w:rFonts w:ascii="Times New Roman" w:hAnsi="Times New Roman" w:cs="Times New Roman"/>
          <w:b/>
          <w:sz w:val="27"/>
          <w:szCs w:val="27"/>
        </w:rPr>
        <w:tab/>
        <w:t>Introduction</w:t>
      </w:r>
    </w:p>
    <w:p w:rsidR="005B13F6" w:rsidRDefault="00DB4131" w:rsidP="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This chapter provides an extensive review of relevant literature pertaining to the present study. The review is structured around the conceptual framework, theoretical framework, related empirical studies, and a summary of the literature review.</w:t>
      </w:r>
    </w:p>
    <w:p w:rsidR="005B13F6" w:rsidRDefault="00DB4131">
      <w:pPr>
        <w:pStyle w:val="Default"/>
        <w:spacing w:line="480" w:lineRule="auto"/>
        <w:jc w:val="both"/>
        <w:rPr>
          <w:b/>
          <w:bCs/>
          <w:color w:val="auto"/>
          <w:sz w:val="27"/>
          <w:szCs w:val="27"/>
        </w:rPr>
      </w:pPr>
      <w:r>
        <w:rPr>
          <w:b/>
          <w:bCs/>
          <w:color w:val="auto"/>
          <w:sz w:val="27"/>
          <w:szCs w:val="27"/>
        </w:rPr>
        <w:t>2.2 Conceptual Framework</w:t>
      </w:r>
    </w:p>
    <w:p w:rsidR="005B13F6" w:rsidRDefault="00DB4131">
      <w:pPr>
        <w:pStyle w:val="Default"/>
        <w:spacing w:line="480" w:lineRule="auto"/>
        <w:jc w:val="both"/>
        <w:rPr>
          <w:b/>
          <w:bCs/>
          <w:color w:val="auto"/>
          <w:sz w:val="27"/>
          <w:szCs w:val="27"/>
        </w:rPr>
      </w:pPr>
      <w:r>
        <w:rPr>
          <w:b/>
          <w:bCs/>
          <w:color w:val="auto"/>
          <w:sz w:val="27"/>
          <w:szCs w:val="27"/>
        </w:rPr>
        <w:t>2.2.1 Concept of Retrenchment</w:t>
      </w:r>
    </w:p>
    <w:p w:rsidR="005B13F6" w:rsidRDefault="00DB4131">
      <w:pPr>
        <w:pStyle w:val="Default"/>
        <w:spacing w:line="480" w:lineRule="auto"/>
        <w:jc w:val="both"/>
        <w:rPr>
          <w:color w:val="auto"/>
          <w:sz w:val="27"/>
          <w:szCs w:val="27"/>
        </w:rPr>
      </w:pPr>
      <w:r>
        <w:rPr>
          <w:color w:val="auto"/>
          <w:sz w:val="27"/>
          <w:szCs w:val="27"/>
        </w:rPr>
        <w:t>Employee relationships are fundamental to the strategic management of communication between organizations and external stakeholders. Curtis (1989) emphasized the importance of employee relationships, stating that no organizational relationships are as crucial as those with employees. Schein (1992) similarly highlighted that positive external public relations start with achieving good internal public relations. However, employee relationships have often been overlooked in relationship studies. Denga (1987) acknowledged this oversight, noting that organizations tend to prioritize external publics and neglect employee publics, assuming employee loyalty and commitment.</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 xml:space="preserve">In today's business environment, employee relationships deserve greater attention due to the prevalence of a modern survival strategy: retrenchment. Many companies have realized that staying competitive necessitates retrenchment. Retrenchment has become </w:t>
      </w:r>
      <w:r>
        <w:rPr>
          <w:color w:val="auto"/>
          <w:sz w:val="27"/>
          <w:szCs w:val="27"/>
        </w:rPr>
        <w:lastRenderedPageBreak/>
        <w:t>a common practice as companies transform their operations to remain viable in the global market. While this trend has already affected American companies in the 1990s, it is a relatively new and shocking strategy in developing countries like Nigeria, where the concept of lifetime employment still prevails (Biller, 1980).</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The purpose of this study is to examine the impact of retrenchment on employee morale and loyalty. Additionally, the study aims to provide practical insights on maintaining a positive organization-employee relationship after retrenchment to enhance employee morale. By contributing to the growing body of knowledge on measuring and understanding relationships, this study seeks to further our understanding of employee relationships in the context of retrenchment.</w:t>
      </w:r>
    </w:p>
    <w:p w:rsidR="005B13F6" w:rsidRDefault="00DB4131">
      <w:pPr>
        <w:pStyle w:val="Default"/>
        <w:spacing w:line="480" w:lineRule="auto"/>
        <w:jc w:val="both"/>
        <w:rPr>
          <w:color w:val="auto"/>
          <w:sz w:val="27"/>
          <w:szCs w:val="27"/>
        </w:rPr>
      </w:pPr>
      <w:r>
        <w:rPr>
          <w:b/>
          <w:bCs/>
          <w:color w:val="auto"/>
          <w:sz w:val="27"/>
          <w:szCs w:val="27"/>
        </w:rPr>
        <w:t>2.2.2</w:t>
      </w:r>
      <w:r>
        <w:rPr>
          <w:b/>
          <w:bCs/>
          <w:color w:val="auto"/>
          <w:sz w:val="27"/>
          <w:szCs w:val="27"/>
        </w:rPr>
        <w:tab/>
        <w:t>Employee Perceptions Regarding Retrenchment</w:t>
      </w:r>
    </w:p>
    <w:p w:rsidR="005B13F6" w:rsidRDefault="00DB4131">
      <w:pPr>
        <w:pStyle w:val="Default"/>
        <w:spacing w:line="480" w:lineRule="auto"/>
        <w:jc w:val="both"/>
        <w:rPr>
          <w:color w:val="auto"/>
          <w:sz w:val="27"/>
          <w:szCs w:val="27"/>
        </w:rPr>
      </w:pPr>
      <w:r>
        <w:rPr>
          <w:color w:val="auto"/>
          <w:sz w:val="27"/>
          <w:szCs w:val="27"/>
        </w:rPr>
        <w:t>Wilburn, (1980) found that organizational change is usually resisted due to uncertainty it comes with. Sometimes managers resist such change too, (Behn, 1980).These findings also support Fumiss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retrench are already identified.</w:t>
      </w:r>
    </w:p>
    <w:p w:rsidR="005B13F6" w:rsidRDefault="00DB4131">
      <w:pPr>
        <w:pStyle w:val="Default"/>
        <w:spacing w:line="480" w:lineRule="auto"/>
        <w:jc w:val="both"/>
        <w:rPr>
          <w:color w:val="auto"/>
          <w:sz w:val="27"/>
          <w:szCs w:val="27"/>
        </w:rPr>
      </w:pPr>
      <w:r>
        <w:rPr>
          <w:color w:val="auto"/>
          <w:sz w:val="27"/>
          <w:szCs w:val="27"/>
        </w:rPr>
        <w:t xml:space="preserve">Delays in retrenchment may cause a shift in perceptions regarding the intentions and fairness of retrenchment. The retrenchees with negative perceptions which stem from </w:t>
      </w:r>
      <w:r>
        <w:rPr>
          <w:color w:val="auto"/>
          <w:sz w:val="27"/>
          <w:szCs w:val="27"/>
        </w:rPr>
        <w:lastRenderedPageBreak/>
        <w:t>poor retrenchment criteria could cause political and social unrest, (Biller, 1980). Brockner et-al, (1992), in their study found out that high job insecurity coupled with high need to work resulted in increased work effort following a lay off.  High job insecurity coupled by low need to work resulted in no change in the level of work effort. Brockner found that the remaining employees’ perception of the fairness of the lay-off process and their attachment to the lay-off victims affected their performance as well as their loyalty to the organization.</w:t>
      </w:r>
    </w:p>
    <w:p w:rsidR="005B13F6" w:rsidRDefault="00DB4131">
      <w:pPr>
        <w:pStyle w:val="Default"/>
        <w:spacing w:line="480" w:lineRule="auto"/>
        <w:jc w:val="both"/>
        <w:rPr>
          <w:color w:val="auto"/>
          <w:sz w:val="27"/>
          <w:szCs w:val="27"/>
        </w:rPr>
      </w:pPr>
      <w:r>
        <w:rPr>
          <w:b/>
          <w:bCs/>
          <w:color w:val="auto"/>
          <w:sz w:val="27"/>
          <w:szCs w:val="27"/>
        </w:rPr>
        <w:t>2.2.3</w:t>
      </w:r>
      <w:r>
        <w:rPr>
          <w:b/>
          <w:bCs/>
          <w:color w:val="auto"/>
          <w:sz w:val="27"/>
          <w:szCs w:val="27"/>
        </w:rPr>
        <w:tab/>
        <w:t xml:space="preserve"> Drivers for Employee Retrenchment</w:t>
      </w:r>
    </w:p>
    <w:p w:rsidR="005B13F6" w:rsidRDefault="00DB4131">
      <w:pPr>
        <w:pStyle w:val="Default"/>
        <w:spacing w:line="480" w:lineRule="auto"/>
        <w:jc w:val="both"/>
        <w:rPr>
          <w:color w:val="auto"/>
          <w:sz w:val="27"/>
          <w:szCs w:val="27"/>
        </w:rPr>
      </w:pPr>
      <w:r>
        <w:rPr>
          <w:color w:val="auto"/>
          <w:sz w:val="27"/>
          <w:szCs w:val="27"/>
        </w:rPr>
        <w:t>Retrenchment can have positive implications when coupled with an effective adjustment policy geared towards enhancing organizational productivity and mitigating strikes. The success of such policies is intertwined with ensuring a high quality of working life for employees. Despite the implementation of numerous retrenchment programs in Africa, particularly in countries like Nigeria, reports on these initiatives often overlook the immediate impact of retrenchment on work and organizational outcomes, as noted by Cascio (1986).</w:t>
      </w:r>
    </w:p>
    <w:p w:rsidR="005B13F6" w:rsidRDefault="00DB4131">
      <w:pPr>
        <w:pStyle w:val="Default"/>
        <w:spacing w:line="480" w:lineRule="auto"/>
        <w:jc w:val="both"/>
        <w:rPr>
          <w:color w:val="auto"/>
          <w:sz w:val="27"/>
          <w:szCs w:val="27"/>
        </w:rPr>
      </w:pPr>
      <w:r>
        <w:rPr>
          <w:color w:val="auto"/>
          <w:sz w:val="27"/>
          <w:szCs w:val="27"/>
        </w:rPr>
        <w:t xml:space="preserve">Namatovu (1993) identified several advantages of retrenchment, including the restructuring of jobs and departments, the reduction of overstaffing, elimination of redundancy and overcrowding, and enhancements in performance, discipline, efficiency, training, and salary structures. Tomasko (1987:59) outlined objectives for employee retrenchment, emphasizing the importance of lowering prevailing costs. </w:t>
      </w:r>
      <w:r>
        <w:rPr>
          <w:color w:val="auto"/>
          <w:sz w:val="27"/>
          <w:szCs w:val="27"/>
        </w:rPr>
        <w:lastRenderedPageBreak/>
        <w:t>This might involve adding staff to understaffed departments, leading to better performance.</w:t>
      </w:r>
    </w:p>
    <w:p w:rsidR="005B13F6" w:rsidRDefault="00DB4131">
      <w:pPr>
        <w:pStyle w:val="Default"/>
        <w:spacing w:line="480" w:lineRule="auto"/>
        <w:jc w:val="both"/>
        <w:rPr>
          <w:color w:val="auto"/>
          <w:sz w:val="27"/>
          <w:szCs w:val="27"/>
        </w:rPr>
      </w:pPr>
      <w:r>
        <w:rPr>
          <w:color w:val="auto"/>
          <w:sz w:val="27"/>
          <w:szCs w:val="27"/>
        </w:rPr>
        <w:t>Other objectives include:</w:t>
      </w:r>
    </w:p>
    <w:p w:rsidR="005B13F6" w:rsidRDefault="00DB4131">
      <w:pPr>
        <w:pStyle w:val="Default"/>
        <w:spacing w:line="480" w:lineRule="auto"/>
        <w:jc w:val="both"/>
        <w:rPr>
          <w:color w:val="auto"/>
          <w:sz w:val="27"/>
          <w:szCs w:val="27"/>
        </w:rPr>
      </w:pPr>
      <w:r>
        <w:rPr>
          <w:color w:val="auto"/>
          <w:sz w:val="27"/>
          <w:szCs w:val="27"/>
        </w:rPr>
        <w:t>Improved Communication: Reducing managerial layers can eliminate distortion in two-way communication, enhancing the speed and clarity of feedback.</w:t>
      </w:r>
    </w:p>
    <w:p w:rsidR="005B13F6" w:rsidRDefault="00DB4131">
      <w:pPr>
        <w:pStyle w:val="Default"/>
        <w:spacing w:line="480" w:lineRule="auto"/>
        <w:jc w:val="both"/>
        <w:rPr>
          <w:color w:val="auto"/>
          <w:sz w:val="27"/>
          <w:szCs w:val="27"/>
        </w:rPr>
      </w:pPr>
      <w:r>
        <w:rPr>
          <w:color w:val="auto"/>
          <w:sz w:val="27"/>
          <w:szCs w:val="27"/>
        </w:rPr>
        <w:t>Faster Decision-Making and Reduced Reaction Times: Retrenchment may streamline organizational structures, eliminating excess management lines and facilitating quicker decision-making.</w:t>
      </w:r>
    </w:p>
    <w:p w:rsidR="005B13F6" w:rsidRDefault="00DB4131">
      <w:pPr>
        <w:pStyle w:val="Default"/>
        <w:spacing w:line="480" w:lineRule="auto"/>
        <w:jc w:val="both"/>
        <w:rPr>
          <w:color w:val="auto"/>
          <w:sz w:val="27"/>
          <w:szCs w:val="27"/>
        </w:rPr>
      </w:pPr>
      <w:r>
        <w:rPr>
          <w:color w:val="auto"/>
          <w:sz w:val="27"/>
          <w:szCs w:val="27"/>
        </w:rPr>
        <w:t>Higher Manager Morale and Greater Productivity: Granting managers more decision-making power and individual responsibility can boost morale and productivity.</w:t>
      </w:r>
    </w:p>
    <w:p w:rsidR="005B13F6" w:rsidRDefault="00DB4131">
      <w:pPr>
        <w:pStyle w:val="Default"/>
        <w:spacing w:line="480" w:lineRule="auto"/>
        <w:jc w:val="both"/>
        <w:rPr>
          <w:color w:val="auto"/>
          <w:sz w:val="27"/>
          <w:szCs w:val="27"/>
        </w:rPr>
      </w:pPr>
      <w:r>
        <w:rPr>
          <w:color w:val="auto"/>
          <w:sz w:val="27"/>
          <w:szCs w:val="27"/>
        </w:rPr>
        <w:t>Greengard (1993) summarized the purposes of retrenchment, noting that businesses, whether large or small, may resort to employee retrenchment to achieve objectives such as surviving economic downturns, enhancing productivity, staying competitive in the global market, and improving operating profits by reducing personnel costs. According to Tomasko (1987), widespread retrenchment in business organizations is often prompted by factors like reduced demand for products or services, financial losses, organizational mergers, and bankruptcy.</w:t>
      </w:r>
    </w:p>
    <w:p w:rsidR="005B13F6" w:rsidRDefault="00DB4131">
      <w:pPr>
        <w:pStyle w:val="Default"/>
        <w:spacing w:line="480" w:lineRule="auto"/>
        <w:jc w:val="both"/>
        <w:rPr>
          <w:b/>
          <w:bCs/>
          <w:color w:val="auto"/>
          <w:sz w:val="27"/>
          <w:szCs w:val="27"/>
        </w:rPr>
      </w:pPr>
      <w:r>
        <w:rPr>
          <w:b/>
          <w:bCs/>
          <w:color w:val="auto"/>
          <w:sz w:val="27"/>
          <w:szCs w:val="27"/>
        </w:rPr>
        <w:t xml:space="preserve">2.2.4 </w:t>
      </w:r>
      <w:r>
        <w:rPr>
          <w:b/>
          <w:bCs/>
          <w:color w:val="auto"/>
          <w:sz w:val="27"/>
          <w:szCs w:val="27"/>
        </w:rPr>
        <w:tab/>
        <w:t>Strategies of Retrenchment</w:t>
      </w:r>
    </w:p>
    <w:p w:rsidR="005B13F6" w:rsidRDefault="00DB4131">
      <w:pPr>
        <w:pStyle w:val="Default"/>
        <w:spacing w:line="480" w:lineRule="auto"/>
        <w:jc w:val="both"/>
        <w:rPr>
          <w:bCs/>
          <w:color w:val="auto"/>
          <w:sz w:val="27"/>
          <w:szCs w:val="27"/>
        </w:rPr>
      </w:pPr>
      <w:r>
        <w:rPr>
          <w:bCs/>
          <w:color w:val="auto"/>
          <w:sz w:val="27"/>
          <w:szCs w:val="27"/>
        </w:rPr>
        <w:t>Retrenchment Strategy is adopted when an organization aims at reducing its one or more business operationsthe view to cut expenses and reach to a more stable financial position.</w:t>
      </w:r>
    </w:p>
    <w:p w:rsidR="005B13F6" w:rsidRDefault="00DB4131">
      <w:pPr>
        <w:pStyle w:val="Default"/>
        <w:spacing w:line="480" w:lineRule="auto"/>
        <w:jc w:val="both"/>
        <w:rPr>
          <w:color w:val="auto"/>
          <w:sz w:val="27"/>
          <w:szCs w:val="27"/>
        </w:rPr>
      </w:pPr>
      <w:r>
        <w:rPr>
          <w:color w:val="auto"/>
          <w:sz w:val="27"/>
          <w:szCs w:val="27"/>
        </w:rPr>
        <w:lastRenderedPageBreak/>
        <w:t>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categories of people who will win all the time, advancing general reasons for cutbacks , preference of some across the board cut that increase fairness and legitimacy, concentrating on incentives especially for those who remain having open minded management which is innovative and involving customers in the search for ideas and problems to solutions.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 xml:space="preserve">In short having a corporate strategy is important for successful implementation of retrenchment, (Behn, 1980). Having corporate strategy for example, ensured successful retrenchment and restructuring of the shipping and ship building industry in 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Behn, (1988) says that managers should maintain productivity. </w:t>
      </w:r>
      <w:r>
        <w:rPr>
          <w:color w:val="auto"/>
          <w:sz w:val="27"/>
          <w:szCs w:val="27"/>
        </w:rPr>
        <w:lastRenderedPageBreak/>
        <w:t xml:space="preserve">Retrenchment is dependent on leadership and management. Behn, (1980), says leadership must explain the reality, take a long-term view, develop a corporate strategy, develop measures of performance and be passionate or considerate. Burke, (1988) suggests that the manager or consultant should do the following: set goals, participate in decision making, redesign jobs to improve environment fit and orientation programs and programs to manage staff reductions. </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In other words, the strategy followed, when a firm decides to eliminate its activities through considerable reduction in its business operations, in the perspective of customers groups, customer functions and technology alternatives, either individually or collectively is called Retrenchment Strategy. The firm can either restructure its business operations or discontinue it, so as to revitalize its financial position. There are three types of Retrenchment Strategies;</w:t>
      </w: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Turnaround Retrenchment Strategy</w:t>
      </w:r>
    </w:p>
    <w:p w:rsidR="005B13F6" w:rsidRDefault="00DB4131">
      <w:pPr>
        <w:pStyle w:val="Default"/>
        <w:spacing w:line="480" w:lineRule="auto"/>
        <w:jc w:val="both"/>
        <w:rPr>
          <w:color w:val="auto"/>
          <w:sz w:val="27"/>
          <w:szCs w:val="27"/>
        </w:rPr>
      </w:pPr>
      <w:r>
        <w:rPr>
          <w:color w:val="auto"/>
          <w:sz w:val="27"/>
          <w:szCs w:val="27"/>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5B13F6" w:rsidRDefault="00DB4131">
      <w:pPr>
        <w:pStyle w:val="Default"/>
        <w:spacing w:line="480" w:lineRule="auto"/>
        <w:jc w:val="both"/>
        <w:rPr>
          <w:color w:val="auto"/>
          <w:sz w:val="27"/>
          <w:szCs w:val="27"/>
        </w:rPr>
      </w:pPr>
      <w:r>
        <w:rPr>
          <w:color w:val="auto"/>
          <w:sz w:val="27"/>
          <w:szCs w:val="27"/>
        </w:rPr>
        <w:t xml:space="preserve">Now the question arises, when the firm should adopt the turnaround strategy? Following are certain indicators which make it mandatory for a firm to adopt this </w:t>
      </w:r>
      <w:r>
        <w:rPr>
          <w:color w:val="auto"/>
          <w:sz w:val="27"/>
          <w:szCs w:val="27"/>
        </w:rPr>
        <w:lastRenderedPageBreak/>
        <w:t>strategy for its survival. These are; continuous losses, poor management, wrong corporate strategies, persistent negative cash flows, etc.</w:t>
      </w:r>
    </w:p>
    <w:p w:rsidR="005B13F6" w:rsidRDefault="005B13F6">
      <w:pPr>
        <w:pStyle w:val="Default"/>
        <w:spacing w:line="480" w:lineRule="auto"/>
        <w:jc w:val="both"/>
        <w:rPr>
          <w:color w:val="auto"/>
          <w:sz w:val="27"/>
          <w:szCs w:val="27"/>
        </w:rPr>
      </w:pP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Divestment Retrenchment Strategy</w:t>
      </w:r>
    </w:p>
    <w:p w:rsidR="005B13F6" w:rsidRDefault="00DB4131">
      <w:pPr>
        <w:pStyle w:val="Default"/>
        <w:spacing w:line="480" w:lineRule="auto"/>
        <w:jc w:val="both"/>
        <w:rPr>
          <w:color w:val="auto"/>
          <w:sz w:val="27"/>
          <w:szCs w:val="27"/>
        </w:rPr>
      </w:pPr>
      <w:r>
        <w:rPr>
          <w:color w:val="auto"/>
          <w:sz w:val="27"/>
          <w:szCs w:val="27"/>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5B13F6" w:rsidRDefault="005B13F6">
      <w:pPr>
        <w:pStyle w:val="Default"/>
        <w:spacing w:line="480" w:lineRule="auto"/>
        <w:jc w:val="both"/>
        <w:rPr>
          <w:color w:val="auto"/>
          <w:sz w:val="27"/>
          <w:szCs w:val="27"/>
        </w:rPr>
      </w:pPr>
    </w:p>
    <w:p w:rsidR="005B13F6" w:rsidRDefault="00DB4131">
      <w:pPr>
        <w:pStyle w:val="Default"/>
        <w:numPr>
          <w:ilvl w:val="0"/>
          <w:numId w:val="14"/>
        </w:numPr>
        <w:spacing w:line="480" w:lineRule="auto"/>
        <w:ind w:hanging="720"/>
        <w:jc w:val="both"/>
        <w:rPr>
          <w:b/>
          <w:color w:val="auto"/>
          <w:sz w:val="27"/>
          <w:szCs w:val="27"/>
        </w:rPr>
      </w:pPr>
      <w:r>
        <w:rPr>
          <w:b/>
          <w:color w:val="auto"/>
          <w:sz w:val="27"/>
          <w:szCs w:val="27"/>
        </w:rPr>
        <w:t>Liquidation Retrenchment Strategy</w:t>
      </w:r>
    </w:p>
    <w:p w:rsidR="005B13F6" w:rsidRDefault="00DB4131">
      <w:pPr>
        <w:pStyle w:val="Default"/>
        <w:spacing w:line="480" w:lineRule="auto"/>
        <w:jc w:val="both"/>
        <w:rPr>
          <w:color w:val="auto"/>
          <w:sz w:val="27"/>
          <w:szCs w:val="27"/>
        </w:rPr>
      </w:pPr>
      <w:r>
        <w:rPr>
          <w:color w:val="auto"/>
          <w:sz w:val="27"/>
          <w:szCs w:val="27"/>
        </w:rPr>
        <w:t>The organization's Liquidation Method, which entails selling off its assets and finally closing down or winding up its operations, is the most miserable strategy it has ever used. Since it has major implications, including a sense of failure, lost chances, a damaged reputation in the market, the loss of employment for employees, etc., it is both the most important and the last option before retrenchment.</w:t>
      </w:r>
    </w:p>
    <w:p w:rsidR="005B13F6" w:rsidRDefault="00DB4131">
      <w:pPr>
        <w:pStyle w:val="Default"/>
        <w:numPr>
          <w:ilvl w:val="0"/>
          <w:numId w:val="3"/>
        </w:numPr>
        <w:spacing w:line="480" w:lineRule="auto"/>
        <w:jc w:val="both"/>
        <w:rPr>
          <w:color w:val="auto"/>
          <w:sz w:val="27"/>
          <w:szCs w:val="27"/>
        </w:rPr>
      </w:pPr>
      <w:r>
        <w:rPr>
          <w:color w:val="auto"/>
          <w:sz w:val="27"/>
          <w:szCs w:val="27"/>
        </w:rPr>
        <w:t>Due to a lack of purchasers and the potential for undervaluing most of its assets, the company using the liquidation plan may have trouble selling its assets. The following are the indications that force a company to adhere to the strategy: ineffective corporate strategy, ongoing losses, dated technology, inadequate management, etc.</w:t>
      </w:r>
    </w:p>
    <w:p w:rsidR="005B13F6" w:rsidRDefault="00DB4131">
      <w:pPr>
        <w:pStyle w:val="Default"/>
        <w:numPr>
          <w:ilvl w:val="0"/>
          <w:numId w:val="3"/>
        </w:numPr>
        <w:spacing w:line="480" w:lineRule="auto"/>
        <w:jc w:val="both"/>
        <w:rPr>
          <w:color w:val="auto"/>
          <w:sz w:val="27"/>
          <w:szCs w:val="27"/>
        </w:rPr>
      </w:pPr>
      <w:r>
        <w:rPr>
          <w:color w:val="auto"/>
          <w:sz w:val="27"/>
          <w:szCs w:val="27"/>
        </w:rPr>
        <w:lastRenderedPageBreak/>
        <w:t>The following tactics and strategies may be used to implement the employee retrenchment process, according to Bennet et al. (1994). Those are;Attrition; this is the normal reduction of the workforce caused by employees leaving the organization for reasons of retirement, death or resignation. This method is relatively painless and effective.</w:t>
      </w:r>
    </w:p>
    <w:p w:rsidR="005B13F6" w:rsidRDefault="00DB4131">
      <w:pPr>
        <w:pStyle w:val="Default"/>
        <w:numPr>
          <w:ilvl w:val="0"/>
          <w:numId w:val="3"/>
        </w:numPr>
        <w:spacing w:line="480" w:lineRule="auto"/>
        <w:jc w:val="both"/>
        <w:rPr>
          <w:color w:val="auto"/>
          <w:sz w:val="27"/>
          <w:szCs w:val="27"/>
        </w:rPr>
      </w:pPr>
      <w:r>
        <w:rPr>
          <w:color w:val="auto"/>
          <w:sz w:val="27"/>
          <w:szCs w:val="27"/>
        </w:rPr>
        <w:t>iii. Hiring freeze; this refers to a brief halt in hiring. Nearly every firm facing layoffs employs a hiring freeze, either completely or partially. If the entire retrenchment is only modestly expensive and can be spread out over a long period of time, this technique may be sufficient.</w:t>
      </w:r>
    </w:p>
    <w:p w:rsidR="005B13F6" w:rsidRDefault="00DB4131">
      <w:pPr>
        <w:pStyle w:val="Default"/>
        <w:numPr>
          <w:ilvl w:val="0"/>
          <w:numId w:val="3"/>
        </w:numPr>
        <w:spacing w:line="480" w:lineRule="auto"/>
        <w:jc w:val="both"/>
        <w:rPr>
          <w:color w:val="auto"/>
          <w:sz w:val="27"/>
          <w:szCs w:val="27"/>
        </w:rPr>
      </w:pPr>
      <w:r>
        <w:rPr>
          <w:color w:val="auto"/>
          <w:sz w:val="27"/>
          <w:szCs w:val="27"/>
        </w:rPr>
        <w:t>iv. Early retirement is a tactic that enables workers to leave the workforce before the traditional retirement age with either full or reduced pension benefits.</w:t>
      </w:r>
    </w:p>
    <w:p w:rsidR="005B13F6" w:rsidRDefault="00DB4131">
      <w:pPr>
        <w:pStyle w:val="Default"/>
        <w:numPr>
          <w:ilvl w:val="0"/>
          <w:numId w:val="3"/>
        </w:numPr>
        <w:spacing w:line="480" w:lineRule="auto"/>
        <w:jc w:val="both"/>
        <w:rPr>
          <w:color w:val="auto"/>
          <w:sz w:val="27"/>
          <w:szCs w:val="27"/>
        </w:rPr>
      </w:pPr>
      <w:r>
        <w:rPr>
          <w:color w:val="auto"/>
          <w:sz w:val="27"/>
          <w:szCs w:val="27"/>
        </w:rPr>
        <w:t>v. Buy-out incentives, which entail making a lump sum payment to employees who voluntarily leave their jobs. These incentives promote attrition among workers who are not qualified for either early retirement or ordinary retirement.</w:t>
      </w:r>
    </w:p>
    <w:p w:rsidR="005B13F6" w:rsidRDefault="00DB4131">
      <w:pPr>
        <w:pStyle w:val="Default"/>
        <w:numPr>
          <w:ilvl w:val="0"/>
          <w:numId w:val="3"/>
        </w:numPr>
        <w:spacing w:line="480" w:lineRule="auto"/>
        <w:jc w:val="both"/>
        <w:rPr>
          <w:color w:val="auto"/>
          <w:sz w:val="27"/>
          <w:szCs w:val="27"/>
        </w:rPr>
      </w:pPr>
      <w:r>
        <w:rPr>
          <w:color w:val="auto"/>
          <w:sz w:val="27"/>
          <w:szCs w:val="27"/>
        </w:rPr>
        <w:t>Leave without pay: Employees are enticed to take a leave of absence without pay and with less benefits, but with the assurance that they will be able to return to work at the end of the predetermined period.</w:t>
      </w:r>
    </w:p>
    <w:p w:rsidR="005B13F6" w:rsidRDefault="00DB4131">
      <w:pPr>
        <w:pStyle w:val="Default"/>
        <w:numPr>
          <w:ilvl w:val="0"/>
          <w:numId w:val="3"/>
        </w:numPr>
        <w:spacing w:line="480" w:lineRule="auto"/>
        <w:jc w:val="both"/>
        <w:rPr>
          <w:color w:val="auto"/>
          <w:sz w:val="27"/>
          <w:szCs w:val="27"/>
        </w:rPr>
      </w:pPr>
      <w:r>
        <w:rPr>
          <w:color w:val="auto"/>
          <w:sz w:val="27"/>
          <w:szCs w:val="27"/>
        </w:rPr>
        <w:t>Pre-retirement transition leave;Employees who are less than two years away from retirement eligibility can cut their workweek by up to 40%. Although they receive a wage cut, they continue to receive their prior level of insurance, benefits, and pension payments.</w:t>
      </w:r>
    </w:p>
    <w:p w:rsidR="005B13F6" w:rsidRDefault="00DB4131">
      <w:pPr>
        <w:pStyle w:val="Default"/>
        <w:spacing w:line="480" w:lineRule="auto"/>
        <w:ind w:left="180"/>
        <w:jc w:val="both"/>
        <w:rPr>
          <w:color w:val="auto"/>
          <w:sz w:val="27"/>
          <w:szCs w:val="27"/>
        </w:rPr>
      </w:pPr>
      <w:r>
        <w:rPr>
          <w:color w:val="auto"/>
          <w:sz w:val="27"/>
          <w:szCs w:val="27"/>
        </w:rPr>
        <w:lastRenderedPageBreak/>
        <w:t>According to Cameron (1994, 1998), the way retrenchment is implemented is more important than the fact that it is implemented. He sighted out three approaches to retrenchment that are:</w:t>
      </w:r>
    </w:p>
    <w:p w:rsidR="005B13F6" w:rsidRDefault="00DB4131">
      <w:pPr>
        <w:pStyle w:val="Default"/>
        <w:numPr>
          <w:ilvl w:val="0"/>
          <w:numId w:val="4"/>
        </w:numPr>
        <w:spacing w:line="480" w:lineRule="auto"/>
        <w:jc w:val="both"/>
        <w:rPr>
          <w:color w:val="auto"/>
          <w:sz w:val="27"/>
          <w:szCs w:val="27"/>
        </w:rPr>
      </w:pPr>
      <w:r>
        <w:rPr>
          <w:iCs/>
          <w:color w:val="auto"/>
          <w:sz w:val="27"/>
          <w:szCs w:val="27"/>
        </w:rPr>
        <w:t>Workforce reduction strategies</w:t>
      </w:r>
      <w:r>
        <w:rPr>
          <w:color w:val="auto"/>
          <w:sz w:val="27"/>
          <w:szCs w:val="27"/>
        </w:rPr>
        <w:t>-These are primarily aimed at lowering headcount and are typically adopted quickly from the top. The strategy's drawback is that it becomes challenging to foresee precisely who will be dropped and who will stay.</w:t>
      </w:r>
    </w:p>
    <w:p w:rsidR="005B13F6" w:rsidRDefault="00DB4131">
      <w:pPr>
        <w:pStyle w:val="Default"/>
        <w:numPr>
          <w:ilvl w:val="0"/>
          <w:numId w:val="4"/>
        </w:numPr>
        <w:spacing w:line="480" w:lineRule="auto"/>
        <w:jc w:val="both"/>
        <w:rPr>
          <w:color w:val="auto"/>
          <w:sz w:val="27"/>
          <w:szCs w:val="27"/>
        </w:rPr>
      </w:pPr>
      <w:r>
        <w:rPr>
          <w:iCs/>
          <w:color w:val="auto"/>
          <w:sz w:val="27"/>
          <w:szCs w:val="27"/>
        </w:rPr>
        <w:t xml:space="preserve"> Redesigning tasks, cutting hours, and combining units are all methods used to reduce work (in addition to or instead of reducing the number of employees).</w:t>
      </w:r>
    </w:p>
    <w:p w:rsidR="005B13F6" w:rsidRDefault="00DB4131">
      <w:pPr>
        <w:pStyle w:val="Default"/>
        <w:numPr>
          <w:ilvl w:val="0"/>
          <w:numId w:val="4"/>
        </w:numPr>
        <w:spacing w:line="480" w:lineRule="auto"/>
        <w:jc w:val="both"/>
        <w:rPr>
          <w:color w:val="auto"/>
          <w:sz w:val="27"/>
          <w:szCs w:val="27"/>
        </w:rPr>
      </w:pPr>
      <w:r>
        <w:rPr>
          <w:iCs/>
          <w:color w:val="auto"/>
          <w:sz w:val="27"/>
          <w:szCs w:val="27"/>
        </w:rPr>
        <w:t>Systematic strategies</w:t>
      </w:r>
      <w:r>
        <w:rPr>
          <w:color w:val="auto"/>
          <w:sz w:val="27"/>
          <w:szCs w:val="27"/>
        </w:rPr>
        <w:t>- This focuses more on shifting culture, attitudes, and values. It is not the only thing that it focuses on.</w:t>
      </w:r>
    </w:p>
    <w:p w:rsidR="005B13F6" w:rsidRDefault="00DB4131">
      <w:pPr>
        <w:pStyle w:val="Default"/>
        <w:spacing w:line="480" w:lineRule="auto"/>
        <w:jc w:val="both"/>
        <w:rPr>
          <w:color w:val="auto"/>
          <w:sz w:val="27"/>
          <w:szCs w:val="27"/>
        </w:rPr>
      </w:pPr>
      <w:r>
        <w:rPr>
          <w:color w:val="auto"/>
          <w:sz w:val="27"/>
          <w:szCs w:val="27"/>
        </w:rPr>
        <w:t>There are various ways through which retrenchment exercise can be carried out. The most common ways are through the following which are;</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Natural Attrition/Wastage:</w:t>
      </w:r>
    </w:p>
    <w:p w:rsidR="005B13F6" w:rsidRDefault="00DB4131">
      <w:pPr>
        <w:pStyle w:val="Default"/>
        <w:spacing w:line="480" w:lineRule="auto"/>
        <w:jc w:val="both"/>
        <w:rPr>
          <w:color w:val="auto"/>
          <w:sz w:val="27"/>
          <w:szCs w:val="27"/>
        </w:rPr>
      </w:pPr>
      <w:r>
        <w:rPr>
          <w:color w:val="auto"/>
          <w:sz w:val="27"/>
          <w:szCs w:val="27"/>
        </w:rPr>
        <w:t>The most effective and humane way to downsize the workforce is by this strategy, which is also the favored one. Giving employees the option to leave or stay at work is considered as a technique to lower the likelihood of conflict and employees' sense of helplessness.</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Voluntary Redundancy</w:t>
      </w:r>
    </w:p>
    <w:p w:rsidR="005B13F6" w:rsidRDefault="00DB4131">
      <w:pPr>
        <w:pStyle w:val="Default"/>
        <w:spacing w:line="480" w:lineRule="auto"/>
        <w:jc w:val="both"/>
        <w:rPr>
          <w:color w:val="auto"/>
          <w:sz w:val="27"/>
          <w:szCs w:val="27"/>
        </w:rPr>
      </w:pPr>
      <w:r>
        <w:rPr>
          <w:color w:val="auto"/>
          <w:sz w:val="27"/>
          <w:szCs w:val="27"/>
        </w:rPr>
        <w:t xml:space="preserve">The majority of employers choose this downsizing strategy, despite some worries that it is costly since long-term employees find it appealing. The best employees depart </w:t>
      </w:r>
      <w:r>
        <w:rPr>
          <w:color w:val="auto"/>
          <w:sz w:val="27"/>
          <w:szCs w:val="27"/>
        </w:rPr>
        <w:lastRenderedPageBreak/>
        <w:t>because of the demand for their talents, while the less qualified workers stay because they are less marketable. According to Hardys' (1987) research, the opposite actually happens in practice, with mediocre performers more likely to accept voluntary redundancy packages due to job dissatisfaction or a fear of being fired without a financial safety net in the future.</w:t>
      </w:r>
    </w:p>
    <w:p w:rsidR="005B13F6" w:rsidRDefault="00DB4131">
      <w:pPr>
        <w:pStyle w:val="Default"/>
        <w:spacing w:line="480" w:lineRule="auto"/>
        <w:jc w:val="both"/>
        <w:rPr>
          <w:color w:val="auto"/>
          <w:sz w:val="27"/>
          <w:szCs w:val="27"/>
        </w:rPr>
      </w:pPr>
      <w:r>
        <w:rPr>
          <w:color w:val="auto"/>
          <w:sz w:val="27"/>
          <w:szCs w:val="27"/>
        </w:rPr>
        <w:t>One of the key benefits of this approach is that employees are at least offered an option, which de-stigmatizes job loss. Unions occasionally view voluntary redundancy as selling jobs even though it is vastly preferable to mandatory redundancy (Barrar and Sullivan, 1988).</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Compulsory Redundancy</w:t>
      </w:r>
    </w:p>
    <w:p w:rsidR="005B13F6" w:rsidRDefault="00DB4131">
      <w:pPr>
        <w:pStyle w:val="Default"/>
        <w:spacing w:line="480" w:lineRule="auto"/>
        <w:jc w:val="both"/>
        <w:rPr>
          <w:color w:val="auto"/>
          <w:sz w:val="27"/>
          <w:szCs w:val="27"/>
        </w:rPr>
      </w:pPr>
      <w:r>
        <w:rPr>
          <w:color w:val="auto"/>
          <w:sz w:val="27"/>
          <w:szCs w:val="27"/>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t>Early Retirement</w:t>
      </w:r>
    </w:p>
    <w:p w:rsidR="005B13F6" w:rsidRDefault="00DB4131">
      <w:pPr>
        <w:pStyle w:val="Default"/>
        <w:spacing w:line="480" w:lineRule="auto"/>
        <w:jc w:val="both"/>
        <w:rPr>
          <w:color w:val="auto"/>
          <w:sz w:val="27"/>
          <w:szCs w:val="27"/>
        </w:rPr>
      </w:pPr>
      <w:r>
        <w:rPr>
          <w:color w:val="auto"/>
          <w:sz w:val="27"/>
          <w:szCs w:val="27"/>
        </w:rPr>
        <w:t>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seek to re-enter the workforce.</w:t>
      </w:r>
    </w:p>
    <w:p w:rsidR="005B13F6" w:rsidRDefault="005B13F6">
      <w:pPr>
        <w:pStyle w:val="Default"/>
        <w:spacing w:line="480" w:lineRule="auto"/>
        <w:jc w:val="both"/>
        <w:rPr>
          <w:color w:val="auto"/>
          <w:sz w:val="27"/>
          <w:szCs w:val="27"/>
        </w:rPr>
      </w:pPr>
    </w:p>
    <w:p w:rsidR="005B13F6" w:rsidRDefault="00DB4131">
      <w:pPr>
        <w:pStyle w:val="Default"/>
        <w:numPr>
          <w:ilvl w:val="0"/>
          <w:numId w:val="4"/>
        </w:numPr>
        <w:spacing w:line="480" w:lineRule="auto"/>
        <w:ind w:hanging="720"/>
        <w:jc w:val="both"/>
        <w:rPr>
          <w:b/>
          <w:color w:val="auto"/>
          <w:sz w:val="27"/>
          <w:szCs w:val="27"/>
        </w:rPr>
      </w:pPr>
      <w:r>
        <w:rPr>
          <w:b/>
          <w:color w:val="auto"/>
          <w:sz w:val="27"/>
          <w:szCs w:val="27"/>
        </w:rPr>
        <w:lastRenderedPageBreak/>
        <w:t>Ill-Health retirement</w:t>
      </w:r>
    </w:p>
    <w:p w:rsidR="005B13F6" w:rsidRDefault="00DB4131">
      <w:pPr>
        <w:pStyle w:val="Default"/>
        <w:spacing w:line="480" w:lineRule="auto"/>
        <w:jc w:val="both"/>
        <w:rPr>
          <w:color w:val="auto"/>
          <w:sz w:val="27"/>
          <w:szCs w:val="27"/>
        </w:rPr>
      </w:pPr>
      <w:r>
        <w:rPr>
          <w:color w:val="auto"/>
          <w:sz w:val="27"/>
          <w:szCs w:val="27"/>
        </w:rPr>
        <w:t>This method is used as a result of long-term sickness. A common argument is that this is a consequence of intensification of work and associated increases in stress levels leading to long-term sickness.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color w:val="auto"/>
          <w:sz w:val="27"/>
          <w:szCs w:val="27"/>
        </w:rPr>
      </w:pPr>
      <w:r>
        <w:rPr>
          <w:color w:val="auto"/>
          <w:sz w:val="27"/>
          <w:szCs w:val="27"/>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(Kettley, 1995). Reduction of middle management layers will require lower level employees to make decisions previously made at higher level.</w:t>
      </w:r>
    </w:p>
    <w:p w:rsidR="005B13F6" w:rsidRDefault="00DB4131">
      <w:pPr>
        <w:pStyle w:val="Default"/>
        <w:spacing w:line="480" w:lineRule="auto"/>
        <w:jc w:val="both"/>
        <w:rPr>
          <w:color w:val="auto"/>
          <w:sz w:val="27"/>
          <w:szCs w:val="27"/>
        </w:rPr>
      </w:pPr>
      <w:r>
        <w:rPr>
          <w:color w:val="auto"/>
          <w:sz w:val="27"/>
          <w:szCs w:val="27"/>
        </w:rPr>
        <w:t xml:space="preserve">According to </w:t>
      </w:r>
      <w:r>
        <w:rPr>
          <w:iCs/>
          <w:color w:val="auto"/>
          <w:sz w:val="27"/>
          <w:szCs w:val="27"/>
        </w:rPr>
        <w:t>Sims&amp; Sims</w:t>
      </w:r>
      <w:r>
        <w:rPr>
          <w:i/>
          <w:iCs/>
          <w:color w:val="auto"/>
          <w:sz w:val="27"/>
          <w:szCs w:val="27"/>
        </w:rPr>
        <w:t xml:space="preserve"> (1994) </w:t>
      </w:r>
      <w:r>
        <w:rPr>
          <w:color w:val="auto"/>
          <w:sz w:val="27"/>
          <w:szCs w:val="27"/>
        </w:rPr>
        <w:t>any firm preparing to retrench its workforce is faced with the issue of successfully overcoming human resistance to change. Retrenchment implies massive organizational changes, and it is human tendency to resist these changes.</w:t>
      </w:r>
    </w:p>
    <w:p w:rsidR="005B13F6" w:rsidRDefault="005B13F6">
      <w:pPr>
        <w:pStyle w:val="Default"/>
        <w:spacing w:line="480" w:lineRule="auto"/>
        <w:jc w:val="both"/>
        <w:rPr>
          <w:color w:val="auto"/>
          <w:sz w:val="27"/>
          <w:szCs w:val="27"/>
        </w:rPr>
      </w:pPr>
    </w:p>
    <w:p w:rsidR="005B13F6" w:rsidRDefault="00DB4131">
      <w:pPr>
        <w:pStyle w:val="Default"/>
        <w:spacing w:line="480" w:lineRule="auto"/>
        <w:jc w:val="both"/>
        <w:rPr>
          <w:b/>
          <w:color w:val="auto"/>
          <w:sz w:val="27"/>
          <w:szCs w:val="27"/>
        </w:rPr>
      </w:pPr>
      <w:r>
        <w:rPr>
          <w:b/>
          <w:color w:val="auto"/>
          <w:sz w:val="27"/>
          <w:szCs w:val="27"/>
        </w:rPr>
        <w:t>2.2.6</w:t>
      </w:r>
      <w:r>
        <w:rPr>
          <w:b/>
          <w:color w:val="auto"/>
          <w:sz w:val="27"/>
          <w:szCs w:val="27"/>
        </w:rPr>
        <w:tab/>
        <w:t>Functional and dysfunctional of Retrenchment</w:t>
      </w:r>
    </w:p>
    <w:p w:rsidR="005B13F6" w:rsidRDefault="00DB4131">
      <w:pPr>
        <w:pStyle w:val="Default"/>
        <w:spacing w:line="480" w:lineRule="auto"/>
        <w:jc w:val="both"/>
        <w:rPr>
          <w:sz w:val="27"/>
          <w:szCs w:val="27"/>
        </w:rPr>
      </w:pPr>
      <w:r>
        <w:rPr>
          <w:sz w:val="27"/>
          <w:szCs w:val="27"/>
        </w:rPr>
        <w:t xml:space="preserve">Retrenchment should be linked to strong organizational productivity and not strikes, as it has several benefits, including an effective adjustment policy (Cascio, 2002:52). It should also be connected to employees having a high-quality work life. Despite numerous retrenchment programs being implemented in Nigeria, reports indicate that </w:t>
      </w:r>
      <w:r>
        <w:rPr>
          <w:sz w:val="27"/>
          <w:szCs w:val="27"/>
        </w:rPr>
        <w:lastRenderedPageBreak/>
        <w:t>these programs have not specified how the immediate negative effects, particularly in terms of immediate work and organizational outcomes, have been handled (United Nations, 1999).</w:t>
      </w:r>
    </w:p>
    <w:p w:rsidR="005B13F6" w:rsidRDefault="00DB4131">
      <w:pPr>
        <w:pStyle w:val="Default"/>
        <w:spacing w:line="480" w:lineRule="auto"/>
        <w:jc w:val="both"/>
        <w:rPr>
          <w:sz w:val="27"/>
          <w:szCs w:val="27"/>
        </w:rPr>
      </w:pPr>
      <w:r>
        <w:rPr>
          <w:sz w:val="27"/>
          <w:szCs w:val="27"/>
        </w:rPr>
        <w:t>Some argue that retrenchment improves service delivery by increasing organizational performance and innovation (Namatovu, 2000:64). Some of the benefits of retrenchment include restructuring of jobs and departments, reducing overstaffing, eliminating redundancy and overcrowding, improving performance, instilling discipline and efficiency in workers, and fostering innovation, training, and salary enhancement.</w:t>
      </w:r>
    </w:p>
    <w:p w:rsidR="005B13F6" w:rsidRDefault="00DB4131">
      <w:pPr>
        <w:pStyle w:val="Default"/>
        <w:spacing w:line="480" w:lineRule="auto"/>
        <w:jc w:val="both"/>
        <w:rPr>
          <w:sz w:val="27"/>
          <w:szCs w:val="27"/>
        </w:rPr>
      </w:pPr>
      <w:r>
        <w:rPr>
          <w:sz w:val="27"/>
          <w:szCs w:val="27"/>
        </w:rPr>
        <w:t>However, retrenchment generates financial stress and a reduction in human resources, leading to several challenging issues for employees and government supervisors (Levine, 2000:3). Management strategies employed to deal with layoffs bring about issues such as a lower standard of living, extreme poverty, loss of skills, energy, morale, and commitment, as well as the deterioration of employees' physical and mental health. Reductions also result in decreased cooperation, increased fear and mistrust, poor communication, lowered performance standards, output limitations, and higher turnover (Biller, 2000:14). The costs for organizations may rise due to the severance package, outplacement benefit, pension, and administrative processing costs (Cascio, 2002:52).</w:t>
      </w:r>
    </w:p>
    <w:p w:rsidR="005B13F6" w:rsidRDefault="005B13F6">
      <w:pPr>
        <w:pStyle w:val="Default"/>
        <w:spacing w:line="480" w:lineRule="auto"/>
        <w:jc w:val="both"/>
        <w:rPr>
          <w:sz w:val="27"/>
          <w:szCs w:val="27"/>
        </w:rPr>
      </w:pPr>
    </w:p>
    <w:p w:rsidR="005B13F6" w:rsidRDefault="00DB4131">
      <w:pPr>
        <w:pStyle w:val="Default"/>
        <w:spacing w:line="480" w:lineRule="auto"/>
        <w:jc w:val="both"/>
        <w:rPr>
          <w:sz w:val="27"/>
          <w:szCs w:val="27"/>
        </w:rPr>
      </w:pPr>
      <w:r>
        <w:rPr>
          <w:sz w:val="27"/>
          <w:szCs w:val="27"/>
        </w:rPr>
        <w:lastRenderedPageBreak/>
        <w:t>Furthermore, layoffs may lead to demoralization, reduced organizational productivity, increased voluntary retrenchments, and the dissuasion of the organization's most skilled and effective workers (Hehn, 2001:11) (Tolkman, 2004:12). Voluntary retrenchment plans could place significant financial strain on the organization (Wilburn and Worman, 200:13). Resistance to change is inevitable, especially from trade unions opposing unnecessary layoffs (Wilburn and Worman, 2000:14). Resistance may also come from management personnel whose future is uncertain, potentially impacting innovation negatively (Biller, 2000:14).</w:t>
      </w:r>
    </w:p>
    <w:p w:rsidR="005B13F6" w:rsidRDefault="00DB4131">
      <w:pPr>
        <w:pStyle w:val="Default"/>
        <w:spacing w:line="480" w:lineRule="auto"/>
        <w:jc w:val="both"/>
        <w:rPr>
          <w:sz w:val="27"/>
          <w:szCs w:val="27"/>
        </w:rPr>
      </w:pPr>
      <w:r>
        <w:rPr>
          <w:sz w:val="27"/>
          <w:szCs w:val="27"/>
        </w:rPr>
        <w:t>Layoffs exacerbate psychosocial issues such as depression, low self-esteem, general irritation, stomach ulcers, criminal propensity, high blood pressure, and heart disease (Denga, 2001:4). Managers and senior officers are not immune to the negative impacts of such stressful events (Burke, 2000:11). Russell's investigation into how administrators and lower-level employees responded to layoffs in the public sector revealed that administrators' reactions consisted of reactive actions that centralized, formalized, and increased downward communication, exacerbating issues with employee morale, trust, despair, and productivity (Russell, 1999:8).</w:t>
      </w:r>
    </w:p>
    <w:p w:rsidR="005B13F6" w:rsidRDefault="00DB4131">
      <w:pPr>
        <w:pStyle w:val="Default"/>
        <w:spacing w:line="480" w:lineRule="auto"/>
        <w:jc w:val="both"/>
        <w:rPr>
          <w:sz w:val="27"/>
          <w:szCs w:val="27"/>
        </w:rPr>
      </w:pPr>
      <w:r>
        <w:rPr>
          <w:sz w:val="27"/>
          <w:szCs w:val="27"/>
        </w:rPr>
        <w:t>In conclusion, retrenchment, despite potential benefits, comes with a range of challenges and negative consequences, affecting both individuals and organizations. The human and financial costs associated with retrenchment underscore the need for careful consideration and strategic management of such processes to mitigate adverse effects.</w:t>
      </w:r>
    </w:p>
    <w:p w:rsidR="005B13F6" w:rsidRDefault="005B13F6">
      <w:pPr>
        <w:pStyle w:val="Default"/>
        <w:spacing w:line="480" w:lineRule="auto"/>
        <w:jc w:val="both"/>
        <w:rPr>
          <w:sz w:val="27"/>
          <w:szCs w:val="27"/>
        </w:rPr>
      </w:pPr>
    </w:p>
    <w:p w:rsidR="005B13F6" w:rsidRDefault="005B13F6">
      <w:pPr>
        <w:pStyle w:val="Default"/>
        <w:spacing w:line="480" w:lineRule="auto"/>
        <w:jc w:val="both"/>
        <w:rPr>
          <w:sz w:val="27"/>
          <w:szCs w:val="27"/>
        </w:rPr>
      </w:pPr>
    </w:p>
    <w:p w:rsidR="005B13F6" w:rsidRDefault="00DB4131">
      <w:pPr>
        <w:pStyle w:val="Default"/>
        <w:spacing w:line="480" w:lineRule="auto"/>
        <w:jc w:val="both"/>
        <w:rPr>
          <w:b/>
          <w:sz w:val="27"/>
          <w:szCs w:val="27"/>
        </w:rPr>
      </w:pPr>
      <w:r>
        <w:rPr>
          <w:b/>
          <w:sz w:val="27"/>
          <w:szCs w:val="27"/>
        </w:rPr>
        <w:t>2.2.7</w:t>
      </w:r>
      <w:r>
        <w:rPr>
          <w:b/>
          <w:sz w:val="27"/>
          <w:szCs w:val="27"/>
        </w:rPr>
        <w:tab/>
        <w:t>Employees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An essential consideration in corporations is employee morale, and extensive social research has aimed to identify factors at work related to high or poor morale among employees. Research topics include management, compensation, the job itself, the organization, and relationships with coworkers (Hetherington, 1997). Leaders' behaviors, viewed as indicative of their leadership, can impact morale and organizational reputation, especially if followers perceive unpleasant activities as acceptable (Gini, 2004). Forret and Love (2008) defined morale in two stages of direction: high or low.</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Employee loyalty, on the other hand, is characterized as a process where specific attitudes lead to intended or actual behaviors. Significant changes in the business environment and the labor force have shifted the perception of occupational loyalty. In the past, employees expected lifetime employment and complete devotion to the company, but with globalization, restructuring, firm relocations, and downsizing, this perception has changed. Employers no longer demand lifelong loyalty, and workers often seek better pay or working conditions, challenging the traditional notion of loyalty.</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Loyalty consists of internal and external dimensions. The internal dimension involves an emotional bond with sentiments of concern, kinship, and dedication. The external dimension reflects how loyalty manifests in the world, demonstrated through actions that reveal the emotional component. Loyalty's conditions have significantly changed, and employees now express their devotion to the company through their work rather than blind corporate allegiance. Leaders may believe they foster loyalty through rules, but employees may not show it in ways visible to management. In contemporary times, loyalty is more about demonstrating commitment through work rather than adhering to outdated expectations of blind allegiance.</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2.2.8</w:t>
      </w:r>
      <w:r>
        <w:rPr>
          <w:rFonts w:ascii="Times New Roman" w:hAnsi="Times New Roman" w:cs="Times New Roman"/>
          <w:b/>
          <w:sz w:val="27"/>
          <w:szCs w:val="27"/>
        </w:rPr>
        <w:tab/>
        <w:t>Retrenchment versus Employees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Layoffs undoubtedly have a profound impact on both the affected workers and those retained. Poorly managed procedures leading to unnecessary confrontations can significantly affect both remaining employees and officials handling the retrenchment exercise, causing decreased economic performance, productivity loss, and low morale and loyalty (Bentley, 2005:17). Maintaining morale and loyalty during a retrenchment exercise is inherently challenging, but a procedure based on clear reasons that employees and their representatives can understand and contribute towards may elicit a more favorable response (Bentley, 2005:17).</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While the primary impact of downsizing is felt by the workers and their families, large-scale retrenchment can have severe negative effects on the country's economy. It </w:t>
      </w:r>
      <w:r>
        <w:rPr>
          <w:rFonts w:ascii="Times New Roman" w:hAnsi="Times New Roman" w:cs="Times New Roman"/>
          <w:sz w:val="27"/>
          <w:szCs w:val="27"/>
        </w:rPr>
        <w:lastRenderedPageBreak/>
        <w:t>increases unemployment rates, cripples local businesses, and adversely affects those dependent on workers' patronage for social services and facilities. The socioeconomic consequences are particularly severe for those relying on services like healthcare, housing, education, sanitation, water supply, electricity, and transportation infrastructure. National regulations governing mass layoffs and reorganizations are crucial, and adherence to collective bargaining agreements and legislation is vital for effective retrenchment planning (Biller, 200:14).</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Reducing legal risks from severance payments, communication with trade unions, and other stakeholders is essential for the financial and reputational well-being of an organization (Bentley, 2005:17). The risk of lawsuits for discrimination or unfair treatment increases if the rationale behind employee selection during retrenchment cannot be explained and justified.</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Workforce reductions are not uncommon in the public and private sectors of many developed nations today, and while retrenchment may be a necessary response to economic challenges, it might not address the root cause of an organization's non-profitability issue (Wendell, 1999:98). For profit-oriented firms, productivity is closely tied to employee morale. Low morale and loyalty lead to discouraged and dissatisfied employees, reducing production efficiency (Levine, 2000:3).</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Job security is a critical factor contributing to excellent employee morale, and without it, even a reduced workforce may not operate at its fullest potential. Employees </w:t>
      </w:r>
      <w:r>
        <w:rPr>
          <w:rFonts w:ascii="Times New Roman" w:hAnsi="Times New Roman" w:cs="Times New Roman"/>
          <w:sz w:val="27"/>
          <w:szCs w:val="27"/>
        </w:rPr>
        <w:lastRenderedPageBreak/>
        <w:t>without tenure security may feel alienated and act unfavorably towards the success of the organization (Wendell, 1999:98). Loyalty, described as a process where attitudes lead to behaviors, has undergone changes in recent decades. Job security is considered morally related, and firms that do not ensure employees' job security may struggle to achieve high productivity and efficiency (Obidiegwu, 2001:19).</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Agbese (2001:12) emphasizes the severe hardships of retrenchment, especially when individuals impacted have no alternative income source. Increased unemployment rates can lead to rising crime, and the affected individuals may resort to various survival strategies, including petty trading, illegal businesses, and unconventional occupations like taxi driving or motorcycle riding. Retrenchment is a challenging experience with significant social and psychological consequences, resulting in insomnia, melancholy, interpersonal disputes, and strained family ties for the victims.</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2.2.9</w:t>
      </w:r>
      <w:r>
        <w:rPr>
          <w:rFonts w:ascii="Times New Roman" w:hAnsi="Times New Roman" w:cs="Times New Roman"/>
          <w:b/>
          <w:sz w:val="27"/>
          <w:szCs w:val="27"/>
        </w:rPr>
        <w:tab/>
        <w:t>Factors Influencing Retrenchment</w:t>
      </w:r>
    </w:p>
    <w:p w:rsidR="005B13F6" w:rsidRDefault="00DB4131">
      <w:pPr>
        <w:pStyle w:val="Default"/>
        <w:spacing w:line="480" w:lineRule="auto"/>
        <w:jc w:val="both"/>
        <w:rPr>
          <w:color w:val="auto"/>
          <w:sz w:val="27"/>
          <w:szCs w:val="27"/>
        </w:rPr>
      </w:pPr>
      <w:r>
        <w:rPr>
          <w:color w:val="auto"/>
          <w:sz w:val="27"/>
          <w:szCs w:val="27"/>
        </w:rPr>
        <w:t>Retrenchment, like a pervasive cancer, has infiltrated the nation's economic stability, exacerbating unemployment rates and adversely affecting the living conditions of those impacted and their dependents. Several factors contribute to the justification companies find for initiating retrenchment exercises, including:</w:t>
      </w:r>
    </w:p>
    <w:p w:rsidR="005B13F6" w:rsidRDefault="00DB4131">
      <w:pPr>
        <w:pStyle w:val="Default"/>
        <w:spacing w:line="480" w:lineRule="auto"/>
        <w:jc w:val="both"/>
        <w:rPr>
          <w:color w:val="auto"/>
          <w:sz w:val="27"/>
          <w:szCs w:val="27"/>
        </w:rPr>
      </w:pPr>
      <w:r>
        <w:rPr>
          <w:color w:val="auto"/>
          <w:sz w:val="27"/>
          <w:szCs w:val="27"/>
        </w:rPr>
        <w:t>i. Retiring Age and Service Year:</w:t>
      </w:r>
    </w:p>
    <w:p w:rsidR="005B13F6" w:rsidRDefault="00DB4131">
      <w:pPr>
        <w:pStyle w:val="Default"/>
        <w:spacing w:line="480" w:lineRule="auto"/>
        <w:jc w:val="both"/>
        <w:rPr>
          <w:color w:val="auto"/>
          <w:sz w:val="27"/>
          <w:szCs w:val="27"/>
        </w:rPr>
      </w:pPr>
      <w:r>
        <w:rPr>
          <w:color w:val="auto"/>
          <w:sz w:val="27"/>
          <w:szCs w:val="27"/>
        </w:rPr>
        <w:t xml:space="preserve">A significant number of workers face layoffs due to reaching their retirement age or completing a designated number of service years in their respective organizations. The Federal Government Circular (1998:2) stipulates that an officer shall be deemed to </w:t>
      </w:r>
      <w:r>
        <w:rPr>
          <w:color w:val="auto"/>
          <w:sz w:val="27"/>
          <w:szCs w:val="27"/>
        </w:rPr>
        <w:lastRenderedPageBreak/>
        <w:t>have resigned upon attaining the age of 60 or after serving for 35 years. Those most affected by such layoffs are often individuals close to retirement age but not yet eligible.</w:t>
      </w:r>
    </w:p>
    <w:p w:rsidR="005B13F6" w:rsidRDefault="00DB4131">
      <w:pPr>
        <w:pStyle w:val="Default"/>
        <w:spacing w:line="480" w:lineRule="auto"/>
        <w:jc w:val="both"/>
        <w:rPr>
          <w:color w:val="auto"/>
          <w:sz w:val="27"/>
          <w:szCs w:val="27"/>
        </w:rPr>
      </w:pPr>
      <w:r>
        <w:rPr>
          <w:color w:val="auto"/>
          <w:sz w:val="27"/>
          <w:szCs w:val="27"/>
        </w:rPr>
        <w:t>ii. Misconduct:</w:t>
      </w:r>
    </w:p>
    <w:p w:rsidR="005B13F6" w:rsidRDefault="00DB4131">
      <w:pPr>
        <w:pStyle w:val="Default"/>
        <w:spacing w:line="480" w:lineRule="auto"/>
        <w:jc w:val="both"/>
        <w:rPr>
          <w:color w:val="auto"/>
          <w:sz w:val="27"/>
          <w:szCs w:val="27"/>
        </w:rPr>
      </w:pPr>
      <w:r>
        <w:rPr>
          <w:color w:val="auto"/>
          <w:sz w:val="27"/>
          <w:szCs w:val="27"/>
        </w:rPr>
        <w:t>Misconduct refers to a specific instance of serious wrongdoing subject to investigation and proof, encompassing various willful behaviors that embarrass the public or jeopardize discipline and proper government administration. This includes corruption, dishonesty, drunkenness, false accusations against the government, insubordination, negligence, falsification of records, absence from duty without leave, engagement in unauthorized trade or business, disobedience of lawful orders, and actions prejudicial to the security of the state.</w:t>
      </w:r>
    </w:p>
    <w:p w:rsidR="005B13F6" w:rsidRDefault="00DB4131">
      <w:pPr>
        <w:pStyle w:val="Default"/>
        <w:spacing w:line="480" w:lineRule="auto"/>
        <w:jc w:val="both"/>
        <w:rPr>
          <w:color w:val="auto"/>
          <w:sz w:val="27"/>
          <w:szCs w:val="27"/>
        </w:rPr>
      </w:pPr>
      <w:r>
        <w:rPr>
          <w:color w:val="auto"/>
          <w:sz w:val="27"/>
          <w:szCs w:val="27"/>
        </w:rPr>
        <w:t>iii. Redundancy:</w:t>
      </w:r>
    </w:p>
    <w:p w:rsidR="005B13F6" w:rsidRDefault="00DB4131">
      <w:pPr>
        <w:pStyle w:val="Default"/>
        <w:spacing w:line="480" w:lineRule="auto"/>
        <w:jc w:val="both"/>
        <w:rPr>
          <w:color w:val="auto"/>
          <w:sz w:val="27"/>
          <w:szCs w:val="27"/>
        </w:rPr>
      </w:pPr>
      <w:r>
        <w:rPr>
          <w:color w:val="auto"/>
          <w:sz w:val="27"/>
          <w:szCs w:val="27"/>
        </w:rPr>
        <w:t>Redundancy is viewed as a situation of surplus or unnecessary workers resulting from economic downturns or the adoption of new organizational tactics or technologies. The influx of surplus workers, particularly in the public sector, has led to employee layoffs. The government's indiscriminate hiring practices flooded the public service with individuals, often skilled workers taking on roles as messengers, gardeners, and night watchmen, causing administrative challenges. This situation, according to Adebayo (2003), violated management principles, with ten individuals performing the tasks of four workers, adversely impacting efficiency, morale, and discipline.</w:t>
      </w:r>
    </w:p>
    <w:p w:rsidR="005B13F6" w:rsidRDefault="00DB4131">
      <w:pPr>
        <w:pStyle w:val="Default"/>
        <w:spacing w:line="480" w:lineRule="auto"/>
        <w:jc w:val="both"/>
        <w:rPr>
          <w:color w:val="auto"/>
          <w:sz w:val="27"/>
          <w:szCs w:val="27"/>
        </w:rPr>
      </w:pPr>
      <w:r>
        <w:rPr>
          <w:color w:val="auto"/>
          <w:sz w:val="27"/>
          <w:szCs w:val="27"/>
        </w:rPr>
        <w:lastRenderedPageBreak/>
        <w:t>Retrenchment, influenced by these factors, poses significant challenges to both affected individuals and the broader economy, highlighting the need for careful consideration and responsible management practices in navigating such circumstances.</w:t>
      </w:r>
    </w:p>
    <w:p w:rsidR="005B13F6" w:rsidRDefault="00DB4131">
      <w:pPr>
        <w:pStyle w:val="Default"/>
        <w:spacing w:line="480" w:lineRule="auto"/>
        <w:jc w:val="both"/>
        <w:rPr>
          <w:b/>
          <w:sz w:val="27"/>
          <w:szCs w:val="27"/>
        </w:rPr>
      </w:pPr>
      <w:r>
        <w:rPr>
          <w:b/>
          <w:sz w:val="27"/>
          <w:szCs w:val="27"/>
        </w:rPr>
        <w:t>2.3</w:t>
      </w:r>
      <w:r>
        <w:rPr>
          <w:b/>
          <w:sz w:val="27"/>
          <w:szCs w:val="27"/>
        </w:rPr>
        <w:tab/>
        <w:t>Theoretical review</w:t>
      </w:r>
    </w:p>
    <w:p w:rsidR="005B13F6" w:rsidRDefault="00DB4131">
      <w:pPr>
        <w:pStyle w:val="Default"/>
        <w:spacing w:line="480" w:lineRule="auto"/>
        <w:jc w:val="both"/>
        <w:rPr>
          <w:sz w:val="27"/>
          <w:szCs w:val="27"/>
        </w:rPr>
      </w:pPr>
      <w:r>
        <w:rPr>
          <w:sz w:val="27"/>
          <w:szCs w:val="27"/>
        </w:rPr>
        <w:t>Two theories—the 19th-century psychoanalytic theory of Sigmund Freud and the McGregor Theory X and Y—serve as the foundation for this investigation (1960).</w:t>
      </w:r>
    </w:p>
    <w:p w:rsidR="005B13F6" w:rsidRDefault="00DB4131">
      <w:pPr>
        <w:pStyle w:val="Default"/>
        <w:spacing w:line="480" w:lineRule="auto"/>
        <w:jc w:val="both"/>
        <w:rPr>
          <w:b/>
          <w:sz w:val="27"/>
          <w:szCs w:val="27"/>
        </w:rPr>
      </w:pPr>
      <w:r>
        <w:rPr>
          <w:b/>
          <w:sz w:val="27"/>
          <w:szCs w:val="27"/>
        </w:rPr>
        <w:t>2.3.1</w:t>
      </w:r>
      <w:r>
        <w:rPr>
          <w:b/>
          <w:sz w:val="27"/>
          <w:szCs w:val="27"/>
        </w:rPr>
        <w:tab/>
        <w:t>Sigmund Freud Psychoanalytic Theory</w:t>
      </w:r>
    </w:p>
    <w:p w:rsidR="005B13F6" w:rsidRDefault="00DB4131">
      <w:pPr>
        <w:pStyle w:val="Default"/>
        <w:spacing w:line="480" w:lineRule="auto"/>
        <w:jc w:val="both"/>
        <w:rPr>
          <w:color w:val="auto"/>
          <w:sz w:val="27"/>
          <w:szCs w:val="27"/>
        </w:rPr>
      </w:pPr>
      <w:r>
        <w:rPr>
          <w:color w:val="auto"/>
          <w:sz w:val="27"/>
          <w:szCs w:val="27"/>
        </w:rPr>
        <w:t>Sigmund Freud formulated this hypothesis in the late 19th century, positing that the mind comprises two fundamental components: the conscious mind, encompassing everything we are aware of, which is amenable to rational thought and discussion; and the preconscious, a repository of memories that can be easily accessed and brought into consciousness. Additionally, Freud introduced the concept of the unconscious mind, which stores emotions, impulses, thoughts, and memories beyond our conscious awareness. The contents of the unconscious often involve inappropriate or unpleasant elements, such as painful, anxious, or conflicting emotions. Despite being unaware of these influences, Freud argued that the unconscious exerts an impact on our behavior and experiences.</w:t>
      </w:r>
    </w:p>
    <w:p w:rsidR="005B13F6" w:rsidRDefault="00DB4131">
      <w:pPr>
        <w:pStyle w:val="Default"/>
        <w:spacing w:line="480" w:lineRule="auto"/>
        <w:jc w:val="both"/>
        <w:rPr>
          <w:color w:val="auto"/>
          <w:sz w:val="27"/>
          <w:szCs w:val="27"/>
        </w:rPr>
      </w:pPr>
      <w:r>
        <w:rPr>
          <w:color w:val="auto"/>
          <w:sz w:val="27"/>
          <w:szCs w:val="27"/>
        </w:rPr>
        <w:t xml:space="preserve">This concept is relevant to the study as an employee's workplace experiences can significantly influence their behavior. The repression and suppression of unpleasant </w:t>
      </w:r>
      <w:r>
        <w:rPr>
          <w:color w:val="auto"/>
          <w:sz w:val="27"/>
          <w:szCs w:val="27"/>
        </w:rPr>
        <w:lastRenderedPageBreak/>
        <w:t>experiences, such as the experience of being laid off, may indeed shape employees' behavior and performance in the workplace.</w:t>
      </w:r>
    </w:p>
    <w:p w:rsidR="005B13F6" w:rsidRDefault="00DB4131">
      <w:pPr>
        <w:pStyle w:val="Default"/>
        <w:spacing w:line="480" w:lineRule="auto"/>
        <w:jc w:val="both"/>
        <w:rPr>
          <w:b/>
          <w:color w:val="auto"/>
          <w:sz w:val="27"/>
          <w:szCs w:val="27"/>
        </w:rPr>
      </w:pPr>
      <w:r>
        <w:rPr>
          <w:b/>
          <w:color w:val="auto"/>
          <w:sz w:val="27"/>
          <w:szCs w:val="27"/>
        </w:rPr>
        <w:t>2.3.2</w:t>
      </w:r>
      <w:r>
        <w:rPr>
          <w:b/>
          <w:color w:val="auto"/>
          <w:sz w:val="27"/>
          <w:szCs w:val="27"/>
        </w:rPr>
        <w:tab/>
        <w:t>McGregor Theory X and Y</w:t>
      </w:r>
    </w:p>
    <w:p w:rsidR="005B13F6" w:rsidRDefault="00DB4131">
      <w:pPr>
        <w:pStyle w:val="Default"/>
        <w:spacing w:line="480" w:lineRule="auto"/>
        <w:jc w:val="both"/>
        <w:rPr>
          <w:color w:val="auto"/>
          <w:sz w:val="27"/>
          <w:szCs w:val="27"/>
        </w:rPr>
      </w:pPr>
      <w:r>
        <w:rPr>
          <w:color w:val="auto"/>
          <w:sz w:val="27"/>
          <w:szCs w:val="27"/>
        </w:rPr>
        <w:t>Douglas McGregor presented his Theory X and Theory Y in his 1960 book, "Human Side of an Enterprise," aiming to connect business practices with the ideas of Maslow, Taylor, and Herzberg. Theory X managers assume that employees are inherently lazy, motivated only by money, and exhibit traits of the "Economic man" from scientific management. This perspective leads to an autocratic leadership style, a tall organizational structure, centralized decision-making, and a focus on extrinsic motivation. In contrast, Theory Y emphasizes the highest levels of Maslow's hierarchy, where employees find pleasure in their work, are dedicated, and appreciate responsibility. Theory Y managers view employees as capable, independent, adaptable, and creative. In the context of this research, Theory X is relevant as it aligns with the assumption that employees are sluggish and need coercion, justifying the need for workforce replacement and, consequently, employee layoffs</w:t>
      </w:r>
    </w:p>
    <w:p w:rsidR="005B13F6" w:rsidRDefault="00DB4131">
      <w:pPr>
        <w:pStyle w:val="Default"/>
        <w:spacing w:line="480" w:lineRule="auto"/>
        <w:jc w:val="both"/>
        <w:rPr>
          <w:b/>
          <w:iCs/>
          <w:sz w:val="27"/>
          <w:szCs w:val="27"/>
        </w:rPr>
      </w:pPr>
      <w:r>
        <w:rPr>
          <w:b/>
          <w:iCs/>
          <w:sz w:val="27"/>
          <w:szCs w:val="27"/>
        </w:rPr>
        <w:t>2.4</w:t>
      </w:r>
      <w:r>
        <w:rPr>
          <w:b/>
          <w:iCs/>
          <w:sz w:val="27"/>
          <w:szCs w:val="27"/>
        </w:rPr>
        <w:tab/>
        <w:t>Empirical evidence</w:t>
      </w:r>
    </w:p>
    <w:p w:rsidR="005B13F6" w:rsidRDefault="00DB4131">
      <w:pPr>
        <w:pBdr>
          <w:top w:val="single" w:sz="2" w:space="0" w:color="D9D9E3"/>
          <w:left w:val="single" w:sz="2" w:space="0" w:color="D9D9E3"/>
          <w:bottom w:val="single" w:sz="2" w:space="0" w:color="D9D9E3"/>
          <w:right w:val="single" w:sz="2" w:space="0" w:color="D9D9E3"/>
        </w:pBdr>
        <w:spacing w:after="1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Retrenchment, as examined by Levine (1984), resulted in financial hardship and human resource reduction, posing challenges for government managers. Management strategies to address layoffs led to a decline in human resources, impacting abilities, morale, loyalty, and overall well-being. Ogbechie's (2015) study on socio-economic effects in Nigeria found that laid-off workers lacked coping abilities for unforeseen challenges, negatively affecting families and society. Maunganidze, Mupezeni, and Pfebeni (2013) explored layoffs' impact on human resource personnel in Zimbabwe, revealing suffering among both laid-off employees and program administrators due to </w:t>
      </w:r>
      <w:r>
        <w:rPr>
          <w:rFonts w:ascii="Times New Roman" w:eastAsia="Times New Roman" w:hAnsi="Times New Roman" w:cs="Times New Roman"/>
          <w:color w:val="000000"/>
          <w:sz w:val="27"/>
          <w:szCs w:val="27"/>
        </w:rPr>
        <w:lastRenderedPageBreak/>
        <w:t>the collectivistic culture. Okoye's (2010) study in Enugu State Civil Services using chi-square statistics highlighted negative perceptions of retrenchment, causing job insecurity and reduced employee morale. Overall, these empirical studies serve as a foundation for understanding how retrenchment influences workers' morale and loyalty. However, this research addresses a gap by focusing on the direct impact of layoffs on employees' morale and loyalty, emphasizing the need for further exploration given the limited empirical data on the connection between layoffs and productivity.</w:t>
      </w: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rPr>
          <w:rFonts w:ascii="Times New Roman" w:eastAsia="Times New Roman" w:hAnsi="Times New Roman" w:cs="Times New Roman"/>
          <w:sz w:val="27"/>
          <w:szCs w:val="27"/>
        </w:rPr>
      </w:pPr>
    </w:p>
    <w:p w:rsidR="005B13F6" w:rsidRDefault="005B13F6">
      <w:pPr>
        <w:pBdr>
          <w:bottom w:val="single" w:sz="6" w:space="1" w:color="auto"/>
        </w:pBdr>
        <w:spacing w:after="0" w:line="240" w:lineRule="auto"/>
        <w:jc w:val="center"/>
        <w:rPr>
          <w:rFonts w:ascii="Times New Roman" w:eastAsia="Times New Roman" w:hAnsi="Times New Roman" w:cs="Times New Roman"/>
          <w:sz w:val="27"/>
          <w:szCs w:val="27"/>
        </w:rPr>
      </w:pPr>
    </w:p>
    <w:p w:rsidR="005B13F6" w:rsidRDefault="00DB4131">
      <w:pPr>
        <w:pBdr>
          <w:bottom w:val="single" w:sz="6" w:space="1" w:color="auto"/>
        </w:pBdr>
        <w:spacing w:after="0" w:line="240" w:lineRule="auto"/>
        <w:jc w:val="center"/>
        <w:rPr>
          <w:rFonts w:ascii="Times New Roman" w:eastAsia="Times New Roman" w:hAnsi="Times New Roman" w:cs="Times New Roman"/>
          <w:vanish/>
          <w:sz w:val="27"/>
          <w:szCs w:val="27"/>
        </w:rPr>
      </w:pPr>
      <w:r>
        <w:rPr>
          <w:rFonts w:ascii="Times New Roman" w:eastAsia="Times New Roman" w:hAnsi="Times New Roman" w:cs="Times New Roman"/>
          <w:vanish/>
          <w:sz w:val="27"/>
          <w:szCs w:val="27"/>
        </w:rPr>
        <w:t>Top of Form</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CHAPTER THREE</w:t>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 xml:space="preserve"> METHODOLOGY</w:t>
      </w:r>
    </w:p>
    <w:p w:rsidR="005B13F6" w:rsidRDefault="005B13F6">
      <w:pPr>
        <w:pStyle w:val="Default"/>
        <w:spacing w:line="480" w:lineRule="auto"/>
        <w:rPr>
          <w:sz w:val="27"/>
          <w:szCs w:val="27"/>
        </w:rPr>
      </w:pPr>
    </w:p>
    <w:p w:rsidR="005B13F6" w:rsidRDefault="00DB4131">
      <w:pPr>
        <w:pStyle w:val="Default"/>
        <w:spacing w:line="480" w:lineRule="auto"/>
        <w:jc w:val="both"/>
        <w:rPr>
          <w:color w:val="auto"/>
          <w:sz w:val="27"/>
          <w:szCs w:val="27"/>
        </w:rPr>
      </w:pPr>
      <w:r>
        <w:rPr>
          <w:b/>
          <w:bCs/>
          <w:color w:val="auto"/>
          <w:sz w:val="27"/>
          <w:szCs w:val="27"/>
        </w:rPr>
        <w:t>3.1</w:t>
      </w:r>
      <w:r>
        <w:rPr>
          <w:b/>
          <w:bCs/>
          <w:color w:val="auto"/>
          <w:sz w:val="27"/>
          <w:szCs w:val="27"/>
        </w:rPr>
        <w:tab/>
        <w:t>Introduction</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sz w:val="27"/>
          <w:szCs w:val="27"/>
        </w:rPr>
        <w:t>This chapter presents the procedures that were used in the study. The chapter focuses on research design, location of the study, target population, sample strategy, sample size, research instruments, and data collection techniques and data analysis.</w:t>
      </w:r>
      <w:r>
        <w:rPr>
          <w:rFonts w:ascii="Times New Roman" w:hAnsi="Times New Roman" w:cs="Times New Roman"/>
          <w:b/>
          <w:sz w:val="27"/>
          <w:szCs w:val="27"/>
        </w:rPr>
        <w:tab/>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3.2</w:t>
      </w:r>
      <w:r>
        <w:rPr>
          <w:rFonts w:ascii="Times New Roman" w:hAnsi="Times New Roman" w:cs="Times New Roman"/>
          <w:b/>
          <w:sz w:val="27"/>
          <w:szCs w:val="27"/>
        </w:rPr>
        <w:tab/>
        <w:t>Research Design</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Heppner et al. (1992) defined a research design as a plan or structure outlining the specifications and procedures for conducting and controlling a research project. In this study, a descriptive survey method was employed to achieve the research goals, allowing for the observation of both dependent and independent variables. Given the focus on understanding how layoffs impact employees' loyalty and morale, a </w:t>
      </w:r>
      <w:r>
        <w:rPr>
          <w:rFonts w:ascii="Times New Roman" w:hAnsi="Times New Roman" w:cs="Times New Roman"/>
          <w:sz w:val="27"/>
          <w:szCs w:val="27"/>
        </w:rPr>
        <w:lastRenderedPageBreak/>
        <w:t>questionnaire was used as a data collection tool. The questionnaire was carefully organized, and a sampling technique was applied to select respondents for the study.</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3.3</w:t>
      </w:r>
      <w:r>
        <w:rPr>
          <w:rFonts w:ascii="Times New Roman" w:hAnsi="Times New Roman" w:cs="Times New Roman"/>
          <w:b/>
          <w:sz w:val="27"/>
          <w:szCs w:val="27"/>
        </w:rPr>
        <w:tab/>
        <w:t>Population of the Study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population, as defined by Mugenda and Mugenda (2003), refers to the total collection of people, things, or events that share observable traits. In research, when studying a large group of individuals, occasions, or objects, this group is considered the population (Sekaran, 2003). In the context of the study, the population consists of 85 skilled and unskilled employees of Remto Industries in Ilorin.</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3.4</w:t>
      </w:r>
      <w:r>
        <w:rPr>
          <w:rFonts w:ascii="Times New Roman" w:hAnsi="Times New Roman" w:cs="Times New Roman"/>
          <w:b/>
          <w:sz w:val="27"/>
          <w:szCs w:val="27"/>
        </w:rPr>
        <w:tab/>
        <w:t>Sampling Size and Sampling Technique</w:t>
      </w:r>
    </w:p>
    <w:p w:rsidR="005B13F6" w:rsidRDefault="00DB4131">
      <w:pPr>
        <w:pStyle w:val="Default"/>
        <w:spacing w:line="480" w:lineRule="auto"/>
        <w:jc w:val="both"/>
        <w:rPr>
          <w:rFonts w:eastAsia="Times New Roman"/>
          <w:sz w:val="27"/>
          <w:szCs w:val="27"/>
        </w:rPr>
      </w:pPr>
      <w:r>
        <w:rPr>
          <w:sz w:val="27"/>
          <w:szCs w:val="27"/>
        </w:rPr>
        <w:t xml:space="preserve">According to Mugenda&amp;Mugenda's definition from 2003, sampling is the process of choosing a number of subjects for a study in a way that ensures the subjects chosen accurately reflect the big population from which they were chosen. The study's sample size is based on a scenario in which some segments of the population were chosen at random to ensure that everyone had an equal chance of being chosen. Due to the small size of the organization, the sample size for this study was equal to the study's whole population. Therefore, the sample size was 85 employees </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3.5</w:t>
      </w:r>
      <w:r>
        <w:rPr>
          <w:rFonts w:ascii="Times New Roman" w:hAnsi="Times New Roman" w:cs="Times New Roman"/>
          <w:b/>
          <w:sz w:val="27"/>
          <w:szCs w:val="27"/>
        </w:rPr>
        <w:tab/>
        <w:t>Research Instrument</w:t>
      </w:r>
    </w:p>
    <w:p w:rsidR="005B13F6" w:rsidRDefault="00DB4131">
      <w:pPr>
        <w:autoSpaceDE w:val="0"/>
        <w:autoSpaceDN w:val="0"/>
        <w:adjustRightInd w:val="0"/>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study utilized a well-structured questionnaire as the primary research tool, consisting of two sections. The first section gathered respondents' biographical information, while the second section focused on information related to the study's purpose, questions, and hypotheses, specifically exploring the impact of </w:t>
      </w:r>
      <w:r>
        <w:rPr>
          <w:rFonts w:ascii="Times New Roman" w:eastAsia="Times New Roman" w:hAnsi="Times New Roman" w:cs="Times New Roman"/>
          <w:sz w:val="27"/>
          <w:szCs w:val="27"/>
        </w:rPr>
        <w:lastRenderedPageBreak/>
        <w:t>retrenchments on employees' morale and loyalty. The questionnaire employed a Resin Likert attitudinal scale, coded on a five-point Likert scale: Strongly Agree (5), Agree (4), Undecided (3), Disagree (2), and Strongly Disagree (1).</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3.6</w:t>
      </w:r>
      <w:r>
        <w:rPr>
          <w:rFonts w:ascii="Times New Roman" w:hAnsi="Times New Roman" w:cs="Times New Roman"/>
          <w:b/>
          <w:sz w:val="27"/>
          <w:szCs w:val="27"/>
        </w:rPr>
        <w:tab/>
        <w:t>Source of Data</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data used for this study was obtained specifically from the primary source. The primary data were obtained from the use of structured questionnaire which were administered to obtain information from the respondent. </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3.7</w:t>
      </w:r>
      <w:r>
        <w:rPr>
          <w:rFonts w:ascii="Times New Roman" w:hAnsi="Times New Roman" w:cs="Times New Roman"/>
          <w:b/>
          <w:sz w:val="27"/>
          <w:szCs w:val="27"/>
        </w:rPr>
        <w:tab/>
        <w:t>Instrument used for Data Collection</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 achieve the objectives of this study, comprehensive questionnaires were utilized to gather data from the respondents. The questionnaires were meticulously formatted and structured based on the Resin Likert scale, ensuring the strict confidentiality of all respondents' answers.</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3.8 Data Analysis Technique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A questionnaire was used to conduct the investigation. The questionnaires were gathered and sorted to get rid of the incomplete and error-filled ones. For the data analysis in the study, descriptive statistics were used. The analysis procedure then moved forward with the creation of frequencies, percentages, and charts using the statistical package for social sciences (SPSS) software. To examine the link between dependent and independent variables, this was done. In addition, multiple regression analysis was used to conduct the investigation. The regression equation was: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Cs/>
          <w:sz w:val="27"/>
          <w:szCs w:val="27"/>
        </w:rPr>
        <w:t>Y = β0 + β1X1 + β2X2 + β3X3 + β4X4 + β5X5 + ε</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Where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Y= The Dependent Variable (Employee Morale and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X1= Skill Variety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X2= Task identity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X3= Task Significance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X4= Autonomy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X5= Feedback</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While β1, β2, β3, β4 and β5 are coefficients of determination and</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ε is the error term.</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3.9 Historical Background of the Case Study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REMTO HOLDINGS LIMITED was incorporated in ILORIN, Nigeria with Registration Number 719128. It was registered on 22 Nov 2007. Company's registered office address is PLOT NO 4 NEW YIDI RD., ILORIN, KWARA.</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Owners / Directors / Key management personal</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
          <w:sz w:val="27"/>
          <w:szCs w:val="27"/>
        </w:rPr>
        <w:t>Name</w:t>
      </w:r>
      <w:r>
        <w:rPr>
          <w:rFonts w:ascii="Times New Roman" w:hAnsi="Times New Roman" w:cs="Times New Roman"/>
          <w:b/>
          <w:sz w:val="27"/>
          <w:szCs w:val="27"/>
        </w:rPr>
        <w:tab/>
        <w:t xml:space="preserve"> Designation</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 Julius Aderemi</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MrsAdimula Beatrice Toyin</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 Thomas Oyeniran</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MrAdimulaOlumuyiwaAdedayo</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MrAdimulaAdedapoTolulope</w:t>
      </w:r>
      <w:r>
        <w:rPr>
          <w:rFonts w:ascii="Times New Roman" w:hAnsi="Times New Roman" w:cs="Times New Roman"/>
          <w:sz w:val="27"/>
          <w:szCs w:val="27"/>
        </w:rPr>
        <w:tab/>
        <w:t xml:space="preserve">                        Director</w:t>
      </w:r>
    </w:p>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sz w:val="27"/>
          <w:szCs w:val="27"/>
        </w:rPr>
        <w:t>Miss AdimulaAbimbolaAdetayo</w:t>
      </w:r>
      <w:r>
        <w:rPr>
          <w:rFonts w:ascii="Times New Roman" w:hAnsi="Times New Roman" w:cs="Times New Roman"/>
          <w:sz w:val="27"/>
          <w:szCs w:val="27"/>
        </w:rPr>
        <w:tab/>
        <w:t>Director</w:t>
      </w:r>
    </w:p>
    <w:p w:rsidR="005B13F6" w:rsidRDefault="005B13F6">
      <w:pPr>
        <w:autoSpaceDE w:val="0"/>
        <w:autoSpaceDN w:val="0"/>
        <w:adjustRightInd w:val="0"/>
        <w:spacing w:after="0" w:line="480" w:lineRule="auto"/>
        <w:jc w:val="both"/>
        <w:rPr>
          <w:rFonts w:ascii="Times New Roman" w:hAnsi="Times New Roman" w:cs="Times New Roman"/>
          <w:b/>
          <w:sz w:val="27"/>
          <w:szCs w:val="27"/>
        </w:rPr>
      </w:pP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sz w:val="27"/>
          <w:szCs w:val="27"/>
        </w:rPr>
        <w:t>CHAPTER FOUR</w:t>
      </w:r>
    </w:p>
    <w:p w:rsidR="005B13F6" w:rsidRDefault="00DB4131">
      <w:pPr>
        <w:spacing w:line="480" w:lineRule="auto"/>
        <w:jc w:val="center"/>
        <w:rPr>
          <w:rFonts w:ascii="Times New Roman" w:hAnsi="Times New Roman" w:cs="Times New Roman"/>
          <w:b/>
          <w:sz w:val="27"/>
          <w:szCs w:val="27"/>
        </w:rPr>
      </w:pPr>
      <w:r>
        <w:rPr>
          <w:rFonts w:ascii="Times New Roman" w:hAnsi="Times New Roman" w:cs="Times New Roman"/>
          <w:b/>
          <w:sz w:val="27"/>
          <w:szCs w:val="27"/>
        </w:rPr>
        <w:t>ANALYSIS AND INTERPRETATION OF DATA</w:t>
      </w:r>
    </w:p>
    <w:p w:rsidR="005B13F6" w:rsidRDefault="00DB4131">
      <w:pPr>
        <w:spacing w:line="480" w:lineRule="auto"/>
        <w:jc w:val="both"/>
        <w:rPr>
          <w:rFonts w:ascii="Times New Roman" w:hAnsi="Times New Roman" w:cs="Times New Roman"/>
          <w:b/>
          <w:sz w:val="27"/>
          <w:szCs w:val="27"/>
        </w:rPr>
      </w:pPr>
      <w:r>
        <w:rPr>
          <w:rFonts w:ascii="Times New Roman" w:hAnsi="Times New Roman" w:cs="Times New Roman"/>
          <w:b/>
          <w:sz w:val="27"/>
          <w:szCs w:val="27"/>
        </w:rPr>
        <w:t>4.1 Introduction</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This chapter covers the demographic information of the respondents, the response rate to returned questionnaires, and the presentation, analysis, and interpretation of data. It emphasizes that 5% of the population was utilized to test the hypotheses, and the findings are presented in tables along with corresponding conclusions.</w:t>
      </w:r>
    </w:p>
    <w:p w:rsidR="005B13F6" w:rsidRDefault="00DB4131">
      <w:pPr>
        <w:spacing w:line="480" w:lineRule="auto"/>
        <w:jc w:val="both"/>
        <w:rPr>
          <w:rFonts w:ascii="Times New Roman" w:hAnsi="Times New Roman" w:cs="Times New Roman"/>
          <w:b/>
          <w:sz w:val="27"/>
          <w:szCs w:val="27"/>
        </w:rPr>
      </w:pPr>
      <w:r>
        <w:rPr>
          <w:rFonts w:ascii="Times New Roman" w:hAnsi="Times New Roman" w:cs="Times New Roman"/>
          <w:b/>
          <w:sz w:val="27"/>
          <w:szCs w:val="27"/>
        </w:rPr>
        <w:t>4.1 Survey Response Rate</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questionnaire return rate, representing the percentage of the sample that participated in the survey as intended throughout the research processes, is a critical metric. All eighty-five (85) selected employees for the study provided responses, resulting in a 100% response rate, enhancing the validity of the findings and outcomes.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4.2 Demographic Information of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This section delves into the demographic details of the respondents, encompassing factors such as age, gender, education level, work experience, and morale. The participants consist of both skilled and unskilled workers from Remto Industrial </w:t>
      </w:r>
      <w:r>
        <w:rPr>
          <w:rFonts w:ascii="Times New Roman" w:hAnsi="Times New Roman" w:cs="Times New Roman"/>
          <w:sz w:val="27"/>
          <w:szCs w:val="27"/>
        </w:rPr>
        <w:lastRenderedPageBreak/>
        <w:t>Limited in Ilorin, contributing extensive information, especially from those with long-term tenure in the company.</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4.2.1. Gender Distribution of the Respondents</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respondents were asked to specify their gender in order to determine whether retrenchment and loyalty in the chosen industry were gender sensitive. This was done in order to get the employees' opinions and to make sure that everyone had a chance to express themselves, regardless of gender. Table 4.2.1 provided the respondents' gender breakdown.</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1024"/>
        <w:gridCol w:w="1392"/>
        <w:gridCol w:w="1469"/>
      </w:tblGrid>
      <w:tr w:rsidR="005B13F6">
        <w:trPr>
          <w:cantSplit/>
        </w:trPr>
        <w:tc>
          <w:tcPr>
            <w:tcW w:w="677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4.2.1: GENDER</w:t>
            </w:r>
          </w:p>
        </w:tc>
      </w:tr>
      <w:tr w:rsidR="005B13F6">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99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MALE</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FEMALE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eastAsia="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Based on the gender distribution among the respondents, 47 (37%) were female, while 80 (63%) were male. The findings reveal a predominant representation of male respondents. This outcome suggests that the industry under examination aligns closely </w:t>
      </w:r>
      <w:r>
        <w:rPr>
          <w:rFonts w:ascii="Times New Roman" w:eastAsia="Times New Roman" w:hAnsi="Times New Roman" w:cs="Times New Roman"/>
          <w:sz w:val="27"/>
          <w:szCs w:val="27"/>
        </w:rPr>
        <w:lastRenderedPageBreak/>
        <w:t>with the constitutional gender guideline of 30%. The observed gender balance in the chosen industry, with a relatively narrow gap between men and women, contributes to fostering industrial gender equilibrium, potentially enhancing employee loyalty and morale.</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4.2.2. Age Distribution of the Respondents</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Respondents were requested to specify their age, with the intention of assessing whether the study was sensitive to age-related perspectives of employees and ensuring that viewpoints were solicited from individuals across different age groups. The distribution of respondents' ages is presented in Table 4.2.</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28"/>
        <w:gridCol w:w="1162"/>
        <w:gridCol w:w="1024"/>
        <w:gridCol w:w="1392"/>
        <w:gridCol w:w="1469"/>
      </w:tblGrid>
      <w:tr w:rsidR="005B13F6">
        <w:trPr>
          <w:cantSplit/>
        </w:trPr>
        <w:tc>
          <w:tcPr>
            <w:tcW w:w="7709"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4.2.2: AGE</w:t>
            </w:r>
          </w:p>
        </w:tc>
      </w:tr>
      <w:tr w:rsidR="005B13F6">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928"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Under 25 years</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26-35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36-45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46 years and above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28"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The findings of the respondent's age are shown in Table 4.2.2. It is evident that the majority of respondents—52, or 61.2%—were in the 26–35 age range, followed by 18 respondents, or 21.2%, in the 25–24 age range, then by 10 respondents, or 11.8%, in the 36–45 age range, and by just 5 respondents, or 5.9%, in the 46–and-up age range. This indicated that the majority of research participants were between the ages of 26 and 35. This age range represented the economically preferred active working age in the industrial workplace in the chosen area. This raises employee commitment and morale in the industry sampled.</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t>4.2.3. Education Level of the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To assess the potential impact of educational background on perspectives regarding retrenchment and loyalty, respondents were prompted to indicate their level of literacy. This approach aimed to provide an inclusive platform for individuals to express their opinions, irrespective of their educational background. The distribution of respondents' literacy levels is presented in Table 4.2.3.</w:t>
      </w: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1"/>
        <w:gridCol w:w="1162"/>
        <w:gridCol w:w="1024"/>
        <w:gridCol w:w="1393"/>
        <w:gridCol w:w="1469"/>
      </w:tblGrid>
      <w:tr w:rsidR="005B13F6">
        <w:trPr>
          <w:cantSplit/>
        </w:trPr>
        <w:tc>
          <w:tcPr>
            <w:tcW w:w="71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4.2.3: EDUCATIONAL_QUALIFICATION</w:t>
            </w:r>
          </w:p>
        </w:tc>
      </w:tr>
      <w:tr w:rsidR="005B13F6">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3"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331"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NCE/OND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3"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First Degree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58.8</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Master</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PHD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Others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1"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3"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Table 4.2.3 illustrates the distribution of respondents based on their educational levels. The results reveal that 50 respondents (58.8%) held degrees, followed by 14 (16.5%) with OND/NCE qualifications, 16 (18.8%) with second degrees, and a minimal 5 (5.9%) possessing other certificates, particularly in business-related courses. This distribution suggests that a significant proportion of the respondents, with diverse educational backgrounds, were well-equipped to provide a comprehensive assessment of retrenchment and its impact on employee loyalty and morale in the selected industry.</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b/>
          <w:sz w:val="27"/>
          <w:szCs w:val="27"/>
        </w:rPr>
        <w:lastRenderedPageBreak/>
        <w:t>4.2.4. Length of service of the Respondents</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respondents were requested to specify their tenure in the industry, intending to assess whether retrenchment and loyalty were influenced by the length of service. This approach aimed to capture the perspectives of employees across different experience levels, ensuring a diverse range of opinions. The distribution of respondents based on their working experience is presented in Table 4.2.4.</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74"/>
        <w:gridCol w:w="1162"/>
        <w:gridCol w:w="1024"/>
        <w:gridCol w:w="1392"/>
        <w:gridCol w:w="1469"/>
      </w:tblGrid>
      <w:tr w:rsidR="005B13F6">
        <w:trPr>
          <w:cantSplit/>
        </w:trPr>
        <w:tc>
          <w:tcPr>
            <w:tcW w:w="7755"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4.2.4: WORKING_EXPERIENCE</w:t>
            </w:r>
          </w:p>
        </w:tc>
      </w:tr>
      <w:tr w:rsidR="005B13F6">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197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Less than two years</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3-5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6-10 years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11 years and above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97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pStyle w:val="Default"/>
        <w:spacing w:line="480" w:lineRule="auto"/>
        <w:jc w:val="both"/>
        <w:rPr>
          <w:b/>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survey also assessed the duration of service for selected personnel in the field. The results reveal that the majority, comprising 51 respondents or 60%, have been </w:t>
      </w:r>
      <w:r>
        <w:rPr>
          <w:rFonts w:ascii="Times New Roman" w:hAnsi="Times New Roman" w:cs="Times New Roman"/>
          <w:sz w:val="27"/>
          <w:szCs w:val="27"/>
        </w:rPr>
        <w:lastRenderedPageBreak/>
        <w:t>employed in the industry for three to ten years. Additionally, 22 respondents, or 21.1%, have less than two years of experience, while 7 respondents, or 8.2%, have a tenure of 6 to 10 years. Furthermore, 5 respondents, or 5.9%, boast extensive industrial experience of 11 years or more. These findings suggest that the selected respondents possess substantial expertise in the field, providing a solid foundation for examining their perceptions of the impact of layoffs on employee morale and loyalty within the industry. The considerable wealth of working experience also ensures valuable insights into industrial layoff procedures and employee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b/>
          <w:sz w:val="27"/>
          <w:szCs w:val="27"/>
        </w:rPr>
        <w:t>4.2.5. Departmental Section of the Company</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respondents were asked to specify their units within the industrial department to assess if the study was department-sensitive while seeking employees' opinions. This was done to ensure that individuals from all departments in the selected industry had the opportunity to express their views. The details of the respondents' department information are presented in Table 4.2.5.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17"/>
        <w:gridCol w:w="1163"/>
        <w:gridCol w:w="1024"/>
        <w:gridCol w:w="1392"/>
        <w:gridCol w:w="1469"/>
      </w:tblGrid>
      <w:tr w:rsidR="005B13F6">
        <w:trPr>
          <w:cantSplit/>
        </w:trPr>
        <w:tc>
          <w:tcPr>
            <w:tcW w:w="8195"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DEPARTMENT_OF_RESPONDENTS_IN_THE_COMPANY</w:t>
            </w:r>
          </w:p>
        </w:tc>
      </w:tr>
      <w:tr w:rsidR="005B13F6">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2416"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Distribution</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Store</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Production</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Marketing</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77.6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Purchasing and Supplies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Others</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16"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survey also examined the departmental distribution of workers within the industry. The data revealed that the largest group of respondents, comprising 36.5% of the total, worked in the manufacturing department. Following this, 16.5% were in the store department, 15.3% in distribution and marketing, and 14.1% in other industry departments. This indicates that the manufacturing department had a higher number of staff compared to other departments, suggesting that this department's majority could provide valuable insights into layoffs and morale in the sampled industry.</w:t>
      </w:r>
    </w:p>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t>4.3 Data Analysis According to the Research Questions</w:t>
      </w:r>
    </w:p>
    <w:p w:rsidR="005B13F6" w:rsidRDefault="00DB4131">
      <w:pPr>
        <w:autoSpaceDE w:val="0"/>
        <w:autoSpaceDN w:val="0"/>
        <w:adjustRightInd w:val="0"/>
        <w:spacing w:after="0" w:line="480" w:lineRule="auto"/>
        <w:rPr>
          <w:rFonts w:ascii="Times New Roman" w:hAnsi="Times New Roman" w:cs="Times New Roman"/>
          <w:b/>
          <w:sz w:val="27"/>
          <w:szCs w:val="27"/>
        </w:rPr>
      </w:pPr>
      <w:r>
        <w:rPr>
          <w:rFonts w:ascii="Times New Roman" w:hAnsi="Times New Roman" w:cs="Times New Roman"/>
          <w:b/>
          <w:sz w:val="27"/>
          <w:szCs w:val="27"/>
        </w:rPr>
        <w:lastRenderedPageBreak/>
        <w:t>RQ1: Is there any significant relationship between retrenchment and employees’ morale in Remto Industries, Ilorin Kwara State?</w:t>
      </w:r>
    </w:p>
    <w:p w:rsidR="005B13F6" w:rsidRDefault="005B13F6">
      <w:pPr>
        <w:autoSpaceDE w:val="0"/>
        <w:autoSpaceDN w:val="0"/>
        <w:adjustRightInd w:val="0"/>
        <w:spacing w:after="0" w:line="480" w:lineRule="auto"/>
        <w:rPr>
          <w:rFonts w:ascii="Times New Roman" w:hAnsi="Times New Roman" w:cs="Times New Roman"/>
          <w:b/>
          <w:sz w:val="27"/>
          <w:szCs w:val="27"/>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 </w:t>
            </w:r>
            <w:r>
              <w:rPr>
                <w:rFonts w:ascii="Times New Roman" w:hAnsi="Times New Roman" w:cs="Times New Roman"/>
                <w:iCs/>
                <w:sz w:val="27"/>
                <w:szCs w:val="27"/>
              </w:rPr>
              <w:t>My organization retrenches employees when there is a need to downsize its staff</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 xml:space="preserve">The investigation aimed to ascertain whether retrenchment resulted in a reduction of personnel within the organization while enhancing efficiency. The findings indicate that 31.8% of respondents disagreed with the notion that the company resorts to retrenchment when it needs to reduce its workforce. A majority of 52.9% of respondents expressed disagreement with this perspective, while 15.3% remained ambivalent. These results suggest that the organization effectively reduced its </w:t>
      </w:r>
      <w:r>
        <w:rPr>
          <w:rFonts w:ascii="Times New Roman" w:hAnsi="Times New Roman" w:cs="Times New Roman"/>
          <w:sz w:val="27"/>
          <w:szCs w:val="27"/>
        </w:rPr>
        <w:lastRenderedPageBreak/>
        <w:t>workforce through retrenchment, contributing to increased commitment and morale within the surveyed group.</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4.3.2: </w:t>
            </w:r>
            <w:r>
              <w:rPr>
                <w:rFonts w:ascii="Times New Roman" w:hAnsi="Times New Roman" w:cs="Times New Roman"/>
                <w:iCs/>
                <w:sz w:val="27"/>
                <w:szCs w:val="27"/>
              </w:rPr>
              <w:t>Employees are sometimes retrenched with separation benefits as a compensation for their services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19</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sz w:val="27"/>
          <w:szCs w:val="27"/>
        </w:rPr>
        <w:t xml:space="preserve">The objective of this investigation was to determine whether employees received retrenchment benefits as a form of compensation. The results indicate that 51.8% of survey participants disagreed with the notion that the company provides compensatory benefits to retrenched workers during workforce reduction. In contrast, 40% of respondents agreed with the statement, while 8.2% remained undecided. These findings suggest that a significant proportion of respondents, over 50%, acknowledged </w:t>
      </w:r>
      <w:r>
        <w:rPr>
          <w:rFonts w:ascii="Times New Roman" w:hAnsi="Times New Roman" w:cs="Times New Roman"/>
          <w:sz w:val="27"/>
          <w:szCs w:val="27"/>
        </w:rPr>
        <w:lastRenderedPageBreak/>
        <w:t>that retrenched workers in the selected industry did not consistently receive compensatory benefits.</w:t>
      </w:r>
    </w:p>
    <w:p w:rsidR="005B13F6" w:rsidRDefault="00DB4131">
      <w:pPr>
        <w:autoSpaceDE w:val="0"/>
        <w:autoSpaceDN w:val="0"/>
        <w:adjustRightInd w:val="0"/>
        <w:spacing w:line="480" w:lineRule="auto"/>
        <w:rPr>
          <w:rFonts w:ascii="Times New Roman" w:hAnsi="Times New Roman" w:cs="Times New Roman"/>
          <w:sz w:val="27"/>
          <w:szCs w:val="27"/>
        </w:rPr>
      </w:pPr>
      <w:r>
        <w:rPr>
          <w:rFonts w:ascii="Times New Roman" w:hAnsi="Times New Roman" w:cs="Times New Roman"/>
          <w:b/>
          <w:bCs/>
          <w:sz w:val="27"/>
          <w:szCs w:val="27"/>
        </w:rPr>
        <w:t xml:space="preserve"> Table 4.3.3:</w:t>
      </w:r>
      <w:r>
        <w:rPr>
          <w:rFonts w:ascii="Times New Roman" w:hAnsi="Times New Roman" w:cs="Times New Roman"/>
          <w:sz w:val="27"/>
          <w:szCs w:val="27"/>
        </w:rPr>
        <w:t xml:space="preserve"> There is maximum number of years an employee can spend with Remto Industries, after which retirement is mandated</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5B13F6">
            <w:pPr>
              <w:autoSpaceDE w:val="0"/>
              <w:autoSpaceDN w:val="0"/>
              <w:adjustRightInd w:val="0"/>
              <w:spacing w:after="0" w:line="480" w:lineRule="auto"/>
              <w:ind w:right="60"/>
              <w:rPr>
                <w:rFonts w:ascii="Times New Roman" w:hAnsi="Times New Roman" w:cs="Times New Roman"/>
                <w:color w:val="000000"/>
                <w:sz w:val="27"/>
                <w:szCs w:val="27"/>
              </w:rPr>
            </w:pP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51.8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purpose of this inquiry was to determine if the sampled industry had a robust policy regarding layoffs within employees' terms of service. The results indicate that 51.8% of those surveyed disapproved of the obligatory retirement policy implemented by the chosen organization, suggesting that it did not include a maximum number of </w:t>
      </w:r>
      <w:r>
        <w:rPr>
          <w:rFonts w:ascii="Times New Roman" w:hAnsi="Times New Roman" w:cs="Times New Roman"/>
          <w:sz w:val="27"/>
          <w:szCs w:val="27"/>
        </w:rPr>
        <w:lastRenderedPageBreak/>
        <w:t>years an employee could have worked for the company. In contrast, 38.8% of respondents agreed with the statement, while 9.4% remained undecided. Hence, more than 50% of those polled asserted that employee ineptitude and disloyalty to the government, rather than mandatory retirement age and years of service, were the primary reasons for Remto's retrenchment operations. This finding aligns with the observation that compensation benefits were occasionally not provided to the laid-off workers in the sampled industry, as reported by the majority of respondents in table 4.3.2.</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4.3.4: </w:t>
            </w:r>
            <w:r>
              <w:rPr>
                <w:rFonts w:ascii="Times New Roman" w:hAnsi="Times New Roman" w:cs="Times New Roman"/>
                <w:iCs/>
                <w:sz w:val="27"/>
                <w:szCs w:val="27"/>
              </w:rPr>
              <w:t>Conditions under which employees can be retrenched have been stipulated in the company’s terms of employment.</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inquiry aimed to determine if the terms of employment of the company contained any provisions about the circumstances in which employees may be let go. The results showed that 25.9% of respondents believed that the terms and conditions of employment were not orderly defined in the corporate layoff procedures. In contrast, a significant majority of 64.7% of respondents agreed with the statement, while 9.4% remained undecided. This suggests that more than two-thirds of the participants concurred with the assertion that the majority of retrenchment procedures aligned with the terms and length of service outlined in the company's policy.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4.3.5: </w:t>
            </w:r>
            <w:r>
              <w:rPr>
                <w:rFonts w:ascii="Times New Roman" w:hAnsi="Times New Roman" w:cs="Times New Roman"/>
                <w:iCs/>
                <w:sz w:val="27"/>
                <w:szCs w:val="27"/>
              </w:rPr>
              <w:t>Retrenchment programmes of Remto Industries affects the morale of employees who survive retrenchment exercises.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62.4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line="480" w:lineRule="auto"/>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inquiry aimed to find out whether Remto Industries' retrenchment programs have an impact on the morale of workers who make it through the process. Retrenchments do not in any way boost employee morale following the exercise, 18.8% of respondents disagreed. While 63.5% of respondents agreed with the statement, 17.6% of respondents were undecided. This suggests that majorities of more than two-thirds agreed with the assertion that most Remtower retrenchment exercises were employed to address employee disloyalty and incompetence with regard to business policy.</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RQ2: Does communication of retrenchment process to employees have significant influence on employees’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4.3.6: </w:t>
            </w:r>
            <w:r>
              <w:rPr>
                <w:rFonts w:ascii="Times New Roman" w:hAnsi="Times New Roman" w:cs="Times New Roman"/>
                <w:iCs/>
                <w:sz w:val="27"/>
                <w:szCs w:val="27"/>
              </w:rPr>
              <w:t>Planned retrenchment exercises are communicated to employees prior to the exercise in this organization.</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purpose of this inquiry was to determine the degree to which the planned retrenchment's communication strategy increased employee loyalty prior to, during, and after the exercise. The proposed retrenchment exercise, according to 25.9% of respondents, was not announced through any channel. While 20% of respondents expressed neither agreement nor disagreement with the statement, 54.1% of respondents did. This suggests that a sizable number of respondents accepted the premise that at this business, employees are informed in advance about planned retrenchment activities. This improves morale and lessens disloyalty to authority.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4.3.7: </w:t>
            </w:r>
            <w:r>
              <w:rPr>
                <w:rFonts w:ascii="Times New Roman" w:hAnsi="Times New Roman" w:cs="Times New Roman"/>
                <w:iCs/>
                <w:sz w:val="27"/>
                <w:szCs w:val="27"/>
              </w:rPr>
              <w:t>The process and conditions for retrenchment are communicated to employees through their unions.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This question aimed to investigate whether the constituted labor union communicates the process and conditions of retrenchment to employees. The findings indicate that 15.3% of respondents disagreed with the statement, 20% of respondents neither agreed nor disagreed, while a significant majority of 64.7% of respondents agreed. This suggests that a substantial number of respondents acknowledged that the process and conditions for retrenchment are communicated to employees through their unions. Such communication may contribute to increased morale and reduced disloyalty among the authorities in the sampled industry.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4.3.8: </w:t>
            </w:r>
            <w:r>
              <w:rPr>
                <w:rFonts w:ascii="Times New Roman" w:hAnsi="Times New Roman" w:cs="Times New Roman"/>
                <w:iCs/>
                <w:sz w:val="27"/>
                <w:szCs w:val="27"/>
              </w:rPr>
              <w:t>The process and conditions for retrenchment are communicated to employees through their unions and the company’s magazine.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67.1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This inquiry investigated whether the methods of informing employees about the terms and conditions of their layoffs improved morale and loyalty. The findings show that 51.7% of respondents agreed with the statement, while 24.7% of respondents opposed it, and 23.5% of respondents were unsure. This suggests that a sizable portion of respondents agreed with the assertion that both the union and the company magazine serve as channels for communicating the process and conditions of layoffs. It indicates that the company's policy of using the retrenchment exercise to inform employees via their union and magazine is effective.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both"/>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4.3.9: </w:t>
            </w:r>
            <w:r>
              <w:rPr>
                <w:rFonts w:ascii="Times New Roman" w:hAnsi="Times New Roman" w:cs="Times New Roman"/>
                <w:iCs/>
                <w:sz w:val="27"/>
                <w:szCs w:val="27"/>
              </w:rPr>
              <w:t>I am more loyal to my organization because retrenchment processes are communicated to us or known to us before it is experienced, thus causes no employees disloyalty to the organization.</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an effort to minimize authority-disloyalty in the workplace, the study aimed to determine whether the layoff process is effectively communicated to employees. The results showed that 70% of respondents agreed with the statement, while 20% disagreed, and 9.4% were undecided. This indicates a substantial agreement among respondents that informing employees about the procedure and terms of layoffs contributes to increased employee loyalty</w:t>
      </w:r>
    </w:p>
    <w:p w:rsidR="005B13F6" w:rsidRDefault="00DB4131">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RQ3: What is the influence of changes in the scheme of work on the morale of retrenchment survivors in Remto Industries, Ilorin, Kwara State?</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objective here was sought to establish how scheme of service issues are addressed in Remto Industrial Limited. The results are as represented in the following tables: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 xml:space="preserve">Table 4.3.10: </w:t>
            </w:r>
            <w:r>
              <w:rPr>
                <w:rFonts w:ascii="Times New Roman" w:hAnsi="Times New Roman" w:cs="Times New Roman"/>
                <w:sz w:val="27"/>
                <w:szCs w:val="27"/>
              </w:rPr>
              <w:t>After a retrenchment exercise, there’s usually a change in the salary structure of employees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23.5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28.2</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28.2</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26</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Table 4.3.10's results show that 68.8% of respondents agreed with the statement, while 23.5% of respondents disagreed, 10.6% of respondents were undecided, and 10.5% of respondents were both in agreement and disagreement. This suggests that a sizable portion of respondents agreed with the assertion that wage structure changes increased to a greater extent. Morale is raised by this.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3"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4.3.11: </w:t>
            </w:r>
            <w:r>
              <w:rPr>
                <w:rFonts w:ascii="Times New Roman" w:hAnsi="Times New Roman" w:cs="Times New Roman"/>
                <w:sz w:val="27"/>
                <w:szCs w:val="27"/>
              </w:rPr>
              <w:t>Retrenchment survivors are promoted after retrenchment exercises to fill top vacant positions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2"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1"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2"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43.5</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68.2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2"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39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21.2</w:t>
            </w:r>
          </w:p>
        </w:tc>
        <w:tc>
          <w:tcPr>
            <w:tcW w:w="146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2"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8"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results in table 4.3.11 show that 31.8% of respondents agreed with the assertion that retrenchment survivors are promoted after retrenchment exercises to replace top empty posts, while 14.1% of respondents were undecided. This suggests that a sizable portion of respondents agreed with the assertion that layoffs do not affect how employees are promoted in the chosen sector. This may be the case since there are other factors involved in downsizing than employee promotions in the chosen sector. As shown in table 4.3.10 above, it is therefore likely to be of more financial than non-financial use.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4.3.12: </w:t>
            </w:r>
            <w:r>
              <w:rPr>
                <w:rFonts w:ascii="Times New Roman" w:hAnsi="Times New Roman" w:cs="Times New Roman"/>
                <w:sz w:val="27"/>
                <w:szCs w:val="27"/>
              </w:rPr>
              <w:t>There is a change in the working hours of retained employees after every retrenchment exercise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w:t>
            </w:r>
            <w:r>
              <w:rPr>
                <w:rFonts w:ascii="Times New Roman" w:hAnsi="Times New Roman" w:cs="Times New Roman"/>
                <w:color w:val="000000"/>
                <w:sz w:val="27"/>
                <w:szCs w:val="27"/>
              </w:rPr>
              <w:lastRenderedPageBreak/>
              <w:t>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18.8</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63.5</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36.5</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According to the results in table 4.3.12, 18.8% of respondents disagreed with the statement that retained employees work longer hours following layoffs, 10.6% of respondents were undecided, and 70.6% of respondents agreed. This suggests that a sizable portion of respondents agreed with the assertion that remaining employees' working hours in the sampled industry rise with each round of layoffs. By raising bonuses and allowances for workers, this boosts morale and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4.3.13: </w:t>
            </w:r>
            <w:r>
              <w:rPr>
                <w:rFonts w:ascii="Times New Roman" w:hAnsi="Times New Roman" w:cs="Times New Roman"/>
                <w:sz w:val="27"/>
                <w:szCs w:val="27"/>
              </w:rPr>
              <w:t>The management often call for more overtime work after retrenchment of less productive workers</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70.6</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29.4</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 findings in table 4.3.13 indicate that 54.8% of respondents agreed with the statement that management often requests additional overtime work after laying off less productive employees, with only 29.4% of respondents disagreeing. The remaining 11.8% were undecided. This suggests that a significant proportion of respondents agreed with the notion that management frequently seeks additional overtime labor after layoffs, a practice perceived to enhance employee morale and reduce dissent towards authority in the studied business.</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1469"/>
      </w:tblGrid>
      <w:tr w:rsidR="005B13F6">
        <w:trPr>
          <w:cantSplit/>
        </w:trPr>
        <w:tc>
          <w:tcPr>
            <w:tcW w:w="6516" w:type="dxa"/>
            <w:gridSpan w:val="6"/>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Table 4.3.14: </w:t>
            </w:r>
            <w:r>
              <w:rPr>
                <w:rFonts w:ascii="Times New Roman" w:hAnsi="Times New Roman" w:cs="Times New Roman"/>
                <w:sz w:val="27"/>
                <w:szCs w:val="27"/>
              </w:rPr>
              <w:t>A change in the scheme of work affects employees’ morale.</w:t>
            </w:r>
          </w:p>
        </w:tc>
      </w:tr>
      <w:tr w:rsidR="005B13F6">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Frequency</w:t>
            </w:r>
          </w:p>
        </w:tc>
        <w:tc>
          <w:tcPr>
            <w:tcW w:w="1024"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Percent</w:t>
            </w:r>
          </w:p>
        </w:tc>
        <w:tc>
          <w:tcPr>
            <w:tcW w:w="1392"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Cumulative Percent</w:t>
            </w: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w:t>
            </w:r>
          </w:p>
        </w:tc>
        <w:tc>
          <w:tcPr>
            <w:tcW w:w="734"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SD</w:t>
            </w:r>
          </w:p>
        </w:tc>
        <w:tc>
          <w:tcPr>
            <w:tcW w:w="1163"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24.7</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U</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15.3</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w:t>
            </w:r>
          </w:p>
        </w:tc>
        <w:tc>
          <w:tcPr>
            <w:tcW w:w="1163"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39</w:t>
            </w:r>
          </w:p>
        </w:tc>
        <w:tc>
          <w:tcPr>
            <w:tcW w:w="102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c>
          <w:tcPr>
            <w:tcW w:w="1392"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45.9</w:t>
            </w:r>
          </w:p>
        </w:tc>
        <w:tc>
          <w:tcPr>
            <w:tcW w:w="1469"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734"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163"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02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392"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46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bl>
    <w:p w:rsidR="005B13F6" w:rsidRDefault="00DB4131">
      <w:pPr>
        <w:autoSpaceDE w:val="0"/>
        <w:autoSpaceDN w:val="0"/>
        <w:adjustRightInd w:val="0"/>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Source: SPSS Computation, 2025</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rPr>
          <w:rFonts w:ascii="Times New Roman" w:hAnsi="Times New Roman" w:cs="Times New Roman"/>
          <w:sz w:val="27"/>
          <w:szCs w:val="27"/>
        </w:rPr>
      </w:pPr>
      <w:r>
        <w:rPr>
          <w:rFonts w:ascii="Times New Roman" w:hAnsi="Times New Roman" w:cs="Times New Roman"/>
          <w:sz w:val="27"/>
          <w:szCs w:val="27"/>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the organization were able to achieved change in scheme of work after retrenchment. Hence, this improves employee’s morale in general. </w:t>
      </w:r>
    </w:p>
    <w:p w:rsidR="005B13F6" w:rsidRDefault="00DB4131">
      <w:pPr>
        <w:autoSpaceDE w:val="0"/>
        <w:autoSpaceDN w:val="0"/>
        <w:adjustRightInd w:val="0"/>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4.4. Descriptive Statistics Showing the Behavioural Patterns of Responses towards the Constructs of Retrenchment exercise and Employee’s Morale</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7"/>
        <w:gridCol w:w="1437"/>
        <w:gridCol w:w="979"/>
        <w:gridCol w:w="979"/>
        <w:gridCol w:w="1071"/>
        <w:gridCol w:w="1163"/>
        <w:gridCol w:w="1163"/>
      </w:tblGrid>
      <w:tr w:rsidR="005B13F6">
        <w:trPr>
          <w:cantSplit/>
        </w:trPr>
        <w:tc>
          <w:tcPr>
            <w:tcW w:w="9239"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4.4.1: Descriptive Statistics Analysis of Mean and Variance of Respondents Opinion on Retrenchment Exercise</w:t>
            </w:r>
          </w:p>
        </w:tc>
      </w:tr>
      <w:tr w:rsidR="005B13F6">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jc w:val="center"/>
              <w:rPr>
                <w:rFonts w:ascii="Times New Roman" w:hAnsi="Times New Roman" w:cs="Times New Roman"/>
                <w:sz w:val="27"/>
                <w:szCs w:val="27"/>
              </w:rPr>
            </w:pPr>
            <w:r>
              <w:rPr>
                <w:rFonts w:ascii="Times New Roman" w:hAnsi="Times New Roman" w:cs="Times New Roman"/>
                <w:sz w:val="27"/>
                <w:szCs w:val="27"/>
              </w:rPr>
              <w:t>Model Constructs</w:t>
            </w:r>
          </w:p>
        </w:tc>
        <w:tc>
          <w:tcPr>
            <w:tcW w:w="979" w:type="dxa"/>
            <w:vMerge w:val="restart"/>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Statistic</w:t>
            </w:r>
          </w:p>
        </w:tc>
        <w:tc>
          <w:tcPr>
            <w:tcW w:w="4376" w:type="dxa"/>
            <w:gridSpan w:val="4"/>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Bootstrap</w:t>
            </w:r>
            <w:r>
              <w:rPr>
                <w:rFonts w:ascii="Times New Roman" w:hAnsi="Times New Roman" w:cs="Times New Roman"/>
                <w:color w:val="000000"/>
                <w:sz w:val="27"/>
                <w:szCs w:val="27"/>
                <w:vertAlign w:val="superscript"/>
              </w:rPr>
              <w:t>a</w:t>
            </w:r>
          </w:p>
        </w:tc>
      </w:tr>
      <w:tr w:rsidR="005B13F6">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tcBorders>
              <w:top w:val="single" w:sz="16" w:space="0" w:color="000000"/>
              <w:lef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val="restart"/>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Bias</w:t>
            </w:r>
          </w:p>
        </w:tc>
        <w:tc>
          <w:tcPr>
            <w:tcW w:w="1071" w:type="dxa"/>
            <w:vMerge w:val="restart"/>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2326" w:type="dxa"/>
            <w:gridSpan w:val="2"/>
            <w:tcBorders>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95% Confidence Interval</w:t>
            </w:r>
          </w:p>
        </w:tc>
      </w:tr>
      <w:tr w:rsidR="005B13F6">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tcBorders>
              <w:top w:val="single" w:sz="16" w:space="0" w:color="000000"/>
              <w:lef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9" w:type="dxa"/>
            <w:vMerge/>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071" w:type="dxa"/>
            <w:vMerge/>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163"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Lower</w:t>
            </w:r>
          </w:p>
        </w:tc>
        <w:tc>
          <w:tcPr>
            <w:tcW w:w="1163" w:type="dxa"/>
            <w:tcBorders>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Upper</w:t>
            </w:r>
          </w:p>
        </w:tc>
      </w:tr>
      <w:tr w:rsidR="005B13F6">
        <w:trPr>
          <w:cantSplit/>
        </w:trPr>
        <w:tc>
          <w:tcPr>
            <w:tcW w:w="2447" w:type="dxa"/>
            <w:vMerge w:val="restart"/>
            <w:tcBorders>
              <w:top w:val="single" w:sz="16" w:space="0" w:color="000000"/>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 xml:space="preserve">My Organization retrenches employees when there is need to </w:t>
            </w:r>
            <w:r>
              <w:rPr>
                <w:rFonts w:ascii="Times New Roman" w:hAnsi="Times New Roman" w:cs="Times New Roman"/>
                <w:color w:val="000000"/>
                <w:sz w:val="27"/>
                <w:szCs w:val="27"/>
              </w:rPr>
              <w:lastRenderedPageBreak/>
              <w:t>down size its staff</w:t>
            </w:r>
          </w:p>
        </w:tc>
        <w:tc>
          <w:tcPr>
            <w:tcW w:w="1437"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N</w:t>
            </w:r>
          </w:p>
        </w:tc>
        <w:tc>
          <w:tcPr>
            <w:tcW w:w="979"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3.2588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.1410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3.0000</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3.5444</w:t>
            </w:r>
          </w:p>
        </w:tc>
      </w:tr>
      <w:tr w:rsidR="005B13F6">
        <w:trPr>
          <w:cantSplit/>
        </w:trPr>
        <w:tc>
          <w:tcPr>
            <w:tcW w:w="2447"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1.33767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-.01498</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.07009</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1.18561</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1.45243</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2.8118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-.0003</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.1520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2.5362</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3.1201</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1.42674</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-.01493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.06573</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1.25902</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1.52779</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There is maximum number employees can spend in Remto industry, after which retirement benefits is mandated</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2.7529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-.0011</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.1669</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2.4471</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3.1059</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1.55767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-.01663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.06935</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1.40147</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1.66089</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The condition which the employee can be retrenched have been stipulated in the term of employment</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3.5059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-.0035</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.1326</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3.2656</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3.7672</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1.25947</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-.01501</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.07710</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1.06216</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1.39962</w:t>
            </w:r>
          </w:p>
        </w:tc>
      </w:tr>
      <w:tr w:rsidR="005B13F6">
        <w:trPr>
          <w:cantSplit/>
        </w:trPr>
        <w:tc>
          <w:tcPr>
            <w:tcW w:w="2447" w:type="dxa"/>
            <w:vMerge w:val="restart"/>
            <w:tcBorders>
              <w:top w:val="nil"/>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Retrenchment program of Remto affects morale of employees who survived retrenchment exercises</w:t>
            </w: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Minimum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Maximum</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5.00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071"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163"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43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Mean</w:t>
            </w:r>
          </w:p>
        </w:tc>
        <w:tc>
          <w:tcPr>
            <w:tcW w:w="979"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3.6941</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.0016</w:t>
            </w:r>
          </w:p>
        </w:tc>
        <w:tc>
          <w:tcPr>
            <w:tcW w:w="1071"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.1390</w:t>
            </w:r>
          </w:p>
        </w:tc>
        <w:tc>
          <w:tcPr>
            <w:tcW w:w="1163"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3.4093</w:t>
            </w:r>
          </w:p>
        </w:tc>
        <w:tc>
          <w:tcPr>
            <w:tcW w:w="1163"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3.9882</w:t>
            </w:r>
          </w:p>
        </w:tc>
      </w:tr>
      <w:tr w:rsidR="005B13F6">
        <w:trPr>
          <w:cantSplit/>
        </w:trPr>
        <w:tc>
          <w:tcPr>
            <w:tcW w:w="2447" w:type="dxa"/>
            <w:vMerge/>
            <w:tcBorders>
              <w:top w:val="nil"/>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437"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Std. Deviation</w:t>
            </w:r>
          </w:p>
        </w:tc>
        <w:tc>
          <w:tcPr>
            <w:tcW w:w="979"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1.37168</w:t>
            </w:r>
          </w:p>
        </w:tc>
        <w:tc>
          <w:tcPr>
            <w:tcW w:w="979"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-.01503</w:t>
            </w:r>
          </w:p>
        </w:tc>
        <w:tc>
          <w:tcPr>
            <w:tcW w:w="1071"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.08147</w:t>
            </w:r>
          </w:p>
        </w:tc>
        <w:tc>
          <w:tcPr>
            <w:tcW w:w="1163"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1.19607</w:t>
            </w:r>
          </w:p>
        </w:tc>
        <w:tc>
          <w:tcPr>
            <w:tcW w:w="1163"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1.51143</w:t>
            </w:r>
          </w:p>
        </w:tc>
      </w:tr>
      <w:tr w:rsidR="005B13F6">
        <w:trPr>
          <w:cantSplit/>
        </w:trPr>
        <w:tc>
          <w:tcPr>
            <w:tcW w:w="2447" w:type="dxa"/>
            <w:tcBorders>
              <w:top w:val="nil"/>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Valid N (listwise)</w:t>
            </w:r>
          </w:p>
        </w:tc>
        <w:tc>
          <w:tcPr>
            <w:tcW w:w="1437"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w:t>
            </w:r>
          </w:p>
        </w:tc>
        <w:tc>
          <w:tcPr>
            <w:tcW w:w="979"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71"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63"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c>
          <w:tcPr>
            <w:tcW w:w="1163"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w:t>
            </w:r>
          </w:p>
        </w:tc>
      </w:tr>
      <w:tr w:rsidR="005B13F6">
        <w:trPr>
          <w:cantSplit/>
        </w:trPr>
        <w:tc>
          <w:tcPr>
            <w:tcW w:w="9239"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Unless otherwise noted, bootstrap results are based on 85 bootstrap samples</w:t>
            </w:r>
          </w:p>
        </w:tc>
      </w:tr>
    </w:tbl>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retrenchment exercise was evaluated using five constructs, two focusing on self-assessment of employee morale and three comparing the company's retrenchment policy with terms and conditions of employment. Table 4.4.1 displays the mean (3.2588) and standard deviation (1.33767) of the results, indicating that respondents generally agree that the organization's retrenchment policy aims to downsize staff for budgetary cost allocation. The mean response is above the cut-off point of 3.00 on a 5-point Likert scale.</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Regarding the statement "Employees are sometimes retrenched with separation benefits as compensation for their services," the mean is 2.8118 with a standard </w:t>
      </w:r>
      <w:r>
        <w:rPr>
          <w:rFonts w:ascii="Times New Roman" w:hAnsi="Times New Roman" w:cs="Times New Roman"/>
          <w:sz w:val="27"/>
          <w:szCs w:val="27"/>
        </w:rPr>
        <w:lastRenderedPageBreak/>
        <w:t>deviation of 1.42674. Additionally, the company's policy on retirement benefits is perceived to not efficiently boost employee morale, with a mean of 2.7529 and a standard deviation of 1.55767, indicating varying opinions among respondents on retirement benefits.</w:t>
      </w: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The statement about conditions for employee retrenchment being stipulated in the terms of employment achieved a mean of 3.5059 and a standard deviation of 1.25947, suggesting agreement among respondents. However, the majority (85) agreed, with a mean response of 3.6941 and a standard deviation of 1.37168, that the company's retrenchment policy affects employee morale. This indicates a consensus among respondents that the company's procedures for assessing retirement policy are unbiased, with minimal variation in opinions. However, opinions significantly differ when comparing this with retirement benefits, suggesting that the company's retrenchment policy may not meet required separation benefits, potentially impacting morale and loyalty at Remto Industrial Limited Ilorin.</w:t>
      </w: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5B13F6">
      <w:pPr>
        <w:spacing w:line="480" w:lineRule="auto"/>
        <w:jc w:val="both"/>
        <w:rPr>
          <w:rFonts w:ascii="Times New Roman" w:hAnsi="Times New Roman" w:cs="Times New Roman"/>
          <w:sz w:val="27"/>
          <w:szCs w:val="27"/>
        </w:rPr>
      </w:pPr>
    </w:p>
    <w:p w:rsidR="005B13F6" w:rsidRDefault="00DB4131">
      <w:pPr>
        <w:spacing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4.5 Hypotheses Testing at 5% level of Significant</w:t>
      </w: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Ho</w:t>
      </w:r>
      <w:r>
        <w:rPr>
          <w:rFonts w:ascii="Times New Roman" w:hAnsi="Times New Roman" w:cs="Times New Roman"/>
          <w:b/>
          <w:sz w:val="27"/>
          <w:szCs w:val="27"/>
          <w:vertAlign w:val="subscript"/>
        </w:rPr>
        <w:t>1</w:t>
      </w:r>
      <w:r>
        <w:rPr>
          <w:rFonts w:ascii="Times New Roman" w:hAnsi="Times New Roman" w:cs="Times New Roman"/>
          <w:b/>
          <w:sz w:val="27"/>
          <w:szCs w:val="27"/>
        </w:rPr>
        <w:t>:</w:t>
      </w:r>
      <w:r>
        <w:rPr>
          <w:rFonts w:ascii="Times New Roman" w:hAnsi="Times New Roman" w:cs="Times New Roman"/>
          <w:b/>
          <w:sz w:val="27"/>
          <w:szCs w:val="27"/>
        </w:rPr>
        <w:tab/>
        <w:t>There is no significant relationship between retrenchment policy and employees morale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1350"/>
        <w:gridCol w:w="1890"/>
        <w:gridCol w:w="990"/>
        <w:gridCol w:w="1080"/>
        <w:gridCol w:w="1080"/>
        <w:gridCol w:w="990"/>
        <w:gridCol w:w="1170"/>
      </w:tblGrid>
      <w:tr w:rsidR="005B13F6">
        <w:trPr>
          <w:cantSplit/>
        </w:trPr>
        <w:tc>
          <w:tcPr>
            <w:tcW w:w="9810" w:type="dxa"/>
            <w:gridSpan w:val="8"/>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4.5.1: Pearson Correlations Analysis Between Retrenchment policies and Employee Morale under the control variable of Term and Condition of Employment</w:t>
            </w:r>
          </w:p>
        </w:tc>
      </w:tr>
      <w:tr w:rsidR="005B13F6">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08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08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990"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r>
      <w:tr w:rsidR="005B13F6">
        <w:trPr>
          <w:cantSplit/>
        </w:trPr>
        <w:tc>
          <w:tcPr>
            <w:tcW w:w="1260" w:type="dxa"/>
            <w:vMerge w:val="restart"/>
            <w:tcBorders>
              <w:top w:val="single" w:sz="16" w:space="0" w:color="000000"/>
              <w:left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-none-</w:t>
            </w:r>
            <w:r>
              <w:rPr>
                <w:rFonts w:ascii="Times New Roman" w:hAnsi="Times New Roman" w:cs="Times New Roman"/>
                <w:color w:val="000000"/>
                <w:sz w:val="27"/>
                <w:szCs w:val="27"/>
                <w:vertAlign w:val="superscript"/>
              </w:rPr>
              <w:t>a</w:t>
            </w:r>
          </w:p>
        </w:tc>
        <w:tc>
          <w:tcPr>
            <w:tcW w:w="1350" w:type="dxa"/>
            <w:vMerge w:val="restart"/>
            <w:tcBorders>
              <w:top w:val="single" w:sz="16" w:space="0" w:color="000000"/>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890"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44" w:right="60" w:firstLine="16"/>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.899</w:t>
            </w:r>
          </w:p>
        </w:tc>
        <w:tc>
          <w:tcPr>
            <w:tcW w:w="108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99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.926</w:t>
            </w:r>
          </w:p>
        </w:tc>
        <w:tc>
          <w:tcPr>
            <w:tcW w:w="1170"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.939</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single" w:sz="16" w:space="0" w:color="000000"/>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single" w:sz="16" w:space="0" w:color="000000"/>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.899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.970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.877</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.855</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.970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.856</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.926</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.877</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.931</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.855</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.859</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.931</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r>
      <w:tr w:rsidR="005B13F6">
        <w:trPr>
          <w:cantSplit/>
        </w:trPr>
        <w:tc>
          <w:tcPr>
            <w:tcW w:w="1260" w:type="dxa"/>
            <w:vMerge/>
            <w:tcBorders>
              <w:top w:val="single" w:sz="16" w:space="0" w:color="000000"/>
              <w:left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83</w:t>
            </w:r>
          </w:p>
        </w:tc>
        <w:tc>
          <w:tcPr>
            <w:tcW w:w="1170" w:type="dxa"/>
            <w:tcBorders>
              <w:top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r>
      <w:tr w:rsidR="005B13F6">
        <w:trPr>
          <w:cantSplit/>
        </w:trPr>
        <w:tc>
          <w:tcPr>
            <w:tcW w:w="1260" w:type="dxa"/>
            <w:vMerge w:val="restart"/>
            <w:tcBorders>
              <w:top w:val="nil"/>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Term and Condition of Service</w:t>
            </w: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Downsize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.559</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Separation benefits</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.539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.424</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right w:val="nil"/>
            </w:tcBorders>
            <w:shd w:val="clear" w:color="auto" w:fill="FFFFFF"/>
          </w:tcPr>
          <w:p w:rsidR="005B13F6" w:rsidRDefault="00DB4131">
            <w:p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Retirement Age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.559</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.886</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.297</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.006</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990" w:type="dxa"/>
            <w:tcBorders>
              <w:top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170" w:type="dxa"/>
            <w:tcBorders>
              <w:top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val="restart"/>
            <w:tcBorders>
              <w:top w:val="nil"/>
              <w:left w:val="nil"/>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Employee Morale</w:t>
            </w: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Correlation</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.412</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.424</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.297</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1.000</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Significance (2-tailed)</w:t>
            </w:r>
          </w:p>
        </w:tc>
        <w:tc>
          <w:tcPr>
            <w:tcW w:w="99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c>
          <w:tcPr>
            <w:tcW w:w="108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.006</w:t>
            </w:r>
          </w:p>
        </w:tc>
        <w:tc>
          <w:tcPr>
            <w:tcW w:w="99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w:t>
            </w:r>
          </w:p>
        </w:tc>
        <w:tc>
          <w:tcPr>
            <w:tcW w:w="1170"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1260" w:type="dxa"/>
            <w:vMerge/>
            <w:tcBorders>
              <w:top w:val="nil"/>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350" w:type="dxa"/>
            <w:vMerge/>
            <w:tcBorders>
              <w:top w:val="nil"/>
              <w:left w:val="nil"/>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890"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99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08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99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w:t>
            </w:r>
          </w:p>
        </w:tc>
        <w:tc>
          <w:tcPr>
            <w:tcW w:w="1170"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9810" w:type="dxa"/>
            <w:gridSpan w:val="8"/>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Cells contain zero-order (Pearson) correlations.</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The results of the Pearson Moment Correlation for all dimensions of retrenchment policies used by Remto are presented in Table 4.5.1. All correlation coefficients (Downsize=0.856, Separation Benefits=0.877, Retirement Age=0.926) are notably high, exceeding half and approaching unity, indicating a strong positive relationship between retrenchment and employee morale. The three variables are treated symmetrically, making them effective measures for predicting employee morale in the sampled industry, without clear distinctions between dependent and independent variables.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Retirement Age (r=0.926) emerges as the most influential variable, significantly determining the retrenchment policy and showing a positive relationship with employee morale at a 5% significance level. This suggests that specifying retirement age in the terms and conditions of employment positively influences the morale of retained employees in the sampled industry.</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Following closely is the retrenchment policy of the company in offering retirement benefits (r=0.877) to retrenched employees, indicating a positive relationship with their morale. Downsizing is also significant at the 5% level due to its high correlation coefficient (r=0.856), suggesting that employee morale increases as the budget cost of downsizing rises.</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In conclusion, caution is advised for Remto Industrial Limited when implementing downsizing measures, as this method of retrenchment can lead to fiscal stress and human resource shrinkage, causing problems that may be challenging to manage within the industry. Emphasizing retirement age and benefits in the terms and conditions of service is recommended, as both variables are equally significant at the 5% level. This aligns with Ogbechie's (2015) suggestion that retiring employees at a certain age ensures they are mentally fit and equipped with necessary skills, contributing to improved commitment and morale.</w:t>
      </w: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t>Ho</w:t>
      </w:r>
      <w:r>
        <w:rPr>
          <w:rFonts w:ascii="Times New Roman" w:hAnsi="Times New Roman" w:cs="Times New Roman"/>
          <w:b/>
          <w:sz w:val="27"/>
          <w:szCs w:val="27"/>
          <w:vertAlign w:val="subscript"/>
        </w:rPr>
        <w:t>2</w:t>
      </w:r>
      <w:r>
        <w:rPr>
          <w:rFonts w:ascii="Times New Roman" w:hAnsi="Times New Roman" w:cs="Times New Roman"/>
          <w:b/>
          <w:sz w:val="27"/>
          <w:szCs w:val="27"/>
        </w:rPr>
        <w:t>:</w:t>
      </w:r>
      <w:r>
        <w:rPr>
          <w:rFonts w:ascii="Times New Roman" w:hAnsi="Times New Roman" w:cs="Times New Roman"/>
          <w:b/>
          <w:sz w:val="27"/>
          <w:szCs w:val="27"/>
        </w:rPr>
        <w:tab/>
        <w:t>Communication of retrenchment process to employees has no significant influence on employees’ loyalty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5B13F6">
        <w:trPr>
          <w:cantSplit/>
        </w:trPr>
        <w:tc>
          <w:tcPr>
            <w:tcW w:w="5826" w:type="dxa"/>
            <w:gridSpan w:val="5"/>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4.5.2: Model Summary</w:t>
            </w:r>
          </w:p>
        </w:tc>
      </w:tr>
      <w:tr w:rsidR="005B13F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 Square</w:t>
            </w:r>
          </w:p>
        </w:tc>
        <w:tc>
          <w:tcPr>
            <w:tcW w:w="1468"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 of the Estimate</w:t>
            </w:r>
          </w:p>
        </w:tc>
      </w:tr>
      <w:tr w:rsidR="005B13F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.953</w:t>
            </w:r>
            <w:r>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.907</w:t>
            </w:r>
          </w:p>
        </w:tc>
        <w:tc>
          <w:tcPr>
            <w:tcW w:w="1468"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.38205</w:t>
            </w:r>
          </w:p>
        </w:tc>
      </w:tr>
      <w:tr w:rsidR="005B13F6">
        <w:trPr>
          <w:cantSplit/>
        </w:trPr>
        <w:tc>
          <w:tcPr>
            <w:tcW w:w="5826" w:type="dxa"/>
            <w:gridSpan w:val="5"/>
            <w:tcBorders>
              <w:top w:val="nil"/>
              <w:left w:val="nil"/>
              <w:bottom w:val="nil"/>
              <w:right w:val="nil"/>
            </w:tcBorders>
            <w:shd w:val="clear" w:color="auto" w:fill="FFFFFF"/>
          </w:tcPr>
          <w:p w:rsidR="005B13F6" w:rsidRDefault="00DB4131">
            <w:pPr>
              <w:pStyle w:val="ListParagraph"/>
              <w:numPr>
                <w:ilvl w:val="1"/>
                <w:numId w:val="3"/>
              </w:numPr>
              <w:autoSpaceDE w:val="0"/>
              <w:autoSpaceDN w:val="0"/>
              <w:adjustRightInd w:val="0"/>
              <w:spacing w:after="0" w:line="480" w:lineRule="auto"/>
              <w:ind w:right="60"/>
              <w:rPr>
                <w:rFonts w:ascii="Times New Roman" w:hAnsi="Times New Roman" w:cs="Times New Roman"/>
                <w:color w:val="000000"/>
                <w:sz w:val="27"/>
                <w:szCs w:val="27"/>
              </w:rPr>
            </w:pPr>
            <w:r>
              <w:rPr>
                <w:rFonts w:ascii="Times New Roman" w:hAnsi="Times New Roman" w:cs="Times New Roman"/>
                <w:color w:val="000000"/>
                <w:sz w:val="27"/>
                <w:szCs w:val="27"/>
              </w:rPr>
              <w:t xml:space="preserve">Predictors: (Constant), Communication </w:t>
            </w:r>
          </w:p>
          <w:p w:rsidR="005B13F6" w:rsidRDefault="00DB4131">
            <w:pPr>
              <w:autoSpaceDE w:val="0"/>
              <w:autoSpaceDN w:val="0"/>
              <w:adjustRightInd w:val="0"/>
              <w:spacing w:after="0" w:line="480" w:lineRule="auto"/>
              <w:ind w:left="900" w:right="60"/>
              <w:rPr>
                <w:rFonts w:ascii="Times New Roman" w:hAnsi="Times New Roman" w:cs="Times New Roman"/>
                <w:color w:val="000000"/>
                <w:sz w:val="27"/>
                <w:szCs w:val="27"/>
              </w:rPr>
            </w:pPr>
            <w:r>
              <w:rPr>
                <w:rFonts w:ascii="Times New Roman" w:hAnsi="Times New Roman" w:cs="Times New Roman"/>
                <w:color w:val="000000"/>
                <w:sz w:val="27"/>
                <w:szCs w:val="27"/>
              </w:rPr>
              <w:t>Through Union, Communication through CompanMagazine</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eastAsia="Times New Roman" w:hAnsi="Times New Roman" w:cs="Times New Roman"/>
          <w:sz w:val="27"/>
          <w:szCs w:val="27"/>
        </w:rPr>
        <w:t>The table 4.5.2 shows the incorporated model summary from regression analysis result which explains the significant relationship between communication media of retrenchment process and employee loyalty. The result shows the coefficient of determination is R</w:t>
      </w:r>
      <w:r>
        <w:rPr>
          <w:rFonts w:ascii="Times New Roman" w:eastAsia="Times New Roman" w:hAnsi="Times New Roman" w:cs="Times New Roman"/>
          <w:sz w:val="27"/>
          <w:szCs w:val="27"/>
          <w:vertAlign w:val="superscript"/>
        </w:rPr>
        <w:t>2</w:t>
      </w:r>
      <w:r>
        <w:rPr>
          <w:rFonts w:ascii="Times New Roman" w:eastAsia="Times New Roman" w:hAnsi="Times New Roman" w:cs="Times New Roman"/>
          <w:sz w:val="27"/>
          <w:szCs w:val="27"/>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5B13F6">
        <w:trPr>
          <w:cantSplit/>
        </w:trPr>
        <w:tc>
          <w:tcPr>
            <w:tcW w:w="7832"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4.5.3: ANOVA</w:t>
            </w:r>
            <w:r>
              <w:rPr>
                <w:rFonts w:ascii="Times New Roman" w:hAnsi="Times New Roman" w:cs="Times New Roman"/>
                <w:b/>
                <w:bCs/>
                <w:color w:val="000000"/>
                <w:sz w:val="27"/>
                <w:szCs w:val="27"/>
                <w:vertAlign w:val="superscript"/>
              </w:rPr>
              <w:t>a</w:t>
            </w:r>
          </w:p>
        </w:tc>
      </w:tr>
      <w:tr w:rsidR="005B13F6">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Sum of Squares</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Mean Square</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285"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117.254</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w:t>
            </w:r>
          </w:p>
        </w:tc>
        <w:tc>
          <w:tcPr>
            <w:tcW w:w="1407"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58.627</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401.654</w:t>
            </w:r>
          </w:p>
        </w:tc>
        <w:tc>
          <w:tcPr>
            <w:tcW w:w="97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r>
              <w:rPr>
                <w:rFonts w:ascii="Times New Roman" w:hAnsi="Times New Roman" w:cs="Times New Roman"/>
                <w:color w:val="000000"/>
                <w:sz w:val="27"/>
                <w:szCs w:val="27"/>
                <w:vertAlign w:val="superscript"/>
              </w:rPr>
              <w:t>b</w:t>
            </w: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285"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11.969</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82</w:t>
            </w:r>
          </w:p>
        </w:tc>
        <w:tc>
          <w:tcPr>
            <w:tcW w:w="1407"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.146</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285"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129.224</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w:t>
            </w:r>
          </w:p>
        </w:tc>
        <w:tc>
          <w:tcPr>
            <w:tcW w:w="1407"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Loyalty</w:t>
            </w: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b. Predictors: (Constant), Communication through Union, Communication through Company Magazine</w:t>
            </w:r>
          </w:p>
        </w:tc>
      </w:tr>
    </w:tbl>
    <w:p w:rsidR="005B13F6" w:rsidRDefault="005B13F6">
      <w:pPr>
        <w:spacing w:line="480" w:lineRule="auto"/>
        <w:ind w:right="380"/>
        <w:jc w:val="both"/>
        <w:rPr>
          <w:rFonts w:ascii="Times New Roman" w:eastAsia="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Table 4.5.3 presents the overall diagnostic test of significant using Analysis of Variance (ANOVA) between the communication media of retrenchment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49"/>
        <w:gridCol w:w="1330"/>
        <w:gridCol w:w="1330"/>
        <w:gridCol w:w="1468"/>
        <w:gridCol w:w="994"/>
        <w:gridCol w:w="994"/>
      </w:tblGrid>
      <w:tr w:rsidR="005B13F6">
        <w:trPr>
          <w:cantSplit/>
        </w:trPr>
        <w:tc>
          <w:tcPr>
            <w:tcW w:w="9297" w:type="dxa"/>
            <w:gridSpan w:val="7"/>
            <w:tcBorders>
              <w:top w:val="nil"/>
              <w:left w:val="nil"/>
              <w:bottom w:val="nil"/>
              <w:right w:val="nil"/>
            </w:tcBorders>
            <w:shd w:val="clear" w:color="auto" w:fill="FFFFFF"/>
            <w:vAlign w:val="center"/>
          </w:tcPr>
          <w:p w:rsidR="005B13F6" w:rsidRDefault="005B13F6">
            <w:pPr>
              <w:autoSpaceDE w:val="0"/>
              <w:autoSpaceDN w:val="0"/>
              <w:adjustRightInd w:val="0"/>
              <w:spacing w:after="0" w:line="480" w:lineRule="auto"/>
              <w:ind w:left="60" w:right="60"/>
              <w:jc w:val="center"/>
              <w:rPr>
                <w:rFonts w:ascii="Times New Roman" w:hAnsi="Times New Roman" w:cs="Times New Roman"/>
                <w:b/>
                <w:bCs/>
                <w:color w:val="000000"/>
                <w:sz w:val="27"/>
                <w:szCs w:val="27"/>
              </w:rPr>
            </w:pPr>
          </w:p>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4.5.4: Regression Coefficients</w:t>
            </w:r>
            <w:r>
              <w:rPr>
                <w:rFonts w:ascii="Times New Roman" w:hAnsi="Times New Roman" w:cs="Times New Roman"/>
                <w:b/>
                <w:bCs/>
                <w:color w:val="000000"/>
                <w:sz w:val="27"/>
                <w:szCs w:val="27"/>
                <w:vertAlign w:val="superscript"/>
              </w:rPr>
              <w:t>a</w:t>
            </w:r>
          </w:p>
        </w:tc>
      </w:tr>
      <w:tr w:rsidR="005B13F6">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2660" w:type="dxa"/>
            <w:gridSpan w:val="2"/>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Unstandardized Coefficients</w:t>
            </w:r>
          </w:p>
        </w:tc>
        <w:tc>
          <w:tcPr>
            <w:tcW w:w="1468" w:type="dxa"/>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0" w:type="dxa"/>
            <w:tcBorders>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w:t>
            </w:r>
          </w:p>
        </w:tc>
        <w:tc>
          <w:tcPr>
            <w:tcW w:w="1330"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1468"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447"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(Constant)</w:t>
            </w:r>
          </w:p>
        </w:tc>
        <w:tc>
          <w:tcPr>
            <w:tcW w:w="133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.031</w:t>
            </w:r>
          </w:p>
        </w:tc>
        <w:tc>
          <w:tcPr>
            <w:tcW w:w="133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.157</w:t>
            </w:r>
          </w:p>
        </w:tc>
        <w:tc>
          <w:tcPr>
            <w:tcW w:w="1468" w:type="dxa"/>
            <w:tcBorders>
              <w:top w:val="single" w:sz="16" w:space="0" w:color="000000"/>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.200</w:t>
            </w:r>
          </w:p>
        </w:tc>
        <w:tc>
          <w:tcPr>
            <w:tcW w:w="994"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.842</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47"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Communication through Union</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.497</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.083</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.407</w:t>
            </w:r>
          </w:p>
        </w:tc>
        <w:tc>
          <w:tcPr>
            <w:tcW w:w="994"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5.986</w:t>
            </w:r>
          </w:p>
        </w:tc>
        <w:tc>
          <w:tcPr>
            <w:tcW w:w="994"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47"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.541</w:t>
            </w:r>
          </w:p>
        </w:tc>
        <w:tc>
          <w:tcPr>
            <w:tcW w:w="133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.064</w:t>
            </w:r>
          </w:p>
        </w:tc>
        <w:tc>
          <w:tcPr>
            <w:tcW w:w="146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.578</w:t>
            </w:r>
          </w:p>
        </w:tc>
        <w:tc>
          <w:tcPr>
            <w:tcW w:w="994"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8.505</w:t>
            </w:r>
          </w:p>
        </w:tc>
        <w:tc>
          <w:tcPr>
            <w:tcW w:w="994"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9297"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Loyalty</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significant at 5%. The t-statistics associated with the regression parameters (t</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=5.986, t</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 xml:space="preserve">=8.505)  are greater than 1.645 at a degree of freedom of </w:t>
      </w:r>
      <w:r>
        <w:rPr>
          <w:rFonts w:ascii="Times New Roman" w:eastAsia="Times New Roman" w:hAnsi="Times New Roman" w:cs="Times New Roman"/>
          <w:sz w:val="27"/>
          <w:szCs w:val="27"/>
        </w:rPr>
        <w:lastRenderedPageBreak/>
        <w:t>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Y= 0.031+0.497(Union)</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+0.541(Magazine)</w:t>
      </w:r>
      <w:r>
        <w:rPr>
          <w:rFonts w:ascii="Times New Roman" w:eastAsia="Times New Roman" w:hAnsi="Times New Roman" w:cs="Times New Roman"/>
          <w:sz w:val="27"/>
          <w:szCs w:val="27"/>
          <w:vertAlign w:val="subscript"/>
        </w:rPr>
        <w:t>2</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This implies that 49.7% increase in employee loyalty was significantly caused by 1% increase in communication process through the union. Also, that 54.1% increase in employee loyalty was significantly caused by 1% increase in communication process 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Remto will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after="0" w:line="480" w:lineRule="auto"/>
        <w:ind w:left="720" w:hanging="720"/>
        <w:jc w:val="both"/>
        <w:rPr>
          <w:rFonts w:ascii="Times New Roman" w:hAnsi="Times New Roman" w:cs="Times New Roman"/>
          <w:b/>
          <w:sz w:val="27"/>
          <w:szCs w:val="27"/>
        </w:rPr>
      </w:pPr>
      <w:r>
        <w:rPr>
          <w:rFonts w:ascii="Times New Roman" w:hAnsi="Times New Roman" w:cs="Times New Roman"/>
          <w:b/>
          <w:sz w:val="27"/>
          <w:szCs w:val="27"/>
        </w:rPr>
        <w:lastRenderedPageBreak/>
        <w:t>Ho</w:t>
      </w:r>
      <w:r>
        <w:rPr>
          <w:rFonts w:ascii="Times New Roman" w:hAnsi="Times New Roman" w:cs="Times New Roman"/>
          <w:b/>
          <w:sz w:val="27"/>
          <w:szCs w:val="27"/>
          <w:vertAlign w:val="subscript"/>
        </w:rPr>
        <w:t>3</w:t>
      </w:r>
      <w:r>
        <w:rPr>
          <w:rFonts w:ascii="Times New Roman" w:hAnsi="Times New Roman" w:cs="Times New Roman"/>
          <w:b/>
          <w:sz w:val="27"/>
          <w:szCs w:val="27"/>
        </w:rPr>
        <w:t>:</w:t>
      </w:r>
      <w:r>
        <w:rPr>
          <w:rFonts w:ascii="Times New Roman" w:hAnsi="Times New Roman" w:cs="Times New Roman"/>
          <w:b/>
          <w:sz w:val="27"/>
          <w:szCs w:val="27"/>
        </w:rPr>
        <w:tab/>
        <w:t>Change in the scheme of work has no significant influence on the morale of retrenchment survivors in Remto Industries, Ilorin, Kwara State.</w:t>
      </w:r>
    </w:p>
    <w:p w:rsidR="005B13F6" w:rsidRDefault="005B13F6">
      <w:pPr>
        <w:autoSpaceDE w:val="0"/>
        <w:autoSpaceDN w:val="0"/>
        <w:adjustRightInd w:val="0"/>
        <w:spacing w:after="0" w:line="480" w:lineRule="auto"/>
        <w:rPr>
          <w:rFonts w:ascii="Times New Roman" w:hAnsi="Times New Roman" w:cs="Times New Roman"/>
          <w:sz w:val="27"/>
          <w:szCs w:val="27"/>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4"/>
        <w:gridCol w:w="979"/>
        <w:gridCol w:w="1086"/>
        <w:gridCol w:w="1469"/>
        <w:gridCol w:w="1469"/>
      </w:tblGrid>
      <w:tr w:rsidR="005B13F6">
        <w:trPr>
          <w:cantSplit/>
        </w:trPr>
        <w:tc>
          <w:tcPr>
            <w:tcW w:w="5797" w:type="dxa"/>
            <w:gridSpan w:val="5"/>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t>Table 4.5.5 Model Summary</w:t>
            </w:r>
          </w:p>
        </w:tc>
      </w:tr>
      <w:tr w:rsidR="005B13F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 of the Estimate</w:t>
            </w:r>
          </w:p>
        </w:tc>
      </w:tr>
      <w:tr w:rsidR="005B13F6">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.980</w:t>
            </w:r>
            <w:r>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.960</w:t>
            </w:r>
          </w:p>
        </w:tc>
        <w:tc>
          <w:tcPr>
            <w:tcW w:w="1469" w:type="dxa"/>
            <w:tcBorders>
              <w:top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.29997</w:t>
            </w:r>
          </w:p>
        </w:tc>
      </w:tr>
      <w:tr w:rsidR="005B13F6">
        <w:trPr>
          <w:cantSplit/>
        </w:trPr>
        <w:tc>
          <w:tcPr>
            <w:tcW w:w="5797" w:type="dxa"/>
            <w:gridSpan w:val="5"/>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Predictors: (Constant), Change in working hours, Promotion, Salary Structure</w:t>
            </w:r>
          </w:p>
        </w:tc>
      </w:tr>
    </w:tbl>
    <w:p w:rsidR="005B13F6" w:rsidRDefault="005B13F6">
      <w:pPr>
        <w:autoSpaceDE w:val="0"/>
        <w:autoSpaceDN w:val="0"/>
        <w:adjustRightInd w:val="0"/>
        <w:spacing w:after="0" w:line="480" w:lineRule="auto"/>
        <w:jc w:val="both"/>
        <w:rPr>
          <w:rFonts w:ascii="Times New Roman" w:eastAsia="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eastAsia="Times New Roman" w:hAnsi="Times New Roman" w:cs="Times New Roman"/>
          <w:sz w:val="27"/>
          <w:szCs w:val="27"/>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Pr>
          <w:rFonts w:ascii="Times New Roman" w:eastAsia="Times New Roman" w:hAnsi="Times New Roman" w:cs="Times New Roman"/>
          <w:sz w:val="27"/>
          <w:szCs w:val="27"/>
          <w:vertAlign w:val="superscript"/>
        </w:rPr>
        <w:t>2</w:t>
      </w:r>
      <w:r>
        <w:rPr>
          <w:rFonts w:ascii="Times New Roman" w:eastAsia="Times New Roman" w:hAnsi="Times New Roman" w:cs="Times New Roman"/>
          <w:sz w:val="27"/>
          <w:szCs w:val="27"/>
        </w:rPr>
        <w:t>=0.960;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5B13F6">
        <w:trPr>
          <w:cantSplit/>
        </w:trPr>
        <w:tc>
          <w:tcPr>
            <w:tcW w:w="7832"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4.5.6: ANOVA</w:t>
            </w:r>
            <w:r>
              <w:rPr>
                <w:rFonts w:ascii="Times New Roman" w:hAnsi="Times New Roman" w:cs="Times New Roman"/>
                <w:b/>
                <w:bCs/>
                <w:color w:val="000000"/>
                <w:sz w:val="27"/>
                <w:szCs w:val="27"/>
                <w:vertAlign w:val="superscript"/>
              </w:rPr>
              <w:t>a</w:t>
            </w:r>
          </w:p>
        </w:tc>
      </w:tr>
      <w:tr w:rsidR="005B13F6">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Sum of Squares</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Mean Square</w:t>
            </w:r>
          </w:p>
        </w:tc>
        <w:tc>
          <w:tcPr>
            <w:tcW w:w="979" w:type="dxa"/>
            <w:tcBorders>
              <w:top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1285"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173.300</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w:t>
            </w:r>
          </w:p>
        </w:tc>
        <w:tc>
          <w:tcPr>
            <w:tcW w:w="1407"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57.767</w:t>
            </w:r>
          </w:p>
        </w:tc>
        <w:tc>
          <w:tcPr>
            <w:tcW w:w="979"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641.997</w:t>
            </w:r>
          </w:p>
        </w:tc>
        <w:tc>
          <w:tcPr>
            <w:tcW w:w="979"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r>
              <w:rPr>
                <w:rFonts w:ascii="Times New Roman" w:hAnsi="Times New Roman" w:cs="Times New Roman"/>
                <w:color w:val="000000"/>
                <w:sz w:val="27"/>
                <w:szCs w:val="27"/>
                <w:vertAlign w:val="superscript"/>
              </w:rPr>
              <w:t>b</w:t>
            </w: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285"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7.288</w:t>
            </w:r>
          </w:p>
        </w:tc>
        <w:tc>
          <w:tcPr>
            <w:tcW w:w="979"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81</w:t>
            </w:r>
          </w:p>
        </w:tc>
        <w:tc>
          <w:tcPr>
            <w:tcW w:w="1407"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.090</w:t>
            </w:r>
          </w:p>
        </w:tc>
        <w:tc>
          <w:tcPr>
            <w:tcW w:w="979" w:type="dxa"/>
            <w:tcBorders>
              <w:top w:val="nil"/>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nil"/>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1285"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180.588</w:t>
            </w:r>
          </w:p>
        </w:tc>
        <w:tc>
          <w:tcPr>
            <w:tcW w:w="979"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84</w:t>
            </w:r>
          </w:p>
        </w:tc>
        <w:tc>
          <w:tcPr>
            <w:tcW w:w="1407"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9" w:type="dxa"/>
            <w:tcBorders>
              <w:top w:val="nil"/>
              <w:bottom w:val="single" w:sz="16" w:space="0" w:color="000000"/>
              <w:right w:val="single" w:sz="16" w:space="0" w:color="000000"/>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Morale</w:t>
            </w:r>
          </w:p>
        </w:tc>
      </w:tr>
      <w:tr w:rsidR="005B13F6">
        <w:trPr>
          <w:cantSplit/>
        </w:trPr>
        <w:tc>
          <w:tcPr>
            <w:tcW w:w="7832"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b. Predictors: (Constant), Change in working hours, Promotion, Salary Structure</w:t>
            </w:r>
          </w:p>
        </w:tc>
      </w:tr>
    </w:tbl>
    <w:p w:rsidR="005B13F6" w:rsidRDefault="005B13F6">
      <w:pPr>
        <w:spacing w:line="480" w:lineRule="auto"/>
        <w:ind w:right="380"/>
        <w:jc w:val="both"/>
        <w:rPr>
          <w:rFonts w:ascii="Times New Roman" w:eastAsia="Times New Roman" w:hAnsi="Times New Roman" w:cs="Times New Roman"/>
          <w:sz w:val="27"/>
          <w:szCs w:val="27"/>
        </w:rPr>
      </w:pP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Pr>
          <w:rFonts w:ascii="Times New Roman" w:hAnsi="Times New Roman" w:cs="Times New Roman"/>
          <w:sz w:val="27"/>
          <w:szCs w:val="27"/>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02"/>
        <w:gridCol w:w="1331"/>
        <w:gridCol w:w="1331"/>
        <w:gridCol w:w="1469"/>
        <w:gridCol w:w="979"/>
        <w:gridCol w:w="979"/>
      </w:tblGrid>
      <w:tr w:rsidR="005B13F6">
        <w:trPr>
          <w:cantSplit/>
        </w:trPr>
        <w:tc>
          <w:tcPr>
            <w:tcW w:w="9219" w:type="dxa"/>
            <w:gridSpan w:val="7"/>
            <w:tcBorders>
              <w:top w:val="nil"/>
              <w:left w:val="nil"/>
              <w:bottom w:val="nil"/>
              <w:right w:val="nil"/>
            </w:tcBorders>
            <w:shd w:val="clear" w:color="auto" w:fill="FFFFFF"/>
            <w:vAlign w:val="center"/>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b/>
                <w:bCs/>
                <w:color w:val="000000"/>
                <w:sz w:val="27"/>
                <w:szCs w:val="27"/>
              </w:rPr>
              <w:lastRenderedPageBreak/>
              <w:t>Table 4.5.7: Regression Coefficients</w:t>
            </w:r>
            <w:r>
              <w:rPr>
                <w:rFonts w:ascii="Times New Roman" w:hAnsi="Times New Roman" w:cs="Times New Roman"/>
                <w:b/>
                <w:bCs/>
                <w:color w:val="000000"/>
                <w:sz w:val="27"/>
                <w:szCs w:val="27"/>
                <w:vertAlign w:val="superscript"/>
              </w:rPr>
              <w:t>a</w:t>
            </w:r>
          </w:p>
        </w:tc>
      </w:tr>
      <w:tr w:rsidR="005B13F6">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Model</w:t>
            </w:r>
          </w:p>
        </w:tc>
        <w:tc>
          <w:tcPr>
            <w:tcW w:w="2660" w:type="dxa"/>
            <w:gridSpan w:val="2"/>
            <w:tcBorders>
              <w:top w:val="single" w:sz="16" w:space="0" w:color="000000"/>
              <w:lef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Unstandardized Coefficients</w:t>
            </w:r>
          </w:p>
        </w:tc>
        <w:tc>
          <w:tcPr>
            <w:tcW w:w="1468" w:type="dxa"/>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Standardized Coefficients</w:t>
            </w:r>
          </w:p>
        </w:tc>
        <w:tc>
          <w:tcPr>
            <w:tcW w:w="978" w:type="dxa"/>
            <w:vMerge w:val="restart"/>
            <w:tcBorders>
              <w:top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t</w:t>
            </w:r>
          </w:p>
        </w:tc>
        <w:tc>
          <w:tcPr>
            <w:tcW w:w="978" w:type="dxa"/>
            <w:vMerge w:val="restart"/>
            <w:tcBorders>
              <w:top w:val="single" w:sz="16" w:space="0" w:color="000000"/>
              <w:right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Sig.</w:t>
            </w:r>
          </w:p>
        </w:tc>
      </w:tr>
      <w:tr w:rsidR="005B13F6">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1330" w:type="dxa"/>
            <w:tcBorders>
              <w:left w:val="single" w:sz="16" w:space="0" w:color="000000"/>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w:t>
            </w:r>
          </w:p>
        </w:tc>
        <w:tc>
          <w:tcPr>
            <w:tcW w:w="1330"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Std. Error</w:t>
            </w:r>
          </w:p>
        </w:tc>
        <w:tc>
          <w:tcPr>
            <w:tcW w:w="1468" w:type="dxa"/>
            <w:tcBorders>
              <w:bottom w:val="single" w:sz="16" w:space="0" w:color="000000"/>
            </w:tcBorders>
            <w:shd w:val="clear" w:color="auto" w:fill="FFFFFF"/>
            <w:vAlign w:val="bottom"/>
          </w:tcPr>
          <w:p w:rsidR="005B13F6" w:rsidRDefault="00DB4131">
            <w:pPr>
              <w:autoSpaceDE w:val="0"/>
              <w:autoSpaceDN w:val="0"/>
              <w:adjustRightInd w:val="0"/>
              <w:spacing w:after="0" w:line="480" w:lineRule="auto"/>
              <w:ind w:left="60" w:right="60"/>
              <w:jc w:val="center"/>
              <w:rPr>
                <w:rFonts w:ascii="Times New Roman" w:hAnsi="Times New Roman" w:cs="Times New Roman"/>
                <w:color w:val="000000"/>
                <w:sz w:val="27"/>
                <w:szCs w:val="27"/>
              </w:rPr>
            </w:pPr>
            <w:r>
              <w:rPr>
                <w:rFonts w:ascii="Times New Roman" w:hAnsi="Times New Roman" w:cs="Times New Roman"/>
                <w:color w:val="000000"/>
                <w:sz w:val="27"/>
                <w:szCs w:val="27"/>
              </w:rPr>
              <w:t>Beta</w:t>
            </w:r>
          </w:p>
        </w:tc>
        <w:tc>
          <w:tcPr>
            <w:tcW w:w="978" w:type="dxa"/>
            <w:vMerge/>
            <w:tcBorders>
              <w:top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978" w:type="dxa"/>
            <w:vMerge/>
            <w:tcBorders>
              <w:top w:val="single" w:sz="16" w:space="0" w:color="000000"/>
              <w:right w:val="single" w:sz="16" w:space="0" w:color="000000"/>
            </w:tcBorders>
            <w:shd w:val="clear" w:color="auto" w:fill="FFFFFF"/>
            <w:vAlign w:val="bottom"/>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r>
      <w:tr w:rsidR="005B13F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401" w:type="dxa"/>
            <w:tcBorders>
              <w:top w:val="single" w:sz="16" w:space="0" w:color="000000"/>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(Constant)</w:t>
            </w:r>
          </w:p>
        </w:tc>
        <w:tc>
          <w:tcPr>
            <w:tcW w:w="1330" w:type="dxa"/>
            <w:tcBorders>
              <w:top w:val="single" w:sz="16" w:space="0" w:color="000000"/>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-.525</w:t>
            </w:r>
          </w:p>
        </w:tc>
        <w:tc>
          <w:tcPr>
            <w:tcW w:w="1330"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.113</w:t>
            </w:r>
          </w:p>
        </w:tc>
        <w:tc>
          <w:tcPr>
            <w:tcW w:w="1468" w:type="dxa"/>
            <w:tcBorders>
              <w:top w:val="single" w:sz="16" w:space="0" w:color="000000"/>
              <w:bottom w:val="nil"/>
            </w:tcBorders>
            <w:shd w:val="clear" w:color="auto" w:fill="FFFFFF"/>
            <w:vAlign w:val="center"/>
          </w:tcPr>
          <w:p w:rsidR="005B13F6" w:rsidRDefault="005B13F6">
            <w:pPr>
              <w:autoSpaceDE w:val="0"/>
              <w:autoSpaceDN w:val="0"/>
              <w:adjustRightInd w:val="0"/>
              <w:spacing w:after="0" w:line="480" w:lineRule="auto"/>
              <w:rPr>
                <w:rFonts w:ascii="Times New Roman" w:hAnsi="Times New Roman" w:cs="Times New Roman"/>
                <w:sz w:val="27"/>
                <w:szCs w:val="27"/>
              </w:rPr>
            </w:pPr>
          </w:p>
        </w:tc>
        <w:tc>
          <w:tcPr>
            <w:tcW w:w="978" w:type="dxa"/>
            <w:tcBorders>
              <w:top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-4.647</w:t>
            </w:r>
          </w:p>
        </w:tc>
        <w:tc>
          <w:tcPr>
            <w:tcW w:w="978" w:type="dxa"/>
            <w:tcBorders>
              <w:top w:val="single" w:sz="16" w:space="0" w:color="000000"/>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Salary Structure</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.788</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.082</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.735</w:t>
            </w:r>
          </w:p>
        </w:tc>
        <w:tc>
          <w:tcPr>
            <w:tcW w:w="97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9.649</w:t>
            </w:r>
          </w:p>
        </w:tc>
        <w:tc>
          <w:tcPr>
            <w:tcW w:w="97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nil"/>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Promotion</w:t>
            </w:r>
          </w:p>
        </w:tc>
        <w:tc>
          <w:tcPr>
            <w:tcW w:w="1330" w:type="dxa"/>
            <w:tcBorders>
              <w:top w:val="nil"/>
              <w:left w:val="single" w:sz="16" w:space="0" w:color="000000"/>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.014</w:t>
            </w:r>
          </w:p>
        </w:tc>
        <w:tc>
          <w:tcPr>
            <w:tcW w:w="1330"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.047</w:t>
            </w:r>
          </w:p>
        </w:tc>
        <w:tc>
          <w:tcPr>
            <w:tcW w:w="146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.013</w:t>
            </w:r>
          </w:p>
        </w:tc>
        <w:tc>
          <w:tcPr>
            <w:tcW w:w="978" w:type="dxa"/>
            <w:tcBorders>
              <w:top w:val="nil"/>
              <w:bottom w:val="nil"/>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.303</w:t>
            </w:r>
          </w:p>
        </w:tc>
        <w:tc>
          <w:tcPr>
            <w:tcW w:w="978" w:type="dxa"/>
            <w:tcBorders>
              <w:top w:val="nil"/>
              <w:bottom w:val="nil"/>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.763</w:t>
            </w:r>
          </w:p>
        </w:tc>
      </w:tr>
      <w:tr w:rsidR="005B13F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B13F6" w:rsidRDefault="005B13F6">
            <w:pPr>
              <w:autoSpaceDE w:val="0"/>
              <w:autoSpaceDN w:val="0"/>
              <w:adjustRightInd w:val="0"/>
              <w:spacing w:after="0" w:line="480" w:lineRule="auto"/>
              <w:rPr>
                <w:rFonts w:ascii="Times New Roman" w:hAnsi="Times New Roman" w:cs="Times New Roman"/>
                <w:color w:val="000000"/>
                <w:sz w:val="27"/>
                <w:szCs w:val="27"/>
              </w:rPr>
            </w:pPr>
          </w:p>
        </w:tc>
        <w:tc>
          <w:tcPr>
            <w:tcW w:w="2401" w:type="dxa"/>
            <w:tcBorders>
              <w:top w:val="nil"/>
              <w:left w:val="nil"/>
              <w:bottom w:val="single" w:sz="16" w:space="0" w:color="000000"/>
              <w:right w:val="single" w:sz="16" w:space="0" w:color="000000"/>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Change in working hours</w:t>
            </w:r>
          </w:p>
        </w:tc>
        <w:tc>
          <w:tcPr>
            <w:tcW w:w="1330" w:type="dxa"/>
            <w:tcBorders>
              <w:top w:val="nil"/>
              <w:left w:val="single" w:sz="16" w:space="0" w:color="000000"/>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.292</w:t>
            </w:r>
          </w:p>
        </w:tc>
        <w:tc>
          <w:tcPr>
            <w:tcW w:w="1330"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.080</w:t>
            </w:r>
          </w:p>
        </w:tc>
        <w:tc>
          <w:tcPr>
            <w:tcW w:w="146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.244</w:t>
            </w:r>
          </w:p>
        </w:tc>
        <w:tc>
          <w:tcPr>
            <w:tcW w:w="978" w:type="dxa"/>
            <w:tcBorders>
              <w:top w:val="nil"/>
              <w:bottom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3.630</w:t>
            </w:r>
          </w:p>
        </w:tc>
        <w:tc>
          <w:tcPr>
            <w:tcW w:w="978" w:type="dxa"/>
            <w:tcBorders>
              <w:top w:val="nil"/>
              <w:bottom w:val="single" w:sz="16" w:space="0" w:color="000000"/>
              <w:right w:val="single" w:sz="16" w:space="0" w:color="000000"/>
            </w:tcBorders>
            <w:shd w:val="clear" w:color="auto" w:fill="FFFFFF"/>
            <w:vAlign w:val="center"/>
          </w:tcPr>
          <w:p w:rsidR="005B13F6" w:rsidRDefault="00DB4131">
            <w:pPr>
              <w:autoSpaceDE w:val="0"/>
              <w:autoSpaceDN w:val="0"/>
              <w:adjustRightInd w:val="0"/>
              <w:spacing w:after="0" w:line="480" w:lineRule="auto"/>
              <w:ind w:left="60" w:right="60"/>
              <w:jc w:val="right"/>
              <w:rPr>
                <w:rFonts w:ascii="Times New Roman" w:hAnsi="Times New Roman" w:cs="Times New Roman"/>
                <w:color w:val="000000"/>
                <w:sz w:val="27"/>
                <w:szCs w:val="27"/>
              </w:rPr>
            </w:pPr>
            <w:r>
              <w:rPr>
                <w:rFonts w:ascii="Times New Roman" w:hAnsi="Times New Roman" w:cs="Times New Roman"/>
                <w:color w:val="000000"/>
                <w:sz w:val="27"/>
                <w:szCs w:val="27"/>
              </w:rPr>
              <w:t>.000</w:t>
            </w:r>
          </w:p>
        </w:tc>
      </w:tr>
      <w:tr w:rsidR="005B13F6">
        <w:trPr>
          <w:cantSplit/>
        </w:trPr>
        <w:tc>
          <w:tcPr>
            <w:tcW w:w="9219" w:type="dxa"/>
            <w:gridSpan w:val="7"/>
            <w:tcBorders>
              <w:top w:val="nil"/>
              <w:left w:val="nil"/>
              <w:bottom w:val="nil"/>
              <w:right w:val="nil"/>
            </w:tcBorders>
            <w:shd w:val="clear" w:color="auto" w:fill="FFFFFF"/>
          </w:tcPr>
          <w:p w:rsidR="005B13F6" w:rsidRDefault="00DB4131">
            <w:pPr>
              <w:autoSpaceDE w:val="0"/>
              <w:autoSpaceDN w:val="0"/>
              <w:adjustRightInd w:val="0"/>
              <w:spacing w:after="0" w:line="480" w:lineRule="auto"/>
              <w:ind w:left="60" w:right="60"/>
              <w:rPr>
                <w:rFonts w:ascii="Times New Roman" w:hAnsi="Times New Roman" w:cs="Times New Roman"/>
                <w:color w:val="000000"/>
                <w:sz w:val="27"/>
                <w:szCs w:val="27"/>
              </w:rPr>
            </w:pPr>
            <w:r>
              <w:rPr>
                <w:rFonts w:ascii="Times New Roman" w:hAnsi="Times New Roman" w:cs="Times New Roman"/>
                <w:color w:val="000000"/>
                <w:sz w:val="27"/>
                <w:szCs w:val="27"/>
              </w:rPr>
              <w:t>a. Dependent Variable: Employee Morale</w:t>
            </w:r>
          </w:p>
        </w:tc>
      </w:tr>
    </w:tbl>
    <w:p w:rsidR="005B13F6" w:rsidRDefault="005B13F6">
      <w:pPr>
        <w:autoSpaceDE w:val="0"/>
        <w:autoSpaceDN w:val="0"/>
        <w:adjustRightInd w:val="0"/>
        <w:spacing w:after="0" w:line="480" w:lineRule="auto"/>
        <w:rPr>
          <w:rFonts w:ascii="Times New Roman" w:hAnsi="Times New Roman" w:cs="Times New Roman"/>
          <w:sz w:val="27"/>
          <w:szCs w:val="27"/>
        </w:rPr>
      </w:pPr>
    </w:p>
    <w:p w:rsidR="005B13F6" w:rsidRDefault="00DB4131">
      <w:pPr>
        <w:spacing w:line="480" w:lineRule="auto"/>
        <w:ind w:right="38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=0.292, t</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 xml:space="preserve">=9.649) are greater than 1.645 at a degree of freedom of 84. This demonstrated that the change in working hours and salary structure had positive influence on employee morale </w:t>
      </w:r>
      <w:r>
        <w:rPr>
          <w:rFonts w:ascii="Times New Roman" w:eastAsia="Times New Roman" w:hAnsi="Times New Roman" w:cs="Times New Roman"/>
          <w:sz w:val="27"/>
          <w:szCs w:val="27"/>
        </w:rPr>
        <w:lastRenderedPageBreak/>
        <w:t>with the exception of Promotion (ẞ=0.014, t</w:t>
      </w:r>
      <w:r>
        <w:rPr>
          <w:rFonts w:ascii="Times New Roman" w:eastAsia="Times New Roman" w:hAnsi="Times New Roman" w:cs="Times New Roman"/>
          <w:sz w:val="27"/>
          <w:szCs w:val="27"/>
          <w:vertAlign w:val="subscript"/>
        </w:rPr>
        <w:t>3</w:t>
      </w:r>
      <w:r>
        <w:rPr>
          <w:rFonts w:ascii="Times New Roman" w:eastAsia="Times New Roman" w:hAnsi="Times New Roman" w:cs="Times New Roman"/>
          <w:sz w:val="27"/>
          <w:szCs w:val="27"/>
        </w:rPr>
        <w:t>=0.303&lt;1.645; p=0.763&gt;0.05). The significant level of extra working hours and salary structure were specified at (p-values = 0.000&lt;0.05) in the increase in employee morale as shown in Table 4.5.7. The fitted model from this analysis is shown below:</w:t>
      </w:r>
    </w:p>
    <w:p w:rsidR="005B13F6" w:rsidRDefault="00DB4131">
      <w:pPr>
        <w:spacing w:line="480" w:lineRule="auto"/>
        <w:ind w:right="380"/>
        <w:jc w:val="both"/>
        <w:rPr>
          <w:rFonts w:ascii="Times New Roman" w:hAnsi="Times New Roman" w:cs="Times New Roman"/>
          <w:sz w:val="27"/>
          <w:szCs w:val="27"/>
        </w:rPr>
      </w:pPr>
      <w:r>
        <w:rPr>
          <w:rFonts w:ascii="Times New Roman" w:eastAsia="Times New Roman" w:hAnsi="Times New Roman" w:cs="Times New Roman"/>
          <w:sz w:val="27"/>
          <w:szCs w:val="27"/>
        </w:rPr>
        <w:t>Y= -0.525+0.292(Work. hours)</w:t>
      </w:r>
      <w:r>
        <w:rPr>
          <w:rFonts w:ascii="Times New Roman" w:eastAsia="Times New Roman" w:hAnsi="Times New Roman" w:cs="Times New Roman"/>
          <w:sz w:val="27"/>
          <w:szCs w:val="27"/>
          <w:vertAlign w:val="subscript"/>
        </w:rPr>
        <w:t>1</w:t>
      </w:r>
      <w:r>
        <w:rPr>
          <w:rFonts w:ascii="Times New Roman" w:eastAsia="Times New Roman" w:hAnsi="Times New Roman" w:cs="Times New Roman"/>
          <w:sz w:val="27"/>
          <w:szCs w:val="27"/>
        </w:rPr>
        <w:t>+0.014(Promotion)</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7"/>
          <w:szCs w:val="27"/>
        </w:rPr>
        <w:t>+0.788(Salary)</w:t>
      </w:r>
      <w:r>
        <w:rPr>
          <w:rFonts w:ascii="Times New Roman" w:eastAsia="Times New Roman" w:hAnsi="Times New Roman" w:cs="Times New Roman"/>
          <w:sz w:val="27"/>
          <w:szCs w:val="27"/>
          <w:vertAlign w:val="subscript"/>
        </w:rPr>
        <w:t>2</w:t>
      </w:r>
    </w:p>
    <w:p w:rsidR="005B13F6" w:rsidRDefault="00DB4131">
      <w:pPr>
        <w:spacing w:line="480" w:lineRule="auto"/>
        <w:ind w:right="38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Remto 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5B13F6" w:rsidRDefault="00DB4131">
      <w:pPr>
        <w:spacing w:line="480" w:lineRule="auto"/>
        <w:ind w:right="380"/>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4.6 Discussion of Findings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The demographic characteristics of the respondents were assessed to determine if retrenchment and loyalty in the selected industry were gender-sensitive. The results showed that 63% of respondents were males, and 37% were females, indicating adherence to the 30% constitutional gender rule. This balanced gender distribution likely contributes to increased employee loyalty and morale in the industry.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Furthermore, the study found that a majority of respondents (61.2%) fell within the economically active age bracket of 26 to 35 years, aligning with the recommended age range for industrial workplaces. This age distribution is likely to enhance employee commitment and morale within the sampled industry.</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literacy level of the respondents was considered, and the findings suggested that virtually all respondents were well-equipped to provide a fair assessment of retrenchment procedures and employee loyalty in the selected industry. The study indicated that the sample represented a fairly tenured group of employees, with considerable exposure to industrial retrenchment processes due to their wealth of experience. This ensures that the study obtains objective responses on the perceived influence of retrenchment on employee morale and loyalty in the sampled industry.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The study explored various dimensions of retrenchment policies, revealing that the organization's policy to downsize staff was aimed at improving budgetary cost allocation. The respondents' opinions on retirement benefits varied significantly, indicating potential areas for improvement in the company's policies. However, there </w:t>
      </w:r>
      <w:r>
        <w:rPr>
          <w:rFonts w:ascii="Times New Roman" w:hAnsi="Times New Roman" w:cs="Times New Roman"/>
          <w:sz w:val="27"/>
          <w:szCs w:val="27"/>
        </w:rPr>
        <w:lastRenderedPageBreak/>
        <w:t>was a consensus that the company's retrenchment policy significantly affected employee morale, emphasizing the importance of well-defined procedures in the term and condition of employment.</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correlation analysis of retrenchment policy dimensions demonstrated a strong positive relationship between retrenchment and employee morale. Retirement age emerged as the most influential variable, significantly determining the retrenchment policy and positively correlating with employee morale. The study recommended caution in downsizing practices, as the loss of skills and employee morale can result from such measures.</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The study also investigated the impact of communication media on employee loyalty, showing a positive and significant relationship. The findings emphasized the importance of effective communication during the retrenchment process, contributing to increased employee loyalty.</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Finally, changes in working hours and salary structure were found to have a direct positive influence on employee morale, with salary structure being identified as particularly significant. The study highlighted the need for managers to focus on salary structure after retrenchment to maintain and enhance employee morale.</w:t>
      </w:r>
    </w:p>
    <w:p w:rsidR="005B13F6" w:rsidRDefault="00DB4131">
      <w:pPr>
        <w:autoSpaceDE w:val="0"/>
        <w:autoSpaceDN w:val="0"/>
        <w:adjustRightInd w:val="0"/>
        <w:spacing w:after="0" w:line="480" w:lineRule="auto"/>
        <w:jc w:val="both"/>
        <w:rPr>
          <w:rFonts w:ascii="Times New Roman" w:hAnsi="Times New Roman" w:cs="Times New Roman"/>
          <w:sz w:val="27"/>
          <w:szCs w:val="27"/>
        </w:rPr>
      </w:pPr>
      <w:r>
        <w:rPr>
          <w:rFonts w:ascii="Times New Roman" w:hAnsi="Times New Roman" w:cs="Times New Roman"/>
          <w:sz w:val="27"/>
          <w:szCs w:val="27"/>
        </w:rPr>
        <w:t xml:space="preserve">In conclusion, the study provided valuable insights into the relationship between retrenchment policies, communication strategies, and changes in work conditions with employee morale and loyalty in the sampled industry. The recommendations derived </w:t>
      </w:r>
      <w:r>
        <w:rPr>
          <w:rFonts w:ascii="Times New Roman" w:hAnsi="Times New Roman" w:cs="Times New Roman"/>
          <w:sz w:val="27"/>
          <w:szCs w:val="27"/>
        </w:rPr>
        <w:lastRenderedPageBreak/>
        <w:t>from the findings can potentially inform policy and decision-making in both private and public sector organizations in the study area.</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autoSpaceDE w:val="0"/>
        <w:autoSpaceDN w:val="0"/>
        <w:adjustRightInd w:val="0"/>
        <w:spacing w:after="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CHAPTER FIVE</w:t>
      </w:r>
    </w:p>
    <w:p w:rsidR="005B13F6" w:rsidRDefault="00DB4131">
      <w:pPr>
        <w:autoSpaceDE w:val="0"/>
        <w:autoSpaceDN w:val="0"/>
        <w:adjustRightInd w:val="0"/>
        <w:spacing w:after="0" w:line="48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SUMMARY, CONCLUSION AND RECOMMENDATIONS</w:t>
      </w:r>
    </w:p>
    <w:p w:rsidR="005B13F6" w:rsidRDefault="00DB4131">
      <w:pPr>
        <w:autoSpaceDE w:val="0"/>
        <w:autoSpaceDN w:val="0"/>
        <w:adjustRightInd w:val="0"/>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5.0 Introduction</w:t>
      </w:r>
    </w:p>
    <w:p w:rsidR="005B13F6" w:rsidRDefault="00DB4131">
      <w:pPr>
        <w:spacing w:line="480" w:lineRule="auto"/>
        <w:jc w:val="both"/>
        <w:rPr>
          <w:rFonts w:ascii="Times New Roman" w:hAnsi="Times New Roman" w:cs="Times New Roman"/>
          <w:sz w:val="27"/>
          <w:szCs w:val="27"/>
        </w:rPr>
      </w:pPr>
      <w:r>
        <w:rPr>
          <w:rFonts w:ascii="Times New Roman" w:hAnsi="Times New Roman" w:cs="Times New Roman"/>
          <w:sz w:val="27"/>
          <w:szCs w:val="27"/>
        </w:rPr>
        <w:t xml:space="preserve">This chapter summarizes the findings of the study, providing a synopsis of the main research work from which some recommendation </w:t>
      </w:r>
      <w:r>
        <w:rPr>
          <w:rFonts w:ascii="Times New Roman" w:eastAsia="Times New Roman" w:hAnsi="Times New Roman" w:cs="Times New Roman"/>
          <w:sz w:val="27"/>
          <w:szCs w:val="27"/>
        </w:rPr>
        <w:t>and suggestions for further research were made</w:t>
      </w:r>
    </w:p>
    <w:p w:rsidR="005B13F6" w:rsidRDefault="00DB4131">
      <w:pPr>
        <w:autoSpaceDE w:val="0"/>
        <w:autoSpaceDN w:val="0"/>
        <w:adjustRightInd w:val="0"/>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5.1 Summary of Findings</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study aimed to investigate the impact of retrenchments on employee morale at Remto Industrial Limited in Ilorin, addressing three key research questions. The first question focused on the relationship between retrenchment policies and employee morale. The findings indicated that retirement age, separation benefits, and downsizing positively influenced employee morale at a 5% level of significance.</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second research question explored the effects of retrenchment process communication on employee loyalty. Communication mediums such as union communication and company magazine were rated highly by respondents, positively impacting both employee morale and loyalty. Consistent communication methods were appreciated, and employees felt well-informed about retrenchment matters, fostering a positive work environment.</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third research question examined the effects of changes in service structure following retrenchment on employee morale. The study revealed that decisions related to salary structure, promotion, and working hours significantly affected employee </w:t>
      </w:r>
      <w:r>
        <w:rPr>
          <w:rFonts w:ascii="Times New Roman" w:eastAsia="Times New Roman" w:hAnsi="Times New Roman" w:cs="Times New Roman"/>
          <w:sz w:val="27"/>
          <w:szCs w:val="27"/>
        </w:rPr>
        <w:lastRenderedPageBreak/>
        <w:t>morale. Effective management addressing these elements was identified as crucial for boosting morale and, consequently, increasing productivity.</w:t>
      </w:r>
    </w:p>
    <w:p w:rsidR="005B13F6" w:rsidRDefault="00DB4131">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5.2 Conclusions</w:t>
      </w: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discussion highlights concerns among Remto Industrial Limited employees regarding the management's handling of retrenchment policies, communication methods, and changes to service plans. Despite management's apparent seriousness, the findings reveal dissatisfaction, particularly with the promotion exercise, which, while favoring employee morale, lacks statistical significance at the 95% confidence level. This discrepancy may not have an immediate impact on morale, but it raises concerns about long-term effects on productivity.</w:t>
      </w:r>
    </w:p>
    <w:p w:rsidR="005B13F6" w:rsidRDefault="005B13F6">
      <w:pPr>
        <w:spacing w:after="0" w:line="480" w:lineRule="auto"/>
        <w:jc w:val="both"/>
        <w:rPr>
          <w:rFonts w:ascii="Times New Roman" w:eastAsia="Times New Roman" w:hAnsi="Times New Roman" w:cs="Times New Roman"/>
          <w:sz w:val="27"/>
          <w:szCs w:val="27"/>
        </w:rPr>
      </w:pP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Employee discontent with the promotion process suggests that management may have replaced certain benefits, such as salary packages and bonus-paid extended working hours, with less favorable alternatives. The perceived arbitrariness in decision-making, especially concerning promotions, adds to the dissatisfaction. Respondents express a lack of understanding about the justification and eligibility criteria for layoffs, demanding a more transparent approach.</w:t>
      </w:r>
    </w:p>
    <w:p w:rsidR="005B13F6" w:rsidRDefault="005B13F6">
      <w:pPr>
        <w:spacing w:after="0" w:line="480" w:lineRule="auto"/>
        <w:jc w:val="both"/>
        <w:rPr>
          <w:rFonts w:ascii="Times New Roman" w:eastAsia="Times New Roman" w:hAnsi="Times New Roman" w:cs="Times New Roman"/>
          <w:sz w:val="27"/>
          <w:szCs w:val="27"/>
        </w:rPr>
      </w:pPr>
    </w:p>
    <w:p w:rsidR="005B13F6" w:rsidRDefault="00DB4131">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study emphasizes the need for a review of the promotion policy, ensuring clear communication of layoff justifications and criteria. Management should exercise caution in using downsizing solely for cost reduction, as it may lead to more </w:t>
      </w:r>
      <w:r>
        <w:rPr>
          <w:rFonts w:ascii="Times New Roman" w:eastAsia="Times New Roman" w:hAnsi="Times New Roman" w:cs="Times New Roman"/>
          <w:sz w:val="27"/>
          <w:szCs w:val="27"/>
        </w:rPr>
        <w:lastRenderedPageBreak/>
        <w:t>drawbacks than benefits. Offering attractive separation benefits to all employees, coupled with transparent retrenchment processes, is recommended to minimize systemic mistrust. Addressing these issues and enhancing the assessment of staff dedication and morale could contribute to a more successful and transparent retrenchment process at Remto Industrial Limited.</w:t>
      </w:r>
    </w:p>
    <w:p w:rsidR="005B13F6" w:rsidRDefault="00DB4131">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5.3 Recommendations</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Based on the research findings, the following recommendations are proposed:</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Promotion Policy Development: To enhance morale and loyalty among employees, Remto Industrial Limited's management should formulate and implement a promotion policy. This policy should provide a structured and transparent approach to promotions, addressing employees' concerns and ensuring fairness in the process.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Early Involvement of Union Leaders: Management should involve Union Leaders at the early stages of organizational changes, ensuring they are well-informed and actively participate in decision-making processes. This proactive involvement will contribute to smoother transitions and increased employee adherence to the change process.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Improved Communication Strategies: Utilize a variety of communication methods, including meetings and written communication, to effectively convey information about retrenchment processes. Clear communication </w:t>
      </w:r>
      <w:r>
        <w:rPr>
          <w:rFonts w:ascii="Times New Roman" w:eastAsia="Times New Roman" w:hAnsi="Times New Roman" w:cs="Times New Roman"/>
          <w:sz w:val="27"/>
          <w:szCs w:val="27"/>
        </w:rPr>
        <w:lastRenderedPageBreak/>
        <w:t>about justifications and requirements for retrenchment will prepare employees for potential layoffs and help them transition psychologically.</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Seminars and Workshops for Laid-off Workers: Plan and conduct seminars and workshops for employees who have been laid off. These sessions can provide guidance on how to utilize the compensation received during the retrenchment process. Offering support in navigating post-employment situations can assist employees in adapting to new circumstances.</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Employee Involvement in Decision-Making: Foster a culture of employee involvement in decision-making processes related to organizational changes, including layoffs. Empowering employees with information about the company's strategies enhances their sense of control and can positively impact their motivation and commitment to their work.</w:t>
      </w:r>
    </w:p>
    <w:p w:rsidR="005B13F6" w:rsidRDefault="00DB4131">
      <w:pPr>
        <w:pStyle w:val="ListParagraph"/>
        <w:numPr>
          <w:ilvl w:val="0"/>
          <w:numId w:val="19"/>
        </w:num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Implementing these recommendations can contribute to a more positive organizational environment, where employees feel valued, informed, and engaged, even during challenging periods such as retrenchment.</w:t>
      </w: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5B13F6">
      <w:pPr>
        <w:pStyle w:val="ListParagraph"/>
        <w:spacing w:line="480" w:lineRule="auto"/>
        <w:jc w:val="center"/>
        <w:rPr>
          <w:rFonts w:ascii="Times New Roman" w:hAnsi="Times New Roman" w:cs="Times New Roman"/>
          <w:b/>
          <w:bCs/>
          <w:color w:val="000000"/>
          <w:sz w:val="27"/>
          <w:szCs w:val="27"/>
        </w:rPr>
      </w:pPr>
    </w:p>
    <w:p w:rsidR="005B13F6" w:rsidRDefault="00DB4131">
      <w:pPr>
        <w:pStyle w:val="ListParagraph"/>
        <w:spacing w:line="480" w:lineRule="auto"/>
        <w:jc w:val="center"/>
        <w:rPr>
          <w:rFonts w:ascii="Times New Roman" w:hAnsi="Times New Roman" w:cs="Times New Roman"/>
          <w:sz w:val="27"/>
          <w:szCs w:val="27"/>
        </w:rPr>
      </w:pPr>
      <w:r>
        <w:rPr>
          <w:rFonts w:ascii="Times New Roman" w:hAnsi="Times New Roman" w:cs="Times New Roman"/>
          <w:b/>
          <w:bCs/>
          <w:color w:val="000000"/>
          <w:sz w:val="27"/>
          <w:szCs w:val="27"/>
        </w:rPr>
        <w:t>REFERENCES</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Willoughby W, F (1997). Principal of Public Administration, New Agbese .D. (2001), “Agony of Retrenchment” Newswatch, 2nd March Civil Service Ruler (1978:15), The Government Printer, Enugu.</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Armstrong, S. M. (1993). Survivors Reactions to Workforce Reduction. A comparison of blue collar workers and their supervisors, Canadian Journal of Administrative Sciences 10(4), pp 334-343Behn, R.D. (1980). Leadership in the Era of Retrenchment. Public AdministrationReview.</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Behn R.D. (2001), “Leadership in the Era of Retrenchment”, Public  Administration Review, 40.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Behn R.D. (2003), “The Fundamental of Cutback Management” Reading in  Organizational Decline: Frameworks, Research, and Prescriptions, Ballinger, Cambridge.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Bentley C. (2005), “Retrenchment Consulting in the Public Sector: Issues and  Recommendation”, in Consultation: An International Journal. 5(1). </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Bentley, (1986).Retrenchment Consulting in The Public Sector: Issues andRecommendations, In Consultation: An International Journal.5.</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Bennett, (1991). Downsizing Doesn't Necessarily Bring an Usurping in Corporate profitability. The wall street journal, June 6 B 1.</w:t>
      </w:r>
    </w:p>
    <w:p w:rsidR="005B13F6" w:rsidRDefault="00DB4131">
      <w:pPr>
        <w:spacing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Biller, R.P. (1980). Leadership Tactics for Retrenchment, In Public Administration Review, No, 40.Borg W.R. &amp; Gall, M.D. 1989: Educational Research: An introduction, 5th Edition, New York: Longman.</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Biller R. (2000), “Leadership Tactics for Retrenchment”, in Public  Administration Review, No.40 </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t>Borg W.R. and Gall, M.D. (1996), Educational Research: An introduction, 3,li Edition, New York: Longman</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Brannick MT, Brannick JP, Levine EL (1992:171), “Job Analysis, Personal  Selection, And the ADA, “Human Res. Mangt. Rev.” 2, (3);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Britannica (1998). The New Encyclopedia Britannica, Volume 3; Volume 8; 15</w:t>
      </w:r>
      <w:r>
        <w:rPr>
          <w:rFonts w:ascii="Times New Roman" w:eastAsia="Times New Roman" w:hAnsi="Times New Roman" w:cs="Times New Roman"/>
          <w:sz w:val="27"/>
          <w:szCs w:val="27"/>
          <w:vertAlign w:val="superscript"/>
        </w:rPr>
        <w:t>th</w:t>
      </w:r>
      <w:r>
        <w:rPr>
          <w:rFonts w:ascii="Times New Roman" w:eastAsia="Times New Roman" w:hAnsi="Times New Roman" w:cs="Times New Roman"/>
          <w:sz w:val="27"/>
          <w:szCs w:val="27"/>
        </w:rPr>
        <w:t xml:space="preserve"> edition, 0852296339,9780852296332</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lastRenderedPageBreak/>
        <w:t>Burke, R.J. (</w:t>
      </w:r>
      <w:r>
        <w:rPr>
          <w:rFonts w:ascii="Times New Roman" w:hAnsi="Times New Roman" w:cs="Times New Roman"/>
          <w:sz w:val="27"/>
          <w:szCs w:val="27"/>
        </w:rPr>
        <w:t>19</w:t>
      </w:r>
      <w:r>
        <w:rPr>
          <w:rFonts w:ascii="Times New Roman" w:eastAsia="Times New Roman" w:hAnsi="Times New Roman" w:cs="Times New Roman"/>
          <w:sz w:val="27"/>
          <w:szCs w:val="27"/>
        </w:rPr>
        <w:t>98).Sources of Managerial and Professional Stress in Large Organizations. England: John Wiley &amp; Sons Chichester.</w:t>
      </w:r>
    </w:p>
    <w:p w:rsidR="005B13F6" w:rsidRDefault="00DB4131">
      <w:pPr>
        <w:spacing w:line="480" w:lineRule="auto"/>
        <w:rPr>
          <w:rFonts w:ascii="Times New Roman" w:hAnsi="Times New Roman" w:cs="Times New Roman"/>
          <w:sz w:val="27"/>
          <w:szCs w:val="27"/>
        </w:rPr>
      </w:pPr>
      <w:r>
        <w:rPr>
          <w:rFonts w:ascii="Times New Roman" w:eastAsia="Times New Roman" w:hAnsi="Times New Roman" w:cs="Times New Roman"/>
          <w:sz w:val="27"/>
          <w:szCs w:val="27"/>
        </w:rPr>
        <w:t>Brockner, J. and Grover, S (1982). Lay offs, Job Insecurity and Survivors, Academy of Management Journal34, 418-425.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Bruton, G.D. and Shook C.L (1996) Downsizing the Firm Academy of Management Executives 10(2)38-45</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Casccio, W. P. (2002), managing Human Resources: Productivity, Quality of      Work Life, Profits, New York, McGraw Hill.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Chukwuemeka E. and Abeh N.(2004:61), Public Administration and Development. The Nigeria Experience, Maryland Printing Press, Enugu.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Civil Service Handbook (1978), The Federal Government Printer, Lagos. Enugu State Civil Service Commission, 1999 Administrative Files on  Employment, Retirement, Promotion, and Discipline. Enugu State of Nigeria, Approved Budget Estimates; 1998 to 2010, Government  Press Enugu.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Cameron, K.S. (1994). Investigating Organizational Downsizing-Fundamental Issues, Human Resources Management-^{l) pp 183-188.</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Cascio, W.P. (1986), Managing Human Resources: Productivity Quality of Work life, Profits .New York: McGraw Hill.</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Curtis-Russell L. (1999), “Cutbacks, Management and Human Relations: Meaning for Organizational Theory and Research”, in Human  Relations, 42.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Curtis, R. (1989). Management Human Relations: Meanings for Organizational Theory and Research, In Human Relations, 42(8).</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Denga, D.I. (1987). Counseling the Retrenched Worker in Nigeria. International Round Table for the Advancement of Counseling, International Journal for the Advancement of Counseling, 10(4).</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Denga D.I. (2001), “Counseling the Retrenched Worker in Nigeria, International  Round table for the Advancement of Counselling”, in International Journal for the Advancement of Counselling, 10.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Fierman, J. (1994). The Contingency Work Force^Fortune, pp.30-36.</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Finer H (1999), Theory and practice of Modern Government, New York; Henry and Co Hansen. H &amp; Twaddle.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Fisher, A.B. (1988). The Downside of Downsizing, Fortune May 23.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Flippo E.B (1976), Personnel Management, London; McGraw-Hill, 5th Edition. </w:t>
      </w:r>
    </w:p>
    <w:p w:rsidR="005B13F6" w:rsidRDefault="00DB4131">
      <w:pPr>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Fornell, Et-al, (1996). The American Customer Satisfaction Index: Nature, Purpose And Findings, Journal Of Marketing 60(4) 7-18.</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Fumiss (1974). “The practical significance of De-centralization”, Journal of Politics And Conflicts Management. 5</w:t>
      </w:r>
      <w:r>
        <w:rPr>
          <w:rFonts w:ascii="Times New Roman" w:eastAsia="Times New Roman" w:hAnsi="Times New Roman" w:cs="Times New Roman"/>
          <w:sz w:val="27"/>
          <w:szCs w:val="27"/>
          <w:vertAlign w:val="superscript"/>
        </w:rPr>
        <w:t>th</w:t>
      </w:r>
      <w:r>
        <w:rPr>
          <w:rFonts w:ascii="Times New Roman" w:eastAsia="Times New Roman" w:hAnsi="Times New Roman" w:cs="Times New Roman"/>
          <w:sz w:val="27"/>
          <w:szCs w:val="27"/>
        </w:rPr>
        <w:t xml:space="preserve"> edition.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Furniss, W.T. (1974). Retrenchment, Layoff and Termination, Educational record, 55(3).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Gladden E.N. (1999), The Civil Service, Its Problems and Future, London;  Staples.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Greengard, S. (1993), Don’t Rush Downsizing: Plan, Plan, Plan, Personnel Journal 72(11), 64-76.</w:t>
      </w:r>
    </w:p>
    <w:p w:rsidR="005B13F6" w:rsidRDefault="00DB4131">
      <w:pPr>
        <w:spacing w:line="480" w:lineRule="auto"/>
        <w:ind w:left="720" w:hanging="720"/>
        <w:jc w:val="both"/>
        <w:rPr>
          <w:rFonts w:ascii="Times New Roman" w:hAnsi="Times New Roman" w:cs="Times New Roman"/>
          <w:sz w:val="27"/>
          <w:szCs w:val="27"/>
        </w:rPr>
      </w:pPr>
      <w:r>
        <w:rPr>
          <w:rFonts w:ascii="Times New Roman" w:hAnsi="Times New Roman" w:cs="Times New Roman"/>
          <w:sz w:val="27"/>
          <w:szCs w:val="27"/>
        </w:rPr>
        <w:t>Hamel, G., and C.K. Prahalad. 1994. Competing for the future. Cambridge, MA: Harvard Business School Press.</w:t>
      </w:r>
    </w:p>
    <w:p w:rsidR="005B13F6" w:rsidRDefault="00DB4131">
      <w:pPr>
        <w:spacing w:line="480" w:lineRule="auto"/>
        <w:ind w:left="720" w:hanging="720"/>
        <w:jc w:val="both"/>
        <w:rPr>
          <w:rFonts w:ascii="Times New Roman" w:hAnsi="Times New Roman" w:cs="Times New Roman"/>
          <w:sz w:val="27"/>
          <w:szCs w:val="27"/>
        </w:rPr>
      </w:pPr>
      <w:r>
        <w:rPr>
          <w:rFonts w:ascii="Times New Roman" w:hAnsi="Times New Roman" w:cs="Times New Roman"/>
          <w:sz w:val="27"/>
          <w:szCs w:val="27"/>
        </w:rPr>
        <w:t>Howitt, P. (2002), “Looking inside the labor market: A review article”, Journal of Economic Literature, Vol. XL No. March, pp.125-138.</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hAnsi="Times New Roman" w:cs="Times New Roman"/>
          <w:sz w:val="27"/>
          <w:szCs w:val="27"/>
        </w:rPr>
        <w:t>Jame, G. (2012), how to achieve true job security. http://www.inc.com/geoffrey-james/how-to-achieve-true-job-security.html</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Jaindi, K. (1996).Retrenchment Underway, Weekly Review, ” (April 5) 22-23.</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Kettley, P. (1995). Employee Morale during Downsizing. New York: Grantham Book Services.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Kolawole, Ajani &amp;Adisa (2013). Declining Job Security Level and Workers’ Performance In Selected Banks, South Western Nigeria, Journal of African Sociological Review Vol.172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Kombo,D.K. and Tromp, L.A.(2006). Proposal and Thesis Writing.Nairobi: Paulines Publications Africa.</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Kozlowski, et-al. (1993). Organizational Downsizing: Strategies, Interventions and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Lawler E.E. (1999), Motivation in Work Organizations, CA, Monterey,    Books-Cole. Namatovu B.(1999:640, Effects of the Retrenchment Exercise in Organizations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Lawler, E.E. (1973). Motivation in Work Organizations, CA, Monterey, Brooks-Cole.</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Levine C.H (2000), “Retrenchment Human Resources Erosion, and the Role of  the Personal Managers”, in Public Personnel Management, 13 (3).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Levine C. I. (2001), “ Organization Crisis and Individual Response: New Trends  for Human Service Professionals” Canadian Hournal of Community Mental Health, 3(2).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Levine, C.H. (1984). Retrenchment Human Resource Erosion, and the Role of the Personnel Manager.</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Makerere University. Nwachukwu C. (2002), Human Resources Management; 2nd Edition,   Davidstones  Publishers, Nigeria.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Mishra, K.E. et-al.( 1988). Preserving Employer Morale during Downsizing, Sloan Management Review 39( 1) 83-95.</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Mohamed F.B. (2012). The Effects Of Retrenchment Prospect On Employee Morale, A Case Of Rift Valley Railways, Kenya. University of Nairobi</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Namatova, B. (1993). Effects of Retrenchment Exercise on Ugandan Organizations, B.A. Dissertation, Dept.of Psychology, Makerere University, Kampala.</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hAnsi="Times New Roman" w:cs="Times New Roman"/>
          <w:sz w:val="27"/>
          <w:szCs w:val="27"/>
        </w:rPr>
        <w:t>Noer, D. M. (2009). Healing the wounds: Overcoming the trauma of layoffs and revitalizing downsized organizations. Wiley, John &amp; Sons, Incorporated.</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Noer, D. (1993). Healing the Wounds: Overcoming the Trauma of Lay Offs and Revitalizing Downsized Organizations: San Francisco. Jossey Bass Publishers.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Olewe .B (2001), Administration and Management; the Perspective, New     Generation Printer, Lagos.</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Onwudiegwu. O. (2002), “Consequences of the ongoing purge”, Daily Times,  Lagos Vol. 5, No.. 39 June 13.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Orji D. (1996); Business Research Methodology, Enugu; Meteson publicity   Coy. Ubeku A.K. (2000), Personnel Management in Nigeria, Ethiope Publishing   Corporation.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Philips D (1990), The 1988 Nigerian Civil Service Reforms and their Post-1992  Prospects NISER Occasional, Paper No.3 Ibadan Nigeria.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Rift valley railways, (2010).History of the East Africa Railways, http:www.rift valley railways.com/html. Accessed on 24 Sept 2010. Research Implications, International Review’ of Industrial and Organizational Psychology 8 pp. 263-332.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Standing G. &amp;Tolman V. (2004), Towards Structural Adjustment,  Labour  Market Issue in Structural Adjustment Geneva, ILO.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Standing, and Tolkman, V. (1991). Towards Structural Adjustment: Labour Market Issues in Structural Adjustment, Geneva, ILO.</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Tomasko, R.M. (1990). Downsizing: Reshaping the Corporation for the Future, New York.</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Wan, P. (2015). Scales for the Measurement of Some Work Attitudes and Aspects of Psychological Well Being, Journal of Occupational Psychology, 52.</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Webster M. (2000), Webster’s Ninth New Collegiate Dictionary Sheffield,    Oakland</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Wendell F. (1999), The Personal Management Process-Human Resources  Administration: Boston, Houghton Mifflin Con.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Wiersma, W. (1986): Research Methods in Education: An introduction. 4th Edition Massachusetts: Allyn &amp;Balon</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Wilburn, C.R. and Worman, A.M. (1980). Overcoming the Limits to Personnel Cutbacks: Lessons learned in Pennsylvania, Public Administration Review 4.</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Wilburn C. R. &amp;Worman A.M. (2000), “Overcoming the Limits to Personal  Cutbacks: Lesions Learned”, Public Administration Review, 40.  </w:t>
      </w:r>
    </w:p>
    <w:p w:rsidR="005B13F6" w:rsidRDefault="00DB4131">
      <w:pPr>
        <w:spacing w:line="480" w:lineRule="auto"/>
        <w:ind w:left="720" w:hanging="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York.</w:t>
      </w:r>
    </w:p>
    <w:p w:rsidR="005B13F6" w:rsidRDefault="005B13F6">
      <w:pPr>
        <w:autoSpaceDE w:val="0"/>
        <w:autoSpaceDN w:val="0"/>
        <w:adjustRightInd w:val="0"/>
        <w:spacing w:after="0" w:line="480" w:lineRule="auto"/>
        <w:jc w:val="both"/>
        <w:rPr>
          <w:rFonts w:ascii="Times New Roman" w:hAnsi="Times New Roman" w:cs="Times New Roman"/>
          <w:sz w:val="27"/>
          <w:szCs w:val="27"/>
        </w:rPr>
      </w:pPr>
    </w:p>
    <w:p w:rsidR="005B13F6" w:rsidRDefault="00DB4131">
      <w:pPr>
        <w:spacing w:line="480" w:lineRule="auto"/>
        <w:rPr>
          <w:rFonts w:ascii="Times New Roman" w:hAnsi="Times New Roman" w:cs="Times New Roman"/>
          <w:b/>
          <w:sz w:val="27"/>
          <w:szCs w:val="27"/>
        </w:rPr>
      </w:pPr>
      <w:r>
        <w:rPr>
          <w:rFonts w:ascii="Times New Roman" w:hAnsi="Times New Roman" w:cs="Times New Roman"/>
          <w:b/>
          <w:sz w:val="27"/>
          <w:szCs w:val="27"/>
        </w:rPr>
        <w:br w:type="page"/>
      </w: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lastRenderedPageBreak/>
        <w:t>QUESTIONNAIRE:</w:t>
      </w:r>
    </w:p>
    <w:p w:rsidR="005B13F6" w:rsidRDefault="00DB4131">
      <w:pPr>
        <w:spacing w:after="10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Impact of Employee Retrenchment on Morale, Loyalty, and Organizational Performance: A Case Study of Remto Industries in Ilorin, Kwara State, Nigeria</w:t>
      </w:r>
    </w:p>
    <w:p w:rsidR="005B13F6" w:rsidRDefault="005B13F6">
      <w:pPr>
        <w:spacing w:after="0" w:line="480" w:lineRule="auto"/>
        <w:rPr>
          <w:rFonts w:ascii="Times New Roman" w:hAnsi="Times New Roman" w:cs="Times New Roman"/>
          <w:b/>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I am a undergraduate of the above named department conducting a study on the above named topic. I humbly request your assistance in supplying relevant information for the successful completion of this research. The information supplied will be viewed in strict confidence and will be used for the write-up of the study.</w:t>
      </w:r>
    </w:p>
    <w:p w:rsidR="005B13F6" w:rsidRDefault="005B13F6">
      <w:pPr>
        <w:spacing w:after="0" w:line="480" w:lineRule="auto"/>
        <w:jc w:val="both"/>
        <w:rPr>
          <w:rFonts w:ascii="Times New Roman" w:hAnsi="Times New Roman" w:cs="Times New Roman"/>
          <w:sz w:val="27"/>
          <w:szCs w:val="27"/>
        </w:rPr>
      </w:pP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Thanks for your anticipated cooperation.</w:t>
      </w:r>
    </w:p>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Yours faithfully,</w:t>
      </w:r>
    </w:p>
    <w:p w:rsidR="005B13F6" w:rsidRDefault="005B13F6">
      <w:pPr>
        <w:spacing w:after="0" w:line="480" w:lineRule="auto"/>
        <w:jc w:val="both"/>
        <w:rPr>
          <w:rFonts w:ascii="Times New Roman" w:hAnsi="Times New Roman" w:cs="Times New Roman"/>
          <w:sz w:val="27"/>
          <w:szCs w:val="27"/>
        </w:rPr>
      </w:pPr>
    </w:p>
    <w:p w:rsidR="005B13F6" w:rsidRDefault="005B13F6">
      <w:pPr>
        <w:spacing w:after="0" w:line="480" w:lineRule="auto"/>
        <w:jc w:val="both"/>
        <w:rPr>
          <w:rFonts w:ascii="Times New Roman" w:hAnsi="Times New Roman" w:cs="Times New Roman"/>
          <w:sz w:val="27"/>
          <w:szCs w:val="27"/>
        </w:rPr>
      </w:pPr>
    </w:p>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SECTION A: DEMOGRAPHIC CHARACTERISTICS</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Gender.</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(a) Male [       ]     (b) Female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Age:</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 xml:space="preserve">(a) Under 25yrs [       ]     (b) 26 – 35yrs [       ]     (c) 36 – 45years [       ]      </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(d) 46years and above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sz w:val="27"/>
          <w:szCs w:val="27"/>
        </w:rPr>
        <w:t>Educational Qualification:</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 xml:space="preserve">(a) NCE/OND [     ]      (b) FIRST DEGREE [     ]     (c) MASTERS [     ]  </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lastRenderedPageBreak/>
        <w:t>(d) PHD [     ]     (e) OTHERS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bCs/>
          <w:sz w:val="27"/>
          <w:szCs w:val="27"/>
        </w:rPr>
        <w:t>Working Experience</w:t>
      </w:r>
      <w:r>
        <w:rPr>
          <w:rFonts w:ascii="Times New Roman" w:hAnsi="Times New Roman" w:cs="Times New Roman"/>
          <w:sz w:val="27"/>
          <w:szCs w:val="27"/>
        </w:rPr>
        <w:t>:</w:t>
      </w:r>
      <w:r>
        <w:rPr>
          <w:rFonts w:ascii="Times New Roman" w:hAnsi="Times New Roman" w:cs="Times New Roman"/>
          <w:sz w:val="27"/>
          <w:szCs w:val="27"/>
        </w:rPr>
        <w:tab/>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(a) Less than 2 years [      ]      (b) 3 – 5 years [      ]      (c) 6 – 10 years [      ]</w:t>
      </w:r>
    </w:p>
    <w:p w:rsidR="005B13F6" w:rsidRDefault="00DB4131">
      <w:pPr>
        <w:spacing w:after="0" w:line="480" w:lineRule="auto"/>
        <w:ind w:firstLine="720"/>
        <w:rPr>
          <w:rFonts w:ascii="Times New Roman" w:hAnsi="Times New Roman" w:cs="Times New Roman"/>
          <w:sz w:val="27"/>
          <w:szCs w:val="27"/>
        </w:rPr>
      </w:pPr>
      <w:r>
        <w:rPr>
          <w:rFonts w:ascii="Times New Roman" w:hAnsi="Times New Roman" w:cs="Times New Roman"/>
          <w:sz w:val="27"/>
          <w:szCs w:val="27"/>
        </w:rPr>
        <w:t>(d) 11 years and above [       ]</w:t>
      </w:r>
    </w:p>
    <w:p w:rsidR="005B13F6" w:rsidRDefault="00DB4131">
      <w:pPr>
        <w:pStyle w:val="ListParagraph"/>
        <w:numPr>
          <w:ilvl w:val="0"/>
          <w:numId w:val="1"/>
        </w:numPr>
        <w:spacing w:after="0" w:line="480" w:lineRule="auto"/>
        <w:ind w:hanging="720"/>
        <w:jc w:val="both"/>
        <w:rPr>
          <w:rFonts w:ascii="Times New Roman" w:hAnsi="Times New Roman" w:cs="Times New Roman"/>
          <w:sz w:val="27"/>
          <w:szCs w:val="27"/>
        </w:rPr>
      </w:pPr>
      <w:r>
        <w:rPr>
          <w:rFonts w:ascii="Times New Roman" w:hAnsi="Times New Roman" w:cs="Times New Roman"/>
          <w:bCs/>
          <w:sz w:val="27"/>
          <w:szCs w:val="27"/>
        </w:rPr>
        <w:t>Department of Respondents in the Company</w:t>
      </w:r>
      <w:r>
        <w:rPr>
          <w:rFonts w:ascii="Times New Roman" w:hAnsi="Times New Roman" w:cs="Times New Roman"/>
          <w:sz w:val="27"/>
          <w:szCs w:val="27"/>
        </w:rPr>
        <w:t>:</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(a) Distribution department[      ]     (b) Store department [      ]     (c)Production department [      ]</w:t>
      </w:r>
    </w:p>
    <w:p w:rsidR="005B13F6" w:rsidRDefault="00DB4131">
      <w:pPr>
        <w:spacing w:after="0" w:line="480" w:lineRule="auto"/>
        <w:ind w:left="720"/>
        <w:rPr>
          <w:rFonts w:ascii="Times New Roman" w:hAnsi="Times New Roman" w:cs="Times New Roman"/>
          <w:sz w:val="27"/>
          <w:szCs w:val="27"/>
        </w:rPr>
      </w:pPr>
      <w:r>
        <w:rPr>
          <w:rFonts w:ascii="Times New Roman" w:hAnsi="Times New Roman" w:cs="Times New Roman"/>
          <w:sz w:val="27"/>
          <w:szCs w:val="27"/>
        </w:rPr>
        <w:t xml:space="preserve">(d)Marketing department [       ]     (e) Purchasing &amp; Supplies [        ]     (f) Others [        ] </w:t>
      </w:r>
    </w:p>
    <w:p w:rsidR="005B13F6" w:rsidRDefault="005B13F6">
      <w:pPr>
        <w:spacing w:after="0" w:line="480" w:lineRule="auto"/>
        <w:rPr>
          <w:rFonts w:ascii="Times New Roman" w:hAnsi="Times New Roman" w:cs="Times New Roman"/>
          <w:b/>
          <w:sz w:val="27"/>
          <w:szCs w:val="27"/>
        </w:rPr>
      </w:pPr>
    </w:p>
    <w:p w:rsidR="005B13F6" w:rsidRDefault="00DB4131">
      <w:pPr>
        <w:spacing w:after="0" w:line="480" w:lineRule="auto"/>
        <w:rPr>
          <w:rFonts w:ascii="Times New Roman" w:hAnsi="Times New Roman" w:cs="Times New Roman"/>
          <w:b/>
          <w:sz w:val="27"/>
          <w:szCs w:val="27"/>
        </w:rPr>
      </w:pPr>
      <w:r>
        <w:rPr>
          <w:rFonts w:ascii="Times New Roman" w:hAnsi="Times New Roman" w:cs="Times New Roman"/>
          <w:b/>
          <w:sz w:val="27"/>
          <w:szCs w:val="27"/>
        </w:rPr>
        <w:t>SECTION B</w:t>
      </w:r>
    </w:p>
    <w:p w:rsidR="005B13F6" w:rsidRDefault="00DB4131">
      <w:pPr>
        <w:autoSpaceDE w:val="0"/>
        <w:autoSpaceDN w:val="0"/>
        <w:adjustRightInd w:val="0"/>
        <w:spacing w:after="0" w:line="480" w:lineRule="auto"/>
        <w:jc w:val="both"/>
        <w:rPr>
          <w:rFonts w:ascii="Times New Roman" w:hAnsi="Times New Roman" w:cs="Times New Roman"/>
          <w:bCs/>
          <w:sz w:val="27"/>
          <w:szCs w:val="27"/>
        </w:rPr>
      </w:pPr>
      <w:r>
        <w:rPr>
          <w:rFonts w:ascii="Times New Roman" w:hAnsi="Times New Roman" w:cs="Times New Roman"/>
          <w:bCs/>
          <w:sz w:val="27"/>
          <w:szCs w:val="27"/>
        </w:rPr>
        <w:t xml:space="preserve">The following sets of questions are designed to seek your opinion about the Employee Retrenchment and how it affects Employees Morale and Loyalty in Remto Industries, Ilorin, Kwara State, Nigeria. Please tick (√) in front of statements that correspond with your opinion. </w:t>
      </w:r>
    </w:p>
    <w:p w:rsidR="005B13F6" w:rsidRDefault="00DB4131">
      <w:pPr>
        <w:autoSpaceDE w:val="0"/>
        <w:autoSpaceDN w:val="0"/>
        <w:adjustRightInd w:val="0"/>
        <w:spacing w:after="0" w:line="480" w:lineRule="auto"/>
        <w:jc w:val="center"/>
        <w:rPr>
          <w:rFonts w:ascii="Times New Roman" w:hAnsi="Times New Roman" w:cs="Times New Roman"/>
          <w:b/>
          <w:bCs/>
          <w:sz w:val="27"/>
          <w:szCs w:val="27"/>
        </w:rPr>
      </w:pPr>
      <w:r>
        <w:rPr>
          <w:rFonts w:ascii="Times New Roman" w:hAnsi="Times New Roman" w:cs="Times New Roman"/>
          <w:b/>
          <w:bCs/>
          <w:sz w:val="27"/>
          <w:szCs w:val="27"/>
        </w:rPr>
        <w:t>RETRENCHMENT AND EMPLOYEES MORALE</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008"/>
        <w:gridCol w:w="562"/>
        <w:gridCol w:w="618"/>
        <w:gridCol w:w="618"/>
        <w:gridCol w:w="618"/>
        <w:gridCol w:w="562"/>
      </w:tblGrid>
      <w:tr w:rsidR="005B13F6">
        <w:tc>
          <w:tcPr>
            <w:tcW w:w="648"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6033"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53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556"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 xml:space="preserve">My organization  retrenches employees when there is </w:t>
            </w:r>
            <w:r>
              <w:rPr>
                <w:iCs/>
                <w:sz w:val="27"/>
                <w:szCs w:val="27"/>
              </w:rPr>
              <w:lastRenderedPageBreak/>
              <w:t>a need to downsize its staff</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rPr>
                <w:iCs/>
                <w:sz w:val="27"/>
                <w:szCs w:val="27"/>
              </w:rPr>
            </w:pPr>
            <w:r>
              <w:rPr>
                <w:iCs/>
                <w:sz w:val="27"/>
                <w:szCs w:val="27"/>
              </w:rPr>
              <w:t>Employees are sometimes retrenched with separation benefits as a compensation for their services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There is maximum  number of years an employee can spend with Remto Industries, after which retirement is mandated.</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Conditions under which employees can be retrenched have been stipulated in the company’s terms of employment.</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6033" w:type="dxa"/>
          </w:tcPr>
          <w:p w:rsidR="005B13F6" w:rsidRDefault="00DB4131">
            <w:pPr>
              <w:pStyle w:val="Default"/>
              <w:spacing w:line="480" w:lineRule="auto"/>
              <w:jc w:val="both"/>
              <w:rPr>
                <w:iCs/>
                <w:sz w:val="27"/>
                <w:szCs w:val="27"/>
              </w:rPr>
            </w:pPr>
            <w:r>
              <w:rPr>
                <w:iCs/>
                <w:sz w:val="27"/>
                <w:szCs w:val="27"/>
              </w:rPr>
              <w:t>Retrenchment programmes of Remto Industries affects the morale of employees who survive retrenchment exercises.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Communication of Retrenchment Process and Employees’ Loyalty</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
        <w:gridCol w:w="6582"/>
        <w:gridCol w:w="562"/>
        <w:gridCol w:w="411"/>
        <w:gridCol w:w="411"/>
        <w:gridCol w:w="411"/>
        <w:gridCol w:w="562"/>
      </w:tblGrid>
      <w:tr w:rsidR="005B13F6">
        <w:trPr>
          <w:trHeight w:val="287"/>
        </w:trPr>
        <w:tc>
          <w:tcPr>
            <w:tcW w:w="312"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3518"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27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20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276" w:type="pct"/>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Planned  retrenchment exercises are communicated to employees prior to the exercise in this organization.</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 xml:space="preserve">The process and conditions for retrenchment are </w:t>
            </w:r>
            <w:r>
              <w:rPr>
                <w:iCs/>
                <w:sz w:val="27"/>
                <w:szCs w:val="27"/>
              </w:rPr>
              <w:lastRenderedPageBreak/>
              <w:t xml:space="preserve">communicated to employees through their unions. </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574"/>
        </w:trPr>
        <w:tc>
          <w:tcPr>
            <w:tcW w:w="312" w:type="pct"/>
          </w:tcPr>
          <w:p w:rsidR="005B13F6" w:rsidRDefault="005B13F6">
            <w:pPr>
              <w:pStyle w:val="ListParagraph"/>
              <w:numPr>
                <w:ilvl w:val="0"/>
                <w:numId w:val="1"/>
              </w:numPr>
              <w:spacing w:after="0" w:line="480" w:lineRule="auto"/>
              <w:ind w:left="360"/>
              <w:jc w:val="both"/>
              <w:rPr>
                <w:rFonts w:ascii="Times New Roman" w:hAnsi="Times New Roman" w:cs="Times New Roman"/>
                <w:sz w:val="27"/>
                <w:szCs w:val="27"/>
              </w:rPr>
            </w:pPr>
          </w:p>
        </w:tc>
        <w:tc>
          <w:tcPr>
            <w:tcW w:w="3518" w:type="pct"/>
          </w:tcPr>
          <w:p w:rsidR="005B13F6" w:rsidRDefault="00DB4131">
            <w:pPr>
              <w:pStyle w:val="Default"/>
              <w:spacing w:line="480" w:lineRule="auto"/>
              <w:jc w:val="both"/>
              <w:rPr>
                <w:iCs/>
                <w:sz w:val="27"/>
                <w:szCs w:val="27"/>
              </w:rPr>
            </w:pPr>
            <w:r>
              <w:rPr>
                <w:iCs/>
                <w:sz w:val="27"/>
                <w:szCs w:val="27"/>
              </w:rPr>
              <w:t>The process and conditions for retrenchment are communicated to employees through their unions and the company’s magazine.</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r w:rsidR="005B13F6">
        <w:trPr>
          <w:trHeight w:val="671"/>
        </w:trPr>
        <w:tc>
          <w:tcPr>
            <w:tcW w:w="312" w:type="pct"/>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14</w:t>
            </w:r>
          </w:p>
        </w:tc>
        <w:tc>
          <w:tcPr>
            <w:tcW w:w="3518" w:type="pct"/>
          </w:tcPr>
          <w:p w:rsidR="005B13F6" w:rsidRDefault="00DB4131">
            <w:pPr>
              <w:pStyle w:val="Default"/>
              <w:spacing w:line="480" w:lineRule="auto"/>
              <w:jc w:val="both"/>
              <w:rPr>
                <w:iCs/>
                <w:sz w:val="27"/>
                <w:szCs w:val="27"/>
              </w:rPr>
            </w:pPr>
            <w:r>
              <w:rPr>
                <w:iCs/>
                <w:sz w:val="27"/>
                <w:szCs w:val="27"/>
              </w:rPr>
              <w:t>I am more loyal to my organization because retrenchment processes are communicated to us or known to us before it is experienced, thus causes no employees disloyalty to the organization.</w:t>
            </w:r>
          </w:p>
        </w:tc>
        <w:tc>
          <w:tcPr>
            <w:tcW w:w="27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06" w:type="pct"/>
          </w:tcPr>
          <w:p w:rsidR="005B13F6" w:rsidRDefault="005B13F6">
            <w:pPr>
              <w:spacing w:after="0" w:line="480" w:lineRule="auto"/>
              <w:rPr>
                <w:rFonts w:ascii="Times New Roman" w:hAnsi="Times New Roman" w:cs="Times New Roman"/>
                <w:sz w:val="27"/>
                <w:szCs w:val="27"/>
              </w:rPr>
            </w:pPr>
          </w:p>
        </w:tc>
        <w:tc>
          <w:tcPr>
            <w:tcW w:w="276" w:type="pct"/>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rPr>
          <w:rFonts w:ascii="Times New Roman" w:hAnsi="Times New Roman" w:cs="Times New Roman"/>
          <w:sz w:val="27"/>
          <w:szCs w:val="27"/>
        </w:rPr>
      </w:pPr>
    </w:p>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 xml:space="preserve">Changes in the Scheme of Work and Morale of Retrenchment Survivors </w:t>
      </w:r>
    </w:p>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bCs/>
          <w:sz w:val="27"/>
          <w:szCs w:val="27"/>
        </w:rPr>
        <w:t xml:space="preserve">Note the following contraction: </w:t>
      </w:r>
      <w:r>
        <w:rPr>
          <w:rFonts w:ascii="Times New Roman" w:hAnsi="Times New Roman" w:cs="Times New Roman"/>
          <w:sz w:val="27"/>
          <w:szCs w:val="27"/>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008"/>
        <w:gridCol w:w="562"/>
        <w:gridCol w:w="618"/>
        <w:gridCol w:w="618"/>
        <w:gridCol w:w="618"/>
        <w:gridCol w:w="562"/>
      </w:tblGrid>
      <w:tr w:rsidR="005B13F6">
        <w:tc>
          <w:tcPr>
            <w:tcW w:w="648"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S/N</w:t>
            </w:r>
          </w:p>
        </w:tc>
        <w:tc>
          <w:tcPr>
            <w:tcW w:w="6033"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Statements</w:t>
            </w:r>
          </w:p>
        </w:tc>
        <w:tc>
          <w:tcPr>
            <w:tcW w:w="53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A</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U</w:t>
            </w:r>
          </w:p>
        </w:tc>
        <w:tc>
          <w:tcPr>
            <w:tcW w:w="619"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D</w:t>
            </w:r>
          </w:p>
        </w:tc>
        <w:tc>
          <w:tcPr>
            <w:tcW w:w="556" w:type="dxa"/>
          </w:tcPr>
          <w:p w:rsidR="005B13F6" w:rsidRDefault="00DB4131">
            <w:pPr>
              <w:spacing w:after="0" w:line="480" w:lineRule="auto"/>
              <w:jc w:val="center"/>
              <w:rPr>
                <w:rFonts w:ascii="Times New Roman" w:hAnsi="Times New Roman" w:cs="Times New Roman"/>
                <w:b/>
                <w:sz w:val="27"/>
                <w:szCs w:val="27"/>
              </w:rPr>
            </w:pPr>
            <w:r>
              <w:rPr>
                <w:rFonts w:ascii="Times New Roman" w:hAnsi="Times New Roman" w:cs="Times New Roman"/>
                <w:b/>
                <w:sz w:val="27"/>
                <w:szCs w:val="27"/>
              </w:rPr>
              <w:t>SD</w:t>
            </w: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15.</w:t>
            </w:r>
          </w:p>
        </w:tc>
        <w:tc>
          <w:tcPr>
            <w:tcW w:w="6033" w:type="dxa"/>
          </w:tcPr>
          <w:p w:rsidR="005B13F6" w:rsidRDefault="00DB4131">
            <w:pPr>
              <w:pStyle w:val="Default"/>
              <w:spacing w:line="480" w:lineRule="auto"/>
              <w:jc w:val="both"/>
              <w:rPr>
                <w:bCs/>
                <w:sz w:val="27"/>
                <w:szCs w:val="27"/>
              </w:rPr>
            </w:pPr>
            <w:r>
              <w:rPr>
                <w:sz w:val="27"/>
                <w:szCs w:val="27"/>
              </w:rPr>
              <w:t>After a retrenchment exercise, there’s usually a change in the salary structure of employees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16.</w:t>
            </w:r>
          </w:p>
        </w:tc>
        <w:tc>
          <w:tcPr>
            <w:tcW w:w="6033" w:type="dxa"/>
          </w:tcPr>
          <w:p w:rsidR="005B13F6" w:rsidRDefault="00DB4131">
            <w:pPr>
              <w:spacing w:after="0" w:line="480" w:lineRule="auto"/>
              <w:rPr>
                <w:rFonts w:ascii="Times New Roman" w:hAnsi="Times New Roman" w:cs="Times New Roman"/>
                <w:sz w:val="27"/>
                <w:szCs w:val="27"/>
              </w:rPr>
            </w:pPr>
            <w:r>
              <w:rPr>
                <w:rFonts w:ascii="Times New Roman" w:hAnsi="Times New Roman" w:cs="Times New Roman"/>
                <w:sz w:val="27"/>
                <w:szCs w:val="27"/>
              </w:rPr>
              <w:t>Retrenchment survivors are promoted after retrenchment exercises to fill top vacant positions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17.</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There is a change in the working hours of retained employees after every retrenchment exercise</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t>18</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 xml:space="preserve">The management often call for more overtime work </w:t>
            </w:r>
            <w:r>
              <w:rPr>
                <w:rFonts w:ascii="Times New Roman" w:hAnsi="Times New Roman" w:cs="Times New Roman"/>
                <w:sz w:val="27"/>
                <w:szCs w:val="27"/>
              </w:rPr>
              <w:lastRenderedPageBreak/>
              <w:t>after retrenchment of less productive workers</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r w:rsidR="005B13F6">
        <w:tc>
          <w:tcPr>
            <w:tcW w:w="648" w:type="dxa"/>
          </w:tcPr>
          <w:p w:rsidR="005B13F6" w:rsidRDefault="00DB4131">
            <w:pPr>
              <w:spacing w:after="0" w:line="480" w:lineRule="auto"/>
              <w:jc w:val="both"/>
              <w:rPr>
                <w:rFonts w:ascii="Times New Roman" w:hAnsi="Times New Roman" w:cs="Times New Roman"/>
                <w:sz w:val="27"/>
                <w:szCs w:val="27"/>
              </w:rPr>
            </w:pPr>
            <w:r>
              <w:rPr>
                <w:rFonts w:ascii="Times New Roman" w:hAnsi="Times New Roman" w:cs="Times New Roman"/>
                <w:sz w:val="27"/>
                <w:szCs w:val="27"/>
              </w:rPr>
              <w:lastRenderedPageBreak/>
              <w:t>19.</w:t>
            </w:r>
          </w:p>
        </w:tc>
        <w:tc>
          <w:tcPr>
            <w:tcW w:w="6033" w:type="dxa"/>
          </w:tcPr>
          <w:p w:rsidR="005B13F6" w:rsidRDefault="00DB4131">
            <w:pPr>
              <w:autoSpaceDE w:val="0"/>
              <w:autoSpaceDN w:val="0"/>
              <w:adjustRightInd w:val="0"/>
              <w:spacing w:after="0" w:line="480" w:lineRule="auto"/>
              <w:rPr>
                <w:rFonts w:ascii="Times New Roman" w:hAnsi="Times New Roman" w:cs="Times New Roman"/>
                <w:sz w:val="27"/>
                <w:szCs w:val="27"/>
              </w:rPr>
            </w:pPr>
            <w:r>
              <w:rPr>
                <w:rFonts w:ascii="Times New Roman" w:hAnsi="Times New Roman" w:cs="Times New Roman"/>
                <w:sz w:val="27"/>
                <w:szCs w:val="27"/>
              </w:rPr>
              <w:t>A change in the scheme of work affects employees’ morale.</w:t>
            </w:r>
          </w:p>
        </w:tc>
        <w:tc>
          <w:tcPr>
            <w:tcW w:w="53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619" w:type="dxa"/>
          </w:tcPr>
          <w:p w:rsidR="005B13F6" w:rsidRDefault="005B13F6">
            <w:pPr>
              <w:spacing w:after="0" w:line="480" w:lineRule="auto"/>
              <w:rPr>
                <w:rFonts w:ascii="Times New Roman" w:hAnsi="Times New Roman" w:cs="Times New Roman"/>
                <w:sz w:val="27"/>
                <w:szCs w:val="27"/>
              </w:rPr>
            </w:pPr>
          </w:p>
        </w:tc>
        <w:tc>
          <w:tcPr>
            <w:tcW w:w="556" w:type="dxa"/>
          </w:tcPr>
          <w:p w:rsidR="005B13F6" w:rsidRDefault="005B13F6">
            <w:pPr>
              <w:spacing w:after="0" w:line="480" w:lineRule="auto"/>
              <w:rPr>
                <w:rFonts w:ascii="Times New Roman" w:hAnsi="Times New Roman" w:cs="Times New Roman"/>
                <w:sz w:val="27"/>
                <w:szCs w:val="27"/>
              </w:rPr>
            </w:pPr>
          </w:p>
        </w:tc>
      </w:tr>
    </w:tbl>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after="0" w:line="480" w:lineRule="auto"/>
        <w:jc w:val="both"/>
        <w:rPr>
          <w:rFonts w:ascii="Times New Roman" w:hAnsi="Times New Roman" w:cs="Times New Roman"/>
          <w:b/>
          <w:sz w:val="27"/>
          <w:szCs w:val="27"/>
        </w:rPr>
      </w:pPr>
    </w:p>
    <w:p w:rsidR="005B13F6" w:rsidRDefault="005B13F6">
      <w:pPr>
        <w:spacing w:line="480" w:lineRule="auto"/>
        <w:rPr>
          <w:rFonts w:ascii="Times New Roman" w:hAnsi="Times New Roman" w:cs="Times New Roman"/>
          <w:sz w:val="27"/>
          <w:szCs w:val="27"/>
        </w:rPr>
      </w:pPr>
    </w:p>
    <w:sectPr w:rsidR="005B13F6" w:rsidSect="005B13F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60" w:rsidRDefault="00D35160" w:rsidP="005B13F6">
      <w:pPr>
        <w:spacing w:after="0" w:line="240" w:lineRule="auto"/>
      </w:pPr>
      <w:r>
        <w:separator/>
      </w:r>
    </w:p>
  </w:endnote>
  <w:endnote w:type="continuationSeparator" w:id="1">
    <w:p w:rsidR="00D35160" w:rsidRDefault="00D35160" w:rsidP="005B1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31" w:rsidRDefault="00DB4131">
    <w:pPr>
      <w:pStyle w:val="Footer"/>
      <w:jc w:val="center"/>
    </w:pPr>
    <w:fldSimple w:instr=" PAGE   \* MERGEFORMAT ">
      <w:r w:rsidR="00F81A07">
        <w:rPr>
          <w:noProof/>
        </w:rPr>
        <w:t>6</w:t>
      </w:r>
    </w:fldSimple>
  </w:p>
  <w:p w:rsidR="00DB4131" w:rsidRDefault="00DB4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60" w:rsidRDefault="00D35160" w:rsidP="005B13F6">
      <w:pPr>
        <w:spacing w:after="0" w:line="240" w:lineRule="auto"/>
      </w:pPr>
      <w:r>
        <w:separator/>
      </w:r>
    </w:p>
  </w:footnote>
  <w:footnote w:type="continuationSeparator" w:id="1">
    <w:p w:rsidR="00D35160" w:rsidRDefault="00D35160" w:rsidP="005B13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3A4DDE2"/>
    <w:lvl w:ilvl="0" w:tplc="17EAB11C">
      <w:start w:val="1"/>
      <w:numFmt w:val="lowerRoman"/>
      <w:lvlText w:val="%1."/>
      <w:lvlJc w:val="left"/>
      <w:pPr>
        <w:ind w:left="540" w:hanging="360"/>
      </w:pPr>
      <w:rPr>
        <w:rFonts w:hint="default"/>
      </w:rPr>
    </w:lvl>
    <w:lvl w:ilvl="1" w:tplc="AE8E20EC">
      <w:start w:val="1"/>
      <w:numFmt w:val="lowerLetter"/>
      <w:lvlText w:val="%2."/>
      <w:lvlJc w:val="left"/>
      <w:pPr>
        <w:ind w:left="1260" w:hanging="360"/>
      </w:pPr>
      <w:rPr>
        <w:rFonts w:ascii="Times New Roman" w:eastAsia="Calibri" w:hAnsi="Times New Roman" w:cs="Times New Roman"/>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5"/>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95AA980"/>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E8CDEDE"/>
    <w:lvl w:ilvl="0" w:tplc="17EAB11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597AF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8780D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084E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00000012"/>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CA34C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359E7F40"/>
    <w:lvl w:ilvl="0" w:tplc="3BC2F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856E68F4"/>
    <w:lvl w:ilvl="0" w:tplc="B61E5332">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12"/>
  </w:num>
  <w:num w:numId="5">
    <w:abstractNumId w:val="7"/>
  </w:num>
  <w:num w:numId="6">
    <w:abstractNumId w:val="3"/>
  </w:num>
  <w:num w:numId="7">
    <w:abstractNumId w:val="6"/>
  </w:num>
  <w:num w:numId="8">
    <w:abstractNumId w:val="11"/>
  </w:num>
  <w:num w:numId="9">
    <w:abstractNumId w:val="5"/>
  </w:num>
  <w:num w:numId="10">
    <w:abstractNumId w:val="8"/>
  </w:num>
  <w:num w:numId="11">
    <w:abstractNumId w:val="0"/>
  </w:num>
  <w:num w:numId="12">
    <w:abstractNumId w:val="13"/>
  </w:num>
  <w:num w:numId="13">
    <w:abstractNumId w:val="9"/>
  </w:num>
  <w:num w:numId="14">
    <w:abstractNumId w:val="1"/>
  </w:num>
  <w:num w:numId="15">
    <w:abstractNumId w:val="17"/>
  </w:num>
  <w:num w:numId="16">
    <w:abstractNumId w:val="14"/>
  </w:num>
  <w:num w:numId="17">
    <w:abstractNumId w:val="22"/>
  </w:num>
  <w:num w:numId="18">
    <w:abstractNumId w:val="18"/>
  </w:num>
  <w:num w:numId="19">
    <w:abstractNumId w:val="21"/>
  </w:num>
  <w:num w:numId="20">
    <w:abstractNumId w:val="20"/>
  </w:num>
  <w:num w:numId="21">
    <w:abstractNumId w:val="19"/>
  </w:num>
  <w:num w:numId="22">
    <w:abstractNumId w:val="1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13F6"/>
    <w:rsid w:val="00424C66"/>
    <w:rsid w:val="005B13F6"/>
    <w:rsid w:val="00D35160"/>
    <w:rsid w:val="00DB4131"/>
    <w:rsid w:val="00F81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F6"/>
    <w:pPr>
      <w:spacing w:after="200" w:line="276" w:lineRule="auto"/>
    </w:pPr>
  </w:style>
  <w:style w:type="paragraph" w:styleId="Heading1">
    <w:name w:val="heading 1"/>
    <w:basedOn w:val="Normal"/>
    <w:next w:val="Normal"/>
    <w:link w:val="Heading1Char"/>
    <w:uiPriority w:val="9"/>
    <w:qFormat/>
    <w:rsid w:val="005B13F6"/>
    <w:pPr>
      <w:keepNext/>
      <w:keepLines/>
      <w:spacing w:before="480" w:after="0"/>
      <w:outlineLvl w:val="0"/>
    </w:pPr>
    <w:rPr>
      <w:rFonts w:ascii="Cambria" w:eastAsia="SimSun" w:hAnsi="Cambria"/>
      <w:b/>
      <w:bCs/>
      <w:color w:val="365F91"/>
      <w:sz w:val="28"/>
      <w:szCs w:val="28"/>
      <w:lang w:bidi="en-US"/>
    </w:rPr>
  </w:style>
  <w:style w:type="paragraph" w:styleId="Heading3">
    <w:name w:val="heading 3"/>
    <w:basedOn w:val="Normal"/>
    <w:next w:val="Normal"/>
    <w:link w:val="Heading3Char"/>
    <w:uiPriority w:val="9"/>
    <w:qFormat/>
    <w:rsid w:val="005B13F6"/>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F6"/>
    <w:rPr>
      <w:rFonts w:ascii="Cambria" w:eastAsia="SimSun" w:hAnsi="Cambria" w:cs="SimSun"/>
      <w:b/>
      <w:bCs/>
      <w:color w:val="365F91"/>
      <w:sz w:val="28"/>
      <w:szCs w:val="28"/>
      <w:lang w:bidi="en-US"/>
    </w:rPr>
  </w:style>
  <w:style w:type="paragraph" w:styleId="ListParagraph">
    <w:name w:val="List Paragraph"/>
    <w:basedOn w:val="Normal"/>
    <w:uiPriority w:val="34"/>
    <w:qFormat/>
    <w:rsid w:val="005B13F6"/>
    <w:pPr>
      <w:ind w:left="720"/>
      <w:contextualSpacing/>
    </w:pPr>
  </w:style>
  <w:style w:type="paragraph" w:styleId="BalloonText">
    <w:name w:val="Balloon Text"/>
    <w:basedOn w:val="Normal"/>
    <w:link w:val="BalloonTextChar"/>
    <w:uiPriority w:val="99"/>
    <w:rsid w:val="005B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13F6"/>
    <w:rPr>
      <w:rFonts w:ascii="Tahoma" w:eastAsia="Calibri" w:hAnsi="Tahoma" w:cs="Tahoma"/>
      <w:sz w:val="16"/>
      <w:szCs w:val="16"/>
    </w:rPr>
  </w:style>
  <w:style w:type="paragraph" w:styleId="Bibliography">
    <w:name w:val="Bibliography"/>
    <w:basedOn w:val="Normal"/>
    <w:next w:val="Normal"/>
    <w:uiPriority w:val="37"/>
    <w:rsid w:val="005B13F6"/>
  </w:style>
  <w:style w:type="paragraph" w:customStyle="1" w:styleId="Default">
    <w:name w:val="Default"/>
    <w:rsid w:val="005B13F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rsid w:val="005B13F6"/>
    <w:rPr>
      <w:color w:val="808080"/>
    </w:rPr>
  </w:style>
  <w:style w:type="paragraph" w:styleId="Header">
    <w:name w:val="header"/>
    <w:basedOn w:val="Normal"/>
    <w:link w:val="HeaderChar"/>
    <w:uiPriority w:val="99"/>
    <w:rsid w:val="005B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3F6"/>
    <w:rPr>
      <w:rFonts w:ascii="Calibri" w:eastAsia="Calibri" w:hAnsi="Calibri" w:cs="SimSun"/>
    </w:rPr>
  </w:style>
  <w:style w:type="paragraph" w:styleId="Footer">
    <w:name w:val="footer"/>
    <w:basedOn w:val="Normal"/>
    <w:link w:val="FooterChar"/>
    <w:uiPriority w:val="99"/>
    <w:rsid w:val="005B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3F6"/>
    <w:rPr>
      <w:rFonts w:ascii="Calibri" w:eastAsia="Calibri" w:hAnsi="Calibri" w:cs="SimSun"/>
    </w:rPr>
  </w:style>
  <w:style w:type="character" w:customStyle="1" w:styleId="Heading3Char">
    <w:name w:val="Heading 3 Char"/>
    <w:basedOn w:val="DefaultParagraphFont"/>
    <w:link w:val="Heading3"/>
    <w:uiPriority w:val="9"/>
    <w:rsid w:val="005B13F6"/>
    <w:rPr>
      <w:rFonts w:ascii="Calibri Light" w:eastAsia="SimSun" w:hAnsi="Calibri Light" w:cs="SimSun"/>
      <w:color w:val="1F4D78"/>
      <w:sz w:val="24"/>
      <w:szCs w:val="24"/>
    </w:rPr>
  </w:style>
  <w:style w:type="paragraph" w:styleId="NormalWeb">
    <w:name w:val="Normal (Web)"/>
    <w:basedOn w:val="Normal"/>
    <w:uiPriority w:val="99"/>
    <w:rsid w:val="005B13F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rsid w:val="005B13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B13F6"/>
    <w:rPr>
      <w:rFonts w:ascii="Arial" w:eastAsia="Times New Roman" w:hAnsi="Arial" w:cs="Arial"/>
      <w:vanish/>
      <w:sz w:val="16"/>
      <w:szCs w:val="16"/>
    </w:rPr>
  </w:style>
  <w:style w:type="character" w:customStyle="1" w:styleId="Bodytext2">
    <w:name w:val="Body text (2)_"/>
    <w:basedOn w:val="DefaultParagraphFont"/>
    <w:link w:val="Bodytext20"/>
    <w:rsid w:val="00DB4131"/>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DB4131"/>
    <w:rPr>
      <w:b/>
      <w:bCs/>
      <w:i/>
      <w:iCs/>
    </w:rPr>
  </w:style>
  <w:style w:type="paragraph" w:customStyle="1" w:styleId="Bodytext20">
    <w:name w:val="Body text (2)"/>
    <w:basedOn w:val="Normal"/>
    <w:link w:val="Bodytext2"/>
    <w:rsid w:val="00DB4131"/>
    <w:pPr>
      <w:shd w:val="clear" w:color="auto" w:fill="FFFFFF"/>
      <w:spacing w:after="0"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100</Pages>
  <Words>16442</Words>
  <Characters>93724</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POPOOLA T. A</dc:creator>
  <cp:lastModifiedBy>USER</cp:lastModifiedBy>
  <cp:revision>2</cp:revision>
  <dcterms:created xsi:type="dcterms:W3CDTF">2025-07-01T11:15:00Z</dcterms:created>
  <dcterms:modified xsi:type="dcterms:W3CDTF">2025-07-01T11:15:00Z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51479563074d4e259cdccff63b6f9f56</vt:lpwstr>
  </property>
</Properties>
</file>