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E7D3">
      <w:pPr>
        <w:pStyle w:val="3"/>
        <w:spacing w:before="0" w:line="480" w:lineRule="auto"/>
        <w:jc w:val="center"/>
        <w:rPr>
          <w:rFonts w:hint="default" w:ascii="Times New Roman" w:hAnsi="Times New Roman" w:cs="Times New Roman"/>
          <w:b/>
          <w:bCs w:val="0"/>
          <w:sz w:val="24"/>
          <w:szCs w:val="24"/>
        </w:rPr>
      </w:pP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z w:val="24"/>
          <w:szCs w:val="24"/>
          <w:lang w:val="en-US"/>
          <w14:textFill>
            <w14:solidFill>
              <w14:schemeClr w14:val="tx1"/>
            </w14:solidFill>
          </w14:textFill>
        </w:rPr>
        <w:t>MPACT</w:t>
      </w:r>
      <w:r>
        <w:rPr>
          <w:rFonts w:hint="default" w:ascii="Times New Roman" w:hAnsi="Times New Roman" w:cs="Times New Roman"/>
          <w:color w:val="000000" w:themeColor="text1"/>
          <w:sz w:val="24"/>
          <w:szCs w:val="24"/>
          <w14:textFill>
            <w14:solidFill>
              <w14:schemeClr w14:val="tx1"/>
            </w14:solidFill>
          </w14:textFill>
        </w:rPr>
        <w:t xml:space="preserve"> OF SELECTION AND ACQUISITION PROCEDURES ON LEGAL INFORMATION MATERIALS IN UNIVERSITY OF ILORIN LAW LIBRARY</w:t>
      </w:r>
    </w:p>
    <w:p w14:paraId="3520C970">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25AFC7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OBADA SAMUEL AYOMIDE</w:t>
      </w:r>
    </w:p>
    <w:p w14:paraId="4642255D">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w:t>
      </w:r>
      <w:r>
        <w:rPr>
          <w:rFonts w:hint="default" w:ascii="Times New Roman" w:hAnsi="Times New Roman" w:cs="Times New Roman"/>
          <w:b/>
          <w:bCs w:val="0"/>
          <w:sz w:val="24"/>
          <w:szCs w:val="24"/>
          <w:lang w:val="en-US"/>
        </w:rPr>
        <w:t>3</w:t>
      </w:r>
      <w:bookmarkStart w:id="5" w:name="_GoBack"/>
      <w:bookmarkEnd w:id="5"/>
      <w:r>
        <w:rPr>
          <w:rFonts w:hint="default" w:ascii="Times New Roman" w:hAnsi="Times New Roman" w:cs="Times New Roman"/>
          <w:b/>
          <w:bCs w:val="0"/>
          <w:sz w:val="24"/>
          <w:szCs w:val="24"/>
        </w:rPr>
        <w:t>/LIS/</w:t>
      </w:r>
      <w:r>
        <w:rPr>
          <w:rFonts w:hint="default" w:ascii="Times New Roman" w:hAnsi="Times New Roman" w:cs="Times New Roman"/>
          <w:b/>
          <w:bCs w:val="0"/>
          <w:sz w:val="24"/>
          <w:szCs w:val="24"/>
          <w:lang w:val="en-US"/>
        </w:rPr>
        <w:t>P</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0002</w:t>
      </w:r>
    </w:p>
    <w:p w14:paraId="30A8B523">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35911EAA">
      <w:pPr>
        <w:spacing w:line="360" w:lineRule="auto"/>
        <w:ind w:left="3600" w:firstLine="720"/>
        <w:jc w:val="center"/>
        <w:rPr>
          <w:rFonts w:hint="default" w:ascii="Times New Roman" w:hAnsi="Times New Roman" w:cs="Times New Roman"/>
          <w:b/>
          <w:bCs w:val="0"/>
          <w:i/>
          <w:sz w:val="24"/>
          <w:szCs w:val="24"/>
        </w:rPr>
      </w:pPr>
    </w:p>
    <w:p w14:paraId="1C83BEE9">
      <w:pPr>
        <w:spacing w:line="360" w:lineRule="auto"/>
        <w:jc w:val="both"/>
        <w:rPr>
          <w:rFonts w:hint="default" w:ascii="Times New Roman" w:hAnsi="Times New Roman" w:cs="Times New Roman"/>
          <w:b/>
          <w:bCs w:val="0"/>
          <w:i/>
          <w:sz w:val="24"/>
          <w:szCs w:val="24"/>
          <w:lang w:val="en-US"/>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4</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723887D8">
      <w:pPr>
        <w:spacing w:line="360" w:lineRule="auto"/>
        <w:jc w:val="center"/>
        <w:rPr>
          <w:rFonts w:hint="default" w:ascii="Times New Roman" w:hAnsi="Times New Roman" w:cs="Times New Roman"/>
          <w:b/>
          <w:bCs w:val="0"/>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Also I want to thank my lovely Parent, Mr Obada Clement Funsho and Mrs Obada Gladys Toyin </w:t>
      </w:r>
      <w:r>
        <w:rPr>
          <w:rFonts w:ascii="Times New Roman" w:hAnsi="Times New Roman" w:cs="Times New Roman"/>
          <w:sz w:val="24"/>
          <w:szCs w:val="24"/>
        </w:rPr>
        <w:t xml:space="preserve">for their financially support from my childhood, May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ascii="Times New Roman" w:hAnsi="Times New Roman" w:cs="Times New Roman"/>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0A436049">
      <w:pPr>
        <w:spacing w:line="360" w:lineRule="auto"/>
        <w:jc w:val="both"/>
        <w:rPr>
          <w:rFonts w:hint="default"/>
          <w:b w:val="0"/>
          <w:bCs/>
          <w:sz w:val="24"/>
          <w:szCs w:val="24"/>
          <w:lang w:val="en-US"/>
        </w:rPr>
      </w:pPr>
    </w:p>
    <w:p w14:paraId="28B6D4C1">
      <w:pPr>
        <w:spacing w:line="360" w:lineRule="auto"/>
        <w:jc w:val="both"/>
        <w:rPr>
          <w:rFonts w:hint="default"/>
          <w:b w:val="0"/>
          <w:bCs/>
          <w:sz w:val="24"/>
          <w:szCs w:val="24"/>
          <w:lang w:val="en-US"/>
        </w:rPr>
      </w:pPr>
    </w:p>
    <w:p w14:paraId="48A4B220">
      <w:pPr>
        <w:spacing w:line="360" w:lineRule="auto"/>
        <w:jc w:val="both"/>
        <w:rPr>
          <w:rFonts w:hint="default"/>
          <w:b w:val="0"/>
          <w:bCs/>
          <w:sz w:val="24"/>
          <w:szCs w:val="24"/>
          <w:lang w:val="en-US"/>
        </w:rPr>
      </w:pPr>
    </w:p>
    <w:p w14:paraId="60DB4776">
      <w:pPr>
        <w:spacing w:line="360" w:lineRule="auto"/>
        <w:jc w:val="both"/>
        <w:rPr>
          <w:rFonts w:hint="default"/>
          <w:b w:val="0"/>
          <w:bCs/>
          <w:sz w:val="24"/>
          <w:szCs w:val="24"/>
          <w:lang w:val="en-US"/>
        </w:rPr>
      </w:pPr>
    </w:p>
    <w:p w14:paraId="5E88829B">
      <w:pPr>
        <w:spacing w:line="360" w:lineRule="auto"/>
        <w:jc w:val="both"/>
        <w:rPr>
          <w:rFonts w:hint="default"/>
          <w:b w:val="0"/>
          <w:bCs/>
          <w:sz w:val="24"/>
          <w:szCs w:val="24"/>
          <w:lang w:val="en-US"/>
        </w:rPr>
      </w:pPr>
    </w:p>
    <w:p w14:paraId="6B06D0EA">
      <w:pPr>
        <w:spacing w:line="360" w:lineRule="auto"/>
        <w:jc w:val="both"/>
        <w:rPr>
          <w:rFonts w:hint="default"/>
          <w:b w:val="0"/>
          <w:bCs/>
          <w:sz w:val="24"/>
          <w:szCs w:val="24"/>
          <w:lang w:val="en-US"/>
        </w:rPr>
      </w:pPr>
    </w:p>
    <w:p w14:paraId="18DF3DF9">
      <w:pPr>
        <w:spacing w:line="360" w:lineRule="auto"/>
        <w:jc w:val="both"/>
        <w:rPr>
          <w:rFonts w:hint="default"/>
          <w:b w:val="0"/>
          <w:bCs/>
          <w:sz w:val="24"/>
          <w:szCs w:val="24"/>
          <w:lang w:val="en-US"/>
        </w:rPr>
      </w:pPr>
    </w:p>
    <w:p w14:paraId="74EC17DC">
      <w:pPr>
        <w:spacing w:line="360" w:lineRule="auto"/>
        <w:jc w:val="both"/>
        <w:rPr>
          <w:rFonts w:hint="default"/>
          <w:b w:val="0"/>
          <w:bCs/>
          <w:sz w:val="24"/>
          <w:szCs w:val="24"/>
          <w:lang w:val="en-US"/>
        </w:rPr>
      </w:pPr>
    </w:p>
    <w:p w14:paraId="02520E5E">
      <w:pPr>
        <w:spacing w:line="360" w:lineRule="auto"/>
        <w:jc w:val="both"/>
        <w:rPr>
          <w:rFonts w:hint="default"/>
          <w:b w:val="0"/>
          <w:bCs/>
          <w:sz w:val="24"/>
          <w:szCs w:val="24"/>
          <w:lang w:val="en-US"/>
        </w:rPr>
      </w:pPr>
    </w:p>
    <w:p w14:paraId="1052AF37">
      <w:pPr>
        <w:pStyle w:val="2"/>
        <w:spacing w:before="0" w:line="360" w:lineRule="auto"/>
        <w:ind w:left="0" w:right="27"/>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TABLE OF CONTENT</w:t>
      </w:r>
    </w:p>
    <w:p w14:paraId="38F199B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Title Pages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p>
    <w:p w14:paraId="1463E2FA">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Certification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w:t>
      </w:r>
    </w:p>
    <w:p w14:paraId="31497BD3">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Dedication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ii</w:t>
      </w:r>
    </w:p>
    <w:p w14:paraId="2EF0C948">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Acknowledgment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v</w:t>
      </w:r>
    </w:p>
    <w:p w14:paraId="2F32F29B">
      <w:pPr>
        <w:spacing w:line="36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Table Of Contents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v</w:t>
      </w:r>
    </w:p>
    <w:p w14:paraId="0CAB4978">
      <w:pPr>
        <w:spacing w:line="360" w:lineRule="auto"/>
        <w:jc w:val="both"/>
        <w:rPr>
          <w:rFonts w:hint="default" w:cs="Times New Roman"/>
          <w:b w:val="0"/>
          <w:bCs/>
          <w:sz w:val="24"/>
          <w:szCs w:val="24"/>
          <w:lang w:val="en-US"/>
        </w:rPr>
      </w:pPr>
      <w:r>
        <w:rPr>
          <w:rFonts w:hint="default" w:cs="Times New Roman"/>
          <w:b w:val="0"/>
          <w:bCs/>
          <w:sz w:val="24"/>
          <w:szCs w:val="24"/>
          <w:lang w:val="en-US"/>
        </w:rPr>
        <w:t>Abstract</w:t>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vii</w:t>
      </w:r>
    </w:p>
    <w:p w14:paraId="35E9D4DB">
      <w:pPr>
        <w:spacing w:line="360" w:lineRule="auto"/>
        <w:jc w:val="left"/>
        <w:rPr>
          <w:rFonts w:hint="default" w:cs="Times New Roman"/>
          <w:b/>
          <w:bCs w:val="0"/>
          <w:sz w:val="24"/>
          <w:szCs w:val="24"/>
          <w:lang w:val="en-US"/>
        </w:rPr>
      </w:pPr>
      <w:r>
        <w:rPr>
          <w:rFonts w:hint="default" w:cs="Times New Roman"/>
          <w:b/>
          <w:bCs w:val="0"/>
          <w:sz w:val="24"/>
          <w:szCs w:val="24"/>
          <w:lang w:val="en-US"/>
        </w:rPr>
        <w:t>CHAPTER ONE</w:t>
      </w:r>
    </w:p>
    <w:p w14:paraId="5C6C19E7">
      <w:pPr>
        <w:spacing w:line="360" w:lineRule="auto"/>
        <w:jc w:val="left"/>
        <w:rPr>
          <w:rFonts w:hint="default" w:cs="Times New Roman"/>
          <w:b/>
          <w:bCs w:val="0"/>
          <w:sz w:val="24"/>
          <w:szCs w:val="24"/>
          <w:lang w:val="en-US"/>
        </w:rPr>
      </w:pPr>
      <w:r>
        <w:rPr>
          <w:rFonts w:hint="default" w:cs="Times New Roman"/>
          <w:b/>
          <w:bCs w:val="0"/>
          <w:sz w:val="24"/>
          <w:szCs w:val="24"/>
          <w:lang w:val="en-US"/>
        </w:rPr>
        <w:t>INTRODUCTION</w:t>
      </w:r>
    </w:p>
    <w:p w14:paraId="7EC3E54A">
      <w:pPr>
        <w:numPr>
          <w:ilvl w:val="1"/>
          <w:numId w:val="1"/>
        </w:numPr>
        <w:spacing w:line="360" w:lineRule="auto"/>
        <w:jc w:val="left"/>
        <w:rPr>
          <w:rFonts w:hint="default" w:cs="Times New Roman"/>
          <w:b w:val="0"/>
          <w:bCs/>
          <w:sz w:val="24"/>
          <w:szCs w:val="24"/>
          <w:lang w:val="en-US"/>
        </w:rPr>
      </w:pPr>
      <w:r>
        <w:rPr>
          <w:rFonts w:hint="default" w:cs="Times New Roman"/>
          <w:b w:val="0"/>
          <w:bCs/>
          <w:sz w:val="24"/>
          <w:szCs w:val="24"/>
          <w:lang w:val="en-US"/>
        </w:rPr>
        <w:t>Background Of The Study</w:t>
      </w:r>
    </w:p>
    <w:p w14:paraId="6DC34EA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Statement Of The Problem</w:t>
      </w:r>
    </w:p>
    <w:p w14:paraId="3F5700B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Objectives Of The Study</w:t>
      </w:r>
    </w:p>
    <w:p w14:paraId="55855B29">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Research Question</w:t>
      </w:r>
    </w:p>
    <w:p w14:paraId="2BA61A54">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Scope And Limitation Of The Study</w:t>
      </w:r>
    </w:p>
    <w:p w14:paraId="14443271">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Significance Of The Study</w:t>
      </w:r>
    </w:p>
    <w:p w14:paraId="70417B2E">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Definitions Of Term</w:t>
      </w:r>
    </w:p>
    <w:p w14:paraId="0580ABB8">
      <w:pPr>
        <w:widowControl w:val="0"/>
        <w:numPr>
          <w:ilvl w:val="0"/>
          <w:numId w:val="0"/>
        </w:numPr>
        <w:autoSpaceDE w:val="0"/>
        <w:autoSpaceDN w:val="0"/>
        <w:spacing w:before="0" w:line="360" w:lineRule="auto"/>
        <w:jc w:val="both"/>
        <w:rPr>
          <w:rFonts w:hint="default" w:cs="Times New Roman"/>
          <w:b/>
          <w:bCs w:val="0"/>
          <w:sz w:val="24"/>
          <w:szCs w:val="24"/>
          <w:lang w:val="en-US"/>
        </w:rPr>
      </w:pPr>
      <w:r>
        <w:rPr>
          <w:rFonts w:hint="default" w:cs="Times New Roman"/>
          <w:b/>
          <w:bCs w:val="0"/>
          <w:sz w:val="24"/>
          <w:szCs w:val="24"/>
          <w:lang w:val="en-US"/>
        </w:rPr>
        <w:t>CHAPTER TWO</w:t>
      </w:r>
      <w:r>
        <w:rPr>
          <w:rFonts w:hint="default" w:cs="Times New Roman"/>
          <w:b/>
          <w:bCs w:val="0"/>
          <w:sz w:val="24"/>
          <w:szCs w:val="24"/>
          <w:lang w:val="en-US"/>
        </w:rPr>
        <w:br w:type="textWrapping"/>
      </w:r>
      <w:r>
        <w:rPr>
          <w:rFonts w:hint="default" w:cs="Times New Roman"/>
          <w:b/>
          <w:bCs w:val="0"/>
          <w:sz w:val="24"/>
          <w:szCs w:val="24"/>
          <w:lang w:val="en-US"/>
        </w:rPr>
        <w:t>REVIEW OF RELATED LITERATURE</w:t>
      </w:r>
    </w:p>
    <w:p w14:paraId="7DBCFD8A">
      <w:pPr>
        <w:spacing w:before="240" w:line="360" w:lineRule="auto"/>
        <w:jc w:val="both"/>
        <w:rPr>
          <w:rFonts w:ascii="Times New Roman" w:hAnsi="Times New Roman"/>
          <w:b w:val="0"/>
          <w:bCs/>
          <w:sz w:val="24"/>
          <w:szCs w:val="24"/>
        </w:rPr>
      </w:pPr>
      <w:r>
        <w:rPr>
          <w:rFonts w:ascii="Times New Roman" w:hAnsi="Times New Roman"/>
          <w:b w:val="0"/>
          <w:bCs/>
          <w:sz w:val="24"/>
          <w:szCs w:val="24"/>
        </w:rPr>
        <w:t>2.1</w:t>
      </w:r>
      <w:r>
        <w:rPr>
          <w:rFonts w:hint="default"/>
          <w:b w:val="0"/>
          <w:bCs/>
          <w:sz w:val="24"/>
          <w:szCs w:val="24"/>
          <w:lang w:val="en-US"/>
        </w:rPr>
        <w:t xml:space="preserve"> </w:t>
      </w:r>
      <w:r>
        <w:rPr>
          <w:rFonts w:ascii="Times New Roman" w:hAnsi="Times New Roman"/>
          <w:b w:val="0"/>
          <w:bCs/>
          <w:sz w:val="24"/>
          <w:szCs w:val="24"/>
        </w:rPr>
        <w:t>Introduction</w:t>
      </w:r>
    </w:p>
    <w:p w14:paraId="1A3C7916">
      <w:pPr>
        <w:spacing w:before="240" w:line="360" w:lineRule="auto"/>
        <w:jc w:val="both"/>
        <w:rPr>
          <w:rFonts w:ascii="Times New Roman" w:hAnsi="Times New Roman"/>
          <w:sz w:val="24"/>
          <w:szCs w:val="24"/>
        </w:rPr>
      </w:pPr>
      <w:r>
        <w:rPr>
          <w:rFonts w:ascii="Times New Roman" w:hAnsi="Times New Roman"/>
          <w:sz w:val="24"/>
          <w:szCs w:val="24"/>
        </w:rPr>
        <w:t>2.2 Social media: Conceptual Overview</w:t>
      </w:r>
    </w:p>
    <w:p w14:paraId="6AF5F91C">
      <w:pPr>
        <w:spacing w:before="240" w:line="360" w:lineRule="auto"/>
        <w:jc w:val="both"/>
        <w:rPr>
          <w:rFonts w:ascii="Times New Roman" w:hAnsi="Times New Roman"/>
          <w:sz w:val="24"/>
          <w:szCs w:val="24"/>
        </w:rPr>
      </w:pPr>
      <w:r>
        <w:rPr>
          <w:rFonts w:ascii="Times New Roman" w:hAnsi="Times New Roman"/>
          <w:sz w:val="24"/>
          <w:szCs w:val="24"/>
        </w:rPr>
        <w:t xml:space="preserve">2.2.1 Features of Social media </w:t>
      </w:r>
    </w:p>
    <w:p w14:paraId="4FBA6961">
      <w:pPr>
        <w:spacing w:before="240" w:line="360" w:lineRule="auto"/>
        <w:jc w:val="both"/>
        <w:rPr>
          <w:rFonts w:ascii="Times New Roman" w:hAnsi="Times New Roman"/>
          <w:sz w:val="24"/>
          <w:szCs w:val="24"/>
        </w:rPr>
      </w:pPr>
      <w:r>
        <w:rPr>
          <w:rFonts w:ascii="Times New Roman" w:hAnsi="Times New Roman"/>
          <w:sz w:val="24"/>
          <w:szCs w:val="24"/>
        </w:rPr>
        <w:t>2.2.2 Some Types of social media used by Students</w:t>
      </w:r>
    </w:p>
    <w:p w14:paraId="558323D6">
      <w:pPr>
        <w:spacing w:before="240" w:line="360" w:lineRule="auto"/>
        <w:jc w:val="both"/>
        <w:rPr>
          <w:rFonts w:ascii="Times New Roman" w:hAnsi="Times New Roman"/>
          <w:sz w:val="24"/>
          <w:szCs w:val="24"/>
        </w:rPr>
      </w:pPr>
      <w:r>
        <w:rPr>
          <w:rFonts w:ascii="Times New Roman" w:hAnsi="Times New Roman"/>
          <w:sz w:val="24"/>
          <w:szCs w:val="24"/>
        </w:rPr>
        <w:t>2.2.3 Factors to be considered in the use of social media by Students</w:t>
      </w:r>
    </w:p>
    <w:p w14:paraId="0FD01E10">
      <w:pPr>
        <w:spacing w:before="240" w:line="360" w:lineRule="auto"/>
        <w:jc w:val="both"/>
        <w:rPr>
          <w:rFonts w:ascii="Times New Roman" w:hAnsi="Times New Roman"/>
          <w:sz w:val="24"/>
          <w:szCs w:val="24"/>
        </w:rPr>
      </w:pPr>
      <w:r>
        <w:rPr>
          <w:rFonts w:ascii="Times New Roman" w:hAnsi="Times New Roman"/>
          <w:sz w:val="24"/>
          <w:szCs w:val="24"/>
        </w:rPr>
        <w:t>2.2.4 Advantages of Social media to Students</w:t>
      </w:r>
    </w:p>
    <w:p w14:paraId="478B177F">
      <w:pPr>
        <w:spacing w:before="240" w:line="360" w:lineRule="auto"/>
        <w:jc w:val="both"/>
        <w:rPr>
          <w:rFonts w:ascii="Times New Roman" w:hAnsi="Times New Roman"/>
          <w:sz w:val="24"/>
          <w:szCs w:val="24"/>
        </w:rPr>
      </w:pPr>
      <w:r>
        <w:rPr>
          <w:rFonts w:ascii="Times New Roman" w:hAnsi="Times New Roman"/>
          <w:sz w:val="24"/>
          <w:szCs w:val="24"/>
        </w:rPr>
        <w:t xml:space="preserve">2.2.5 Challenges of using social media </w:t>
      </w:r>
    </w:p>
    <w:p w14:paraId="4F809DF2">
      <w:pPr>
        <w:spacing w:before="240" w:line="360" w:lineRule="auto"/>
        <w:jc w:val="both"/>
        <w:rPr>
          <w:rFonts w:ascii="Times New Roman" w:hAnsi="Times New Roman"/>
          <w:bCs/>
          <w:sz w:val="24"/>
          <w:szCs w:val="24"/>
        </w:rPr>
      </w:pPr>
      <w:r>
        <w:rPr>
          <w:rFonts w:ascii="Times New Roman" w:hAnsi="Times New Roman"/>
          <w:bCs/>
          <w:sz w:val="24"/>
          <w:szCs w:val="24"/>
        </w:rPr>
        <w:t>2.3 Knowledge Sharing: Conceptual Overview</w:t>
      </w:r>
    </w:p>
    <w:p w14:paraId="4306C393">
      <w:pPr>
        <w:spacing w:before="240" w:line="360" w:lineRule="auto"/>
        <w:jc w:val="both"/>
        <w:rPr>
          <w:rFonts w:ascii="Times New Roman" w:hAnsi="Times New Roman"/>
          <w:bCs/>
          <w:sz w:val="24"/>
          <w:szCs w:val="24"/>
        </w:rPr>
      </w:pPr>
      <w:r>
        <w:rPr>
          <w:rFonts w:ascii="Times New Roman" w:hAnsi="Times New Roman"/>
          <w:bCs/>
          <w:sz w:val="24"/>
          <w:szCs w:val="24"/>
        </w:rPr>
        <w:t>2.3.1 Types of Knowledge that can be shared by Students</w:t>
      </w:r>
    </w:p>
    <w:p w14:paraId="415B7C5D">
      <w:pPr>
        <w:spacing w:before="240" w:line="360" w:lineRule="auto"/>
        <w:jc w:val="both"/>
        <w:rPr>
          <w:rFonts w:ascii="Times New Roman" w:hAnsi="Times New Roman"/>
          <w:bCs/>
          <w:sz w:val="24"/>
          <w:szCs w:val="24"/>
        </w:rPr>
      </w:pPr>
      <w:r>
        <w:rPr>
          <w:rFonts w:ascii="Times New Roman" w:hAnsi="Times New Roman"/>
          <w:bCs/>
          <w:sz w:val="24"/>
          <w:szCs w:val="24"/>
        </w:rPr>
        <w:t>2.3.2 Knowledge Sharing Steps among the Students</w:t>
      </w:r>
    </w:p>
    <w:p w14:paraId="7102DDCE">
      <w:pPr>
        <w:spacing w:before="240" w:line="360" w:lineRule="auto"/>
        <w:jc w:val="both"/>
        <w:rPr>
          <w:rFonts w:ascii="Times New Roman" w:hAnsi="Times New Roman"/>
          <w:sz w:val="24"/>
          <w:szCs w:val="24"/>
        </w:rPr>
      </w:pPr>
      <w:r>
        <w:rPr>
          <w:rFonts w:ascii="Times New Roman" w:hAnsi="Times New Roman"/>
          <w:sz w:val="24"/>
          <w:szCs w:val="24"/>
        </w:rPr>
        <w:t>2.3.3 Benefits of Knowledge Sharing among the Students</w:t>
      </w:r>
    </w:p>
    <w:p w14:paraId="21C2E329">
      <w:pPr>
        <w:spacing w:before="240" w:line="360" w:lineRule="auto"/>
        <w:jc w:val="both"/>
        <w:rPr>
          <w:rFonts w:ascii="Times New Roman" w:hAnsi="Times New Roman"/>
          <w:bCs/>
          <w:sz w:val="24"/>
          <w:szCs w:val="24"/>
        </w:rPr>
      </w:pPr>
      <w:r>
        <w:rPr>
          <w:rFonts w:ascii="Times New Roman" w:hAnsi="Times New Roman"/>
          <w:bCs/>
          <w:sz w:val="24"/>
          <w:szCs w:val="24"/>
        </w:rPr>
        <w:t>2.3.4 Challenges of Knowledge Sharing among the Students</w:t>
      </w:r>
    </w:p>
    <w:p w14:paraId="63A7D06F">
      <w:pPr>
        <w:spacing w:before="240" w:line="360" w:lineRule="auto"/>
        <w:jc w:val="both"/>
        <w:rPr>
          <w:rFonts w:ascii="Times New Roman" w:hAnsi="Times New Roman"/>
          <w:bCs/>
          <w:sz w:val="24"/>
          <w:szCs w:val="24"/>
        </w:rPr>
      </w:pPr>
      <w:r>
        <w:rPr>
          <w:rFonts w:ascii="Times New Roman" w:hAnsi="Times New Roman"/>
          <w:bCs/>
          <w:sz w:val="24"/>
          <w:szCs w:val="24"/>
        </w:rPr>
        <w:t>2.4 Appraisal of the Literature Reviewed</w:t>
      </w:r>
    </w:p>
    <w:p w14:paraId="11CF196C">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CHAPTER THREE</w:t>
      </w:r>
    </w:p>
    <w:p w14:paraId="1B8A974F">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METHODOLOGY</w:t>
      </w:r>
    </w:p>
    <w:p w14:paraId="0AD9F207">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3.1 Introduction</w:t>
      </w:r>
    </w:p>
    <w:p w14:paraId="386BEBE1">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3.2 Research Design</w:t>
      </w:r>
    </w:p>
    <w:p w14:paraId="0968FCD9">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3.3 Population Of The Study</w:t>
      </w:r>
    </w:p>
    <w:p w14:paraId="0B010B64">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3.4  Sampling Techniques And Sample Size</w:t>
      </w:r>
    </w:p>
    <w:p w14:paraId="530B2612">
      <w:pPr>
        <w:spacing w:after="0" w:line="480" w:lineRule="auto"/>
        <w:jc w:val="both"/>
        <w:rPr>
          <w:rFonts w:ascii="Times New Roman" w:hAnsi="Times New Roman"/>
          <w:b w:val="0"/>
          <w:bCs/>
          <w:sz w:val="24"/>
          <w:szCs w:val="24"/>
        </w:rPr>
      </w:pPr>
      <w:r>
        <w:rPr>
          <w:rFonts w:ascii="Times New Roman" w:hAnsi="Times New Roman"/>
          <w:b w:val="0"/>
          <w:bCs/>
          <w:sz w:val="24"/>
          <w:szCs w:val="24"/>
        </w:rPr>
        <w:t>3.5</w:t>
      </w:r>
      <w:r>
        <w:rPr>
          <w:rFonts w:ascii="Times New Roman" w:hAnsi="Times New Roman"/>
          <w:b w:val="0"/>
          <w:bCs/>
          <w:sz w:val="24"/>
          <w:szCs w:val="24"/>
        </w:rPr>
        <w:tab/>
      </w:r>
      <w:r>
        <w:rPr>
          <w:rFonts w:ascii="Times New Roman" w:hAnsi="Times New Roman"/>
          <w:b w:val="0"/>
          <w:bCs/>
          <w:sz w:val="24"/>
          <w:szCs w:val="24"/>
        </w:rPr>
        <w:t>Research Instruments</w:t>
      </w:r>
    </w:p>
    <w:p w14:paraId="22AC049D">
      <w:pPr>
        <w:spacing w:after="0" w:line="480" w:lineRule="auto"/>
        <w:jc w:val="both"/>
        <w:rPr>
          <w:rFonts w:ascii="Times New Roman" w:hAnsi="Times New Roman"/>
          <w:b w:val="0"/>
          <w:bCs/>
          <w:sz w:val="24"/>
          <w:szCs w:val="24"/>
        </w:rPr>
      </w:pPr>
      <w:r>
        <w:rPr>
          <w:rFonts w:ascii="Times New Roman" w:hAnsi="Times New Roman"/>
          <w:b w:val="0"/>
          <w:bCs/>
          <w:sz w:val="24"/>
          <w:szCs w:val="24"/>
        </w:rPr>
        <w:t>3.6</w:t>
      </w:r>
      <w:r>
        <w:rPr>
          <w:rFonts w:ascii="Times New Roman" w:hAnsi="Times New Roman"/>
          <w:b w:val="0"/>
          <w:bCs/>
          <w:sz w:val="24"/>
          <w:szCs w:val="24"/>
        </w:rPr>
        <w:tab/>
      </w:r>
      <w:r>
        <w:rPr>
          <w:rFonts w:ascii="Times New Roman" w:hAnsi="Times New Roman"/>
          <w:b w:val="0"/>
          <w:bCs/>
          <w:sz w:val="24"/>
          <w:szCs w:val="24"/>
        </w:rPr>
        <w:t>Validity And Reliability Of The Research Instrument</w:t>
      </w:r>
    </w:p>
    <w:p w14:paraId="5065B9F2">
      <w:pPr>
        <w:spacing w:after="0" w:line="480" w:lineRule="auto"/>
        <w:jc w:val="both"/>
        <w:rPr>
          <w:rFonts w:ascii="Times New Roman" w:hAnsi="Times New Roman"/>
          <w:b w:val="0"/>
          <w:bCs/>
          <w:sz w:val="24"/>
          <w:szCs w:val="24"/>
        </w:rPr>
      </w:pPr>
      <w:r>
        <w:rPr>
          <w:rFonts w:ascii="Times New Roman" w:hAnsi="Times New Roman"/>
          <w:b w:val="0"/>
          <w:bCs/>
          <w:sz w:val="24"/>
          <w:szCs w:val="24"/>
        </w:rPr>
        <w:t>3.7</w:t>
      </w:r>
      <w:r>
        <w:rPr>
          <w:rFonts w:ascii="Times New Roman" w:hAnsi="Times New Roman"/>
          <w:b w:val="0"/>
          <w:bCs/>
          <w:sz w:val="24"/>
          <w:szCs w:val="24"/>
        </w:rPr>
        <w:tab/>
      </w:r>
      <w:r>
        <w:rPr>
          <w:rFonts w:ascii="Times New Roman" w:hAnsi="Times New Roman"/>
          <w:b w:val="0"/>
          <w:bCs/>
          <w:sz w:val="24"/>
          <w:szCs w:val="24"/>
        </w:rPr>
        <w:t>Method Of Data Collection</w:t>
      </w:r>
    </w:p>
    <w:p w14:paraId="3452221F">
      <w:pPr>
        <w:spacing w:after="0" w:line="480" w:lineRule="auto"/>
        <w:jc w:val="both"/>
        <w:rPr>
          <w:rFonts w:ascii="Times New Roman" w:hAnsi="Times New Roman"/>
          <w:b w:val="0"/>
          <w:bCs/>
          <w:sz w:val="24"/>
          <w:szCs w:val="24"/>
        </w:rPr>
      </w:pPr>
      <w:r>
        <w:rPr>
          <w:rFonts w:ascii="Times New Roman" w:hAnsi="Times New Roman"/>
          <w:b w:val="0"/>
          <w:bCs/>
          <w:sz w:val="24"/>
          <w:szCs w:val="24"/>
        </w:rPr>
        <w:t>3.8</w:t>
      </w:r>
      <w:r>
        <w:rPr>
          <w:rFonts w:ascii="Times New Roman" w:hAnsi="Times New Roman"/>
          <w:b w:val="0"/>
          <w:bCs/>
          <w:sz w:val="24"/>
          <w:szCs w:val="24"/>
        </w:rPr>
        <w:tab/>
      </w:r>
      <w:r>
        <w:rPr>
          <w:rFonts w:ascii="Times New Roman" w:hAnsi="Times New Roman"/>
          <w:b w:val="0"/>
          <w:bCs/>
          <w:sz w:val="24"/>
          <w:szCs w:val="24"/>
        </w:rPr>
        <w:t>Method Of Data Analysis</w:t>
      </w:r>
    </w:p>
    <w:p w14:paraId="6BEA64FB">
      <w:pPr>
        <w:spacing w:line="360" w:lineRule="auto"/>
        <w:jc w:val="left"/>
        <w:rPr>
          <w:rFonts w:ascii="Times New Roman" w:hAnsi="Times New Roman" w:eastAsia="Calibri"/>
          <w:b/>
          <w:bCs w:val="0"/>
          <w:sz w:val="24"/>
          <w:szCs w:val="24"/>
        </w:rPr>
      </w:pPr>
      <w:r>
        <w:rPr>
          <w:rFonts w:ascii="Times New Roman" w:hAnsi="Times New Roman"/>
          <w:b/>
          <w:bCs w:val="0"/>
          <w:sz w:val="24"/>
          <w:szCs w:val="24"/>
        </w:rPr>
        <w:t>CHAPTER FOUR</w:t>
      </w:r>
    </w:p>
    <w:p w14:paraId="70D6D965">
      <w:pPr>
        <w:spacing w:line="480" w:lineRule="auto"/>
        <w:jc w:val="left"/>
        <w:rPr>
          <w:rFonts w:ascii="Times New Roman" w:hAnsi="Times New Roman"/>
          <w:b/>
          <w:bCs w:val="0"/>
          <w:sz w:val="24"/>
          <w:szCs w:val="24"/>
        </w:rPr>
      </w:pPr>
      <w:r>
        <w:rPr>
          <w:rFonts w:ascii="Times New Roman" w:hAnsi="Times New Roman"/>
          <w:b/>
          <w:bCs w:val="0"/>
          <w:sz w:val="24"/>
          <w:szCs w:val="24"/>
        </w:rPr>
        <w:t>DATA PRESENTATION, ANALYSIS AND DISCUSSION</w:t>
      </w:r>
    </w:p>
    <w:p w14:paraId="291390EA">
      <w:pPr>
        <w:spacing w:after="0" w:line="480" w:lineRule="auto"/>
        <w:jc w:val="both"/>
        <w:rPr>
          <w:rFonts w:hint="default"/>
          <w:b w:val="0"/>
          <w:bCs/>
          <w:sz w:val="24"/>
          <w:szCs w:val="24"/>
          <w:lang w:val="en-US"/>
        </w:rPr>
      </w:pPr>
      <w:r>
        <w:rPr>
          <w:rFonts w:hint="default"/>
          <w:b w:val="0"/>
          <w:bCs/>
          <w:sz w:val="24"/>
          <w:szCs w:val="24"/>
          <w:lang w:val="en-US"/>
        </w:rPr>
        <w:t>4.1 Introduction</w:t>
      </w:r>
    </w:p>
    <w:p w14:paraId="4466C530">
      <w:pPr>
        <w:spacing w:line="360" w:lineRule="auto"/>
        <w:rPr>
          <w:rFonts w:ascii="Times New Roman" w:hAnsi="Times New Roman"/>
          <w:sz w:val="24"/>
          <w:szCs w:val="24"/>
        </w:rPr>
      </w:pPr>
      <w:r>
        <w:rPr>
          <w:rFonts w:ascii="Times New Roman" w:hAnsi="Times New Roman"/>
          <w:sz w:val="24"/>
          <w:szCs w:val="24"/>
        </w:rPr>
        <w:t>4.2 Questionnaire Administration and Response Rate</w:t>
      </w:r>
    </w:p>
    <w:p w14:paraId="4B43EFB0">
      <w:pPr>
        <w:spacing w:line="360" w:lineRule="auto"/>
        <w:rPr>
          <w:rFonts w:ascii="Times New Roman" w:hAnsi="Times New Roman"/>
          <w:sz w:val="24"/>
          <w:szCs w:val="24"/>
        </w:rPr>
      </w:pPr>
      <w:r>
        <w:rPr>
          <w:rFonts w:ascii="Times New Roman" w:hAnsi="Times New Roman"/>
          <w:sz w:val="24"/>
          <w:szCs w:val="24"/>
        </w:rPr>
        <w:t>4.3 Demographic Characteristics of Respondents</w:t>
      </w:r>
    </w:p>
    <w:p w14:paraId="34F5C2DD">
      <w:pPr>
        <w:spacing w:line="360" w:lineRule="auto"/>
        <w:rPr>
          <w:rFonts w:ascii="Times New Roman" w:hAnsi="Times New Roman"/>
          <w:sz w:val="24"/>
          <w:szCs w:val="24"/>
        </w:rPr>
      </w:pPr>
      <w:r>
        <w:rPr>
          <w:rFonts w:ascii="Times New Roman" w:hAnsi="Times New Roman"/>
          <w:sz w:val="24"/>
          <w:szCs w:val="24"/>
        </w:rPr>
        <w:t>4.4 Analysis of Research Questions</w:t>
      </w:r>
    </w:p>
    <w:p w14:paraId="6630E10B">
      <w:pPr>
        <w:spacing w:line="360" w:lineRule="auto"/>
        <w:rPr>
          <w:rFonts w:ascii="Times New Roman" w:hAnsi="Times New Roman"/>
          <w:sz w:val="24"/>
          <w:szCs w:val="24"/>
        </w:rPr>
      </w:pPr>
      <w:r>
        <w:rPr>
          <w:rFonts w:ascii="Times New Roman" w:hAnsi="Times New Roman"/>
          <w:sz w:val="24"/>
          <w:szCs w:val="24"/>
        </w:rPr>
        <w:t>4.5 Discussion of Findings</w:t>
      </w:r>
    </w:p>
    <w:p w14:paraId="186645C8">
      <w:pPr>
        <w:spacing w:after="0" w:line="360" w:lineRule="auto"/>
        <w:jc w:val="left"/>
        <w:rPr>
          <w:rFonts w:ascii="Times New Roman" w:hAnsi="Times New Roman"/>
          <w:b/>
          <w:bCs w:val="0"/>
          <w:sz w:val="24"/>
          <w:szCs w:val="24"/>
        </w:rPr>
      </w:pPr>
      <w:r>
        <w:rPr>
          <w:rFonts w:ascii="Times New Roman" w:hAnsi="Times New Roman"/>
          <w:b/>
          <w:bCs w:val="0"/>
          <w:sz w:val="24"/>
          <w:szCs w:val="24"/>
        </w:rPr>
        <w:t>CHAPTER FIVE</w:t>
      </w:r>
    </w:p>
    <w:p w14:paraId="67678EC4">
      <w:pPr>
        <w:spacing w:after="0" w:line="360" w:lineRule="auto"/>
        <w:jc w:val="left"/>
        <w:rPr>
          <w:rFonts w:ascii="Times New Roman" w:hAnsi="Times New Roman"/>
          <w:b/>
          <w:bCs w:val="0"/>
          <w:sz w:val="24"/>
          <w:szCs w:val="24"/>
        </w:rPr>
      </w:pPr>
      <w:r>
        <w:rPr>
          <w:rFonts w:ascii="Times New Roman" w:hAnsi="Times New Roman"/>
          <w:b/>
          <w:bCs w:val="0"/>
          <w:sz w:val="24"/>
          <w:szCs w:val="24"/>
        </w:rPr>
        <w:t>SUMMARY, CONCLUSION AND RECOMMENDATIONS</w:t>
      </w:r>
    </w:p>
    <w:p w14:paraId="5D108B4C">
      <w:pPr>
        <w:spacing w:after="0" w:line="36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Introduction</w:t>
      </w:r>
    </w:p>
    <w:p w14:paraId="39DEBC8B">
      <w:pPr>
        <w:tabs>
          <w:tab w:val="left" w:pos="0"/>
        </w:tabs>
        <w:spacing w:after="0" w:line="48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Summary Of Findings</w:t>
      </w:r>
    </w:p>
    <w:p w14:paraId="0A398FD2">
      <w:pPr>
        <w:pStyle w:val="10"/>
        <w:shd w:val="clear" w:color="auto" w:fill="FFFFFF"/>
        <w:spacing w:before="0" w:beforeAutospacing="0" w:after="0" w:afterAutospacing="0" w:line="480" w:lineRule="auto"/>
        <w:jc w:val="both"/>
        <w:rPr>
          <w:b w:val="0"/>
          <w:bCs/>
        </w:rPr>
      </w:pPr>
      <w:r>
        <w:rPr>
          <w:b w:val="0"/>
          <w:bCs/>
        </w:rPr>
        <w:t>5.2</w:t>
      </w:r>
      <w:r>
        <w:rPr>
          <w:b w:val="0"/>
          <w:bCs/>
        </w:rPr>
        <w:tab/>
      </w:r>
      <w:r>
        <w:rPr>
          <w:b w:val="0"/>
          <w:bCs/>
        </w:rPr>
        <w:t>Conclusion</w:t>
      </w:r>
    </w:p>
    <w:p w14:paraId="47D7394D">
      <w:pPr>
        <w:pStyle w:val="10"/>
        <w:shd w:val="clear" w:color="auto" w:fill="FFFFFF"/>
        <w:spacing w:before="0" w:beforeAutospacing="0" w:after="0" w:afterAutospacing="0" w:line="360" w:lineRule="auto"/>
        <w:jc w:val="both"/>
        <w:rPr>
          <w:b w:val="0"/>
          <w:bCs/>
          <w:color w:val="000000"/>
        </w:rPr>
      </w:pPr>
      <w:r>
        <w:rPr>
          <w:b w:val="0"/>
          <w:bCs/>
          <w:color w:val="000000"/>
        </w:rPr>
        <w:t>5.3</w:t>
      </w:r>
      <w:r>
        <w:rPr>
          <w:b w:val="0"/>
          <w:bCs/>
          <w:color w:val="000000"/>
        </w:rPr>
        <w:tab/>
      </w:r>
      <w:r>
        <w:rPr>
          <w:b w:val="0"/>
          <w:bCs/>
          <w:color w:val="000000"/>
        </w:rPr>
        <w:t>Recommendations</w:t>
      </w:r>
    </w:p>
    <w:p w14:paraId="7BFA8487">
      <w:pPr>
        <w:widowControl w:val="0"/>
        <w:numPr>
          <w:ilvl w:val="0"/>
          <w:numId w:val="0"/>
        </w:numPr>
        <w:autoSpaceDE w:val="0"/>
        <w:autoSpaceDN w:val="0"/>
        <w:spacing w:before="0" w:line="360" w:lineRule="auto"/>
        <w:jc w:val="both"/>
        <w:rPr>
          <w:rFonts w:hint="default" w:cs="Times New Roman"/>
          <w:b w:val="0"/>
          <w:bCs/>
          <w:sz w:val="24"/>
          <w:szCs w:val="24"/>
          <w:lang w:val="en-US"/>
        </w:rPr>
      </w:pPr>
    </w:p>
    <w:p w14:paraId="369B631E"/>
    <w:p w14:paraId="3F490288"/>
    <w:p w14:paraId="619BAE2E"/>
    <w:p w14:paraId="6718FE2B"/>
    <w:p w14:paraId="4AD7BDE8"/>
    <w:p w14:paraId="342A3888"/>
    <w:p w14:paraId="181952F5"/>
    <w:p w14:paraId="4F925CC6">
      <w:pPr>
        <w:pStyle w:val="3"/>
        <w:spacing w:before="0" w:line="48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Abstract</w:t>
      </w:r>
    </w:p>
    <w:p w14:paraId="24F3CCBD">
      <w:pPr>
        <w:spacing w:before="240" w:line="360" w:lineRule="auto"/>
        <w:jc w:val="both"/>
        <w:rPr>
          <w:rFonts w:ascii="Times New Roman" w:hAnsi="Times New Roman" w:cs="Times New Roman"/>
          <w:i/>
          <w:sz w:val="24"/>
          <w:szCs w:val="24"/>
        </w:rPr>
      </w:pPr>
      <w:r>
        <w:rPr>
          <w:rFonts w:ascii="Times New Roman" w:hAnsi="Times New Roman" w:cs="Times New Roman"/>
          <w:i/>
          <w:color w:val="000000" w:themeColor="text1"/>
          <w:sz w:val="24"/>
          <w:szCs w:val="24"/>
          <w14:textFill>
            <w14:solidFill>
              <w14:schemeClr w14:val="tx1"/>
            </w14:solidFill>
          </w14:textFill>
        </w:rPr>
        <w:t xml:space="preserve">This study probes the influence of selection and acquisition procedures on legal information materials in University of Ilorin law library. Case study was adopted in this study. The population of this study are the Collection Development Librarian of University of Ilorin Library, the Librarian and staff of University of Ilorin Law Library. Sample size of this study is the 12 staff of University of Ilorin law library. </w:t>
      </w:r>
      <w:r>
        <w:rPr>
          <w:rFonts w:ascii="Times New Roman" w:hAnsi="Times New Roman" w:cs="Times New Roman"/>
          <w:i/>
          <w:sz w:val="24"/>
          <w:szCs w:val="24"/>
        </w:rPr>
        <w:t xml:space="preserve">Census enumerative was adopted for this study. Questionnaire and interview </w:t>
      </w:r>
      <w:r>
        <w:rPr>
          <w:rFonts w:ascii="Times New Roman" w:hAnsi="Times New Roman" w:cs="Times New Roman"/>
          <w:i/>
          <w:iCs/>
          <w:sz w:val="24"/>
          <w:szCs w:val="24"/>
        </w:rPr>
        <w:t xml:space="preserve">was used to collect data from the respondents. Findings from this study revealed that </w:t>
      </w:r>
      <w:r>
        <w:rPr>
          <w:rFonts w:ascii="Times New Roman" w:hAnsi="Times New Roman" w:cs="Times New Roman"/>
          <w:i/>
          <w:sz w:val="24"/>
          <w:szCs w:val="24"/>
        </w:rPr>
        <w:t>accessibility of the materials, authority and up-to-datedness are the criteria used in selection and acquisition of legal information materials in University of Ilorin Law Library. Also, encyclopedias of Law, court cases/law reports and law journals are the types of legal information materials selected and acquired in the University of Ilorin Law Library.</w:t>
      </w:r>
      <w:r>
        <w:rPr>
          <w:rFonts w:ascii="Times New Roman" w:hAnsi="Times New Roman" w:cs="Times New Roman"/>
          <w:i/>
          <w:iCs/>
          <w:sz w:val="24"/>
          <w:szCs w:val="24"/>
        </w:rPr>
        <w:t xml:space="preserve"> More so, this study revealed that </w:t>
      </w:r>
      <w:r>
        <w:rPr>
          <w:rFonts w:ascii="Times New Roman" w:hAnsi="Times New Roman" w:cs="Times New Roman"/>
          <w:i/>
          <w:color w:val="000000"/>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w:t>
      </w:r>
      <w:r>
        <w:rPr>
          <w:rFonts w:ascii="Times New Roman" w:hAnsi="Times New Roman" w:cs="Times New Roman"/>
          <w:i/>
          <w:sz w:val="24"/>
          <w:szCs w:val="24"/>
        </w:rPr>
        <w:t xml:space="preserve"> However, economic instability, inadequate funding and </w:t>
      </w:r>
      <w:r>
        <w:rPr>
          <w:rFonts w:ascii="Times New Roman" w:hAnsi="Times New Roman" w:cs="Times New Roman"/>
          <w:i/>
          <w:color w:val="000000"/>
          <w:sz w:val="24"/>
          <w:szCs w:val="24"/>
        </w:rPr>
        <w:t xml:space="preserve">lack of knowledge of the needs of the special libraries are the challenges affecting University of Ilorin Law Library from selecting and acquiring legal information materials. Finally one of the recommendations of this study is </w:t>
      </w:r>
      <w:r>
        <w:rPr>
          <w:rFonts w:ascii="Times New Roman" w:hAnsi="Times New Roman" w:cs="Times New Roman"/>
          <w:i/>
          <w:sz w:val="24"/>
          <w:szCs w:val="24"/>
        </w:rPr>
        <w:t>management of University of Ilorin should adequately fund the University of Ilorin Library, so that it can cater for the needs of users across other branch/faculties and departmental libraries.</w:t>
      </w:r>
    </w:p>
    <w:p w14:paraId="0FB080B6">
      <w:pPr>
        <w:pStyle w:val="16"/>
        <w:rPr>
          <w:rFonts w:ascii="Times New Roman" w:hAnsi="Times New Roman" w:cs="Times New Roman"/>
          <w:sz w:val="24"/>
          <w:szCs w:val="24"/>
        </w:rPr>
      </w:pPr>
      <w:r>
        <w:rPr>
          <w:rFonts w:ascii="Times New Roman" w:hAnsi="Times New Roman" w:cs="Times New Roman"/>
          <w:sz w:val="24"/>
          <w:szCs w:val="24"/>
        </w:rPr>
        <w:t xml:space="preserve">Keywords: Selection, acquisition procedures, Legal materials, University of Ilorin, Law library. </w:t>
      </w:r>
    </w:p>
    <w:p w14:paraId="2DC716F0"/>
    <w:p w14:paraId="63ABC8ED">
      <w:pPr>
        <w:pStyle w:val="3"/>
        <w:spacing w:before="0" w:line="360" w:lineRule="auto"/>
        <w:jc w:val="center"/>
        <w:rPr>
          <w:rFonts w:ascii="Times New Roman" w:hAnsi="Times New Roman"/>
          <w:color w:val="auto"/>
          <w:sz w:val="28"/>
          <w:szCs w:val="28"/>
        </w:rPr>
      </w:pPr>
    </w:p>
    <w:p w14:paraId="4D2114BC"/>
    <w:p w14:paraId="07A5AFB2">
      <w:pPr>
        <w:pStyle w:val="3"/>
        <w:spacing w:before="0" w:line="360" w:lineRule="auto"/>
        <w:jc w:val="center"/>
        <w:rPr>
          <w:rFonts w:ascii="Times New Roman" w:hAnsi="Times New Roman"/>
          <w:color w:val="auto"/>
          <w:sz w:val="28"/>
          <w:szCs w:val="28"/>
        </w:rPr>
        <w:sectPr>
          <w:footerReference r:id="rId5" w:type="default"/>
          <w:pgSz w:w="11664" w:h="14688"/>
          <w:pgMar w:top="1440" w:right="1440" w:bottom="1440" w:left="1440" w:header="708" w:footer="706" w:gutter="0"/>
          <w:pgNumType w:fmt="lowerRoman"/>
          <w:cols w:space="0" w:num="1"/>
          <w:rtlGutter w:val="0"/>
          <w:docGrid w:linePitch="360" w:charSpace="0"/>
        </w:sectPr>
      </w:pPr>
    </w:p>
    <w:p w14:paraId="18AE0241">
      <w:pPr>
        <w:pStyle w:val="3"/>
        <w:spacing w:before="0" w:line="360" w:lineRule="auto"/>
        <w:jc w:val="center"/>
        <w:rPr>
          <w:rFonts w:ascii="Times New Roman" w:hAnsi="Times New Roman"/>
          <w:color w:val="auto"/>
          <w:sz w:val="28"/>
          <w:szCs w:val="28"/>
        </w:rPr>
      </w:pPr>
      <w:r>
        <w:rPr>
          <w:rFonts w:ascii="Times New Roman" w:hAnsi="Times New Roman"/>
          <w:color w:val="auto"/>
          <w:sz w:val="28"/>
          <w:szCs w:val="28"/>
        </w:rPr>
        <w:t>CHAPTER ONE</w:t>
      </w:r>
    </w:p>
    <w:p w14:paraId="4DA39F5E">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4C36399D">
      <w:pPr>
        <w:spacing w:before="240" w:line="360" w:lineRule="auto"/>
        <w:jc w:val="both"/>
        <w:rPr>
          <w:rFonts w:ascii="Times New Roman" w:hAnsi="Times New Roman"/>
          <w:color w:val="auto"/>
          <w:sz w:val="24"/>
          <w:szCs w:val="24"/>
        </w:rPr>
      </w:pPr>
      <w:r>
        <w:rPr>
          <w:rFonts w:ascii="Times New Roman" w:hAnsi="Times New Roman"/>
          <w:b/>
          <w:color w:val="auto"/>
          <w:sz w:val="24"/>
          <w:szCs w:val="24"/>
        </w:rPr>
        <w:t>1.1</w:t>
      </w:r>
      <w:r>
        <w:rPr>
          <w:rFonts w:ascii="Times New Roman" w:hAnsi="Times New Roman"/>
          <w:color w:val="auto"/>
          <w:sz w:val="24"/>
          <w:szCs w:val="24"/>
        </w:rPr>
        <w:tab/>
      </w:r>
      <w:r>
        <w:rPr>
          <w:rFonts w:ascii="Times New Roman" w:hAnsi="Times New Roman"/>
          <w:b/>
          <w:color w:val="auto"/>
          <w:sz w:val="24"/>
          <w:szCs w:val="24"/>
        </w:rPr>
        <w:t>Background to the Study</w:t>
      </w:r>
    </w:p>
    <w:p w14:paraId="0B1F60EE">
      <w:pPr>
        <w:spacing w:line="360" w:lineRule="auto"/>
        <w:jc w:val="both"/>
        <w:rPr>
          <w:rFonts w:ascii="Times New Roman" w:hAnsi="Times New Roman"/>
          <w:color w:val="auto"/>
          <w:sz w:val="24"/>
          <w:szCs w:val="24"/>
        </w:rPr>
      </w:pPr>
      <w:r>
        <w:rPr>
          <w:rFonts w:ascii="Times New Roman" w:hAnsi="Times New Roman"/>
          <w:color w:val="auto"/>
          <w:sz w:val="24"/>
          <w:szCs w:val="24"/>
        </w:rPr>
        <w:t>Legal profession, as a learned discipline requires quality, adequate and up-to-date information materials which legal professionals can always use as sound bases for legal interpretations, policy analysis and becoming victorious in litigations. Hence, libraries are crucial to the excellence and credibility of legal practice and libraries that are established for housing legal information materials are known as law libraries. Law libraries, according to Anaeme (2015) are libraries specifically designed to provide materials to enhance legal information provision for education, research, and practices.</w:t>
      </w:r>
    </w:p>
    <w:p w14:paraId="03D498D7">
      <w:pPr>
        <w:spacing w:line="360" w:lineRule="auto"/>
        <w:jc w:val="both"/>
        <w:rPr>
          <w:rFonts w:ascii="Times New Roman" w:hAnsi="Times New Roman"/>
          <w:color w:val="auto"/>
          <w:sz w:val="24"/>
          <w:szCs w:val="24"/>
        </w:rPr>
      </w:pPr>
      <w:r>
        <w:rPr>
          <w:rFonts w:ascii="Times New Roman" w:hAnsi="Times New Roman"/>
          <w:color w:val="auto"/>
          <w:sz w:val="24"/>
          <w:szCs w:val="24"/>
        </w:rPr>
        <w:t>Garmon (2018) posited that law libraries can be categorised as special libraries. They are considered to be special because they are libraries established, organised and maintained with the motive of offering intellectual support to a specific user group or discipline. The information resources of special libraries are tailored towards a particular topic, subject or field of study, which professionals in that field of study can be using to acquire new knowledge and update the existing ones. This submission is therefore to reinforce the point that law libraries are akin to the sustenance of the legal profession (Anaeme, 2015; Ajetumobi, 2017).</w:t>
      </w:r>
    </w:p>
    <w:p w14:paraId="068B8434">
      <w:pPr>
        <w:spacing w:line="360" w:lineRule="auto"/>
        <w:jc w:val="both"/>
        <w:rPr>
          <w:rFonts w:ascii="Times New Roman" w:hAnsi="Times New Roman"/>
          <w:color w:val="auto"/>
          <w:sz w:val="24"/>
          <w:szCs w:val="24"/>
        </w:rPr>
      </w:pPr>
      <w:r>
        <w:rPr>
          <w:rFonts w:ascii="Times New Roman" w:hAnsi="Times New Roman"/>
          <w:color w:val="auto"/>
          <w:sz w:val="24"/>
          <w:szCs w:val="24"/>
        </w:rPr>
        <w:t>Ubwa, Gbuushi, Ianna and Iornum (2020) noted that law libraries play a key role in the quest for meeting legal information needs of law students and legal practitioners. Law Libraries collects legal academic research materials for access and provides physical space for law students and legal practitioners. Legal information materials promote access to knowledge and information, expand opportunities to be in contact with up-to-date and high-quality materials, enhance bibliographic research and provide tools for developing and updating personal bibliographic material collections. Therefore, legal information materials are important to law students, legal researchers and other people interested in the subject of Law.</w:t>
      </w:r>
    </w:p>
    <w:p w14:paraId="5643A853">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Law libraries are stocked with basic and advanced legal materials required in their holdings to satisfy the information needs of their clientele. The basic functions of law libraries are to acquire and provide basic law materials in print and non-print formats for research to enhance quick, efficient justice administration by the courts and to equip legal practitioners with various citations and injunctions needed for studying, proceedings and litigations (Anaeme, 2015). </w:t>
      </w:r>
      <w:r>
        <w:rPr>
          <w:rFonts w:ascii="Times New Roman" w:hAnsi="Times New Roman"/>
          <w:color w:val="auto"/>
          <w:spacing w:val="5"/>
          <w:sz w:val="24"/>
          <w:szCs w:val="24"/>
          <w:shd w:val="clear" w:color="auto" w:fill="FFFFFF"/>
        </w:rPr>
        <w:t>Garmon (2018) asserted that law libraries serve as a one-stop shopping center, providing legal information materials to users without the hassle of dealing with individual publishers and staff.</w:t>
      </w:r>
    </w:p>
    <w:p w14:paraId="0864C109">
      <w:pPr>
        <w:spacing w:line="360" w:lineRule="auto"/>
        <w:jc w:val="both"/>
        <w:rPr>
          <w:rFonts w:ascii="Times New Roman" w:hAnsi="Times New Roman"/>
          <w:color w:val="auto"/>
          <w:sz w:val="24"/>
          <w:szCs w:val="24"/>
        </w:rPr>
      </w:pPr>
      <w:r>
        <w:rPr>
          <w:rFonts w:ascii="Times New Roman" w:hAnsi="Times New Roman"/>
          <w:color w:val="auto"/>
          <w:sz w:val="24"/>
          <w:szCs w:val="24"/>
        </w:rPr>
        <w:t>Ajetunmobi (2017) viewed legal information resources as the products of interactions legal practitioners with their environments and others issues concerning their profession. These interactions include data, laws and procedures, emotional responses as well as statement of morality and ethics as produced and communicated by human beings interacting with the world and each other. The growth in the amount of legal information materials has increased how law libraries should select and acquire legal information resources in their collections (Agwunobi &amp; Umoren, 2020). This makes secondary sources of legal information materials and other finding tools such as abstracts, author/titles, indexes, bibliographies, etc., to be highly relevant in the collection development procedures of law libraries.</w:t>
      </w:r>
    </w:p>
    <w:p w14:paraId="0E215E9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and acquisition are highly important in the process of building the collections of all libraries, law libraries inclusive. Selection is the process of choosing or picking information materials that deserved to be acquired by law libraries. Its </w:t>
      </w:r>
      <w:r>
        <w:rPr>
          <w:rFonts w:ascii="Times New Roman" w:hAnsi="Times New Roman"/>
          <w:color w:val="auto"/>
          <w:spacing w:val="5"/>
          <w:sz w:val="24"/>
          <w:szCs w:val="24"/>
          <w:shd w:val="clear" w:color="auto" w:fill="FFFFFF"/>
        </w:rPr>
        <w:t xml:space="preserve">activities are just one of the services used by law libraries for collection development purposes. Their functions involve serving as a new title pre-selection service, saving collection development staff hours of time sifting through thousands of new publisher offerings to access the materials that meet their specific collection needs, resulting in far more efficient use of library staff time (Garmon, 2018). </w:t>
      </w:r>
    </w:p>
    <w:p w14:paraId="6634E5F6">
      <w:pPr>
        <w:spacing w:line="360" w:lineRule="auto"/>
        <w:jc w:val="both"/>
        <w:rPr>
          <w:rFonts w:ascii="Times New Roman" w:hAnsi="Times New Roman"/>
          <w:color w:val="auto"/>
          <w:sz w:val="24"/>
          <w:szCs w:val="24"/>
          <w:shd w:val="clear" w:color="auto" w:fill="FFFFFF"/>
        </w:rPr>
      </w:pPr>
      <w:r>
        <w:rPr>
          <w:rFonts w:ascii="Times New Roman" w:hAnsi="Times New Roman"/>
          <w:color w:val="auto"/>
          <w:sz w:val="24"/>
          <w:szCs w:val="24"/>
        </w:rPr>
        <w:t xml:space="preserve">Selection of legal information materials has different frameworks. For instance, </w:t>
      </w:r>
      <w:r>
        <w:rPr>
          <w:rFonts w:ascii="Times New Roman" w:hAnsi="Times New Roman"/>
          <w:color w:val="auto"/>
          <w:sz w:val="24"/>
          <w:szCs w:val="24"/>
          <w:shd w:val="clear" w:color="auto" w:fill="FFFFFF"/>
        </w:rPr>
        <w:t xml:space="preserve">the title-by-title selection framework allows librarians and faculty to jointly responsible for book selection. The two groups may select books independently, or faculty may submit their recommendations to liaison librarians, law librarians or subject bibliographers for approval (Walters et al., 2020). Selection is an integral part of information resource development, which without it, selection of appropriate legal information materials is not possible. </w:t>
      </w:r>
    </w:p>
    <w:p w14:paraId="35CE4597">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 xml:space="preserve">The process of selection of legal information materials involves the use of tools, </w:t>
      </w:r>
      <w:r>
        <w:rPr>
          <w:rFonts w:ascii="Times New Roman" w:hAnsi="Times New Roman"/>
          <w:color w:val="auto"/>
          <w:sz w:val="24"/>
          <w:szCs w:val="24"/>
        </w:rPr>
        <w:t xml:space="preserve">guides or sources giving information about different publications. These sources, in their turn, may either give information of existing publications and/or new and forthcoming publications. While to the former belong the category of bibliographies and published. Many catalogues emanating from publishers, printers, booksellers, etc., the latter - namely, sources for new and forthcoming publications - are brought out by a number of booksellers in the form of an announcement service/mechanism for new publications (Information Resources Development, 2017). </w:t>
      </w:r>
    </w:p>
    <w:p w14:paraId="71A46B35">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Acq</w:t>
      </w:r>
      <w:r>
        <w:rPr>
          <w:rFonts w:ascii="Times New Roman" w:hAnsi="Times New Roman"/>
          <w:bCs/>
          <w:color w:val="auto"/>
          <w:spacing w:val="4"/>
          <w:sz w:val="24"/>
          <w:szCs w:val="24"/>
          <w:shd w:val="clear" w:color="auto" w:fill="FFFFFF"/>
        </w:rPr>
        <w:t>uisitions</w:t>
      </w:r>
      <w:r>
        <w:rPr>
          <w:rFonts w:ascii="Times New Roman" w:hAnsi="Times New Roman"/>
          <w:color w:val="auto"/>
          <w:spacing w:val="4"/>
          <w:sz w:val="24"/>
          <w:szCs w:val="24"/>
          <w:shd w:val="clear" w:color="auto" w:fill="FFFFFF"/>
        </w:rPr>
        <w:t> or </w:t>
      </w:r>
      <w:r>
        <w:rPr>
          <w:rFonts w:ascii="Times New Roman" w:hAnsi="Times New Roman"/>
          <w:bCs/>
          <w:color w:val="auto"/>
          <w:spacing w:val="4"/>
          <w:sz w:val="24"/>
          <w:szCs w:val="24"/>
          <w:shd w:val="clear" w:color="auto" w:fill="FFFFFF"/>
        </w:rPr>
        <w:t>Library Acquisitions</w:t>
      </w:r>
      <w:r>
        <w:rPr>
          <w:rFonts w:ascii="Times New Roman" w:hAnsi="Times New Roman"/>
          <w:color w:val="auto"/>
          <w:spacing w:val="4"/>
          <w:sz w:val="24"/>
          <w:szCs w:val="24"/>
          <w:shd w:val="clear" w:color="auto" w:fill="FFFFFF"/>
        </w:rPr>
        <w:t xml:space="preserve"> of legal information materials is the process or act of acquiring selected legal materials for law libraries in all formats including digital items and maintaining the necessary records related to acquisitions (Librarianship Studies and information Technology, 2021). </w:t>
      </w:r>
      <w:r>
        <w:rPr>
          <w:rFonts w:ascii="Times New Roman" w:hAnsi="Times New Roman"/>
          <w:color w:val="auto"/>
          <w:sz w:val="24"/>
          <w:szCs w:val="24"/>
        </w:rPr>
        <w:t>Acquisition of legal information materials is also the process of obtaining library materials to satisfy the needs of users of law libraries. It is a means by which books and non-books legal information materials are added to the collections of law libraries (Nnadozie, 2006, as cited in Adesanya, 2015).</w:t>
      </w:r>
    </w:p>
    <w:p w14:paraId="77D0D084">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Acquisition refers to the process of securing legal information materials for law libraries’ collections, either by purchasing, gift or through exchange. Fabiyi (2007 as cited in Abdulsalami and Arowolo, 2019) defined acquisition as the act of procuring of legal information materials that are going to be purchased from the publisher or from the open market.  Abdulsalami and Arowolo (2019) stressing the acquisition procedures asserted that acquisition of legal information materials follow the laid down principles stating what, how and where legal information materials can be acquired for law libraries. It consist of the methods of acquiring new legal information materials to the collections of the law library through donating, ordering and purchasing. </w:t>
      </w:r>
    </w:p>
    <w:p w14:paraId="229D5EF5">
      <w:pPr>
        <w:spacing w:line="360" w:lineRule="auto"/>
        <w:jc w:val="both"/>
        <w:rPr>
          <w:rFonts w:ascii="Times New Roman" w:hAnsi="Times New Roman"/>
          <w:color w:val="auto"/>
          <w:sz w:val="24"/>
          <w:szCs w:val="24"/>
        </w:rPr>
      </w:pPr>
      <w:r>
        <w:rPr>
          <w:rFonts w:ascii="Times New Roman" w:hAnsi="Times New Roman"/>
          <w:color w:val="auto"/>
          <w:sz w:val="24"/>
          <w:szCs w:val="24"/>
        </w:rPr>
        <w:t>Adesanya (2015) opined that it is the responsibilities of law libraries to recognize that legal information materials are controversial; every legal information material has its user, and every user needs legal information materials. Therefore, decisions must not be made on the basis of any anticipated approval or disapproval, but solely on the title in relation to building the collection, considering the interests of users of law libraries. Since both selection and acquisition are like Siamese-twins that are highly essential to building the collections of law libraries, it thus become important for this study to find out the implications of selection and acquisition procedures of legal information materials as they pertain to University of Ilorin Law Library.</w:t>
      </w:r>
    </w:p>
    <w:p w14:paraId="26DF95ED">
      <w:pPr>
        <w:spacing w:line="360" w:lineRule="auto"/>
        <w:jc w:val="both"/>
        <w:rPr>
          <w:rFonts w:ascii="Times New Roman" w:hAnsi="Times New Roman"/>
          <w:b/>
          <w:color w:val="auto"/>
          <w:sz w:val="24"/>
          <w:szCs w:val="24"/>
        </w:rPr>
      </w:pPr>
      <w:r>
        <w:rPr>
          <w:rFonts w:ascii="Times New Roman" w:hAnsi="Times New Roman"/>
          <w:b/>
          <w:color w:val="auto"/>
          <w:spacing w:val="5"/>
          <w:sz w:val="24"/>
          <w:szCs w:val="24"/>
          <w:shd w:val="clear" w:color="auto" w:fill="FFFFFF"/>
        </w:rPr>
        <w:t>1.1.2</w:t>
      </w:r>
      <w:r>
        <w:rPr>
          <w:rFonts w:ascii="Times New Roman" w:hAnsi="Times New Roman"/>
          <w:b/>
          <w:color w:val="auto"/>
          <w:spacing w:val="5"/>
          <w:sz w:val="24"/>
          <w:szCs w:val="24"/>
          <w:shd w:val="clear" w:color="auto" w:fill="FFFFFF"/>
        </w:rPr>
        <w:tab/>
      </w:r>
      <w:r>
        <w:rPr>
          <w:rFonts w:ascii="Times New Roman" w:hAnsi="Times New Roman"/>
          <w:b/>
          <w:color w:val="auto"/>
          <w:spacing w:val="5"/>
          <w:sz w:val="24"/>
          <w:szCs w:val="24"/>
          <w:shd w:val="clear" w:color="auto" w:fill="FFFFFF"/>
        </w:rPr>
        <w:t>Historical Background of University of Ilorin Law Library</w:t>
      </w:r>
    </w:p>
    <w:p w14:paraId="3C8A38CD">
      <w:pPr>
        <w:pStyle w:val="10"/>
        <w:shd w:val="clear" w:color="auto" w:fill="FFFFFF"/>
        <w:spacing w:before="240" w:beforeAutospacing="0" w:after="0" w:afterAutospacing="0" w:line="360" w:lineRule="auto"/>
        <w:jc w:val="both"/>
        <w:rPr>
          <w:color w:val="auto"/>
        </w:rPr>
      </w:pPr>
      <w:r>
        <w:rPr>
          <w:color w:val="auto"/>
        </w:rPr>
        <w:t>The Faculty of Law, University of Ilorin is one of the foremost law faculties in Nigeria. The faculty was initially established in 1983 as a unit in the Department of Business Administration, under the headship of Professor Eyitayo Lambo. By 1984, it was upgraded into a full department in the Faculty of Business and Social sciences. The then head of the law department was Professor R.W. James (Faculty of Law, 2022).</w:t>
      </w:r>
    </w:p>
    <w:p w14:paraId="6C902084">
      <w:pPr>
        <w:pStyle w:val="10"/>
        <w:shd w:val="clear" w:color="auto" w:fill="FFFFFF"/>
        <w:spacing w:before="240" w:beforeAutospacing="0" w:after="0" w:afterAutospacing="0" w:line="360" w:lineRule="auto"/>
        <w:jc w:val="both"/>
        <w:rPr>
          <w:color w:val="auto"/>
        </w:rPr>
      </w:pPr>
      <w:r>
        <w:rPr>
          <w:color w:val="auto"/>
        </w:rPr>
        <w:t>Because the law programme was housed in the Faculty of Business and Social sciences, the National University Commission (NUC) refused to recognise the programme. Consequently, department was closed down in 1987. However, in her desire to meet a cardinal objective of the University of Ilorin, which is to provide a sound university education in law, the management of the university made efforts to satisfy the requirements necessary for the establishment of a law faculty in Nigeria. The fruitful efforts led to the restoration of the Faculty of Law, university of Ilorin in 1994. </w:t>
      </w:r>
    </w:p>
    <w:p w14:paraId="2D47F754">
      <w:pPr>
        <w:pStyle w:val="10"/>
        <w:shd w:val="clear" w:color="auto" w:fill="FFFFFF"/>
        <w:spacing w:before="240" w:beforeAutospacing="0" w:after="0" w:afterAutospacing="0" w:line="360" w:lineRule="auto"/>
        <w:jc w:val="both"/>
        <w:rPr>
          <w:color w:val="auto"/>
        </w:rPr>
      </w:pPr>
      <w:r>
        <w:rPr>
          <w:color w:val="auto"/>
        </w:rPr>
        <w:t>Upon restoration, the revitalised and rebranded Faculty of Law commenced the operation of two undergraduate law programmes in law. To wit:</w:t>
      </w:r>
    </w:p>
    <w:p w14:paraId="1E51B890">
      <w:pPr>
        <w:pStyle w:val="10"/>
        <w:shd w:val="clear" w:color="auto" w:fill="FFFFFF"/>
        <w:spacing w:before="240" w:beforeAutospacing="0" w:after="0" w:afterAutospacing="0" w:line="360" w:lineRule="auto"/>
        <w:jc w:val="both"/>
        <w:rPr>
          <w:color w:val="auto"/>
        </w:rPr>
      </w:pPr>
      <w:r>
        <w:rPr>
          <w:color w:val="auto"/>
        </w:rPr>
        <w:t>(i) Bachelor of Laws degree in common law; LLB (Common Law) and</w:t>
      </w:r>
      <w:r>
        <w:rPr>
          <w:color w:val="auto"/>
        </w:rPr>
        <w:br w:type="textWrapping"/>
      </w:r>
      <w:r>
        <w:rPr>
          <w:color w:val="auto"/>
        </w:rPr>
        <w:t>(ii) Bachelor of Laws degree in common and Islamic law; LLB (Common &amp; Islamic Law)</w:t>
      </w:r>
      <w:r>
        <w:rPr>
          <w:color w:val="auto"/>
        </w:rPr>
        <w:br w:type="textWrapping"/>
      </w:r>
      <w:r>
        <w:rPr>
          <w:color w:val="auto"/>
        </w:rPr>
        <w:t> Since its second coming, the Faculty has continued to strive to rank amongst leading faculties of law in Nigeria. Both the Common Law and Common and Islamic Law programmes have received accreditation from the NUC in 2005 and 2008 respectively. Indeed, an indication of the leading position of the Faculty of Law, UNILORIN is the fact that the faculty was ranked third by the NUC in the 2004 Ranking of Nigerian Universities (Faculty of Law, 2022)..</w:t>
      </w:r>
    </w:p>
    <w:p w14:paraId="531164F4">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located in the Faculty of Law Building. It provides the users with books and journals in both print and electronic formats. Its services are rendered primarily to staff and students in the Faculty of Law.</w:t>
      </w:r>
    </w:p>
    <w:p w14:paraId="38F85F1E">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responsible for registration of Law Library users; charging and discharging of library materials; maintaining the reserved collections; shelving of new materials and re-shelving of consulted materials; conducting shelf-reading regularly; processing new Library materials; maintaining statistics and generating reports of users and consulted materials; provision of Current Awareness Services to staff and students; provision of Selective Dissemination of Information to staff and students; provision of Reference services; provision of reprographic services; and provision of electronic and Internet services (Library University of Ilorin, 2022).</w:t>
      </w:r>
    </w:p>
    <w:p w14:paraId="656FE532">
      <w:pPr>
        <w:spacing w:after="0" w:line="360" w:lineRule="auto"/>
        <w:jc w:val="both"/>
        <w:rPr>
          <w:rFonts w:ascii="Times New Roman" w:hAnsi="Times New Roman"/>
          <w:b/>
          <w:color w:val="auto"/>
          <w:sz w:val="24"/>
          <w:szCs w:val="24"/>
        </w:rPr>
      </w:pPr>
    </w:p>
    <w:p w14:paraId="05DA5F07">
      <w:pPr>
        <w:spacing w:after="0" w:line="360" w:lineRule="auto"/>
        <w:jc w:val="both"/>
        <w:rPr>
          <w:rFonts w:ascii="Times New Roman" w:hAnsi="Times New Roman"/>
          <w:b/>
          <w:color w:val="auto"/>
          <w:sz w:val="24"/>
          <w:szCs w:val="24"/>
        </w:rPr>
      </w:pPr>
    </w:p>
    <w:p w14:paraId="01BE06E3">
      <w:pPr>
        <w:spacing w:after="0" w:line="360" w:lineRule="auto"/>
        <w:jc w:val="both"/>
        <w:rPr>
          <w:rFonts w:ascii="Times New Roman" w:hAnsi="Times New Roman" w:eastAsia="Times New Roman"/>
          <w:color w:val="auto"/>
          <w:sz w:val="24"/>
          <w:szCs w:val="24"/>
        </w:rPr>
      </w:pPr>
      <w:r>
        <w:rPr>
          <w:rFonts w:ascii="Times New Roman" w:hAnsi="Times New Roman"/>
          <w:b/>
          <w:color w:val="auto"/>
          <w:sz w:val="24"/>
          <w:szCs w:val="24"/>
        </w:rPr>
        <w:t>1.2</w:t>
      </w:r>
      <w:r>
        <w:rPr>
          <w:rFonts w:ascii="Times New Roman" w:hAnsi="Times New Roman"/>
          <w:b/>
          <w:color w:val="auto"/>
          <w:sz w:val="24"/>
          <w:szCs w:val="24"/>
        </w:rPr>
        <w:tab/>
      </w:r>
      <w:r>
        <w:rPr>
          <w:rFonts w:ascii="Times New Roman" w:hAnsi="Times New Roman"/>
          <w:b/>
          <w:color w:val="auto"/>
          <w:sz w:val="24"/>
          <w:szCs w:val="24"/>
        </w:rPr>
        <w:t>Statement of the Problem</w:t>
      </w:r>
    </w:p>
    <w:p w14:paraId="3175AF5D">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involves the systematic processes of identifying the information materials that should be acquired by a library, while acquisition involves the various processes of securing information materials that will be housed and used by a library in providing information to its users. Selection and acquisition are different but complementary activities that are performed to ensure adequate provision of quality and reliable information materials to users of all libraries. They are both strategic and logical in nature, because various factors have to be considered when they are being performed. </w:t>
      </w:r>
    </w:p>
    <w:p w14:paraId="0138357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In respect to legal materials, the selection and acquisition procedures being followed are expected to have great implications on the legal information materials that will be available in the library (Ajetunmobi, 2017). Legal information materials, as subject-oriented information materials requires deep understanding of the subject of law, the complexities around it and most importantly the format at which legal information materials are available. Having these knowledge enables Law Librarians, Selection and Acquisition Committee members have insights of prospective legal information materials that are suitable for the diversity of users of law libraries. </w:t>
      </w:r>
    </w:p>
    <w:p w14:paraId="636D2D1C">
      <w:pPr>
        <w:spacing w:line="360" w:lineRule="auto"/>
        <w:jc w:val="both"/>
        <w:rPr>
          <w:rFonts w:ascii="Times New Roman" w:hAnsi="Times New Roman"/>
          <w:color w:val="auto"/>
          <w:sz w:val="24"/>
          <w:szCs w:val="24"/>
        </w:rPr>
      </w:pPr>
      <w:r>
        <w:rPr>
          <w:rFonts w:ascii="Times New Roman" w:hAnsi="Times New Roman"/>
          <w:color w:val="auto"/>
          <w:sz w:val="24"/>
          <w:szCs w:val="24"/>
        </w:rPr>
        <w:t>However, it has been reported that inadequate selection tools, lack of written collection development policy, inadequate subject expert to select suitable legal materials, inadequate funding, lack of vendors with integrity amongst others have been the bane of efficient and effective selection and acquisition procedures of legal information materials (Agwunobi &amp; umoren, 2020; Garmon, 2018). The foregoing therefore, lays the foundation for this study to be designed to find out the influence of selection and acquisition procedures of legal information materials as they pertain to University of Ilorin Law Library.</w:t>
      </w:r>
    </w:p>
    <w:p w14:paraId="00DE564D">
      <w:pPr>
        <w:spacing w:line="360" w:lineRule="auto"/>
        <w:jc w:val="both"/>
        <w:rPr>
          <w:rFonts w:ascii="Times New Roman" w:hAnsi="Times New Roman"/>
          <w:color w:val="auto"/>
          <w:sz w:val="24"/>
          <w:szCs w:val="24"/>
        </w:rPr>
      </w:pPr>
    </w:p>
    <w:p w14:paraId="0709AEBB">
      <w:pPr>
        <w:spacing w:line="360" w:lineRule="auto"/>
        <w:jc w:val="both"/>
        <w:rPr>
          <w:rFonts w:ascii="Times New Roman" w:hAnsi="Times New Roman"/>
          <w:color w:val="auto"/>
          <w:sz w:val="24"/>
          <w:szCs w:val="24"/>
        </w:rPr>
      </w:pPr>
    </w:p>
    <w:p w14:paraId="109D01AB">
      <w:pPr>
        <w:spacing w:line="360" w:lineRule="auto"/>
        <w:jc w:val="both"/>
        <w:rPr>
          <w:rFonts w:ascii="Times New Roman" w:hAnsi="Times New Roman"/>
          <w:color w:val="auto"/>
          <w:sz w:val="24"/>
          <w:szCs w:val="24"/>
        </w:rPr>
      </w:pPr>
    </w:p>
    <w:p w14:paraId="68B48A6F">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1.3</w:t>
      </w:r>
      <w:r>
        <w:rPr>
          <w:rFonts w:ascii="Times New Roman" w:hAnsi="Times New Roman"/>
          <w:b/>
          <w:color w:val="auto"/>
          <w:sz w:val="24"/>
          <w:szCs w:val="24"/>
        </w:rPr>
        <w:tab/>
      </w:r>
      <w:r>
        <w:rPr>
          <w:rFonts w:ascii="Times New Roman" w:hAnsi="Times New Roman"/>
          <w:b/>
          <w:color w:val="auto"/>
          <w:sz w:val="24"/>
          <w:szCs w:val="24"/>
        </w:rPr>
        <w:t>Objectives of the Study</w:t>
      </w:r>
    </w:p>
    <w:p w14:paraId="7CA7AA66">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broad objective of this study is to investigate the implications of selection and acquisition procedures legal information materials in University of Ilorin Law Library.</w:t>
      </w:r>
    </w:p>
    <w:p w14:paraId="30DE51B2">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specific objectives are:</w:t>
      </w:r>
    </w:p>
    <w:p w14:paraId="6B9F71B6">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personnel responsible for selection of legal information materials to be acquired in University of Ilorin Law Library,</w:t>
      </w:r>
    </w:p>
    <w:p w14:paraId="74FF5A55">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tools used in selecting legal information materials to be acquired in University of Ilorin Law Library,</w:t>
      </w:r>
    </w:p>
    <w:p w14:paraId="205601CC">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examine the criteria used in selecting legal information materials to be acquired in University of Ilorin Law Library,</w:t>
      </w:r>
    </w:p>
    <w:p w14:paraId="35B48E42">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types of legal information materials selected for acquisition in University of Ilorin Law Library,</w:t>
      </w:r>
    </w:p>
    <w:p w14:paraId="23B36EF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benefits of selection on acquisition of legal information materials in University of Ilorin Law Library, and;</w:t>
      </w:r>
    </w:p>
    <w:p w14:paraId="3F4DD68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factors affecting selection of legal information materials to be acquired in University of Ilorin Law Library.</w:t>
      </w:r>
    </w:p>
    <w:p w14:paraId="3133C5B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1.4</w:t>
      </w:r>
      <w:r>
        <w:rPr>
          <w:rFonts w:ascii="Times New Roman" w:hAnsi="Times New Roman"/>
          <w:b/>
          <w:color w:val="auto"/>
          <w:sz w:val="24"/>
          <w:szCs w:val="24"/>
        </w:rPr>
        <w:tab/>
      </w:r>
      <w:r>
        <w:rPr>
          <w:rFonts w:ascii="Times New Roman" w:hAnsi="Times New Roman"/>
          <w:b/>
          <w:color w:val="auto"/>
          <w:sz w:val="24"/>
          <w:szCs w:val="24"/>
        </w:rPr>
        <w:t>Research Questions</w:t>
      </w:r>
    </w:p>
    <w:p w14:paraId="29C75152">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aims at answering the following questions:</w:t>
      </w:r>
    </w:p>
    <w:p w14:paraId="7835962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University of Ilorin Law Library?</w:t>
      </w:r>
    </w:p>
    <w:p w14:paraId="1132399C">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University of Ilorin Law Library?</w:t>
      </w:r>
    </w:p>
    <w:p w14:paraId="583A763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criteria used in selecting legal information materials to be acquired in University of Ilorin Law Library?</w:t>
      </w:r>
    </w:p>
    <w:p w14:paraId="42ED73A3">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University of Ilorin Law Library?</w:t>
      </w:r>
    </w:p>
    <w:p w14:paraId="6A63F050">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University of Ilorin Law Library?</w:t>
      </w:r>
    </w:p>
    <w:p w14:paraId="552DA5C1">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factors affecting selection of legal information materials to be acquired in University of Ilorin Law Library?</w:t>
      </w:r>
    </w:p>
    <w:p w14:paraId="6A46F633">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1.5</w:t>
      </w:r>
      <w:r>
        <w:rPr>
          <w:rFonts w:ascii="Times New Roman" w:hAnsi="Times New Roman"/>
          <w:b/>
          <w:color w:val="auto"/>
          <w:sz w:val="24"/>
          <w:szCs w:val="24"/>
        </w:rPr>
        <w:tab/>
      </w:r>
      <w:r>
        <w:rPr>
          <w:rFonts w:ascii="Times New Roman" w:hAnsi="Times New Roman"/>
          <w:b/>
          <w:color w:val="auto"/>
          <w:sz w:val="24"/>
          <w:szCs w:val="24"/>
        </w:rPr>
        <w:t>Significance of the Study</w:t>
      </w:r>
    </w:p>
    <w:p w14:paraId="2348E685">
      <w:pPr>
        <w:spacing w:before="24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will be of immense benefits to Selection and Acquisition Librarians, Law Librarians, Law Subject Specialists, Collection Development Committees, administrators of Law Libraries, legal practitioners and vendors of legal information materials. Selection and Acquisition Librarians will benefit from this study because it will reveal the standardised procedures that should be followed in the process of selection and acquisition of legal information materials, while Law Librarian will derive values from this study by learning how to be deeply involved in the selection and acquisition of legal information material. </w:t>
      </w:r>
    </w:p>
    <w:p w14:paraId="592C54D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importance of this study to Law Subject Specialists and Collection Development Committees is central around exposing their roles in the efficient and effective selection of legal information materials that are relevant and suitable to the information needs of the targeted legal practitioners; administrators of Law Libraries and legal practitioners by revealing different legal information materials that can be selected and acquired in law libraries, while vendors of legal information materials will also find importance in this study by exposing some of the unethical practices they engage in, which are affecting the selection and acquisition of legal information materials.</w:t>
      </w:r>
    </w:p>
    <w:p w14:paraId="23A9E2D5">
      <w:pPr>
        <w:spacing w:before="240" w:line="360" w:lineRule="auto"/>
        <w:jc w:val="both"/>
        <w:rPr>
          <w:rFonts w:ascii="Times New Roman" w:hAnsi="Times New Roman"/>
          <w:color w:val="auto"/>
          <w:sz w:val="24"/>
          <w:szCs w:val="24"/>
        </w:rPr>
      </w:pPr>
    </w:p>
    <w:p w14:paraId="0D0524B6">
      <w:pPr>
        <w:spacing w:before="240" w:line="360" w:lineRule="auto"/>
        <w:jc w:val="both"/>
        <w:rPr>
          <w:rFonts w:ascii="Times New Roman" w:hAnsi="Times New Roman"/>
          <w:color w:val="auto"/>
          <w:sz w:val="24"/>
          <w:szCs w:val="24"/>
        </w:rPr>
      </w:pPr>
    </w:p>
    <w:p w14:paraId="4B329F1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1.6</w:t>
      </w:r>
      <w:r>
        <w:rPr>
          <w:rFonts w:ascii="Times New Roman" w:hAnsi="Times New Roman"/>
          <w:b/>
          <w:color w:val="auto"/>
          <w:sz w:val="24"/>
          <w:szCs w:val="24"/>
        </w:rPr>
        <w:tab/>
      </w:r>
      <w:r>
        <w:rPr>
          <w:rFonts w:ascii="Times New Roman" w:hAnsi="Times New Roman"/>
          <w:b/>
          <w:color w:val="auto"/>
          <w:sz w:val="24"/>
          <w:szCs w:val="24"/>
        </w:rPr>
        <w:t xml:space="preserve">Scope and Limitations of the Study </w:t>
      </w:r>
    </w:p>
    <w:p w14:paraId="65E5A7D1">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will focus on University of Ilorin Law Library with the aim of investigating the implications of selection and acquisition procedures of its legal information materials. The staff of University of Ilorin Law Library and Collection Development Committee members are hereby expected to be the participants for this study.</w:t>
      </w:r>
    </w:p>
    <w:p w14:paraId="6F0F4DE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limitations this study may encounter are: insufficient staff of the Law Library, inadequate legal information materials, inadequate funding of the Law Library, inadequate up-to-date information materials on acquisition and selection of legal material, insufficient finance from the researcher’s end and inadequate time to explore deeply, other factors implicating selection and acquisition procedures, which the existing literature haven’t covered.</w:t>
      </w:r>
    </w:p>
    <w:p w14:paraId="2D3DEA89">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1.7</w:t>
      </w:r>
      <w:r>
        <w:rPr>
          <w:rFonts w:ascii="Times New Roman" w:hAnsi="Times New Roman"/>
          <w:b/>
          <w:color w:val="auto"/>
          <w:sz w:val="24"/>
          <w:szCs w:val="24"/>
        </w:rPr>
        <w:tab/>
      </w:r>
      <w:r>
        <w:rPr>
          <w:rFonts w:ascii="Times New Roman" w:hAnsi="Times New Roman"/>
          <w:b/>
          <w:color w:val="auto"/>
          <w:sz w:val="24"/>
          <w:szCs w:val="24"/>
        </w:rPr>
        <w:t>Operational Definition of Terms</w:t>
      </w:r>
    </w:p>
    <w:p w14:paraId="55604807">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Influence: </w:t>
      </w:r>
      <w:r>
        <w:rPr>
          <w:rFonts w:ascii="Times New Roman" w:hAnsi="Times New Roman"/>
          <w:color w:val="auto"/>
          <w:sz w:val="24"/>
          <w:szCs w:val="24"/>
        </w:rPr>
        <w:t>This are the affect, control or conducts that selection and acquisition procedures are expected to have on selected and acquired legal information materials of University of Ilorin Law Library.</w:t>
      </w:r>
    </w:p>
    <w:p w14:paraId="28762920">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w:t>
      </w:r>
      <w:r>
        <w:rPr>
          <w:rFonts w:ascii="Times New Roman" w:hAnsi="Times New Roman"/>
          <w:color w:val="auto"/>
          <w:sz w:val="24"/>
          <w:szCs w:val="24"/>
        </w:rPr>
        <w:t>This is the act or process of choosing or picking legal information materials that will be acquired by the University of Ilorin Law Library, based on some criteria.</w:t>
      </w:r>
    </w:p>
    <w:p w14:paraId="2BEAFE4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Acquisition: </w:t>
      </w:r>
      <w:r>
        <w:rPr>
          <w:rFonts w:ascii="Times New Roman" w:hAnsi="Times New Roman"/>
          <w:color w:val="auto"/>
          <w:sz w:val="24"/>
          <w:szCs w:val="24"/>
        </w:rPr>
        <w:t>This is the act or process of buying or securing legal information materials for the possession of University of Ilorin Law Library.</w:t>
      </w:r>
    </w:p>
    <w:p w14:paraId="2F45CBD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and Acquisition Procedures: </w:t>
      </w:r>
      <w:r>
        <w:rPr>
          <w:rFonts w:ascii="Times New Roman" w:hAnsi="Times New Roman"/>
          <w:color w:val="auto"/>
          <w:sz w:val="24"/>
          <w:szCs w:val="24"/>
        </w:rPr>
        <w:t>These are established, official or certain ways that are expected to have implications on the process of selecting and acquiring legal information materials in University of Ilorin Law Library.</w:t>
      </w:r>
    </w:p>
    <w:p w14:paraId="20CC3B3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Legal Information Materials: </w:t>
      </w:r>
      <w:r>
        <w:rPr>
          <w:rFonts w:ascii="Times New Roman" w:hAnsi="Times New Roman"/>
          <w:color w:val="auto"/>
          <w:sz w:val="24"/>
          <w:szCs w:val="24"/>
        </w:rPr>
        <w:t>These are information carriers that solely contain legal information, whose selection and acquisition in University of Ilorin Law Library are expected to be implicated by the established procedures.</w:t>
      </w:r>
    </w:p>
    <w:p w14:paraId="07CCAF22">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University of Ilorin: </w:t>
      </w:r>
      <w:r>
        <w:rPr>
          <w:rFonts w:ascii="Times New Roman" w:hAnsi="Times New Roman"/>
          <w:color w:val="auto"/>
          <w:sz w:val="24"/>
          <w:szCs w:val="24"/>
        </w:rPr>
        <w:t>This is a Federal Government of Nigeria owned tertiary institution of learning in Ilorin that train high-level manpower, where the procedures for selection and acquisition are expected to have implications on legal information materials in its Law Library.</w:t>
      </w:r>
    </w:p>
    <w:p w14:paraId="552B5118">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University of Ilorin Law Library: </w:t>
      </w:r>
      <w:r>
        <w:rPr>
          <w:rFonts w:ascii="Times New Roman" w:hAnsi="Times New Roman"/>
          <w:color w:val="auto"/>
          <w:sz w:val="24"/>
          <w:szCs w:val="24"/>
        </w:rPr>
        <w:t>This is a branch of University of Ilorin library that is solely devoted to selecting, acquiring, organising, preserving and disseminating legal information materials, based on the implications of the established procedures.</w:t>
      </w:r>
    </w:p>
    <w:p w14:paraId="6A7C6124">
      <w:pPr>
        <w:spacing w:before="240" w:line="360" w:lineRule="auto"/>
        <w:jc w:val="center"/>
        <w:rPr>
          <w:rFonts w:ascii="Times New Roman" w:hAnsi="Times New Roman" w:cs="Times New Roman"/>
          <w:b/>
          <w:color w:val="auto"/>
          <w:sz w:val="28"/>
          <w:szCs w:val="28"/>
        </w:rPr>
      </w:pPr>
    </w:p>
    <w:p w14:paraId="265D5696">
      <w:pPr>
        <w:spacing w:before="240" w:line="360" w:lineRule="auto"/>
        <w:jc w:val="center"/>
        <w:rPr>
          <w:rFonts w:ascii="Times New Roman" w:hAnsi="Times New Roman" w:cs="Times New Roman"/>
          <w:b/>
          <w:color w:val="auto"/>
          <w:sz w:val="28"/>
          <w:szCs w:val="28"/>
        </w:rPr>
      </w:pPr>
    </w:p>
    <w:p w14:paraId="792A7913">
      <w:pPr>
        <w:spacing w:before="240" w:line="360" w:lineRule="auto"/>
        <w:jc w:val="center"/>
        <w:rPr>
          <w:rFonts w:ascii="Times New Roman" w:hAnsi="Times New Roman" w:cs="Times New Roman"/>
          <w:b/>
          <w:color w:val="auto"/>
          <w:sz w:val="28"/>
          <w:szCs w:val="28"/>
        </w:rPr>
      </w:pPr>
    </w:p>
    <w:p w14:paraId="41646798">
      <w:pPr>
        <w:spacing w:before="240" w:line="360" w:lineRule="auto"/>
        <w:jc w:val="center"/>
        <w:rPr>
          <w:rFonts w:ascii="Times New Roman" w:hAnsi="Times New Roman" w:cs="Times New Roman"/>
          <w:b/>
          <w:color w:val="auto"/>
          <w:sz w:val="28"/>
          <w:szCs w:val="28"/>
        </w:rPr>
      </w:pPr>
    </w:p>
    <w:p w14:paraId="734412A1">
      <w:pPr>
        <w:spacing w:before="240" w:line="360" w:lineRule="auto"/>
        <w:jc w:val="center"/>
        <w:rPr>
          <w:rFonts w:ascii="Times New Roman" w:hAnsi="Times New Roman" w:cs="Times New Roman"/>
          <w:b/>
          <w:color w:val="auto"/>
          <w:sz w:val="28"/>
          <w:szCs w:val="28"/>
        </w:rPr>
      </w:pPr>
    </w:p>
    <w:p w14:paraId="64EB21FB">
      <w:pPr>
        <w:spacing w:before="240" w:line="360" w:lineRule="auto"/>
        <w:jc w:val="center"/>
        <w:rPr>
          <w:rFonts w:ascii="Times New Roman" w:hAnsi="Times New Roman" w:cs="Times New Roman"/>
          <w:b/>
          <w:color w:val="auto"/>
          <w:sz w:val="28"/>
          <w:szCs w:val="28"/>
        </w:rPr>
      </w:pPr>
    </w:p>
    <w:p w14:paraId="70A37378">
      <w:pPr>
        <w:spacing w:before="240" w:line="360" w:lineRule="auto"/>
        <w:jc w:val="center"/>
        <w:rPr>
          <w:rFonts w:ascii="Times New Roman" w:hAnsi="Times New Roman" w:cs="Times New Roman"/>
          <w:b/>
          <w:color w:val="auto"/>
          <w:sz w:val="28"/>
          <w:szCs w:val="28"/>
        </w:rPr>
      </w:pPr>
    </w:p>
    <w:p w14:paraId="609C7EF2">
      <w:pPr>
        <w:spacing w:before="240" w:line="360" w:lineRule="auto"/>
        <w:jc w:val="center"/>
        <w:rPr>
          <w:rFonts w:ascii="Times New Roman" w:hAnsi="Times New Roman" w:cs="Times New Roman"/>
          <w:b/>
          <w:color w:val="auto"/>
          <w:sz w:val="28"/>
          <w:szCs w:val="28"/>
        </w:rPr>
      </w:pPr>
    </w:p>
    <w:p w14:paraId="41B63444">
      <w:pPr>
        <w:spacing w:before="240" w:line="360" w:lineRule="auto"/>
        <w:jc w:val="center"/>
        <w:rPr>
          <w:rFonts w:ascii="Times New Roman" w:hAnsi="Times New Roman" w:cs="Times New Roman"/>
          <w:b/>
          <w:color w:val="auto"/>
          <w:sz w:val="28"/>
          <w:szCs w:val="28"/>
        </w:rPr>
      </w:pPr>
    </w:p>
    <w:p w14:paraId="51BF449A">
      <w:pPr>
        <w:spacing w:before="240" w:line="360" w:lineRule="auto"/>
        <w:jc w:val="center"/>
        <w:rPr>
          <w:rFonts w:ascii="Times New Roman" w:hAnsi="Times New Roman" w:cs="Times New Roman"/>
          <w:b/>
          <w:color w:val="auto"/>
          <w:sz w:val="28"/>
          <w:szCs w:val="28"/>
        </w:rPr>
      </w:pPr>
    </w:p>
    <w:p w14:paraId="74506356">
      <w:pPr>
        <w:spacing w:before="24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TWO</w:t>
      </w:r>
    </w:p>
    <w:p w14:paraId="2A529C95">
      <w:pPr>
        <w:spacing w:after="0" w:line="360" w:lineRule="auto"/>
        <w:contextualSpacing/>
        <w:jc w:val="center"/>
        <w:rPr>
          <w:b/>
          <w:bCs/>
          <w:color w:val="auto"/>
        </w:rPr>
      </w:pPr>
      <w:r>
        <w:rPr>
          <w:rFonts w:ascii="Times New Roman" w:hAnsi="Times New Roman" w:cs="Times New Roman"/>
          <w:b/>
          <w:color w:val="auto"/>
          <w:sz w:val="28"/>
          <w:szCs w:val="28"/>
        </w:rPr>
        <w:t>REVIEW RELATED LITERATURE</w:t>
      </w:r>
    </w:p>
    <w:p w14:paraId="7CA163FB">
      <w:pPr>
        <w:pStyle w:val="14"/>
        <w:spacing w:line="360" w:lineRule="auto"/>
        <w:jc w:val="both"/>
        <w:rPr>
          <w:b/>
          <w:bCs/>
          <w:color w:val="auto"/>
        </w:rPr>
      </w:pPr>
      <w:r>
        <w:rPr>
          <w:b/>
          <w:bCs/>
          <w:color w:val="auto"/>
        </w:rPr>
        <w:t>2.1</w:t>
      </w:r>
      <w:r>
        <w:rPr>
          <w:b/>
          <w:bCs/>
          <w:color w:val="auto"/>
        </w:rPr>
        <w:tab/>
      </w:r>
      <w:r>
        <w:rPr>
          <w:b/>
          <w:bCs/>
          <w:color w:val="auto"/>
        </w:rPr>
        <w:t>Introduction</w:t>
      </w:r>
    </w:p>
    <w:p w14:paraId="6C4664EF">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reviewed related works on the topic understudying, with a view to explaining the concepts, observations, positions, assertions and opinions of scholars and authorities on it. For the sake of clarity, this chapter is therefore arranged in the following order:</w:t>
      </w:r>
    </w:p>
    <w:p w14:paraId="310E731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 of Law Libraries</w:t>
      </w:r>
    </w:p>
    <w:p w14:paraId="4F2D7A7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Concept of Selection of Legal Information Materials</w:t>
      </w:r>
    </w:p>
    <w:p w14:paraId="7CBAD7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Concept of Acquisition of Legal Information Materials</w:t>
      </w:r>
    </w:p>
    <w:p w14:paraId="5E072D7F">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Tools Used for Selection and Acquisition of Legal Information Materials</w:t>
      </w:r>
    </w:p>
    <w:p w14:paraId="26B6807A">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Criteria Used in Selection and Acquisition of Legal Information Materials</w:t>
      </w:r>
    </w:p>
    <w:p w14:paraId="54A03B8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 Types of Legal Information Materials Selected and Acquired by Law Libraries</w:t>
      </w:r>
    </w:p>
    <w:p w14:paraId="4808143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Benefits of Selection and Acquisition of Legal Information Materials in Law Libraries</w:t>
      </w:r>
    </w:p>
    <w:p w14:paraId="5F54D24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2.9 Challenges of Selection and Acquisition of Legal Information Materials in Law Libraries</w:t>
      </w:r>
    </w:p>
    <w:p w14:paraId="2E0776DB">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2.10 Summary of the Literature Reviewed</w:t>
      </w:r>
    </w:p>
    <w:p w14:paraId="49909CB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2.2</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Law Libraries</w:t>
      </w:r>
    </w:p>
    <w:p w14:paraId="48BF55B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collection of legal materials consisting of law information organized for use of those seeking to qualify as, or who have qualified as lawyers and those enacting or administering law (Ukpanah and Afolabi, 2011). Academic law libraries are libraries established in faculties of law in institutions of higher learning such as the university and the Nigerian Law School (Anyaegbu &amp; Obiozor-Ekeze, 2013). A law library is a library designed to assist law students, attorneys, judges and their clients and anyone who finds it necessary to correctly determine the state of the law. Law libraries have been recognized as the ‘heart’ of every law faculty in every university. It is the pivot on which the faculties of law revolve for attainment of their educational excellence, goals and objectives. To achieve the above objectives, law libraries must strive to build adequate law collections that are adequate in both quality and quantity.</w:t>
      </w:r>
    </w:p>
    <w:p w14:paraId="702B986F">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Anyaegbu and Obiozor-Ekeze (2013) posited that as peculiar to Nigeria, the academic law libraries are established to support the NUC Benchmark for Legal Education (2004), which stated that “the undergraduate academic law training should equip the student to have a broad general knowledge and exposure to other disciplines in the process of acquiring legal education. The academic legal education is therefore two-pronged. First it serves as a stimulus to stir the students into the critical analysis and examination of the prevailing social, economic and political system of his community. Secondly it should serve as an intellectual exercise aimed at studying and assessing the operation, efficiency and relevance of various rules of law in society.”</w:t>
      </w:r>
    </w:p>
    <w:p w14:paraId="74B278B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special library serving the specific needs of its users. The users include members of the legal profession, that is, practicing lawyers, judges, magistrates, state counsels, law teachers, law students, members of the House of Assembly, House of Representative and Senate. The primary mission of the law library or academic law library is to meet the information needs of the law faculty staff and students of the institution it supports. Library collections are total accumulation of books and other information materials owned by a library, and are expected to be geared towards meeting the objectives of the parent institution (Onwudinjo, 2015).</w:t>
      </w:r>
    </w:p>
    <w:p w14:paraId="23F502F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British Standard for Law Libraries (2010) asserted that law libraries or academic law libraries remain a crucial resource in legal education and legal practice, with the aim of assisting their users to meet their information needs on research and teaching objectives. Law libraries or academic law libraries are usually manned by librarians who have a keen interest in and a duty to promote access to justice in the various law libraries in which he/she works, be they academic, firm, state, court and county, or special. Law librarians have the knowledge, skills, and resources to provide self-represented litigants with needed information and assistance and provide referrals to legal resources in the community. </w:t>
      </w:r>
    </w:p>
    <w:p w14:paraId="6D8D658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law library’s mission is to play a major role in enhancing access to justice for all, a critical component in a legitimate democratic society. It plays this role by providing legal information and tools to those engaged with the justice system, including litigants and those facing legal issues, attorneys, court staff, the judiciary and other governmental organizations, regardless of where they are physically (Zorza, 2012; Onwudinjo, 2015). In order to do so, law libraries partner broadly with courts, bar associations, access to justice organizations, community organizations, and government. The law library recognizes that the information needed to assist differing constituencies will depend on their needs and in fulfillment of its mission the law library will pay continued attention to these varying and changing needs, and assist in identifying, developing, and deploying the information, tools, educational programs and resources that will best meet these access needs.</w:t>
      </w:r>
    </w:p>
    <w:p w14:paraId="73AA2AE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have long served a variety of constituencies, and are well-positioned to assume a broader role, with a particular focus on those historically excluded from access to justice. Put another way, law libraries have great potential to play an important role in making the judicial system more user-friendly and accessible for people without lawyers. Moreover, there are many examples of law libraries across the country that have already embraced this role, and have experimented and innovated to make a major contribution to access to justice. These changes have been made possible by broad changes taking place in courts, in technology, and in our conceptual understandings of the way that legal information is appropriately provided, particularly to those without lawyers.</w:t>
      </w:r>
    </w:p>
    <w:p w14:paraId="275978F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2.3</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Selection of Legal Information Materials</w:t>
      </w:r>
    </w:p>
    <w:p w14:paraId="04D13C3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of legal information materials is used as a genic term covering the selection of both book and non-book legal information materials for a law library or academic law library (Shou &amp; Kimaro, 2021). Selection of legal information materials involves looking for the strengths and weaknesses in an item and how it might or might not match the needs of the collection.</w:t>
      </w:r>
    </w:p>
    <w:p w14:paraId="323EF76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of legal information materials is the process of deciding which legal information materials should be added to the collection of a law library or academic law library. Selection decisions are usually made on the basis of reviews and standard collection development tools by law librarians designated as selectors in the subject areas of Law, based on their interests and fields of specialization (Irwin &amp; Albee, 2015). </w:t>
      </w:r>
    </w:p>
    <w:p w14:paraId="051C648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Ashikuzzaman (2022) asserted that selection of legal information materials is an important technique for the maintenance of book stock in a law library or academic law library. Shou and Kimaro (2021) argued that selection of legal information materials must be precede acquisition. Selection of legal information materials that will be acquired by a law library or academic law library. The reason for selection of legal information materials heavily depends on the users of the law library.</w:t>
      </w:r>
    </w:p>
    <w:p w14:paraId="36C33C9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Gregory (2011) shared the following general rules of selection of legal information materials:</w:t>
      </w:r>
    </w:p>
    <w:p w14:paraId="6593522C">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Library materials are best selected on the basis of suitability for inclusion in the collection.</w:t>
      </w:r>
    </w:p>
    <w:p w14:paraId="656C17D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The collection should be an unbiased source of information that represents as many points of view as possible.</w:t>
      </w:r>
    </w:p>
    <w:p w14:paraId="53668AE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Subjects should be covered in a manner appropriate to the library's anticipated users' needs.</w:t>
      </w:r>
    </w:p>
    <w:p w14:paraId="6C1AF21D">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No materials should be excluded from the collection because of the race, religion, gender, nation origin, sexual preference, or political view of the author, the materials, or the user.</w:t>
      </w:r>
    </w:p>
    <w:p w14:paraId="79971EA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Irwin and Albee (2015) and Ashikuzzaman (2022) stressed that there are two types of selection of legal information materials. They pointed out current and retrospective selection of legal information materials. They viewed current selection as the type of selection that involves purchases of titles that are new or recently released. In this system, selectors are purchasing the newest or latest legal information materials.</w:t>
      </w:r>
    </w:p>
    <w:p w14:paraId="4D7F6F4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Retrospective selection on the other hand means that selectors of legal information materials select legal information materials that were published during an earlier time. Retrospective selection is done to be filling gaps or buying historically significant legal information materials law libraries should have in their collection. This type of selection often occurs when a new program is added such as a specific aspect of Law, or a topic of Law suddenly becomes popular. For retrospective acquisitions, the selectors of legal information materials will consider research value, importance to the collection and cost of acquisition and preservation (if it is an older item this could be an issue).</w:t>
      </w:r>
    </w:p>
    <w:p w14:paraId="09F317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information materials required a certain level of understanding and insights before they can be selected. The selection is mostly done by law librarians whose experiences play a major role in the selection process. Successful law librarians select legal information materials on the basis of their rich and long experience. Irwin and Albee (2015) submitted that in academic law libraries, selection of legal information materials may also be done by members of the Faculty of Law. These libraries may also use an approval plan or blanket order plan to assist selectors. Library patrons also recommend titles for purchase, especially in libraries that provide a suggestion box.</w:t>
      </w:r>
    </w:p>
    <w:p w14:paraId="0EEA9C55">
      <w:pPr>
        <w:spacing w:line="360" w:lineRule="auto"/>
        <w:jc w:val="both"/>
        <w:rPr>
          <w:rFonts w:ascii="Times New Roman" w:hAnsi="Times New Roman" w:cs="Times New Roman"/>
          <w:b/>
          <w:color w:val="auto"/>
          <w:sz w:val="24"/>
          <w:szCs w:val="24"/>
        </w:rPr>
      </w:pPr>
    </w:p>
    <w:p w14:paraId="03D1A066">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2.4</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Acquisition of Legal Information Materials</w:t>
      </w:r>
    </w:p>
    <w:p w14:paraId="30C523A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Acquisition of legal information materials is the process of obtaining legal books and other legal information materials for a law library or academic law library.  Acquisition of legal information materials involves the provision of current information which supports the information needs of users of law libraries or academic law libraries as a result of proper selection. </w:t>
      </w:r>
    </w:p>
    <w:p w14:paraId="0AA0CCE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Acquisitions of legal information materials are essential if a law library is to exist and continue to meet the needs of its users (Ezeh, 2020). Acquisition of legal information materials is done in order to acquire current legal information materials about law discipline to satisfy users. It also involves the acquisition of relevant technologies to support management and provision of legal information services and also to make the replacement of lost or damaged legal information materials. Acquisition of legal information materials is done when the selection process is already done.</w:t>
      </w:r>
    </w:p>
    <w:p w14:paraId="25F20BE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Mwilongo (2020) affirmed that acquisition of legal information materials is done in law libraries or academic law libraries in order to add more volume of books that will add value to the information needs of its users. Shou and Kimaro (2021) posited that acquisition of legal information materials is carried out through the following:</w:t>
      </w:r>
    </w:p>
    <w:p w14:paraId="58652F2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direct purchase:</w:t>
      </w:r>
      <w:r>
        <w:rPr>
          <w:rFonts w:ascii="Times New Roman" w:hAnsi="Times New Roman"/>
          <w:color w:val="auto"/>
          <w:sz w:val="24"/>
          <w:szCs w:val="24"/>
        </w:rPr>
        <w:t xml:space="preserve"> Direct purchase is the buying of legal information materials by the law library directly from the open market or through the books' vendors. </w:t>
      </w:r>
    </w:p>
    <w:p w14:paraId="0B671A1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gift/donation:</w:t>
      </w:r>
      <w:r>
        <w:rPr>
          <w:rFonts w:ascii="Times New Roman" w:hAnsi="Times New Roman"/>
          <w:color w:val="auto"/>
          <w:sz w:val="24"/>
          <w:szCs w:val="24"/>
        </w:rPr>
        <w:t xml:space="preserve"> This refers to legal information materials that are donated to the law library freely by individual or groups. Gift are very valuable sources of enriching the law library book collection. Most law libraries receive books and other library materials as gift from individuals, institutions, libraries and organizations, country and others.</w:t>
      </w:r>
    </w:p>
    <w:p w14:paraId="4BF2675C">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exchange:</w:t>
      </w:r>
      <w:r>
        <w:rPr>
          <w:rFonts w:ascii="Times New Roman" w:hAnsi="Times New Roman"/>
          <w:color w:val="auto"/>
          <w:sz w:val="24"/>
          <w:szCs w:val="24"/>
        </w:rPr>
        <w:t xml:space="preserve"> This is concrete arrangement between law libraries that have common needs for exchange of published legal information materials. In using this method of acquisition, law libraries can enter into agreements among themselves. Acquisition of legal information materials by exchange involves an arrangement whereby a law library exchange its duplicate or especially purchased items for those of another law library or libraries (Mwilongo, 2020; Shou &amp; Kimaro, 2021). </w:t>
      </w:r>
    </w:p>
    <w:p w14:paraId="44172AB2">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bequeath</w:t>
      </w:r>
      <w:r>
        <w:rPr>
          <w:rFonts w:ascii="Times New Roman" w:hAnsi="Times New Roman"/>
          <w:color w:val="auto"/>
          <w:sz w:val="24"/>
          <w:szCs w:val="24"/>
        </w:rPr>
        <w:t>: This type of acquisition of legal information materials involves the process whereby an individual, maybe a notable lawyer or legal practitioner transfer all his or her legal information materials to the possession of a law library or academic law library.</w:t>
      </w:r>
    </w:p>
    <w:p w14:paraId="593E5FFD">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legal deposit:</w:t>
      </w:r>
      <w:r>
        <w:rPr>
          <w:rFonts w:ascii="Times New Roman" w:hAnsi="Times New Roman"/>
          <w:color w:val="auto"/>
          <w:sz w:val="24"/>
          <w:szCs w:val="24"/>
        </w:rPr>
        <w:t xml:space="preserve"> This happens in a situation where there is a legal provision that all legal information materials published should be deposited to a law library or academic law library. This acquisition process is not applicable all libraries. The libraries that always enjoy the acquisition privilege are national libraries and libraries in tertiary institutions, with a Faculty of Law (Ezeh, 2020; Shou &amp; Kimaro, 2021).</w:t>
      </w:r>
    </w:p>
    <w:p w14:paraId="2331654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2.5</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Tools Used for Selection and Acquisition of Legal Information Materials </w:t>
      </w:r>
    </w:p>
    <w:p w14:paraId="3902BC9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cannot fulfill their aims and objectives unless they are supplied with the latest legal information materials. It means the law librarian must know the latest legal information materials published in various branches of knowledge. An acquisition section in charge without latest bibliographical tools at his desk is just like a soldier on the battlefield without the gun. Ashikuzzaman (2021) opined that the following tools are widely used selection tools:</w:t>
      </w:r>
    </w:p>
    <w:p w14:paraId="270B87B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Printed catalogues of University libraries</w:t>
      </w:r>
    </w:p>
    <w:p w14:paraId="4BE4DDB6">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Union catalogues</w:t>
      </w:r>
    </w:p>
    <w:p w14:paraId="7EA85B08">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National bibliographies</w:t>
      </w:r>
    </w:p>
    <w:p w14:paraId="5B95D420">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 Bibliographies</w:t>
      </w:r>
    </w:p>
    <w:p w14:paraId="38F1CF89">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 in print and similar publication</w:t>
      </w:r>
    </w:p>
    <w:p w14:paraId="4851EBB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periodicals</w:t>
      </w:r>
    </w:p>
    <w:p w14:paraId="375140A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reference works</w:t>
      </w:r>
    </w:p>
    <w:p w14:paraId="3151DCA4">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Publication lists of Universities, research institutions</w:t>
      </w:r>
    </w:p>
    <w:p w14:paraId="505FCD9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current issues of journals</w:t>
      </w:r>
    </w:p>
    <w:p w14:paraId="61911C9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prepared by government departments and professional organizations</w:t>
      </w:r>
    </w:p>
    <w:p w14:paraId="2D09F02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Booksellers and publisher catalogue and trade lists</w:t>
      </w:r>
    </w:p>
    <w:p w14:paraId="7A9C9C3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Suggested reading lists of syllabus of various courses</w:t>
      </w:r>
    </w:p>
    <w:p w14:paraId="01ED7E95">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theses and dissertations</w:t>
      </w:r>
    </w:p>
    <w:p w14:paraId="713F838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audio and visual materials available in the market</w:t>
      </w:r>
    </w:p>
    <w:p w14:paraId="290C3A1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Catalogues of CD-ROM database and online databases, etc.</w:t>
      </w:r>
    </w:p>
    <w:p w14:paraId="2DD2367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argued that the list of tools used for selection of legal information materials is inexhaustive, he therefore itemized the following other selection tools:</w:t>
      </w:r>
    </w:p>
    <w:p w14:paraId="545F32A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Book reviews:</w:t>
      </w:r>
      <w:r>
        <w:rPr>
          <w:rFonts w:ascii="Times New Roman" w:hAnsi="Times New Roman"/>
          <w:color w:val="auto"/>
          <w:sz w:val="24"/>
          <w:szCs w:val="24"/>
        </w:rPr>
        <w:t xml:space="preserve"> Book reviews” means review or criticism found in periodical usually on new books. It is an important source of book selection. Book review is published with several names: book reviews, new thought, new Publication, see your book, current books, your books of the week etc. The information provided in the book review should be brief specific and complete. Review should be done only by the scholars in the given field. So, that proper book selection process can be done.</w:t>
      </w:r>
    </w:p>
    <w:p w14:paraId="04240FC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Readers’ suggestion:</w:t>
      </w:r>
      <w:r>
        <w:rPr>
          <w:rFonts w:ascii="Times New Roman" w:hAnsi="Times New Roman"/>
          <w:color w:val="auto"/>
          <w:sz w:val="24"/>
          <w:szCs w:val="24"/>
        </w:rPr>
        <w:t xml:space="preserve"> It is the main source of book selection. Sometimes suggestion becomes very valuable in the book selection process. Proper feedback should be taken from the users of the library so that the most demanding book can be purchased. A suggestion register should be maintained by the library for this purpose. Libraries should keep a suggestion box preferably near the entrance of the libraries.</w:t>
      </w:r>
    </w:p>
    <w:p w14:paraId="175AC12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Subject bibliographies:</w:t>
      </w:r>
      <w:r>
        <w:rPr>
          <w:rFonts w:ascii="Times New Roman" w:hAnsi="Times New Roman"/>
          <w:color w:val="auto"/>
          <w:sz w:val="24"/>
          <w:szCs w:val="24"/>
        </w:rPr>
        <w:t xml:space="preserve"> It is usually a list of books article and other reading material on a given subject. It helps in selecting a book for particular subject. Bibliographies are important sources of book selection. It includes Subject bibliographies, author bibliography, selective bibliography, bibliography of bibliographies and national bibliography.</w:t>
      </w:r>
    </w:p>
    <w:p w14:paraId="1FC1FA7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Author bibliography:</w:t>
      </w:r>
      <w:r>
        <w:rPr>
          <w:rFonts w:ascii="Times New Roman" w:hAnsi="Times New Roman"/>
          <w:color w:val="auto"/>
          <w:sz w:val="24"/>
          <w:szCs w:val="24"/>
        </w:rPr>
        <w:t xml:space="preserve"> Author bibliography is a list of books written by a particular author. It also helps in selecting books of a particular author.</w:t>
      </w:r>
    </w:p>
    <w:p w14:paraId="01E68BEA">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Selective bibliography:</w:t>
      </w:r>
      <w:r>
        <w:rPr>
          <w:rFonts w:ascii="Times New Roman" w:hAnsi="Times New Roman"/>
          <w:color w:val="auto"/>
          <w:sz w:val="24"/>
          <w:szCs w:val="24"/>
        </w:rPr>
        <w:t xml:space="preserve"> It is a list of best book on a subject or a group of subjects. An average library uses this method for selecting book in the library.</w:t>
      </w:r>
    </w:p>
    <w:p w14:paraId="385DAAA6">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Bibliography of bibliographies:</w:t>
      </w:r>
      <w:r>
        <w:rPr>
          <w:rFonts w:ascii="Times New Roman" w:hAnsi="Times New Roman"/>
          <w:color w:val="auto"/>
          <w:sz w:val="24"/>
          <w:szCs w:val="24"/>
        </w:rPr>
        <w:t xml:space="preserve"> It is a list of bibliographies. It helps in selecting bibliographies for a library which is an important tool of book selection.</w:t>
      </w:r>
    </w:p>
    <w:p w14:paraId="2262887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National bibliography:</w:t>
      </w:r>
      <w:r>
        <w:rPr>
          <w:rFonts w:ascii="Times New Roman" w:hAnsi="Times New Roman"/>
          <w:color w:val="auto"/>
          <w:sz w:val="24"/>
          <w:szCs w:val="24"/>
        </w:rPr>
        <w:t xml:space="preserve"> It is a list of books published in the country in different languages which are mostly published in the printed form. It is a complete record of printed output in a given country without any limitation.</w:t>
      </w:r>
    </w:p>
    <w:p w14:paraId="37CB3D5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Reading list:</w:t>
      </w:r>
      <w:r>
        <w:rPr>
          <w:rFonts w:ascii="Times New Roman" w:hAnsi="Times New Roman"/>
          <w:color w:val="auto"/>
          <w:sz w:val="24"/>
          <w:szCs w:val="24"/>
        </w:rPr>
        <w:t xml:space="preserve"> It is a list of most favored books on the particular subject.</w:t>
      </w:r>
    </w:p>
    <w:p w14:paraId="2676F6FD">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Prospectus:</w:t>
      </w:r>
      <w:r>
        <w:rPr>
          <w:rFonts w:ascii="Times New Roman" w:hAnsi="Times New Roman"/>
          <w:color w:val="auto"/>
          <w:sz w:val="24"/>
          <w:szCs w:val="24"/>
        </w:rPr>
        <w:t xml:space="preserve"> It is useful in book selection. Universities and other examination centers publish the prospectus. It gives a list of book for every subject for every examination.</w:t>
      </w:r>
    </w:p>
    <w:p w14:paraId="6B799171">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Year book:</w:t>
      </w:r>
      <w:r>
        <w:rPr>
          <w:rFonts w:ascii="Times New Roman" w:hAnsi="Times New Roman"/>
          <w:color w:val="auto"/>
          <w:sz w:val="24"/>
          <w:szCs w:val="24"/>
        </w:rPr>
        <w:t xml:space="preserve"> It is a list of books published in the particular year arranged according to subject or particular language.</w:t>
      </w:r>
    </w:p>
    <w:p w14:paraId="4307EDF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Library catalogue:</w:t>
      </w:r>
      <w:r>
        <w:rPr>
          <w:rFonts w:ascii="Times New Roman" w:hAnsi="Times New Roman"/>
          <w:color w:val="auto"/>
          <w:sz w:val="24"/>
          <w:szCs w:val="24"/>
        </w:rPr>
        <w:t xml:space="preserve"> Catalogue is published in bigger libraries. It also helps in book selection (Kumar, 2017; Ashikuzzaman, 2021).</w:t>
      </w:r>
    </w:p>
    <w:p w14:paraId="7F02294D">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2.6</w:t>
      </w:r>
      <w:r>
        <w:rPr>
          <w:rFonts w:ascii="Times New Roman" w:hAnsi="Times New Roman" w:cs="Times New Roman"/>
          <w:b/>
          <w:color w:val="auto"/>
          <w:sz w:val="24"/>
          <w:szCs w:val="24"/>
        </w:rPr>
        <w:tab/>
      </w:r>
      <w:r>
        <w:rPr>
          <w:rFonts w:ascii="Times New Roman" w:hAnsi="Times New Roman" w:cs="Times New Roman"/>
          <w:b/>
          <w:color w:val="auto"/>
          <w:sz w:val="24"/>
          <w:szCs w:val="24"/>
        </w:rPr>
        <w:t>Criteria Used in Selection and Acquisition of Legal Information Materials</w:t>
      </w:r>
    </w:p>
    <w:p w14:paraId="17EB0CE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criteria is an integral part of collection development policy or selection policy that indicates the conditions legal information materials should be met before it is considered for acquisition by law libraries or academic law libraries. The American Library Association [ALA] (2020) posited that selection policy should include specific criteria to guide professionals in purchasing legal information materials. </w:t>
      </w:r>
    </w:p>
    <w:p w14:paraId="477BC15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criteria should be relevant to the law library’s objectives: excellence (artistic, literary, visual, etc.), appropriateness to level of user, authoritative and varying perspectives on controversial issues, accessibility, and ability to stimulate further intellectual and social development. Librarians should consider authenticity, public demand, general interest, content, and circumstances of use.</w:t>
      </w:r>
    </w:p>
    <w:p w14:paraId="75DEA8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ALA (2020) further categorized selection criteria into general and content. The general criteria include: present and potential relevance to community needs, suitability of physical form for library use, suitability of subject and style for intended audience, cost, importance as a document of the times, relation to the existing collection and to other materials on the subject, attention by critics and reviewers, potential user appeal, requests by library patrons.</w:t>
      </w:r>
    </w:p>
    <w:p w14:paraId="7CA0537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 the other hand, the content criteria are: Authority, comprehensiveness and depth of treatment, skill, competence, and purpose of the author, reputation and significance of the author, objectivity, consideration of the work as a whole, clarity, currency, technical quality, representation of diverse points of view, representation of important movements, genres, or trends, vitality and originality, artistic presentation and/or experimentation, sustained interest, relevance and use of the information, effective characterization, authenticity of history or social setting</w:t>
      </w:r>
    </w:p>
    <w:p w14:paraId="213E8CA6">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Ashikuzzaman (2021) also highlighted the legal information materials should be of popular interest, the legal information materials should have permanent value, currency of information, local demand, readability, accuracy, author, Publisher &amp; producer reputation, ease of use and format, cost and availability, relationship to existing collection materials, significance of the subject matter, popular demand, budgetary constraints, critical assessments in a variety of journals, importance and value to the collection and library users as criteria for selection of legal information materials to be acquired by law libraries or academic law libraries.</w:t>
      </w:r>
    </w:p>
    <w:p w14:paraId="324EFBA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2.7</w:t>
      </w:r>
      <w:r>
        <w:rPr>
          <w:rFonts w:ascii="Times New Roman" w:hAnsi="Times New Roman" w:cs="Times New Roman"/>
          <w:b/>
          <w:color w:val="auto"/>
          <w:sz w:val="24"/>
          <w:szCs w:val="24"/>
        </w:rPr>
        <w:tab/>
      </w:r>
      <w:r>
        <w:rPr>
          <w:rFonts w:ascii="Times New Roman" w:hAnsi="Times New Roman" w:cs="Times New Roman"/>
          <w:b/>
          <w:color w:val="auto"/>
          <w:sz w:val="24"/>
          <w:szCs w:val="24"/>
        </w:rPr>
        <w:t>Types of Legal Information Materials Selected and Acquired by Law Libraries</w:t>
      </w:r>
    </w:p>
    <w:p w14:paraId="4E331CC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materials are documents that tell you what the law is, or which explain, discuss and comment on the law (The University of Sheffield, 2022). These materials are important information materials, generally significant enough to determine an issue in the aspect of law. It can be used in the contexts of civil procedure; a general issue of material fact refers to an actual, plausible issue of fact that must be decided by a jury or judge. An issue of material fact precludes summary judgment because the issue is relevant and consequential (Cornell Law School, 2022).</w:t>
      </w:r>
    </w:p>
    <w:p w14:paraId="51D43AD2">
      <w:pPr>
        <w:pStyle w:val="10"/>
        <w:shd w:val="clear" w:color="auto" w:fill="FFFFFF"/>
        <w:spacing w:before="0" w:beforeAutospacing="0" w:after="150" w:afterAutospacing="0" w:line="360" w:lineRule="auto"/>
        <w:jc w:val="both"/>
        <w:rPr>
          <w:color w:val="auto"/>
        </w:rPr>
      </w:pPr>
      <w:r>
        <w:rPr>
          <w:color w:val="auto"/>
        </w:rPr>
        <w:t>The materials used for legal research are generally divided into two broad categories: </w:t>
      </w:r>
      <w:r>
        <w:rPr>
          <w:bCs/>
          <w:color w:val="auto"/>
        </w:rPr>
        <w:t>primary sources</w:t>
      </w:r>
      <w:r>
        <w:rPr>
          <w:color w:val="auto"/>
        </w:rPr>
        <w:t> and </w:t>
      </w:r>
      <w:r>
        <w:rPr>
          <w:bCs/>
          <w:color w:val="auto"/>
        </w:rPr>
        <w:t>secondary sources</w:t>
      </w:r>
      <w:r>
        <w:rPr>
          <w:color w:val="auto"/>
        </w:rPr>
        <w:t>.  Primary legal sources are the actual law in the form of constitutions, court cases, statutes, and administrative rules and regulations.  Secondary legal sources may restate the law, but they also discuss, analyze, describe, explain, or critique it as well.  Secondary sources are used to help locate primary sources of law, define legal words and phrases, or help in legal research.  In short, anything that is more than the actual law is considered a secondary source. </w:t>
      </w:r>
    </w:p>
    <w:p w14:paraId="24D314C8">
      <w:pPr>
        <w:pStyle w:val="10"/>
        <w:shd w:val="clear" w:color="auto" w:fill="FFFFFF"/>
        <w:spacing w:before="0" w:beforeAutospacing="0" w:after="150" w:afterAutospacing="0" w:line="360" w:lineRule="auto"/>
        <w:jc w:val="both"/>
        <w:rPr>
          <w:color w:val="auto"/>
        </w:rPr>
      </w:pPr>
      <w:r>
        <w:rPr>
          <w:color w:val="auto"/>
        </w:rPr>
        <w:t>Primary legal materials are information materials that represent the law itself. There are two significant types of primary legal material which are statute laws (also known as legislations) and case laws. The primary legal information materials include:</w:t>
      </w:r>
    </w:p>
    <w:p w14:paraId="22FC846A">
      <w:pPr>
        <w:pStyle w:val="10"/>
        <w:numPr>
          <w:ilvl w:val="0"/>
          <w:numId w:val="8"/>
        </w:numPr>
        <w:shd w:val="clear" w:color="auto" w:fill="FFFFFF"/>
        <w:spacing w:before="0" w:beforeAutospacing="0" w:after="150" w:afterAutospacing="0" w:line="360" w:lineRule="auto"/>
        <w:jc w:val="both"/>
        <w:rPr>
          <w:color w:val="auto"/>
        </w:rPr>
      </w:pPr>
      <w:r>
        <w:rPr>
          <w:b/>
          <w:color w:val="auto"/>
        </w:rPr>
        <w:t>Constitutions:</w:t>
      </w:r>
      <w:r>
        <w:rPr>
          <w:color w:val="auto"/>
        </w:rPr>
        <w:t xml:space="preserve"> These are </w:t>
      </w:r>
      <w:r>
        <w:rPr>
          <w:color w:val="auto"/>
          <w:shd w:val="clear" w:color="auto" w:fill="FFFFFF"/>
        </w:rPr>
        <w:t xml:space="preserve">the </w:t>
      </w:r>
      <w:r>
        <w:rPr>
          <w:bCs/>
          <w:color w:val="auto"/>
          <w:shd w:val="clear" w:color="auto" w:fill="FFFFFF"/>
        </w:rPr>
        <w:t>supreme laws of</w:t>
      </w:r>
      <w:r>
        <w:rPr>
          <w:b/>
          <w:bCs/>
          <w:color w:val="auto"/>
          <w:shd w:val="clear" w:color="auto" w:fill="FFFFFF"/>
        </w:rPr>
        <w:t> </w:t>
      </w:r>
      <w:r>
        <w:rPr>
          <w:color w:val="auto"/>
        </w:rPr>
        <w:t>countries. The constitution may be written, unwritten, flexible or rigid. Written constitutions have every legal provision on how to govern a country documented. Any changes that will occur on it must follow through the process of legislative amendments. The unwritten constitution is not documented anywhere. This form of constitution is being practiced by verbal pronouncements. Flexible constitutions can be subjected to changes anytime, while rigid constitution cannot be changed. Examples of constitutions are Constitutions of Nigeria, United States Constitution, Washington State Constitution, etc.</w:t>
      </w:r>
    </w:p>
    <w:p w14:paraId="5CB23D5D">
      <w:pPr>
        <w:pStyle w:val="10"/>
        <w:numPr>
          <w:ilvl w:val="0"/>
          <w:numId w:val="8"/>
        </w:numPr>
        <w:shd w:val="clear" w:color="auto" w:fill="FFFFFF"/>
        <w:spacing w:before="0" w:beforeAutospacing="0" w:after="150" w:afterAutospacing="0" w:line="360" w:lineRule="auto"/>
        <w:jc w:val="both"/>
        <w:rPr>
          <w:color w:val="auto"/>
        </w:rPr>
      </w:pPr>
      <w:r>
        <w:rPr>
          <w:b/>
          <w:color w:val="auto"/>
        </w:rPr>
        <w:t>Statutes:</w:t>
      </w:r>
      <w:r>
        <w:rPr>
          <w:color w:val="auto"/>
        </w:rPr>
        <w:t xml:space="preserve"> These are also known as laws enacted by legislatures or acts of parliament. They are the most significant form of statute law. They start out as Parliamentary Bills, and when they have passed through the House of Representatives and Senate they receive Presidential Assent to become Acts. The Act then becomes a law, although it may not come into force immediately. Acts of Parliament have a short title and a chapter number, for example, the Freedom of information (Act 2011), Petroleum Industry (Act 2022), etc. Acts of Parliament are published on the government’s Legislation website. They are also available in the legal databases. Parliament can empower other institutions or individuals to make legislation. This is known as delegated legislation. </w:t>
      </w:r>
    </w:p>
    <w:p w14:paraId="0D7762C8">
      <w:pPr>
        <w:pStyle w:val="10"/>
        <w:numPr>
          <w:ilvl w:val="0"/>
          <w:numId w:val="8"/>
        </w:numPr>
        <w:shd w:val="clear" w:color="auto" w:fill="FFFFFF"/>
        <w:spacing w:before="0" w:beforeAutospacing="0" w:after="150" w:afterAutospacing="0" w:line="360" w:lineRule="auto"/>
        <w:jc w:val="both"/>
        <w:rPr>
          <w:color w:val="auto"/>
        </w:rPr>
      </w:pPr>
      <w:r>
        <w:rPr>
          <w:b/>
          <w:color w:val="auto"/>
        </w:rPr>
        <w:t>Law Cases/Law Reports:</w:t>
      </w:r>
      <w:r>
        <w:rPr>
          <w:color w:val="auto"/>
        </w:rPr>
        <w:t xml:space="preserve"> They are also known as case law (or judicial precedent) because they are laws made by the courts and decided by judges. Judicial precedent operates under the principle of </w:t>
      </w:r>
      <w:r>
        <w:rPr>
          <w:rStyle w:val="6"/>
          <w:color w:val="auto"/>
        </w:rPr>
        <w:t>stare decisis</w:t>
      </w:r>
      <w:r>
        <w:rPr>
          <w:color w:val="auto"/>
        </w:rPr>
        <w:t> which literally means “to stand by decisions”. This principle means that a court must follow and apply the law as set out in the decisions of higher courts in previous cases. In order for the principle of </w:t>
      </w:r>
      <w:r>
        <w:rPr>
          <w:rStyle w:val="6"/>
          <w:color w:val="auto"/>
        </w:rPr>
        <w:t>stare decisis</w:t>
      </w:r>
      <w:r>
        <w:rPr>
          <w:color w:val="auto"/>
        </w:rPr>
        <w:t> to operate, a judge must know what the previous decisions of courts are. Case reports, or “law reports”, make this possible. There are currently many different series of law reports published, which reproduce judgments and add supplementary information by an editor. It may take some time between a judgment being handed down and it is being published as a report. Similar systems of law reporting operate in other common law jurisdictions.</w:t>
      </w:r>
    </w:p>
    <w:p w14:paraId="525F3046">
      <w:pPr>
        <w:pStyle w:val="10"/>
        <w:numPr>
          <w:ilvl w:val="0"/>
          <w:numId w:val="8"/>
        </w:numPr>
        <w:shd w:val="clear" w:color="auto" w:fill="FFFFFF"/>
        <w:spacing w:before="0" w:beforeAutospacing="0" w:after="150" w:afterAutospacing="0" w:line="360" w:lineRule="auto"/>
        <w:jc w:val="both"/>
        <w:rPr>
          <w:color w:val="auto"/>
        </w:rPr>
      </w:pPr>
      <w:r>
        <w:rPr>
          <w:b/>
          <w:color w:val="auto"/>
        </w:rPr>
        <w:t xml:space="preserve">Rules and Regulations: </w:t>
      </w:r>
      <w:r>
        <w:rPr>
          <w:rStyle w:val="11"/>
          <w:color w:val="auto"/>
        </w:rPr>
        <w:t>Regulations</w:t>
      </w:r>
      <w:r>
        <w:rPr>
          <w:color w:val="auto"/>
        </w:rPr>
        <w:t> imply the directives which a body or authority creates and maintains. These are lawfully enforced. R</w:t>
      </w:r>
      <w:r>
        <w:rPr>
          <w:rStyle w:val="11"/>
          <w:color w:val="auto"/>
        </w:rPr>
        <w:t>ules</w:t>
      </w:r>
      <w:r>
        <w:rPr>
          <w:color w:val="auto"/>
        </w:rPr>
        <w:t> are the basic guidelines of instructions that states the way of doing something correctly. Rules and regulations are the principles that direct the conduct or behaviour of a person in an organization or country.</w:t>
      </w:r>
    </w:p>
    <w:p w14:paraId="26B86F1A">
      <w:pPr>
        <w:pStyle w:val="10"/>
        <w:numPr>
          <w:ilvl w:val="0"/>
          <w:numId w:val="8"/>
        </w:numPr>
        <w:shd w:val="clear" w:color="auto" w:fill="FFFFFF"/>
        <w:spacing w:before="0" w:beforeAutospacing="0" w:after="150" w:afterAutospacing="0" w:line="360" w:lineRule="auto"/>
        <w:jc w:val="both"/>
        <w:rPr>
          <w:color w:val="auto"/>
        </w:rPr>
      </w:pPr>
      <w:r>
        <w:rPr>
          <w:b/>
          <w:color w:val="auto"/>
        </w:rPr>
        <w:t>Treaties:</w:t>
      </w:r>
      <w:r>
        <w:rPr>
          <w:color w:val="auto"/>
        </w:rPr>
        <w:t xml:space="preserve"> These are mostly applicable to International Law. </w:t>
      </w:r>
      <w:r>
        <w:rPr>
          <w:color w:val="auto"/>
          <w:shd w:val="clear" w:color="auto" w:fill="FFFFFF"/>
        </w:rPr>
        <w:t>A treaty is </w:t>
      </w:r>
      <w:r>
        <w:rPr>
          <w:bCs/>
          <w:color w:val="auto"/>
          <w:shd w:val="clear" w:color="auto" w:fill="FFFFFF"/>
        </w:rPr>
        <w:t>any legally binding agreement between states (countries)</w:t>
      </w:r>
      <w:r>
        <w:rPr>
          <w:color w:val="auto"/>
          <w:shd w:val="clear" w:color="auto" w:fill="FFFFFF"/>
        </w:rPr>
        <w:t>. A treaty can be called a Convention, a Protocol, a Pact, an Accord, etc. It is the content of the agreement between two or more countries.</w:t>
      </w:r>
    </w:p>
    <w:p w14:paraId="192A3B66">
      <w:pPr>
        <w:pStyle w:val="10"/>
        <w:shd w:val="clear" w:color="auto" w:fill="FFFFFF"/>
        <w:spacing w:before="0" w:beforeAutospacing="0" w:after="150" w:afterAutospacing="0" w:line="360" w:lineRule="auto"/>
        <w:jc w:val="both"/>
        <w:rPr>
          <w:color w:val="auto"/>
        </w:rPr>
      </w:pPr>
      <w:r>
        <w:rPr>
          <w:color w:val="auto"/>
        </w:rPr>
        <w:t xml:space="preserve">Secondary legal information materials are legal documents derived from filtering and editing of the primary legal information materials. These legal information materials consist of sources that explain, criticize, discuss, or help locate primary legal information materials. They include journals and textbooks, etc.  Examples of secondary legal sources include: </w:t>
      </w:r>
    </w:p>
    <w:p w14:paraId="3868566E">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Law reviews and journals: </w:t>
      </w:r>
      <w:r>
        <w:rPr>
          <w:color w:val="auto"/>
          <w:shd w:val="clear" w:color="auto" w:fill="FFFFFF"/>
        </w:rPr>
        <w:t>A law review or law journal is a scholarly journal or publication that focuses on legal issues. A law review is a type of legal periodical. Law reviews are a source of research, imbedded with analyzed and referenced legal topics; they also provide a scholarly analysis of emerging law concepts from various topics. </w:t>
      </w:r>
      <w:r>
        <w:rPr>
          <w:color w:val="auto"/>
        </w:rPr>
        <w:t xml:space="preserve">Examples are: </w:t>
      </w:r>
      <w:r>
        <w:rPr>
          <w:iCs/>
          <w:color w:val="auto"/>
        </w:rPr>
        <w:t>Virginia Law Review</w:t>
      </w:r>
      <w:r>
        <w:rPr>
          <w:color w:val="auto"/>
        </w:rPr>
        <w:t>, </w:t>
      </w:r>
      <w:r>
        <w:rPr>
          <w:rStyle w:val="6"/>
          <w:color w:val="auto"/>
        </w:rPr>
        <w:t>Seattle University Law Review, Yale Law Journal, etc.</w:t>
      </w:r>
    </w:p>
    <w:p w14:paraId="32A1EE3C">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Legal treatises, nutshells, hornbooks, deskbooks: </w:t>
      </w:r>
      <w:r>
        <w:rPr>
          <w:color w:val="auto"/>
          <w:shd w:val="clear" w:color="auto" w:fill="FFFFFF"/>
        </w:rPr>
        <w:t>A legal treatise is a scholarly legal publication containing all the law relating to a particular area, such as criminal law or trusts and estates.</w:t>
      </w:r>
      <w:r>
        <w:rPr>
          <w:color w:val="auto"/>
        </w:rPr>
        <w:t xml:space="preserve"> Examples are </w:t>
      </w:r>
      <w:r>
        <w:rPr>
          <w:i/>
          <w:iCs/>
          <w:color w:val="auto"/>
        </w:rPr>
        <w:t>Criminal Law in a Nutshell, Principles of Employment Law</w:t>
      </w:r>
      <w:r>
        <w:rPr>
          <w:color w:val="auto"/>
        </w:rPr>
        <w:t xml:space="preserve">, </w:t>
      </w:r>
      <w:r>
        <w:rPr>
          <w:i/>
          <w:iCs/>
          <w:color w:val="auto"/>
        </w:rPr>
        <w:t>American Constitutional Law, Washington Civil Procedure Deskbook</w:t>
      </w:r>
      <w:r>
        <w:rPr>
          <w:color w:val="auto"/>
        </w:rPr>
        <w:t>, etc.</w:t>
      </w:r>
    </w:p>
    <w:p w14:paraId="24B5CBF4">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Manuals and guides on how to practice law: </w:t>
      </w:r>
      <w:r>
        <w:rPr>
          <w:color w:val="auto"/>
          <w:shd w:val="clear" w:color="auto" w:fill="FFFFFF"/>
        </w:rPr>
        <w:t>The legal manuals provide a guide to the law, practice and procedure that are at the heart of the legal practice course.</w:t>
      </w:r>
      <w:r>
        <w:rPr>
          <w:color w:val="auto"/>
        </w:rPr>
        <w:t xml:space="preserve"> Examples are </w:t>
      </w:r>
      <w:r>
        <w:rPr>
          <w:rStyle w:val="6"/>
          <w:color w:val="auto"/>
        </w:rPr>
        <w:t>Washington Practice</w:t>
      </w:r>
      <w:r>
        <w:rPr>
          <w:color w:val="auto"/>
        </w:rPr>
        <w:t>, </w:t>
      </w:r>
      <w:r>
        <w:rPr>
          <w:rStyle w:val="6"/>
          <w:color w:val="auto"/>
        </w:rPr>
        <w:t>Washington Lawyers Practice Manual</w:t>
      </w:r>
      <w:r>
        <w:rPr>
          <w:color w:val="auto"/>
        </w:rPr>
        <w:t>.</w:t>
      </w:r>
    </w:p>
    <w:p w14:paraId="27A4738E">
      <w:pPr>
        <w:pStyle w:val="10"/>
        <w:shd w:val="clear" w:color="auto" w:fill="FFFFFF"/>
        <w:spacing w:before="0" w:beforeAutospacing="0" w:after="150" w:afterAutospacing="0" w:line="360" w:lineRule="auto"/>
        <w:jc w:val="both"/>
        <w:rPr>
          <w:color w:val="auto"/>
        </w:rPr>
      </w:pPr>
      <w:r>
        <w:rPr>
          <w:rStyle w:val="11"/>
          <w:color w:val="auto"/>
        </w:rPr>
        <w:t>Tertiary</w:t>
      </w:r>
      <w:r>
        <w:rPr>
          <w:color w:val="auto"/>
        </w:rPr>
        <w:t> legal information materials are legal information materials that emanated from synthesizing of both the primary and secondary sources of legal information. The tertiary legal information materials compile, list or digest information from other sources. Tertiary legal materials are not considered acceptable material upon which to base academic legal research. These materials always point users to the pertinent primary materials, which also can be used when conducting legal research. Tertiary legal materials include encyclopedias of law, dictionaries of law, bibliographies of law publications, directories of lawyers, judges, justices, notable legal practitioners, compendium of law, etc.</w:t>
      </w:r>
    </w:p>
    <w:p w14:paraId="0CD83BDA">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2.8</w:t>
      </w:r>
      <w:r>
        <w:rPr>
          <w:rFonts w:ascii="Times New Roman" w:hAnsi="Times New Roman" w:cs="Times New Roman"/>
          <w:b/>
          <w:color w:val="auto"/>
          <w:sz w:val="24"/>
          <w:szCs w:val="24"/>
        </w:rPr>
        <w:tab/>
      </w:r>
      <w:r>
        <w:rPr>
          <w:rFonts w:ascii="Times New Roman" w:hAnsi="Times New Roman" w:cs="Times New Roman"/>
          <w:b/>
          <w:color w:val="auto"/>
          <w:sz w:val="24"/>
          <w:szCs w:val="24"/>
        </w:rPr>
        <w:t>Benefits of Selection and Acquisition of Legal Information Materials in Law Libraries</w:t>
      </w:r>
    </w:p>
    <w:p w14:paraId="6BAFA64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Scholars have justified the essence of selection on acquisition of quality legal information materials in law libraries. Okogwu and Achebe (2018) pointed out that because selection is being done by selectors, it helps to address new issues as part of the selection and management processes, issues such as easy and quick accessibility for users, continuous content evaluation and technological and legal concerns. Selection also allows selectors to make decision to acquire items with only limited consultation with other departments following established policies and guidelines.</w:t>
      </w:r>
    </w:p>
    <w:p w14:paraId="07F30CF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Seeing it from a different perspective, Plockey and Ofori (2018) argued that selection and acquisition of legal information materials are highly of great importance to the services of law libraries. They highlighted ensuring provision of adequate legal information materials relevant to the needs of the users of law libraries, increase the quality of services of the law libraries, ensure judicious spending of the law library budget, helps the law library to select legal information materials that will be purchased from only the reputable publishers or vendors, helps law libraries to evaluate the contents of legal information materials they intend to acquire.</w:t>
      </w:r>
    </w:p>
    <w:p w14:paraId="1504040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Onwudinjo (2015), Ezeh (2020) believed that selection and acquisition of legal information materials helps in space saving. They reasoned that when only the needed information materials are acquired and selected, there won’t be need for law libraries to be purchasing information materials that are not relevant to the needs of their users. They further submitted that a thorough selection and acquisition of legal information materials will attest to the qualifications of the law librarians, which will also contribute to the standard of practice of the law libraries.</w:t>
      </w:r>
    </w:p>
    <w:p w14:paraId="731863FA">
      <w:pPr>
        <w:spacing w:line="360" w:lineRule="auto"/>
        <w:jc w:val="both"/>
        <w:rPr>
          <w:rFonts w:ascii="Times New Roman" w:hAnsi="Times New Roman" w:cs="Times New Roman"/>
          <w:color w:val="auto"/>
          <w:sz w:val="24"/>
          <w:szCs w:val="24"/>
        </w:rPr>
      </w:pPr>
    </w:p>
    <w:p w14:paraId="49C006EB">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2.9</w:t>
      </w:r>
      <w:r>
        <w:rPr>
          <w:rFonts w:ascii="Times New Roman" w:hAnsi="Times New Roman" w:cs="Times New Roman"/>
          <w:b/>
          <w:color w:val="auto"/>
          <w:sz w:val="24"/>
          <w:szCs w:val="24"/>
        </w:rPr>
        <w:tab/>
      </w:r>
      <w:r>
        <w:rPr>
          <w:rFonts w:ascii="Times New Roman" w:hAnsi="Times New Roman" w:cs="Times New Roman"/>
          <w:b/>
          <w:color w:val="auto"/>
          <w:sz w:val="24"/>
          <w:szCs w:val="24"/>
        </w:rPr>
        <w:t>Challenges of Selection and Acquisition of Legal Information Materials in Law Libraries</w:t>
      </w:r>
    </w:p>
    <w:p w14:paraId="1D9C531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Plockey and Ofori (2018) submitted that the key challenges affecting the selection and acquisitions of legal information materials in law libraries or academic law libraries include inadequate funding, economic instability, dearth of current books, lack of due process, lack of current acquisition tools. Abdulsalami and Arowolo (2019) further highlighted lack of sufficient capital to embark on the adverting and carrying adequate stocks, insufficient books selling experience, lack of knowledge of the needs of the special libraries, insufficient content with source of supply, absence of patronage from the librarians</w:t>
      </w:r>
    </w:p>
    <w:p w14:paraId="596961CE">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(2015), Asikuzzaman (2022) argued that the major challenges of law libraries or academic law libraries include space because it receives all its orders in bulk and as such the processing unit gets crowded with delivering resources/materials. Also related to this is the diversity in language in which the new users read. There are far too few resources in our dominant languages to meet up the demand for them. As a result new users often get disappointed when they visit the library without finding the kind of books they want which is relevant to their needs at their level and in the languages of their literacy. In special libraries these are no specific bodies established either administratively or by edit in form of library committees or boards to handle and monitor the acquisition and resources utilization of the law libraries or academic law libraries resources for good library services. Law libraries or academic law libraries’ services are so weak, that in most cases the little funds for such services are usually diverted. </w:t>
      </w:r>
    </w:p>
    <w:p w14:paraId="1ADF012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Ezeh (2020) specifically explained the following as the challenges of selection and acquisition in law libraries:</w:t>
      </w:r>
    </w:p>
    <w:p w14:paraId="2C647457">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Paucity of Funds: Paucity of fund is endemic in academic law libraries. Academic law libraries in Nigeria depend on the main university library for its funding. Law competes with other disciplines in the meager financial resources allotted to university library for acquisition of information resources. Most often useful materials needed for prompt service at the law library are not acquired. </w:t>
      </w:r>
    </w:p>
    <w:p w14:paraId="7190282F">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Administrative Bottleneck in Acquisition Process: The acquisition practices in most academic law libraries in Nigeria do not encourage prompt service delivery. The acquisition practice, which starts at the law library, involves series of bureaucratic process which delay early arrival of requested materials. Experience have shown that sometimes these materials arrive only when their need have elapsed. </w:t>
      </w:r>
    </w:p>
    <w:p w14:paraId="46A7EF2A">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Autonomy of Academic Law Library: The organizational structure of academic law libraries in Nigeria is such that the law Library which services Faculty of Law is under the control of the University Library. The law librarian is responsible to the university librarian in terms of financial matters. This organizational arrangement affects the book vote, slow down acquisition and administrative processes.</w:t>
      </w:r>
    </w:p>
    <w:p w14:paraId="5CE632CE">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2.10</w:t>
      </w:r>
      <w:r>
        <w:rPr>
          <w:rFonts w:ascii="Times New Roman" w:hAnsi="Times New Roman" w:cs="Times New Roman"/>
          <w:b/>
          <w:color w:val="auto"/>
          <w:sz w:val="24"/>
          <w:szCs w:val="24"/>
        </w:rPr>
        <w:tab/>
      </w:r>
      <w:r>
        <w:rPr>
          <w:rFonts w:ascii="Times New Roman" w:hAnsi="Times New Roman" w:cs="Times New Roman"/>
          <w:b/>
          <w:color w:val="auto"/>
          <w:sz w:val="24"/>
          <w:szCs w:val="24"/>
        </w:rPr>
        <w:t>Summary of the Literature Reviewed</w:t>
      </w:r>
    </w:p>
    <w:p w14:paraId="7E2C84C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has aptly reviewed various literatures on the concepts of law libraries, selection and acquisition of legal information materials in law libraries. It also explained various method of acquiring legal information materials, the tools and criteria for selection of legal information materials that will be acquired by law libraries and rounded up by discussing the benefits and challenges of selection and acquisition of legal information materials in law libraries.</w:t>
      </w:r>
    </w:p>
    <w:p w14:paraId="1124218E">
      <w:pPr>
        <w:spacing w:line="360" w:lineRule="auto"/>
        <w:jc w:val="both"/>
        <w:rPr>
          <w:rFonts w:ascii="Times New Roman" w:hAnsi="Times New Roman" w:cs="Times New Roman"/>
          <w:color w:val="auto"/>
          <w:sz w:val="24"/>
          <w:szCs w:val="24"/>
        </w:rPr>
      </w:pPr>
    </w:p>
    <w:p w14:paraId="0BE5D9D2">
      <w:pPr>
        <w:spacing w:before="240" w:after="0" w:line="360" w:lineRule="auto"/>
        <w:jc w:val="center"/>
        <w:rPr>
          <w:rFonts w:ascii="Times New Roman" w:hAnsi="Times New Roman"/>
          <w:b/>
          <w:color w:val="auto"/>
          <w:sz w:val="28"/>
          <w:szCs w:val="28"/>
        </w:rPr>
      </w:pPr>
    </w:p>
    <w:p w14:paraId="4F66473F">
      <w:pPr>
        <w:spacing w:before="240" w:after="0" w:line="360" w:lineRule="auto"/>
        <w:jc w:val="center"/>
        <w:rPr>
          <w:rFonts w:ascii="Times New Roman" w:hAnsi="Times New Roman"/>
          <w:b/>
          <w:color w:val="auto"/>
          <w:sz w:val="28"/>
          <w:szCs w:val="28"/>
        </w:rPr>
      </w:pPr>
    </w:p>
    <w:p w14:paraId="021A25CE">
      <w:pPr>
        <w:spacing w:before="240" w:after="0" w:line="360" w:lineRule="auto"/>
        <w:jc w:val="both"/>
        <w:rPr>
          <w:rFonts w:ascii="Times New Roman" w:hAnsi="Times New Roman"/>
          <w:b/>
          <w:color w:val="auto"/>
          <w:sz w:val="28"/>
          <w:szCs w:val="28"/>
        </w:rPr>
      </w:pPr>
    </w:p>
    <w:p w14:paraId="1E97457A">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CHAPTER THREE</w:t>
      </w:r>
    </w:p>
    <w:p w14:paraId="48CE8077">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METHODOLOGY</w:t>
      </w:r>
    </w:p>
    <w:p w14:paraId="66D0988B">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3.1    Research Design</w:t>
      </w:r>
    </w:p>
    <w:p w14:paraId="24E05D49">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Research design is to indicate the ways to be followed or patterns of how the study will be conducted. Case study method will be adopted for this study. The reason for adopting case study is because it would avail the researcher the opportunity of focusing on University of Ilorin Law Library with the aim of finding out the implications of selection and acquisition procedures of legal information materials on its services.</w:t>
      </w:r>
    </w:p>
    <w:p w14:paraId="70711E02">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3.2     Population of the Study</w:t>
      </w:r>
    </w:p>
    <w:p w14:paraId="4BBD174A">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Collection Development Librarian of University of Ilorin Library, the Librarian and staff of University of Ilorin Law Library.</w:t>
      </w:r>
    </w:p>
    <w:p w14:paraId="0CF6958A">
      <w:pPr>
        <w:spacing w:before="240" w:after="0" w:line="360" w:lineRule="auto"/>
        <w:jc w:val="both"/>
        <w:rPr>
          <w:rFonts w:ascii="Times New Roman" w:hAnsi="Times New Roman"/>
          <w:color w:val="auto"/>
          <w:sz w:val="24"/>
          <w:szCs w:val="24"/>
        </w:rPr>
      </w:pPr>
      <w:r>
        <w:rPr>
          <w:rFonts w:ascii="Times New Roman" w:hAnsi="Times New Roman"/>
          <w:b/>
          <w:color w:val="auto"/>
          <w:sz w:val="24"/>
          <w:szCs w:val="24"/>
        </w:rPr>
        <w:t>3.3Sample and Sampling Techniques</w:t>
      </w:r>
    </w:p>
    <w:p w14:paraId="582EFC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Sample is the unit, portion or element of the population, which will provide data that are relevant to the study. In this study, samples was drawn from staff of University of Ilorin Law Library.  Background information revealed that the Law Library has closed to 12 staff. </w:t>
      </w:r>
    </w:p>
    <w:p w14:paraId="254310CF">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On the other hand, sample technique is the method of how respondents or participants will be selected for this study. Therefore, census enumerative will be adopted for this study. The reason for adopting census enumerative is because the respondents are not much and the researcher can obtain data from them, provided they are available at the time of administering the data collection instrument.</w:t>
      </w:r>
    </w:p>
    <w:p w14:paraId="680A10BE">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3.4    Instrument for Data Collection</w:t>
      </w:r>
    </w:p>
    <w:p w14:paraId="18709CE1">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adopted questionnaire and interview as its data collection instrument.  The questionnaire, according to Issa (2012) is a data collection instrument containing series of questions and other prompt responses for the purpose of gathering information from respondents. The questionnaire, titled </w:t>
      </w:r>
      <w:r>
        <w:rPr>
          <w:rFonts w:ascii="Times New Roman" w:hAnsi="Times New Roman"/>
          <w:b/>
          <w:i/>
          <w:color w:val="auto"/>
          <w:sz w:val="24"/>
          <w:szCs w:val="24"/>
        </w:rPr>
        <w:t>“Influence of Selection and Acquisition Procedures on Legal Information Materials in University of Ilorin Law Library”</w:t>
      </w:r>
      <w:r>
        <w:rPr>
          <w:rFonts w:ascii="Times New Roman" w:hAnsi="Times New Roman"/>
          <w:color w:val="auto"/>
          <w:sz w:val="24"/>
          <w:szCs w:val="24"/>
        </w:rPr>
        <w:t xml:space="preserve"> will be arranged into two major sections. The first section was meant for respondents’ demographic data, while the second section will be dedicated to obtaining data on the problem being understudied.</w:t>
      </w:r>
    </w:p>
    <w:p w14:paraId="3DC4A96C">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3.5 Data Collection Procedure</w:t>
      </w:r>
    </w:p>
    <w:p w14:paraId="1E9C2C50">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questionnaire will be administered to the respondents by the researcher and supported by a research assistant. The researcher will appeal to the respondents to fill the questionnaire on time, so that the researcher can meet other respondents and progress to the next chapter of this study.</w:t>
      </w:r>
    </w:p>
    <w:p w14:paraId="087F95E1">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3.6    Method of Data Analysis</w:t>
      </w:r>
    </w:p>
    <w:p w14:paraId="7F88AF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Data obtained was presented and analysed by using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720CF204">
      <w:pPr>
        <w:spacing w:before="240" w:after="0" w:line="360" w:lineRule="auto"/>
        <w:jc w:val="both"/>
        <w:rPr>
          <w:rFonts w:ascii="Times New Roman" w:hAnsi="Times New Roman"/>
          <w:color w:val="auto"/>
          <w:sz w:val="24"/>
          <w:szCs w:val="24"/>
        </w:rPr>
      </w:pPr>
    </w:p>
    <w:p w14:paraId="3B138C49">
      <w:pPr>
        <w:spacing w:before="240" w:after="0" w:line="360" w:lineRule="auto"/>
        <w:jc w:val="both"/>
        <w:rPr>
          <w:rFonts w:ascii="Times New Roman" w:hAnsi="Times New Roman"/>
          <w:color w:val="auto"/>
          <w:sz w:val="24"/>
          <w:szCs w:val="24"/>
        </w:rPr>
      </w:pPr>
    </w:p>
    <w:p w14:paraId="453D2DCB">
      <w:pPr>
        <w:spacing w:before="240" w:after="0" w:line="360" w:lineRule="auto"/>
        <w:jc w:val="both"/>
        <w:rPr>
          <w:rFonts w:ascii="Times New Roman" w:hAnsi="Times New Roman"/>
          <w:b/>
          <w:color w:val="auto"/>
          <w:sz w:val="24"/>
          <w:szCs w:val="24"/>
        </w:rPr>
      </w:pPr>
    </w:p>
    <w:p w14:paraId="129047E5">
      <w:pPr>
        <w:spacing w:before="240" w:after="0" w:line="360" w:lineRule="auto"/>
        <w:jc w:val="both"/>
        <w:rPr>
          <w:rFonts w:ascii="Times New Roman" w:hAnsi="Times New Roman" w:cs="Times New Roman"/>
          <w:b/>
          <w:color w:val="auto"/>
          <w:sz w:val="24"/>
          <w:szCs w:val="24"/>
          <w:lang w:val="en-GB"/>
        </w:rPr>
      </w:pPr>
      <w:bookmarkStart w:id="0" w:name="_Hlk153983173"/>
    </w:p>
    <w:p w14:paraId="30717361">
      <w:pPr>
        <w:spacing w:before="240" w:after="0" w:line="36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CHAPTER FOUR</w:t>
      </w:r>
    </w:p>
    <w:p w14:paraId="065E092D">
      <w:pPr>
        <w:spacing w:before="240" w:after="0" w:line="360" w:lineRule="auto"/>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4.0</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DATA ANALYSIS AND PRESENTATION</w:t>
      </w:r>
    </w:p>
    <w:p w14:paraId="1C3F34E4">
      <w:pPr>
        <w:spacing w:before="240"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 xml:space="preserve">4.1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Presentation of Results</w:t>
      </w:r>
    </w:p>
    <w:p w14:paraId="03B60BE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This chapter present, analyse, discuss, and interpret the data obtained from field with the aid of questionnaire. For the sake of clarity, this chapter is further arranged in the following order:</w:t>
      </w:r>
    </w:p>
    <w:p w14:paraId="6F6C9322">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4.2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Questionnaire Distribution and Response Rate</w:t>
      </w:r>
    </w:p>
    <w:p w14:paraId="1496528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4.3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Demographic Characteristics of Respondents</w:t>
      </w:r>
    </w:p>
    <w:p w14:paraId="6F1B312B">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4.4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Analysis of Data and Discussion of Findings</w:t>
      </w:r>
    </w:p>
    <w:p w14:paraId="5DE3FDDA">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lang w:val="en-GB"/>
        </w:rPr>
        <w:t>4.2</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Questionnaire Distribution and Response Rate</w:t>
      </w:r>
    </w:p>
    <w:p w14:paraId="3C5F2F57">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From the 12 copies of questionnaires administered, the whole 12 were returned and out of the questionnaire returned, 11 were fully filled and adequate for analysis. Hence, the data of this study was valid for analysis with questionnaire response rate of 91.63%. According to Ramshaw (2021), questionnaire is suitable for analysis if the response rate is more than average for physically administered questionnaires and can be used to represent majority of the characteristics intended to describe by the researcher. </w:t>
      </w:r>
    </w:p>
    <w:bookmarkEnd w:id="0"/>
    <w:p w14:paraId="78B12AB4">
      <w:pPr>
        <w:spacing w:before="240" w:after="0" w:line="360" w:lineRule="auto"/>
        <w:jc w:val="both"/>
        <w:rPr>
          <w:rFonts w:ascii="Times New Roman" w:hAnsi="Times New Roman" w:cs="Times New Roman"/>
          <w:b/>
          <w:color w:val="auto"/>
          <w:sz w:val="24"/>
          <w:szCs w:val="24"/>
          <w:lang w:val="en-GB"/>
        </w:rPr>
      </w:pPr>
    </w:p>
    <w:p w14:paraId="2C6504B6">
      <w:pPr>
        <w:spacing w:before="240" w:after="0" w:line="360" w:lineRule="auto"/>
        <w:jc w:val="both"/>
        <w:rPr>
          <w:rFonts w:ascii="Times New Roman" w:hAnsi="Times New Roman" w:cs="Times New Roman"/>
          <w:b/>
          <w:color w:val="auto"/>
          <w:sz w:val="24"/>
          <w:szCs w:val="24"/>
          <w:lang w:val="en-GB"/>
        </w:rPr>
      </w:pPr>
    </w:p>
    <w:p w14:paraId="708AA2AC">
      <w:pPr>
        <w:spacing w:before="240" w:after="0" w:line="360" w:lineRule="auto"/>
        <w:jc w:val="both"/>
        <w:rPr>
          <w:rFonts w:ascii="Times New Roman" w:hAnsi="Times New Roman" w:cs="Times New Roman"/>
          <w:b/>
          <w:color w:val="auto"/>
          <w:sz w:val="24"/>
          <w:szCs w:val="24"/>
          <w:lang w:val="en-GB"/>
        </w:rPr>
      </w:pPr>
    </w:p>
    <w:p w14:paraId="3982C08E">
      <w:pPr>
        <w:spacing w:before="240" w:after="0" w:line="360" w:lineRule="auto"/>
        <w:jc w:val="both"/>
        <w:rPr>
          <w:rFonts w:ascii="Times New Roman" w:hAnsi="Times New Roman" w:cs="Times New Roman"/>
          <w:b/>
          <w:color w:val="auto"/>
          <w:sz w:val="24"/>
          <w:szCs w:val="24"/>
          <w:lang w:val="en-GB"/>
        </w:rPr>
      </w:pPr>
    </w:p>
    <w:p w14:paraId="30CB8A3C">
      <w:pPr>
        <w:spacing w:before="240" w:after="0" w:line="360" w:lineRule="auto"/>
        <w:jc w:val="both"/>
        <w:rPr>
          <w:rFonts w:ascii="Times New Roman" w:hAnsi="Times New Roman" w:cs="Times New Roman"/>
          <w:b/>
          <w:color w:val="auto"/>
          <w:sz w:val="24"/>
          <w:szCs w:val="24"/>
          <w:lang w:val="en-GB"/>
        </w:rPr>
      </w:pPr>
    </w:p>
    <w:p w14:paraId="42CF2C4E">
      <w:pPr>
        <w:spacing w:before="240" w:after="0" w:line="360" w:lineRule="auto"/>
        <w:jc w:val="both"/>
        <w:rPr>
          <w:rFonts w:ascii="Times New Roman" w:hAnsi="Times New Roman" w:cs="Times New Roman"/>
          <w:b/>
          <w:color w:val="auto"/>
          <w:sz w:val="24"/>
          <w:szCs w:val="24"/>
          <w:lang w:val="en-GB"/>
        </w:rPr>
      </w:pPr>
      <w:bookmarkStart w:id="1" w:name="_Hlk153983263"/>
      <w:r>
        <w:rPr>
          <w:rFonts w:ascii="Times New Roman" w:hAnsi="Times New Roman" w:cs="Times New Roman"/>
          <w:b/>
          <w:color w:val="auto"/>
          <w:sz w:val="24"/>
          <w:szCs w:val="24"/>
          <w:lang w:val="en-GB"/>
        </w:rPr>
        <w:t xml:space="preserve">4.3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Demographic Characteristics of Respondents</w:t>
      </w:r>
    </w:p>
    <w:p w14:paraId="746E8920">
      <w:pPr>
        <w:autoSpaceDE w:val="0"/>
        <w:autoSpaceDN w:val="0"/>
        <w:adjustRightInd w:val="0"/>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Table 1: Respondents’ Demographic Distribution</w:t>
      </w:r>
    </w:p>
    <w:bookmarkEnd w:id="1"/>
    <w:p w14:paraId="6D4682A0">
      <w:pPr>
        <w:autoSpaceDE w:val="0"/>
        <w:autoSpaceDN w:val="0"/>
        <w:adjustRightInd w:val="0"/>
        <w:spacing w:after="0" w:line="360" w:lineRule="auto"/>
        <w:rPr>
          <w:rFonts w:ascii="Times New Roman" w:hAnsi="Times New Roman" w:cs="Times New Roman"/>
          <w:b/>
          <w:color w:val="auto"/>
          <w:sz w:val="24"/>
          <w:szCs w:val="24"/>
        </w:rPr>
      </w:pPr>
    </w:p>
    <w:tbl>
      <w:tblPr>
        <w:tblStyle w:val="5"/>
        <w:tblW w:w="7401" w:type="dxa"/>
        <w:tblInd w:w="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77"/>
        <w:gridCol w:w="1641"/>
        <w:gridCol w:w="938"/>
        <w:gridCol w:w="1345"/>
      </w:tblGrid>
      <w:tr w14:paraId="23264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5118" w:type="dxa"/>
            <w:gridSpan w:val="2"/>
            <w:tcBorders>
              <w:top w:val="single" w:color="000000" w:sz="16" w:space="0"/>
              <w:left w:val="single" w:color="000000" w:sz="16" w:space="0"/>
              <w:bottom w:val="single" w:color="000000" w:sz="16" w:space="0"/>
              <w:right w:val="nil"/>
            </w:tcBorders>
            <w:shd w:val="clear" w:color="auto" w:fill="FFFFFF"/>
            <w:vAlign w:val="bottom"/>
          </w:tcPr>
          <w:p w14:paraId="6116CE91">
            <w:pPr>
              <w:autoSpaceDE w:val="0"/>
              <w:autoSpaceDN w:val="0"/>
              <w:adjustRightInd w:val="0"/>
              <w:spacing w:after="0"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938" w:type="dxa"/>
            <w:tcBorders>
              <w:top w:val="single" w:color="000000" w:sz="16" w:space="0"/>
              <w:left w:val="single" w:color="000000" w:sz="16" w:space="0"/>
              <w:bottom w:val="single" w:color="000000" w:sz="16" w:space="0"/>
            </w:tcBorders>
            <w:shd w:val="clear" w:color="auto" w:fill="FFFFFF"/>
            <w:vAlign w:val="bottom"/>
          </w:tcPr>
          <w:p w14:paraId="055043D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1345" w:type="dxa"/>
            <w:tcBorders>
              <w:top w:val="single" w:color="000000" w:sz="16" w:space="0"/>
              <w:bottom w:val="single" w:color="000000" w:sz="16" w:space="0"/>
              <w:right w:val="single" w:color="000000" w:sz="16" w:space="0"/>
            </w:tcBorders>
            <w:shd w:val="clear" w:color="auto" w:fill="FFFFFF"/>
            <w:vAlign w:val="bottom"/>
          </w:tcPr>
          <w:p w14:paraId="144B636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r>
      <w:tr w14:paraId="35EE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single" w:color="000000" w:sz="16" w:space="0"/>
              <w:left w:val="single" w:color="000000" w:sz="16" w:space="0"/>
              <w:bottom w:val="nil"/>
              <w:right w:val="nil"/>
            </w:tcBorders>
            <w:shd w:val="clear" w:color="auto" w:fill="FFFFFF"/>
          </w:tcPr>
          <w:p w14:paraId="29905B6E">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Gender</w:t>
            </w:r>
          </w:p>
        </w:tc>
        <w:tc>
          <w:tcPr>
            <w:tcW w:w="1641" w:type="dxa"/>
            <w:tcBorders>
              <w:top w:val="single" w:color="000000" w:sz="16" w:space="0"/>
              <w:left w:val="nil"/>
              <w:bottom w:val="nil"/>
              <w:right w:val="single" w:color="000000" w:sz="16" w:space="0"/>
            </w:tcBorders>
            <w:shd w:val="clear" w:color="auto" w:fill="FFFFFF"/>
          </w:tcPr>
          <w:p w14:paraId="370ECBF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Male</w:t>
            </w:r>
          </w:p>
        </w:tc>
        <w:tc>
          <w:tcPr>
            <w:tcW w:w="938" w:type="dxa"/>
            <w:tcBorders>
              <w:top w:val="single" w:color="000000" w:sz="16" w:space="0"/>
              <w:left w:val="single" w:color="000000" w:sz="16" w:space="0"/>
              <w:bottom w:val="nil"/>
            </w:tcBorders>
            <w:shd w:val="clear" w:color="auto" w:fill="FFFFFF"/>
            <w:vAlign w:val="center"/>
          </w:tcPr>
          <w:p w14:paraId="30EB3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1345" w:type="dxa"/>
            <w:tcBorders>
              <w:top w:val="single" w:color="000000" w:sz="16" w:space="0"/>
              <w:bottom w:val="nil"/>
              <w:right w:val="single" w:color="000000" w:sz="16" w:space="0"/>
            </w:tcBorders>
            <w:shd w:val="clear" w:color="auto" w:fill="FFFFFF"/>
            <w:vAlign w:val="center"/>
          </w:tcPr>
          <w:p w14:paraId="20F22D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r>
      <w:tr w14:paraId="22122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725F6A7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02296C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Female</w:t>
            </w:r>
          </w:p>
        </w:tc>
        <w:tc>
          <w:tcPr>
            <w:tcW w:w="938" w:type="dxa"/>
            <w:tcBorders>
              <w:top w:val="nil"/>
              <w:left w:val="single" w:color="000000" w:sz="16" w:space="0"/>
              <w:bottom w:val="nil"/>
            </w:tcBorders>
            <w:shd w:val="clear" w:color="auto" w:fill="FFFFFF"/>
            <w:vAlign w:val="center"/>
          </w:tcPr>
          <w:p w14:paraId="52715B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46D036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37010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011243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5F7C05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63E9B03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45FC85ED">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B148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17A7BC7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Marital Status</w:t>
            </w:r>
          </w:p>
        </w:tc>
        <w:tc>
          <w:tcPr>
            <w:tcW w:w="1641" w:type="dxa"/>
            <w:tcBorders>
              <w:top w:val="nil"/>
              <w:left w:val="nil"/>
              <w:bottom w:val="nil"/>
              <w:right w:val="single" w:color="000000" w:sz="16" w:space="0"/>
            </w:tcBorders>
            <w:shd w:val="clear" w:color="auto" w:fill="FFFFFF"/>
          </w:tcPr>
          <w:p w14:paraId="76708D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Single</w:t>
            </w:r>
          </w:p>
        </w:tc>
        <w:tc>
          <w:tcPr>
            <w:tcW w:w="938" w:type="dxa"/>
            <w:tcBorders>
              <w:top w:val="nil"/>
              <w:left w:val="single" w:color="000000" w:sz="16" w:space="0"/>
              <w:bottom w:val="nil"/>
            </w:tcBorders>
            <w:shd w:val="clear" w:color="auto" w:fill="FFFFFF"/>
            <w:vAlign w:val="center"/>
          </w:tcPr>
          <w:p w14:paraId="1E6884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1345" w:type="dxa"/>
            <w:tcBorders>
              <w:top w:val="nil"/>
              <w:bottom w:val="nil"/>
              <w:right w:val="single" w:color="000000" w:sz="16" w:space="0"/>
            </w:tcBorders>
            <w:shd w:val="clear" w:color="auto" w:fill="FFFFFF"/>
            <w:vAlign w:val="center"/>
          </w:tcPr>
          <w:p w14:paraId="4588F3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r>
      <w:tr w14:paraId="0F2A6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75F24F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C82C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Married</w:t>
            </w:r>
          </w:p>
        </w:tc>
        <w:tc>
          <w:tcPr>
            <w:tcW w:w="938" w:type="dxa"/>
            <w:tcBorders>
              <w:top w:val="nil"/>
              <w:left w:val="single" w:color="000000" w:sz="16" w:space="0"/>
              <w:bottom w:val="nil"/>
            </w:tcBorders>
            <w:shd w:val="clear" w:color="auto" w:fill="FFFFFF"/>
            <w:vAlign w:val="center"/>
          </w:tcPr>
          <w:p w14:paraId="2E625B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1345" w:type="dxa"/>
            <w:tcBorders>
              <w:top w:val="nil"/>
              <w:bottom w:val="nil"/>
              <w:right w:val="single" w:color="000000" w:sz="16" w:space="0"/>
            </w:tcBorders>
            <w:shd w:val="clear" w:color="auto" w:fill="FFFFFF"/>
            <w:vAlign w:val="center"/>
          </w:tcPr>
          <w:p w14:paraId="13F072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r>
      <w:tr w14:paraId="386B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68BC456">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263840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Divorced</w:t>
            </w:r>
          </w:p>
        </w:tc>
        <w:tc>
          <w:tcPr>
            <w:tcW w:w="938" w:type="dxa"/>
            <w:tcBorders>
              <w:top w:val="nil"/>
              <w:left w:val="single" w:color="000000" w:sz="16" w:space="0"/>
              <w:bottom w:val="nil"/>
            </w:tcBorders>
            <w:shd w:val="clear" w:color="auto" w:fill="FFFFFF"/>
            <w:vAlign w:val="center"/>
          </w:tcPr>
          <w:p w14:paraId="03D7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5988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12913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2D03B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AC855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Widow</w:t>
            </w:r>
          </w:p>
        </w:tc>
        <w:tc>
          <w:tcPr>
            <w:tcW w:w="938" w:type="dxa"/>
            <w:tcBorders>
              <w:top w:val="nil"/>
              <w:left w:val="single" w:color="000000" w:sz="16" w:space="0"/>
              <w:bottom w:val="nil"/>
            </w:tcBorders>
            <w:shd w:val="clear" w:color="auto" w:fill="FFFFFF"/>
            <w:vAlign w:val="center"/>
          </w:tcPr>
          <w:p w14:paraId="257CF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C025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2A6F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C82447">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20FC8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FB0853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CAD231">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4387F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76A886E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Age Range</w:t>
            </w:r>
          </w:p>
        </w:tc>
        <w:tc>
          <w:tcPr>
            <w:tcW w:w="1641" w:type="dxa"/>
            <w:tcBorders>
              <w:top w:val="nil"/>
              <w:left w:val="nil"/>
              <w:bottom w:val="nil"/>
              <w:right w:val="single" w:color="000000" w:sz="16" w:space="0"/>
            </w:tcBorders>
            <w:shd w:val="clear" w:color="auto" w:fill="FFFFFF"/>
          </w:tcPr>
          <w:p w14:paraId="78FB72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24 – 33 years</w:t>
            </w:r>
          </w:p>
        </w:tc>
        <w:tc>
          <w:tcPr>
            <w:tcW w:w="938" w:type="dxa"/>
            <w:tcBorders>
              <w:top w:val="nil"/>
              <w:left w:val="single" w:color="000000" w:sz="16" w:space="0"/>
              <w:bottom w:val="nil"/>
            </w:tcBorders>
            <w:shd w:val="clear" w:color="auto" w:fill="FFFFFF"/>
            <w:vAlign w:val="center"/>
          </w:tcPr>
          <w:p w14:paraId="547DA2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70F28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2A057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C6E14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6F9867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34 – 43 years</w:t>
            </w:r>
          </w:p>
        </w:tc>
        <w:tc>
          <w:tcPr>
            <w:tcW w:w="938" w:type="dxa"/>
            <w:tcBorders>
              <w:top w:val="nil"/>
              <w:left w:val="single" w:color="000000" w:sz="16" w:space="0"/>
              <w:bottom w:val="nil"/>
            </w:tcBorders>
            <w:shd w:val="clear" w:color="auto" w:fill="FFFFFF"/>
            <w:vAlign w:val="center"/>
          </w:tcPr>
          <w:p w14:paraId="4ED9B6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3260CA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40C07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D3C3F6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1FAF10F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44 – 53 years</w:t>
            </w:r>
          </w:p>
        </w:tc>
        <w:tc>
          <w:tcPr>
            <w:tcW w:w="938" w:type="dxa"/>
            <w:tcBorders>
              <w:top w:val="nil"/>
              <w:left w:val="single" w:color="000000" w:sz="16" w:space="0"/>
              <w:bottom w:val="nil"/>
            </w:tcBorders>
            <w:shd w:val="clear" w:color="auto" w:fill="FFFFFF"/>
            <w:vAlign w:val="center"/>
          </w:tcPr>
          <w:p w14:paraId="02AD9C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4F51F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0E682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D76A2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9035F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54 and above years</w:t>
            </w:r>
          </w:p>
        </w:tc>
        <w:tc>
          <w:tcPr>
            <w:tcW w:w="938" w:type="dxa"/>
            <w:tcBorders>
              <w:top w:val="nil"/>
              <w:left w:val="single" w:color="000000" w:sz="16" w:space="0"/>
              <w:bottom w:val="nil"/>
            </w:tcBorders>
            <w:shd w:val="clear" w:color="auto" w:fill="FFFFFF"/>
            <w:vAlign w:val="center"/>
          </w:tcPr>
          <w:p w14:paraId="2FC47D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3A5446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B63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BB1F8D1">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A45A8B5">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24977088">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0DCC00BB">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1E769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18CD64F7">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Academic Qualification</w:t>
            </w:r>
          </w:p>
        </w:tc>
        <w:tc>
          <w:tcPr>
            <w:tcW w:w="1641" w:type="dxa"/>
            <w:tcBorders>
              <w:top w:val="nil"/>
              <w:left w:val="nil"/>
              <w:bottom w:val="nil"/>
              <w:right w:val="single" w:color="000000" w:sz="16" w:space="0"/>
            </w:tcBorders>
            <w:shd w:val="clear" w:color="auto" w:fill="FFFFFF"/>
          </w:tcPr>
          <w:p w14:paraId="190F5BA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ND</w:t>
            </w:r>
          </w:p>
        </w:tc>
        <w:tc>
          <w:tcPr>
            <w:tcW w:w="938" w:type="dxa"/>
            <w:tcBorders>
              <w:top w:val="nil"/>
              <w:left w:val="single" w:color="000000" w:sz="16" w:space="0"/>
              <w:bottom w:val="nil"/>
            </w:tcBorders>
            <w:shd w:val="clear" w:color="auto" w:fill="FFFFFF"/>
            <w:vAlign w:val="center"/>
          </w:tcPr>
          <w:p w14:paraId="00FC9B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4F01C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350A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D0350B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3D0A3B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HND</w:t>
            </w:r>
          </w:p>
        </w:tc>
        <w:tc>
          <w:tcPr>
            <w:tcW w:w="938" w:type="dxa"/>
            <w:tcBorders>
              <w:top w:val="nil"/>
              <w:left w:val="single" w:color="000000" w:sz="16" w:space="0"/>
              <w:bottom w:val="nil"/>
            </w:tcBorders>
            <w:shd w:val="clear" w:color="auto" w:fill="FFFFFF"/>
            <w:vAlign w:val="center"/>
          </w:tcPr>
          <w:p w14:paraId="1563C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BE9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6C7F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96C62E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75A231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BLIS</w:t>
            </w:r>
          </w:p>
        </w:tc>
        <w:tc>
          <w:tcPr>
            <w:tcW w:w="938" w:type="dxa"/>
            <w:tcBorders>
              <w:top w:val="nil"/>
              <w:left w:val="single" w:color="000000" w:sz="16" w:space="0"/>
              <w:bottom w:val="nil"/>
            </w:tcBorders>
            <w:shd w:val="clear" w:color="auto" w:fill="FFFFFF"/>
            <w:vAlign w:val="center"/>
          </w:tcPr>
          <w:p w14:paraId="243793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69228B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FD2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8AC46FC">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67BD1E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MLIS</w:t>
            </w:r>
          </w:p>
        </w:tc>
        <w:tc>
          <w:tcPr>
            <w:tcW w:w="938" w:type="dxa"/>
            <w:tcBorders>
              <w:top w:val="nil"/>
              <w:left w:val="single" w:color="000000" w:sz="16" w:space="0"/>
              <w:bottom w:val="nil"/>
            </w:tcBorders>
            <w:shd w:val="clear" w:color="auto" w:fill="FFFFFF"/>
            <w:vAlign w:val="center"/>
          </w:tcPr>
          <w:p w14:paraId="6E273A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0119E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5B0E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50D1BB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B93BE8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Ph.D</w:t>
            </w:r>
          </w:p>
        </w:tc>
        <w:tc>
          <w:tcPr>
            <w:tcW w:w="938" w:type="dxa"/>
            <w:tcBorders>
              <w:top w:val="nil"/>
              <w:left w:val="single" w:color="000000" w:sz="16" w:space="0"/>
              <w:bottom w:val="nil"/>
            </w:tcBorders>
            <w:shd w:val="clear" w:color="auto" w:fill="FFFFFF"/>
            <w:vAlign w:val="center"/>
          </w:tcPr>
          <w:p w14:paraId="3B6C3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2A104F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22539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EBBE2F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450BC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D21D9C4">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68763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921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5DF4D879">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Work Experience</w:t>
            </w:r>
          </w:p>
        </w:tc>
        <w:tc>
          <w:tcPr>
            <w:tcW w:w="1641" w:type="dxa"/>
            <w:tcBorders>
              <w:top w:val="nil"/>
              <w:left w:val="nil"/>
              <w:bottom w:val="nil"/>
              <w:right w:val="single" w:color="000000" w:sz="16" w:space="0"/>
            </w:tcBorders>
            <w:shd w:val="clear" w:color="auto" w:fill="FFFFFF"/>
          </w:tcPr>
          <w:p w14:paraId="39F4058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0 – 4 years</w:t>
            </w:r>
          </w:p>
        </w:tc>
        <w:tc>
          <w:tcPr>
            <w:tcW w:w="938" w:type="dxa"/>
            <w:tcBorders>
              <w:top w:val="nil"/>
              <w:left w:val="single" w:color="000000" w:sz="16" w:space="0"/>
              <w:bottom w:val="nil"/>
            </w:tcBorders>
            <w:shd w:val="clear" w:color="auto" w:fill="FFFFFF"/>
            <w:vAlign w:val="center"/>
          </w:tcPr>
          <w:p w14:paraId="12520F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24FA97A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A99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5C2D2CD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0D9CE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 – 9 years</w:t>
            </w:r>
          </w:p>
        </w:tc>
        <w:tc>
          <w:tcPr>
            <w:tcW w:w="938" w:type="dxa"/>
            <w:tcBorders>
              <w:top w:val="nil"/>
              <w:left w:val="single" w:color="000000" w:sz="16" w:space="0"/>
              <w:bottom w:val="nil"/>
            </w:tcBorders>
            <w:shd w:val="clear" w:color="auto" w:fill="FFFFFF"/>
            <w:vAlign w:val="center"/>
          </w:tcPr>
          <w:p w14:paraId="3D279D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4F75E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67B8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29215D">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44E6ED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10 – 14 years</w:t>
            </w:r>
          </w:p>
        </w:tc>
        <w:tc>
          <w:tcPr>
            <w:tcW w:w="938" w:type="dxa"/>
            <w:tcBorders>
              <w:top w:val="nil"/>
              <w:left w:val="single" w:color="000000" w:sz="16" w:space="0"/>
              <w:bottom w:val="nil"/>
            </w:tcBorders>
            <w:shd w:val="clear" w:color="auto" w:fill="FFFFFF"/>
            <w:vAlign w:val="center"/>
          </w:tcPr>
          <w:p w14:paraId="0FA47C7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1CCF90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7C66A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DA02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5121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15 – 19 years</w:t>
            </w:r>
          </w:p>
        </w:tc>
        <w:tc>
          <w:tcPr>
            <w:tcW w:w="938" w:type="dxa"/>
            <w:tcBorders>
              <w:top w:val="nil"/>
              <w:left w:val="single" w:color="000000" w:sz="16" w:space="0"/>
              <w:bottom w:val="nil"/>
            </w:tcBorders>
            <w:shd w:val="clear" w:color="auto" w:fill="FFFFFF"/>
            <w:vAlign w:val="center"/>
          </w:tcPr>
          <w:p w14:paraId="1AED07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66A98D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D0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8FDB014">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78F12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20 and above years</w:t>
            </w:r>
          </w:p>
        </w:tc>
        <w:tc>
          <w:tcPr>
            <w:tcW w:w="938" w:type="dxa"/>
            <w:tcBorders>
              <w:top w:val="nil"/>
              <w:left w:val="single" w:color="000000" w:sz="16" w:space="0"/>
              <w:bottom w:val="nil"/>
            </w:tcBorders>
            <w:shd w:val="clear" w:color="auto" w:fill="FFFFFF"/>
            <w:vAlign w:val="center"/>
          </w:tcPr>
          <w:p w14:paraId="156627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C1D21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0C7F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FDA60B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4136B5B">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3ACAA6E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2FDFF18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0D1D8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single" w:color="000000" w:sz="16" w:space="0"/>
              <w:right w:val="nil"/>
            </w:tcBorders>
            <w:shd w:val="clear" w:color="auto" w:fill="FFFFFF"/>
          </w:tcPr>
          <w:p w14:paraId="3AA0531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Cadre in the Library</w:t>
            </w:r>
          </w:p>
        </w:tc>
        <w:tc>
          <w:tcPr>
            <w:tcW w:w="1641" w:type="dxa"/>
            <w:tcBorders>
              <w:top w:val="nil"/>
              <w:left w:val="nil"/>
              <w:bottom w:val="nil"/>
              <w:right w:val="single" w:color="000000" w:sz="16" w:space="0"/>
            </w:tcBorders>
            <w:shd w:val="clear" w:color="auto" w:fill="FFFFFF"/>
          </w:tcPr>
          <w:p w14:paraId="28094AB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Para-professional</w:t>
            </w:r>
          </w:p>
        </w:tc>
        <w:tc>
          <w:tcPr>
            <w:tcW w:w="938" w:type="dxa"/>
            <w:tcBorders>
              <w:top w:val="nil"/>
              <w:left w:val="single" w:color="000000" w:sz="16" w:space="0"/>
              <w:bottom w:val="nil"/>
            </w:tcBorders>
            <w:shd w:val="clear" w:color="auto" w:fill="FFFFFF"/>
            <w:vAlign w:val="center"/>
          </w:tcPr>
          <w:p w14:paraId="5381D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1B6DA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586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3847B36A">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7B4A1F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Professional</w:t>
            </w:r>
          </w:p>
        </w:tc>
        <w:tc>
          <w:tcPr>
            <w:tcW w:w="938" w:type="dxa"/>
            <w:tcBorders>
              <w:top w:val="nil"/>
              <w:left w:val="single" w:color="000000" w:sz="16" w:space="0"/>
              <w:bottom w:val="nil"/>
            </w:tcBorders>
            <w:shd w:val="clear" w:color="auto" w:fill="FFFFFF"/>
            <w:vAlign w:val="center"/>
          </w:tcPr>
          <w:p w14:paraId="5C581B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w:t>
            </w:r>
          </w:p>
        </w:tc>
        <w:tc>
          <w:tcPr>
            <w:tcW w:w="1345" w:type="dxa"/>
            <w:tcBorders>
              <w:top w:val="nil"/>
              <w:bottom w:val="nil"/>
              <w:right w:val="single" w:color="000000" w:sz="16" w:space="0"/>
            </w:tcBorders>
            <w:shd w:val="clear" w:color="auto" w:fill="FFFFFF"/>
            <w:vAlign w:val="center"/>
          </w:tcPr>
          <w:p w14:paraId="463198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81.8</w:t>
            </w:r>
          </w:p>
        </w:tc>
      </w:tr>
      <w:tr w14:paraId="016B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27528B2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single" w:color="000000" w:sz="16" w:space="0"/>
              <w:right w:val="single" w:color="000000" w:sz="16" w:space="0"/>
            </w:tcBorders>
            <w:shd w:val="clear" w:color="auto" w:fill="FFFFFF"/>
          </w:tcPr>
          <w:p w14:paraId="24B5FBA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single" w:color="000000" w:sz="16" w:space="0"/>
            </w:tcBorders>
            <w:shd w:val="clear" w:color="auto" w:fill="FFFFFF"/>
            <w:vAlign w:val="center"/>
          </w:tcPr>
          <w:p w14:paraId="513982C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single" w:color="000000" w:sz="16" w:space="0"/>
              <w:right w:val="single" w:color="000000" w:sz="16" w:space="0"/>
            </w:tcBorders>
            <w:shd w:val="clear" w:color="auto" w:fill="FFFFFF"/>
            <w:vAlign w:val="center"/>
          </w:tcPr>
          <w:p w14:paraId="186E218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bl>
    <w:p w14:paraId="0066595B">
      <w:pPr>
        <w:autoSpaceDE w:val="0"/>
        <w:autoSpaceDN w:val="0"/>
        <w:adjustRightInd w:val="0"/>
        <w:spacing w:before="240" w:after="0" w:line="360" w:lineRule="auto"/>
        <w:jc w:val="both"/>
        <w:rPr>
          <w:rFonts w:ascii="Times New Roman" w:hAnsi="Times New Roman" w:cs="Times New Roman"/>
          <w:color w:val="auto"/>
          <w:sz w:val="24"/>
          <w:szCs w:val="24"/>
        </w:rPr>
      </w:pPr>
      <w:bookmarkStart w:id="2" w:name="_Hlk153983359"/>
      <w:r>
        <w:rPr>
          <w:rFonts w:ascii="Times New Roman" w:hAnsi="Times New Roman" w:cs="Times New Roman"/>
          <w:color w:val="auto"/>
          <w:sz w:val="24"/>
          <w:szCs w:val="24"/>
        </w:rPr>
        <w:t>Table 1 above reveals that male librarians constitute the majority of respondents with 54.5%, while the females have 45.5%. 63.6% of the respondents are married, while 36.4% are single. 45.5% are within the age range of 34 – 43 years, followed by 24 – 33 years with 27.3%, while 44 – 53 years have 18.2%. Furthermore, 45.5% of respondents have MLIS, 27.3% have BLIS, 18.2% have HND, while 9.1% are Ph.D holders. Also, 45.5% of respondents have 10 – 14 years work experience, followed 27.3% with 5 – 9 years, while 18.2% are 0 – 4 years. The Table also shows 81.8% of the respondents are professionals, while 18.2% are para-professionals.</w:t>
      </w:r>
    </w:p>
    <w:p w14:paraId="7B0D70D0">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results of the Table reflected some elements of authority by showing that majority of the respondents are professionals with most of them having BLIS and MLIS and 10 – 14 years work experience. This implies that the respondents of this study must have gathered adequate level of experience required to answer the questions of this study by choosing the options that best express their opinions.</w:t>
      </w:r>
    </w:p>
    <w:p w14:paraId="4CC01692">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 Data Analysis </w:t>
      </w:r>
    </w:p>
    <w:p w14:paraId="443051FC">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lang w:val="en-GB"/>
        </w:rPr>
        <w:t>Data analysis was done based on this study’s questions.</w:t>
      </w:r>
    </w:p>
    <w:p w14:paraId="2E55BA6E">
      <w:pPr>
        <w:spacing w:after="0" w:line="360" w:lineRule="auto"/>
        <w:jc w:val="both"/>
        <w:rPr>
          <w:rFonts w:ascii="Times New Roman" w:hAnsi="Times New Roman" w:cs="Times New Roman" w:eastAsiaTheme="minorEastAsia"/>
          <w:b/>
          <w:color w:val="auto"/>
          <w:sz w:val="24"/>
          <w:szCs w:val="24"/>
        </w:rPr>
      </w:pPr>
      <w:r>
        <w:rPr>
          <w:rFonts w:ascii="Times New Roman" w:hAnsi="Times New Roman" w:cs="Times New Roman"/>
          <w:b/>
          <w:color w:val="auto"/>
          <w:sz w:val="24"/>
          <w:szCs w:val="24"/>
        </w:rPr>
        <w:t xml:space="preserve">4.4.1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One: </w:t>
      </w:r>
      <w:r>
        <w:rPr>
          <w:rFonts w:ascii="Times New Roman" w:hAnsi="Times New Roman"/>
          <w:b/>
          <w:color w:val="auto"/>
          <w:sz w:val="24"/>
          <w:szCs w:val="24"/>
        </w:rPr>
        <w:t>Who are the personnel responsible for selection of legal information materials to be acquired in University of Ilorin Law Library?</w:t>
      </w:r>
    </w:p>
    <w:p w14:paraId="4A94017B">
      <w:pPr>
        <w:autoSpaceDE w:val="0"/>
        <w:autoSpaceDN w:val="0"/>
        <w:adjustRightInd w:val="0"/>
        <w:spacing w:after="0" w:line="360" w:lineRule="auto"/>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2: </w:t>
      </w:r>
      <w:r>
        <w:rPr>
          <w:rFonts w:ascii="Times New Roman" w:hAnsi="Times New Roman"/>
          <w:b/>
          <w:color w:val="auto"/>
          <w:sz w:val="24"/>
          <w:szCs w:val="24"/>
        </w:rPr>
        <w:t>Personnel responsible for selection of legal information materials to be acquired in University of Ilorin Law Library</w:t>
      </w:r>
      <w:bookmarkEnd w:id="2"/>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8"/>
        <w:gridCol w:w="283"/>
        <w:gridCol w:w="567"/>
        <w:gridCol w:w="425"/>
        <w:gridCol w:w="567"/>
        <w:gridCol w:w="284"/>
        <w:gridCol w:w="567"/>
        <w:gridCol w:w="283"/>
        <w:gridCol w:w="567"/>
        <w:gridCol w:w="284"/>
        <w:gridCol w:w="709"/>
        <w:gridCol w:w="708"/>
        <w:gridCol w:w="567"/>
      </w:tblGrid>
      <w:tr w14:paraId="5ECF0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2"/>
          <w:wAfter w:w="1275" w:type="dxa"/>
          <w:cantSplit/>
          <w:trHeight w:val="241" w:hRule="atLeast"/>
        </w:trPr>
        <w:tc>
          <w:tcPr>
            <w:tcW w:w="3868" w:type="dxa"/>
            <w:vMerge w:val="restart"/>
            <w:tcBorders>
              <w:top w:val="single" w:color="000000" w:sz="16" w:space="0"/>
              <w:left w:val="single" w:color="000000" w:sz="16" w:space="0"/>
              <w:bottom w:val="nil"/>
              <w:right w:val="single" w:color="000000" w:sz="16" w:space="0"/>
            </w:tcBorders>
            <w:shd w:val="clear" w:color="auto" w:fill="FFFFFF"/>
            <w:vAlign w:val="bottom"/>
          </w:tcPr>
          <w:p w14:paraId="4520EF98">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2025B24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48A0BEB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9C6648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63E2B3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0ACD058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262BA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9" w:hRule="atLeast"/>
        </w:trPr>
        <w:tc>
          <w:tcPr>
            <w:tcW w:w="3868" w:type="dxa"/>
            <w:vMerge w:val="continue"/>
            <w:tcBorders>
              <w:top w:val="single" w:color="000000" w:sz="16" w:space="0"/>
              <w:left w:val="single" w:color="000000" w:sz="16" w:space="0"/>
              <w:bottom w:val="nil"/>
              <w:right w:val="single" w:color="000000" w:sz="16" w:space="0"/>
            </w:tcBorders>
            <w:shd w:val="clear" w:color="auto" w:fill="FFFFFF"/>
            <w:vAlign w:val="bottom"/>
          </w:tcPr>
          <w:p w14:paraId="451E3DD7">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1CA521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5AB4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59C6B6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D92B2C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722D189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D04F11A">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1F5313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87F2B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CE20E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4EC97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65D9E19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17A3FFC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7FD3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3868" w:type="dxa"/>
            <w:tcBorders>
              <w:top w:val="single" w:color="000000" w:sz="16" w:space="0"/>
              <w:left w:val="single" w:color="000000" w:sz="16" w:space="0"/>
              <w:bottom w:val="nil"/>
              <w:right w:val="single" w:color="000000" w:sz="16" w:space="0"/>
            </w:tcBorders>
            <w:shd w:val="clear" w:color="auto" w:fill="FFFFFF"/>
          </w:tcPr>
          <w:p w14:paraId="76DA987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Acquisition Librarian</w:t>
            </w:r>
          </w:p>
        </w:tc>
        <w:tc>
          <w:tcPr>
            <w:tcW w:w="283" w:type="dxa"/>
            <w:tcBorders>
              <w:top w:val="single" w:color="000000" w:sz="16" w:space="0"/>
              <w:left w:val="single" w:color="000000" w:sz="16" w:space="0"/>
              <w:bottom w:val="nil"/>
            </w:tcBorders>
            <w:shd w:val="clear" w:color="auto" w:fill="FFFFFF"/>
            <w:vAlign w:val="center"/>
          </w:tcPr>
          <w:p w14:paraId="49D681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5F4B29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single" w:color="000000" w:sz="16" w:space="0"/>
              <w:bottom w:val="nil"/>
            </w:tcBorders>
            <w:shd w:val="clear" w:color="auto" w:fill="FFFFFF"/>
            <w:vAlign w:val="center"/>
          </w:tcPr>
          <w:p w14:paraId="36AB23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71917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760C9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69769A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single" w:color="000000" w:sz="16" w:space="0"/>
              <w:bottom w:val="nil"/>
            </w:tcBorders>
            <w:shd w:val="clear" w:color="auto" w:fill="FFFFFF"/>
            <w:vAlign w:val="center"/>
          </w:tcPr>
          <w:p w14:paraId="725CD4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5066E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single" w:color="000000" w:sz="16" w:space="0"/>
              <w:bottom w:val="nil"/>
            </w:tcBorders>
            <w:shd w:val="clear" w:color="auto" w:fill="FFFFFF"/>
            <w:vAlign w:val="center"/>
          </w:tcPr>
          <w:p w14:paraId="57B82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single" w:color="000000" w:sz="16" w:space="0"/>
              <w:bottom w:val="nil"/>
              <w:right w:val="single" w:color="000000" w:sz="16" w:space="0"/>
            </w:tcBorders>
            <w:shd w:val="clear" w:color="auto" w:fill="FFFFFF"/>
            <w:vAlign w:val="center"/>
          </w:tcPr>
          <w:p w14:paraId="32954E1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9B8AB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7FA49E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5F1F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5" w:hRule="atLeast"/>
        </w:trPr>
        <w:tc>
          <w:tcPr>
            <w:tcW w:w="3868" w:type="dxa"/>
            <w:tcBorders>
              <w:top w:val="nil"/>
              <w:left w:val="single" w:color="000000" w:sz="16" w:space="0"/>
              <w:bottom w:val="nil"/>
              <w:right w:val="single" w:color="000000" w:sz="16" w:space="0"/>
            </w:tcBorders>
            <w:shd w:val="clear" w:color="auto" w:fill="FFFFFF"/>
          </w:tcPr>
          <w:p w14:paraId="7C318A4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Librarian</w:t>
            </w:r>
          </w:p>
        </w:tc>
        <w:tc>
          <w:tcPr>
            <w:tcW w:w="283" w:type="dxa"/>
            <w:tcBorders>
              <w:top w:val="nil"/>
              <w:left w:val="single" w:color="000000" w:sz="16" w:space="0"/>
              <w:bottom w:val="nil"/>
            </w:tcBorders>
            <w:shd w:val="clear" w:color="auto" w:fill="FFFFFF"/>
            <w:vAlign w:val="center"/>
          </w:tcPr>
          <w:p w14:paraId="51346C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4C74F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69020A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EEDEE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9DE49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AC4F1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8AC78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2548DD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78A7A3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27CB19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BBC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653394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60643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3868" w:type="dxa"/>
            <w:tcBorders>
              <w:top w:val="nil"/>
              <w:left w:val="single" w:color="000000" w:sz="16" w:space="0"/>
              <w:bottom w:val="nil"/>
              <w:right w:val="single" w:color="000000" w:sz="16" w:space="0"/>
            </w:tcBorders>
            <w:shd w:val="clear" w:color="auto" w:fill="FFFFFF"/>
          </w:tcPr>
          <w:p w14:paraId="22C4948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Head, Faculty of Law</w:t>
            </w:r>
          </w:p>
        </w:tc>
        <w:tc>
          <w:tcPr>
            <w:tcW w:w="283" w:type="dxa"/>
            <w:tcBorders>
              <w:top w:val="nil"/>
              <w:left w:val="single" w:color="000000" w:sz="16" w:space="0"/>
              <w:bottom w:val="nil"/>
            </w:tcBorders>
            <w:shd w:val="clear" w:color="auto" w:fill="FFFFFF"/>
            <w:vAlign w:val="center"/>
          </w:tcPr>
          <w:p w14:paraId="62FF91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34AC7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4360FA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4236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40CC8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5774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D18D0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21798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664775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9" w:type="dxa"/>
            <w:tcBorders>
              <w:top w:val="nil"/>
              <w:bottom w:val="nil"/>
              <w:right w:val="single" w:color="000000" w:sz="16" w:space="0"/>
            </w:tcBorders>
            <w:shd w:val="clear" w:color="auto" w:fill="FFFFFF"/>
            <w:vAlign w:val="center"/>
          </w:tcPr>
          <w:p w14:paraId="6822D2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8" w:type="dxa"/>
            <w:vAlign w:val="center"/>
          </w:tcPr>
          <w:p w14:paraId="34BB0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3F9B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1.51</w:t>
            </w:r>
          </w:p>
        </w:tc>
      </w:tr>
      <w:tr w14:paraId="5C606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3" w:hRule="atLeast"/>
        </w:trPr>
        <w:tc>
          <w:tcPr>
            <w:tcW w:w="3868" w:type="dxa"/>
            <w:tcBorders>
              <w:top w:val="nil"/>
              <w:left w:val="single" w:color="000000" w:sz="16" w:space="0"/>
              <w:bottom w:val="nil"/>
              <w:right w:val="single" w:color="000000" w:sz="16" w:space="0"/>
            </w:tcBorders>
            <w:shd w:val="clear" w:color="auto" w:fill="FFFFFF"/>
          </w:tcPr>
          <w:p w14:paraId="369D2C4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Subject Experts</w:t>
            </w:r>
          </w:p>
        </w:tc>
        <w:tc>
          <w:tcPr>
            <w:tcW w:w="283" w:type="dxa"/>
            <w:tcBorders>
              <w:top w:val="nil"/>
              <w:left w:val="single" w:color="000000" w:sz="16" w:space="0"/>
              <w:bottom w:val="nil"/>
            </w:tcBorders>
            <w:shd w:val="clear" w:color="auto" w:fill="FFFFFF"/>
            <w:vAlign w:val="center"/>
          </w:tcPr>
          <w:p w14:paraId="1453D8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3EAC9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3DAAA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782CB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5E80F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6FF03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E342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41462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167901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78BB51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0A1223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097D3A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6DE1A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3" w:hRule="atLeast"/>
        </w:trPr>
        <w:tc>
          <w:tcPr>
            <w:tcW w:w="3868" w:type="dxa"/>
            <w:tcBorders>
              <w:top w:val="nil"/>
              <w:left w:val="single" w:color="000000" w:sz="16" w:space="0"/>
              <w:bottom w:val="nil"/>
              <w:right w:val="single" w:color="000000" w:sz="16" w:space="0"/>
            </w:tcBorders>
            <w:shd w:val="clear" w:color="auto" w:fill="FFFFFF"/>
          </w:tcPr>
          <w:p w14:paraId="5BE255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Students</w:t>
            </w:r>
          </w:p>
        </w:tc>
        <w:tc>
          <w:tcPr>
            <w:tcW w:w="283" w:type="dxa"/>
            <w:tcBorders>
              <w:top w:val="nil"/>
              <w:left w:val="single" w:color="000000" w:sz="16" w:space="0"/>
              <w:bottom w:val="nil"/>
            </w:tcBorders>
            <w:shd w:val="clear" w:color="auto" w:fill="FFFFFF"/>
            <w:vAlign w:val="center"/>
          </w:tcPr>
          <w:p w14:paraId="33ABFC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C0A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535D9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0CE5B6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F02C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48D1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789AB0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A9FD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19801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817E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A3F68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F56DB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1.25</w:t>
            </w:r>
          </w:p>
        </w:tc>
      </w:tr>
      <w:tr w14:paraId="28D8F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3868" w:type="dxa"/>
            <w:tcBorders>
              <w:top w:val="nil"/>
              <w:left w:val="single" w:color="000000" w:sz="16" w:space="0"/>
              <w:bottom w:val="single" w:color="000000" w:sz="16" w:space="0"/>
              <w:right w:val="single" w:color="000000" w:sz="16" w:space="0"/>
            </w:tcBorders>
            <w:shd w:val="clear" w:color="auto" w:fill="FFFFFF"/>
          </w:tcPr>
          <w:p w14:paraId="20A955F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283" w:type="dxa"/>
            <w:tcBorders>
              <w:top w:val="nil"/>
              <w:left w:val="single" w:color="000000" w:sz="16" w:space="0"/>
              <w:bottom w:val="single" w:color="000000" w:sz="16" w:space="0"/>
            </w:tcBorders>
            <w:shd w:val="clear" w:color="auto" w:fill="FFFFFF"/>
            <w:vAlign w:val="center"/>
          </w:tcPr>
          <w:p w14:paraId="070CA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50EB04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single" w:color="000000" w:sz="16" w:space="0"/>
            </w:tcBorders>
            <w:shd w:val="clear" w:color="auto" w:fill="FFFFFF"/>
            <w:vAlign w:val="center"/>
          </w:tcPr>
          <w:p w14:paraId="28FCD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328E2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58438F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32F5D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32C69C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61265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single" w:color="000000" w:sz="16" w:space="0"/>
            </w:tcBorders>
            <w:shd w:val="clear" w:color="auto" w:fill="FFFFFF"/>
            <w:vAlign w:val="center"/>
          </w:tcPr>
          <w:p w14:paraId="14C1D5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single" w:color="000000" w:sz="16" w:space="0"/>
              <w:right w:val="single" w:color="000000" w:sz="16" w:space="0"/>
            </w:tcBorders>
            <w:shd w:val="clear" w:color="auto" w:fill="FFFFFF"/>
            <w:vAlign w:val="center"/>
          </w:tcPr>
          <w:p w14:paraId="7B5A4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FEE33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47733A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bl>
    <w:p w14:paraId="0A7256D9">
      <w:pPr>
        <w:autoSpaceDE w:val="0"/>
        <w:autoSpaceDN w:val="0"/>
        <w:adjustRightInd w:val="0"/>
        <w:spacing w:before="240" w:after="0" w:line="360" w:lineRule="auto"/>
        <w:jc w:val="both"/>
        <w:rPr>
          <w:rFonts w:ascii="Times New Roman" w:hAnsi="Times New Roman" w:cs="Times New Roman"/>
          <w:color w:val="auto"/>
          <w:sz w:val="24"/>
          <w:szCs w:val="24"/>
        </w:rPr>
      </w:pPr>
      <w:bookmarkStart w:id="3" w:name="_Hlk153983419"/>
      <w:r>
        <w:rPr>
          <w:rFonts w:ascii="Times New Roman" w:hAnsi="Times New Roman" w:cs="Times New Roman"/>
          <w:color w:val="auto"/>
          <w:sz w:val="24"/>
          <w:szCs w:val="24"/>
        </w:rPr>
        <w:t>From Table 2 above, it can be understood that members of selection and acquisition committee is ranked highest with (4.27</w:t>
      </w:r>
      <w:r>
        <w:rPr>
          <w:rFonts w:ascii="Times New Roman" w:hAnsi="Times New Roman" w:cs="Times New Roman"/>
          <w:color w:val="auto"/>
          <w:sz w:val="24"/>
          <w:szCs w:val="24"/>
          <w:lang w:val="en-GB"/>
        </w:rPr>
        <w:t>± 0.91</w:t>
      </w:r>
      <w:r>
        <w:rPr>
          <w:rFonts w:ascii="Times New Roman" w:hAnsi="Times New Roman" w:cs="Times New Roman"/>
          <w:color w:val="auto"/>
          <w:sz w:val="24"/>
          <w:szCs w:val="24"/>
        </w:rPr>
        <w:t>) among the personnel responsible for selection of legal information materials to be acquired in the University of Ilorin Law Library, followed by acquisition librarian (4.18</w:t>
      </w:r>
      <w:r>
        <w:rPr>
          <w:rFonts w:ascii="Times New Roman" w:hAnsi="Times New Roman" w:cs="Times New Roman"/>
          <w:color w:val="auto"/>
          <w:sz w:val="24"/>
          <w:szCs w:val="24"/>
          <w:lang w:val="en-GB"/>
        </w:rPr>
        <w:t>± 0.98</w:t>
      </w:r>
      <w:r>
        <w:rPr>
          <w:rFonts w:ascii="Times New Roman" w:hAnsi="Times New Roman" w:cs="Times New Roman"/>
          <w:color w:val="auto"/>
          <w:sz w:val="24"/>
          <w:szCs w:val="24"/>
        </w:rPr>
        <w:t>), while law librarian has (4.09</w:t>
      </w:r>
      <w:r>
        <w:rPr>
          <w:rFonts w:ascii="Times New Roman" w:hAnsi="Times New Roman" w:cs="Times New Roman"/>
          <w:color w:val="auto"/>
          <w:sz w:val="24"/>
          <w:szCs w:val="24"/>
          <w:lang w:val="en-GB"/>
        </w:rPr>
        <w:t>± 1.22</w:t>
      </w:r>
      <w:r>
        <w:rPr>
          <w:rFonts w:ascii="Times New Roman" w:hAnsi="Times New Roman" w:cs="Times New Roman"/>
          <w:color w:val="auto"/>
          <w:sz w:val="24"/>
          <w:szCs w:val="24"/>
        </w:rPr>
        <w:t>). However, 3.09</w:t>
      </w:r>
      <w:r>
        <w:rPr>
          <w:rFonts w:ascii="Times New Roman" w:hAnsi="Times New Roman" w:cs="Times New Roman"/>
          <w:color w:val="auto"/>
          <w:sz w:val="24"/>
          <w:szCs w:val="24"/>
          <w:lang w:val="en-GB"/>
        </w:rPr>
        <w:t>± 1.51</w:t>
      </w:r>
      <w:r>
        <w:rPr>
          <w:rFonts w:ascii="Times New Roman" w:hAnsi="Times New Roman" w:cs="Times New Roman"/>
          <w:color w:val="auto"/>
          <w:sz w:val="24"/>
          <w:szCs w:val="24"/>
        </w:rPr>
        <w:t>for Head of Faculty of Law is ranked lowest.</w:t>
      </w:r>
      <w:bookmarkEnd w:id="3"/>
    </w:p>
    <w:p w14:paraId="6BDBED73">
      <w:pPr>
        <w:spacing w:before="240" w:after="0" w:line="360" w:lineRule="auto"/>
        <w:rPr>
          <w:rFonts w:ascii="Times New Roman" w:hAnsi="Times New Roman"/>
          <w:b/>
          <w:color w:val="auto"/>
          <w:sz w:val="24"/>
          <w:szCs w:val="24"/>
        </w:rPr>
      </w:pPr>
      <w:r>
        <w:rPr>
          <w:rFonts w:ascii="Times New Roman" w:hAnsi="Times New Roman" w:cs="Times New Roman"/>
          <w:b/>
          <w:color w:val="auto"/>
          <w:sz w:val="24"/>
          <w:szCs w:val="24"/>
        </w:rPr>
        <w:t xml:space="preserve">4.4.2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Two: </w:t>
      </w:r>
      <w:r>
        <w:rPr>
          <w:rFonts w:ascii="Times New Roman" w:hAnsi="Times New Roman"/>
          <w:b/>
          <w:color w:val="auto"/>
          <w:sz w:val="24"/>
          <w:szCs w:val="24"/>
        </w:rPr>
        <w:t>What are the tools used in selecting legal information materials to be acquired in University of Ilorin Law Library?</w:t>
      </w:r>
    </w:p>
    <w:p w14:paraId="2B651433">
      <w:pPr>
        <w:spacing w:before="240" w:after="0" w:line="360" w:lineRule="auto"/>
        <w:rPr>
          <w:rFonts w:ascii="Times New Roman" w:hAnsi="Times New Roman"/>
          <w:b/>
          <w:color w:val="auto"/>
          <w:sz w:val="24"/>
          <w:szCs w:val="24"/>
        </w:rPr>
      </w:pPr>
      <w:r>
        <w:rPr>
          <w:rFonts w:ascii="Times New Roman" w:hAnsi="Times New Roman" w:eastAsia="Times New Roman" w:cs="Times New Roman"/>
          <w:b/>
          <w:color w:val="auto"/>
          <w:sz w:val="24"/>
          <w:szCs w:val="24"/>
        </w:rPr>
        <w:t xml:space="preserve">Table 3: </w:t>
      </w:r>
      <w:r>
        <w:rPr>
          <w:rFonts w:ascii="Times New Roman" w:hAnsi="Times New Roman"/>
          <w:b/>
          <w:color w:val="auto"/>
          <w:sz w:val="24"/>
          <w:szCs w:val="24"/>
        </w:rPr>
        <w:t>Tools used in selecting legal information materials to be acquired in University of Ilorin Law Library</w:t>
      </w:r>
    </w:p>
    <w:tbl>
      <w:tblPr>
        <w:tblStyle w:val="5"/>
        <w:tblW w:w="953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01"/>
        <w:gridCol w:w="283"/>
        <w:gridCol w:w="567"/>
        <w:gridCol w:w="425"/>
        <w:gridCol w:w="567"/>
        <w:gridCol w:w="426"/>
        <w:gridCol w:w="567"/>
        <w:gridCol w:w="425"/>
        <w:gridCol w:w="567"/>
        <w:gridCol w:w="425"/>
        <w:gridCol w:w="709"/>
        <w:gridCol w:w="709"/>
        <w:gridCol w:w="567"/>
      </w:tblGrid>
      <w:tr w14:paraId="651FB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44" w:hRule="atLeast"/>
        </w:trPr>
        <w:tc>
          <w:tcPr>
            <w:tcW w:w="3301" w:type="dxa"/>
            <w:vMerge w:val="restart"/>
            <w:tcBorders>
              <w:top w:val="single" w:color="000000" w:sz="16" w:space="0"/>
              <w:left w:val="single" w:color="000000" w:sz="16" w:space="0"/>
              <w:bottom w:val="nil"/>
              <w:right w:val="single" w:color="000000" w:sz="16" w:space="0"/>
            </w:tcBorders>
            <w:shd w:val="clear" w:color="auto" w:fill="FFFFFF"/>
            <w:vAlign w:val="bottom"/>
          </w:tcPr>
          <w:p w14:paraId="6B9F5A58">
            <w:pPr>
              <w:autoSpaceDE w:val="0"/>
              <w:autoSpaceDN w:val="0"/>
              <w:adjustRightInd w:val="0"/>
              <w:spacing w:before="240"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14AD528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3DAE963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993" w:type="dxa"/>
            <w:gridSpan w:val="2"/>
            <w:tcBorders>
              <w:top w:val="single" w:color="000000" w:sz="16" w:space="0"/>
            </w:tcBorders>
            <w:shd w:val="clear" w:color="auto" w:fill="FFFFFF"/>
            <w:vAlign w:val="bottom"/>
          </w:tcPr>
          <w:p w14:paraId="0080885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992" w:type="dxa"/>
            <w:gridSpan w:val="2"/>
            <w:tcBorders>
              <w:top w:val="single" w:color="000000" w:sz="16" w:space="0"/>
            </w:tcBorders>
            <w:shd w:val="clear" w:color="auto" w:fill="FFFFFF"/>
            <w:vAlign w:val="bottom"/>
          </w:tcPr>
          <w:p w14:paraId="37022C8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5F92EA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33A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 w:hRule="atLeast"/>
        </w:trPr>
        <w:tc>
          <w:tcPr>
            <w:tcW w:w="3301" w:type="dxa"/>
            <w:vMerge w:val="continue"/>
            <w:tcBorders>
              <w:top w:val="single" w:color="000000" w:sz="16" w:space="0"/>
              <w:left w:val="single" w:color="000000" w:sz="16" w:space="0"/>
              <w:bottom w:val="nil"/>
              <w:right w:val="single" w:color="000000" w:sz="16" w:space="0"/>
            </w:tcBorders>
            <w:shd w:val="clear" w:color="auto" w:fill="FFFFFF"/>
            <w:vAlign w:val="bottom"/>
          </w:tcPr>
          <w:p w14:paraId="0422D3C5">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3615689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4E083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3AEFE9F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338299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628BF9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A4E5AE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14338A0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A3C524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78836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130707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3CA12DC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218EF7D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8D83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single" w:color="000000" w:sz="16" w:space="0"/>
              <w:left w:val="single" w:color="000000" w:sz="16" w:space="0"/>
              <w:bottom w:val="nil"/>
              <w:right w:val="single" w:color="000000" w:sz="16" w:space="0"/>
            </w:tcBorders>
            <w:shd w:val="clear" w:color="auto" w:fill="FFFFFF"/>
          </w:tcPr>
          <w:p w14:paraId="01681C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Book reviews</w:t>
            </w:r>
          </w:p>
        </w:tc>
        <w:tc>
          <w:tcPr>
            <w:tcW w:w="283" w:type="dxa"/>
            <w:tcBorders>
              <w:top w:val="single" w:color="000000" w:sz="16" w:space="0"/>
              <w:left w:val="single" w:color="000000" w:sz="16" w:space="0"/>
              <w:bottom w:val="nil"/>
            </w:tcBorders>
            <w:shd w:val="clear" w:color="auto" w:fill="FFFFFF"/>
            <w:vAlign w:val="center"/>
          </w:tcPr>
          <w:p w14:paraId="7AA23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0EE315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single" w:color="000000" w:sz="16" w:space="0"/>
              <w:bottom w:val="nil"/>
            </w:tcBorders>
            <w:shd w:val="clear" w:color="auto" w:fill="FFFFFF"/>
            <w:vAlign w:val="center"/>
          </w:tcPr>
          <w:p w14:paraId="241608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22A020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single" w:color="000000" w:sz="16" w:space="0"/>
              <w:bottom w:val="nil"/>
            </w:tcBorders>
            <w:shd w:val="clear" w:color="auto" w:fill="FFFFFF"/>
            <w:vAlign w:val="center"/>
          </w:tcPr>
          <w:p w14:paraId="35E0DF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05714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single" w:color="000000" w:sz="16" w:space="0"/>
              <w:bottom w:val="nil"/>
            </w:tcBorders>
            <w:shd w:val="clear" w:color="auto" w:fill="FFFFFF"/>
            <w:vAlign w:val="center"/>
          </w:tcPr>
          <w:p w14:paraId="7F2B3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6D166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single" w:color="000000" w:sz="16" w:space="0"/>
              <w:bottom w:val="nil"/>
            </w:tcBorders>
            <w:shd w:val="clear" w:color="auto" w:fill="FFFFFF"/>
            <w:vAlign w:val="center"/>
          </w:tcPr>
          <w:p w14:paraId="49EFD5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427F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97153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45DE7F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1.18</w:t>
            </w:r>
          </w:p>
        </w:tc>
      </w:tr>
      <w:tr w14:paraId="2BBD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4A6A9B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Readers' suggestions</w:t>
            </w:r>
          </w:p>
        </w:tc>
        <w:tc>
          <w:tcPr>
            <w:tcW w:w="283" w:type="dxa"/>
            <w:tcBorders>
              <w:top w:val="nil"/>
              <w:left w:val="single" w:color="000000" w:sz="16" w:space="0"/>
              <w:bottom w:val="nil"/>
            </w:tcBorders>
            <w:shd w:val="clear" w:color="auto" w:fill="FFFFFF"/>
            <w:vAlign w:val="center"/>
          </w:tcPr>
          <w:p w14:paraId="547DD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DFF98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086F96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2150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74211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C5761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6C061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9AA42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DC853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D0DE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F6207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65623D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51C18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30F4087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Bibliographies</w:t>
            </w:r>
          </w:p>
        </w:tc>
        <w:tc>
          <w:tcPr>
            <w:tcW w:w="283" w:type="dxa"/>
            <w:tcBorders>
              <w:top w:val="nil"/>
              <w:left w:val="single" w:color="000000" w:sz="16" w:space="0"/>
              <w:bottom w:val="nil"/>
            </w:tcBorders>
            <w:shd w:val="clear" w:color="auto" w:fill="FFFFFF"/>
            <w:vAlign w:val="center"/>
          </w:tcPr>
          <w:p w14:paraId="4560DE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51A25F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25" w:type="dxa"/>
            <w:tcBorders>
              <w:top w:val="nil"/>
              <w:bottom w:val="nil"/>
            </w:tcBorders>
            <w:shd w:val="clear" w:color="auto" w:fill="FFFFFF"/>
            <w:vAlign w:val="center"/>
          </w:tcPr>
          <w:p w14:paraId="5BD290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DCBCD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38D1B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6B103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523DA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1EB9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EDACF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6414E9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130D4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4.45</w:t>
            </w:r>
          </w:p>
        </w:tc>
        <w:tc>
          <w:tcPr>
            <w:tcW w:w="567" w:type="dxa"/>
            <w:vAlign w:val="center"/>
          </w:tcPr>
          <w:p w14:paraId="7A3526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0.69</w:t>
            </w:r>
          </w:p>
        </w:tc>
      </w:tr>
      <w:tr w14:paraId="6BEE0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1" w:hRule="atLeast"/>
        </w:trPr>
        <w:tc>
          <w:tcPr>
            <w:tcW w:w="3301" w:type="dxa"/>
            <w:tcBorders>
              <w:top w:val="nil"/>
              <w:left w:val="single" w:color="000000" w:sz="16" w:space="0"/>
              <w:bottom w:val="nil"/>
              <w:right w:val="single" w:color="000000" w:sz="16" w:space="0"/>
            </w:tcBorders>
            <w:shd w:val="clear" w:color="auto" w:fill="FFFFFF"/>
          </w:tcPr>
          <w:p w14:paraId="6677565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Reading lists</w:t>
            </w:r>
          </w:p>
        </w:tc>
        <w:tc>
          <w:tcPr>
            <w:tcW w:w="283" w:type="dxa"/>
            <w:tcBorders>
              <w:top w:val="nil"/>
              <w:left w:val="single" w:color="000000" w:sz="16" w:space="0"/>
              <w:bottom w:val="nil"/>
            </w:tcBorders>
            <w:shd w:val="clear" w:color="auto" w:fill="FFFFFF"/>
            <w:vAlign w:val="center"/>
          </w:tcPr>
          <w:p w14:paraId="2B45D3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6E97F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2EF828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7928E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4054D5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194D8E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9CA9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DEF0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A27CB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C3B6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9D2A2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567" w:type="dxa"/>
            <w:vAlign w:val="center"/>
          </w:tcPr>
          <w:p w14:paraId="19DDA8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725E0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91" w:hRule="atLeast"/>
        </w:trPr>
        <w:tc>
          <w:tcPr>
            <w:tcW w:w="3301" w:type="dxa"/>
            <w:tcBorders>
              <w:top w:val="nil"/>
              <w:left w:val="single" w:color="000000" w:sz="16" w:space="0"/>
              <w:bottom w:val="nil"/>
              <w:right w:val="single" w:color="000000" w:sz="16" w:space="0"/>
            </w:tcBorders>
            <w:shd w:val="clear" w:color="auto" w:fill="FFFFFF"/>
          </w:tcPr>
          <w:p w14:paraId="5A5BB0B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Prospectus</w:t>
            </w:r>
          </w:p>
        </w:tc>
        <w:tc>
          <w:tcPr>
            <w:tcW w:w="283" w:type="dxa"/>
            <w:tcBorders>
              <w:top w:val="nil"/>
              <w:left w:val="single" w:color="000000" w:sz="16" w:space="0"/>
              <w:bottom w:val="nil"/>
            </w:tcBorders>
            <w:shd w:val="clear" w:color="auto" w:fill="FFFFFF"/>
            <w:vAlign w:val="center"/>
          </w:tcPr>
          <w:p w14:paraId="7DA0A2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E6596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735E9F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959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760604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7A975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54A71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89F13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7DBDA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46328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231FA0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469581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FB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3301" w:type="dxa"/>
            <w:tcBorders>
              <w:top w:val="nil"/>
              <w:left w:val="single" w:color="000000" w:sz="16" w:space="0"/>
              <w:bottom w:val="nil"/>
              <w:right w:val="single" w:color="000000" w:sz="16" w:space="0"/>
            </w:tcBorders>
            <w:shd w:val="clear" w:color="auto" w:fill="FFFFFF"/>
          </w:tcPr>
          <w:p w14:paraId="7D506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283" w:type="dxa"/>
            <w:tcBorders>
              <w:top w:val="nil"/>
              <w:left w:val="single" w:color="000000" w:sz="16" w:space="0"/>
              <w:bottom w:val="nil"/>
            </w:tcBorders>
            <w:shd w:val="clear" w:color="auto" w:fill="FFFFFF"/>
            <w:vAlign w:val="center"/>
          </w:tcPr>
          <w:p w14:paraId="162CE7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42D8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5AB073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w:t>
            </w:r>
          </w:p>
        </w:tc>
        <w:tc>
          <w:tcPr>
            <w:tcW w:w="567" w:type="dxa"/>
            <w:tcBorders>
              <w:top w:val="nil"/>
              <w:bottom w:val="nil"/>
            </w:tcBorders>
            <w:shd w:val="clear" w:color="auto" w:fill="FFFFFF"/>
            <w:vAlign w:val="center"/>
          </w:tcPr>
          <w:p w14:paraId="60AFB4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72.7</w:t>
            </w:r>
          </w:p>
        </w:tc>
        <w:tc>
          <w:tcPr>
            <w:tcW w:w="426" w:type="dxa"/>
            <w:tcBorders>
              <w:top w:val="nil"/>
              <w:bottom w:val="nil"/>
            </w:tcBorders>
            <w:shd w:val="clear" w:color="auto" w:fill="FFFFFF"/>
            <w:vAlign w:val="center"/>
          </w:tcPr>
          <w:p w14:paraId="636CAB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11255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4CAE3B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70A6C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26767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5DB6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0226C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75F8C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0.54</w:t>
            </w:r>
          </w:p>
        </w:tc>
      </w:tr>
      <w:tr w14:paraId="5ED0A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1" w:hRule="atLeast"/>
        </w:trPr>
        <w:tc>
          <w:tcPr>
            <w:tcW w:w="3301" w:type="dxa"/>
            <w:tcBorders>
              <w:top w:val="nil"/>
              <w:left w:val="single" w:color="000000" w:sz="16" w:space="0"/>
              <w:bottom w:val="nil"/>
              <w:right w:val="single" w:color="000000" w:sz="16" w:space="0"/>
            </w:tcBorders>
            <w:shd w:val="clear" w:color="auto" w:fill="FFFFFF"/>
          </w:tcPr>
          <w:p w14:paraId="3DB6945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Library catalogues</w:t>
            </w:r>
          </w:p>
        </w:tc>
        <w:tc>
          <w:tcPr>
            <w:tcW w:w="283" w:type="dxa"/>
            <w:tcBorders>
              <w:top w:val="nil"/>
              <w:left w:val="single" w:color="000000" w:sz="16" w:space="0"/>
              <w:bottom w:val="nil"/>
            </w:tcBorders>
            <w:shd w:val="clear" w:color="auto" w:fill="FFFFFF"/>
            <w:vAlign w:val="center"/>
          </w:tcPr>
          <w:p w14:paraId="45E97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48AB7A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6A6E52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6B69C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537B18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76ABB9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6EA9D2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5B59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2D270E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70BED3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055B02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2A6080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C3D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1" w:hRule="atLeast"/>
        </w:trPr>
        <w:tc>
          <w:tcPr>
            <w:tcW w:w="3301" w:type="dxa"/>
            <w:tcBorders>
              <w:top w:val="nil"/>
              <w:left w:val="single" w:color="000000" w:sz="16" w:space="0"/>
              <w:bottom w:val="nil"/>
              <w:right w:val="single" w:color="000000" w:sz="16" w:space="0"/>
            </w:tcBorders>
            <w:shd w:val="clear" w:color="auto" w:fill="FFFFFF"/>
          </w:tcPr>
          <w:p w14:paraId="25B3C3C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Publishers' catalogues</w:t>
            </w:r>
          </w:p>
        </w:tc>
        <w:tc>
          <w:tcPr>
            <w:tcW w:w="283" w:type="dxa"/>
            <w:tcBorders>
              <w:top w:val="nil"/>
              <w:left w:val="single" w:color="000000" w:sz="16" w:space="0"/>
              <w:bottom w:val="nil"/>
            </w:tcBorders>
            <w:shd w:val="clear" w:color="auto" w:fill="FFFFFF"/>
            <w:vAlign w:val="center"/>
          </w:tcPr>
          <w:p w14:paraId="54E3A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7C0A7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nil"/>
              <w:bottom w:val="nil"/>
            </w:tcBorders>
            <w:shd w:val="clear" w:color="auto" w:fill="FFFFFF"/>
            <w:vAlign w:val="center"/>
          </w:tcPr>
          <w:p w14:paraId="05DD16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7C80F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370C8EF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E9AB6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31CE4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ED870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2C99DD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6F62F1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212CA3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2A716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1.66</w:t>
            </w:r>
          </w:p>
        </w:tc>
      </w:tr>
      <w:tr w14:paraId="468C8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nil"/>
              <w:left w:val="single" w:color="000000" w:sz="16" w:space="0"/>
              <w:bottom w:val="nil"/>
              <w:right w:val="single" w:color="000000" w:sz="16" w:space="0"/>
            </w:tcBorders>
            <w:shd w:val="clear" w:color="auto" w:fill="FFFFFF"/>
          </w:tcPr>
          <w:p w14:paraId="7DC3D09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List of theses and dissertations</w:t>
            </w:r>
          </w:p>
        </w:tc>
        <w:tc>
          <w:tcPr>
            <w:tcW w:w="283" w:type="dxa"/>
            <w:tcBorders>
              <w:top w:val="nil"/>
              <w:left w:val="single" w:color="000000" w:sz="16" w:space="0"/>
              <w:bottom w:val="nil"/>
            </w:tcBorders>
            <w:shd w:val="clear" w:color="auto" w:fill="FFFFFF"/>
            <w:vAlign w:val="center"/>
          </w:tcPr>
          <w:p w14:paraId="35E81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9B89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62A27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55906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17C2CB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E3922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211673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C6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3AE5E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638D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7A88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22F49B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12BB4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single" w:color="000000" w:sz="16" w:space="0"/>
              <w:right w:val="single" w:color="000000" w:sz="16" w:space="0"/>
            </w:tcBorders>
            <w:shd w:val="clear" w:color="auto" w:fill="FFFFFF"/>
          </w:tcPr>
          <w:p w14:paraId="14701F0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Accession registers</w:t>
            </w:r>
          </w:p>
        </w:tc>
        <w:tc>
          <w:tcPr>
            <w:tcW w:w="283" w:type="dxa"/>
            <w:tcBorders>
              <w:top w:val="nil"/>
              <w:left w:val="single" w:color="000000" w:sz="16" w:space="0"/>
              <w:bottom w:val="single" w:color="000000" w:sz="16" w:space="0"/>
            </w:tcBorders>
            <w:shd w:val="clear" w:color="auto" w:fill="FFFFFF"/>
            <w:vAlign w:val="center"/>
          </w:tcPr>
          <w:p w14:paraId="07DB78F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205153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single" w:color="000000" w:sz="16" w:space="0"/>
            </w:tcBorders>
            <w:shd w:val="clear" w:color="auto" w:fill="FFFFFF"/>
            <w:vAlign w:val="center"/>
          </w:tcPr>
          <w:p w14:paraId="66C388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single" w:color="000000" w:sz="16" w:space="0"/>
            </w:tcBorders>
            <w:shd w:val="clear" w:color="auto" w:fill="FFFFFF"/>
            <w:vAlign w:val="center"/>
          </w:tcPr>
          <w:p w14:paraId="65924C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single" w:color="000000" w:sz="16" w:space="0"/>
            </w:tcBorders>
            <w:shd w:val="clear" w:color="auto" w:fill="FFFFFF"/>
            <w:vAlign w:val="center"/>
          </w:tcPr>
          <w:p w14:paraId="4C78F4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575719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single" w:color="000000" w:sz="16" w:space="0"/>
            </w:tcBorders>
            <w:shd w:val="clear" w:color="auto" w:fill="FFFFFF"/>
            <w:vAlign w:val="center"/>
          </w:tcPr>
          <w:p w14:paraId="6BD8CF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397661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single" w:color="000000" w:sz="16" w:space="0"/>
            </w:tcBorders>
            <w:shd w:val="clear" w:color="auto" w:fill="FFFFFF"/>
            <w:vAlign w:val="center"/>
          </w:tcPr>
          <w:p w14:paraId="04CEED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single" w:color="000000" w:sz="16" w:space="0"/>
              <w:right w:val="single" w:color="000000" w:sz="16" w:space="0"/>
            </w:tcBorders>
            <w:shd w:val="clear" w:color="auto" w:fill="FFFFFF"/>
            <w:vAlign w:val="center"/>
          </w:tcPr>
          <w:p w14:paraId="796CC5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A5F31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11F4C4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10B495E6">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3 above reveals that bibliographies is ranked highest among the tools used in selecting legal materials to be purchased in University of Ilorin Law Library with (4.45</w:t>
      </w:r>
      <w:r>
        <w:rPr>
          <w:rFonts w:ascii="Times New Roman" w:hAnsi="Times New Roman" w:cs="Times New Roman"/>
          <w:color w:val="auto"/>
          <w:sz w:val="24"/>
          <w:szCs w:val="24"/>
          <w:lang w:val="en-GB"/>
        </w:rPr>
        <w:t>± 0.69</w:t>
      </w:r>
      <w:r>
        <w:rPr>
          <w:rFonts w:ascii="Times New Roman" w:hAnsi="Times New Roman" w:cs="Times New Roman"/>
          <w:color w:val="auto"/>
          <w:sz w:val="24"/>
          <w:szCs w:val="24"/>
        </w:rPr>
        <w:t>), followed by readers’ suggestions (4.27</w:t>
      </w:r>
      <w:r>
        <w:rPr>
          <w:rFonts w:ascii="Times New Roman" w:hAnsi="Times New Roman" w:cs="Times New Roman"/>
          <w:color w:val="auto"/>
          <w:sz w:val="24"/>
          <w:szCs w:val="24"/>
          <w:lang w:val="en-GB"/>
        </w:rPr>
        <w:t>± 0.91) and yearbooks with (</w:t>
      </w:r>
      <w:r>
        <w:rPr>
          <w:rFonts w:ascii="Times New Roman" w:hAnsi="Times New Roman" w:cs="Times New Roman"/>
          <w:color w:val="auto"/>
          <w:sz w:val="24"/>
          <w:szCs w:val="24"/>
        </w:rPr>
        <w:t>4.09</w:t>
      </w:r>
      <w:r>
        <w:rPr>
          <w:rFonts w:ascii="Times New Roman" w:hAnsi="Times New Roman" w:cs="Times New Roman"/>
          <w:color w:val="auto"/>
          <w:sz w:val="24"/>
          <w:szCs w:val="24"/>
          <w:lang w:val="en-GB"/>
        </w:rPr>
        <w:t>± 0.54). On the other hand, publishers’ catalogues is</w:t>
      </w:r>
      <w:r>
        <w:rPr>
          <w:rFonts w:ascii="Times New Roman" w:hAnsi="Times New Roman" w:cs="Times New Roman"/>
          <w:color w:val="auto"/>
          <w:sz w:val="24"/>
          <w:szCs w:val="24"/>
        </w:rPr>
        <w:t xml:space="preserve"> ranked lowest with (3.18</w:t>
      </w:r>
      <w:r>
        <w:rPr>
          <w:rFonts w:ascii="Times New Roman" w:hAnsi="Times New Roman" w:cs="Times New Roman"/>
          <w:color w:val="auto"/>
          <w:sz w:val="24"/>
          <w:szCs w:val="24"/>
          <w:lang w:val="en-GB"/>
        </w:rPr>
        <w:t xml:space="preserve">± 1.66). </w:t>
      </w:r>
    </w:p>
    <w:p w14:paraId="2B7BDAE4">
      <w:pPr>
        <w:autoSpaceDE w:val="0"/>
        <w:autoSpaceDN w:val="0"/>
        <w:adjustRightInd w:val="0"/>
        <w:spacing w:after="0" w:line="360" w:lineRule="auto"/>
        <w:ind w:left="-180"/>
        <w:jc w:val="both"/>
        <w:rPr>
          <w:rFonts w:ascii="Times New Roman" w:hAnsi="Times New Roman" w:cs="Times New Roman"/>
          <w:color w:val="auto"/>
          <w:sz w:val="24"/>
          <w:szCs w:val="24"/>
          <w:lang w:val="en-GB"/>
        </w:rPr>
      </w:pPr>
    </w:p>
    <w:p w14:paraId="3CFCFDCE">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rPr>
        <w:t>4.4.3</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Three: </w:t>
      </w:r>
      <w:r>
        <w:rPr>
          <w:rFonts w:ascii="Times New Roman" w:hAnsi="Times New Roman"/>
          <w:b/>
          <w:color w:val="auto"/>
          <w:sz w:val="24"/>
          <w:szCs w:val="24"/>
        </w:rPr>
        <w:t>What are the criteria used in selecting legal information materials to be acquired in University of Ilorin Law Library?</w:t>
      </w:r>
    </w:p>
    <w:p w14:paraId="7FE177D2">
      <w:pPr>
        <w:autoSpaceDE w:val="0"/>
        <w:autoSpaceDN w:val="0"/>
        <w:adjustRightInd w:val="0"/>
        <w:spacing w:after="0" w:line="360" w:lineRule="auto"/>
        <w:ind w:left="-180"/>
        <w:jc w:val="both"/>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4: </w:t>
      </w:r>
      <w:r>
        <w:rPr>
          <w:rFonts w:ascii="Times New Roman" w:hAnsi="Times New Roman"/>
          <w:b/>
          <w:color w:val="auto"/>
          <w:sz w:val="24"/>
          <w:szCs w:val="24"/>
        </w:rPr>
        <w:t>Criteria used in selecting legal information materials to be acquired in University of Ilorin Law Library</w:t>
      </w:r>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284"/>
        <w:gridCol w:w="709"/>
        <w:gridCol w:w="708"/>
        <w:gridCol w:w="567"/>
      </w:tblGrid>
      <w:tr w14:paraId="2975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7"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70A519A9">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5BC63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6BDB6F6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0523CB8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82AAB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21B3D9B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5009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217DADC0">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4213A8B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FAB20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5345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05B57B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127B2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F015F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C6E8A0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F2DBF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1FFCF9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0CF24DE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01ADB7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0E5731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4F51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7" w:hRule="atLeast"/>
        </w:trPr>
        <w:tc>
          <w:tcPr>
            <w:tcW w:w="4009" w:type="dxa"/>
            <w:tcBorders>
              <w:top w:val="single" w:color="000000" w:sz="16" w:space="0"/>
              <w:left w:val="single" w:color="000000" w:sz="16" w:space="0"/>
              <w:bottom w:val="nil"/>
              <w:right w:val="single" w:color="000000" w:sz="16" w:space="0"/>
            </w:tcBorders>
            <w:shd w:val="clear" w:color="auto" w:fill="FFFFFF"/>
          </w:tcPr>
          <w:p w14:paraId="0ECD42D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Appropriateness to level of user</w:t>
            </w:r>
          </w:p>
        </w:tc>
        <w:tc>
          <w:tcPr>
            <w:tcW w:w="284" w:type="dxa"/>
            <w:tcBorders>
              <w:top w:val="single" w:color="000000" w:sz="16" w:space="0"/>
              <w:left w:val="single" w:color="000000" w:sz="16" w:space="0"/>
              <w:bottom w:val="nil"/>
            </w:tcBorders>
            <w:shd w:val="clear" w:color="auto" w:fill="FFFFFF"/>
            <w:vAlign w:val="center"/>
          </w:tcPr>
          <w:p w14:paraId="6E3538E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9D463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single" w:color="000000" w:sz="16" w:space="0"/>
              <w:bottom w:val="nil"/>
            </w:tcBorders>
            <w:shd w:val="clear" w:color="auto" w:fill="FFFFFF"/>
            <w:vAlign w:val="center"/>
          </w:tcPr>
          <w:p w14:paraId="722181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EA3F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single" w:color="000000" w:sz="16" w:space="0"/>
              <w:bottom w:val="nil"/>
            </w:tcBorders>
            <w:shd w:val="clear" w:color="auto" w:fill="FFFFFF"/>
            <w:vAlign w:val="center"/>
          </w:tcPr>
          <w:p w14:paraId="495711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7B9609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1102D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61B6E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single" w:color="000000" w:sz="16" w:space="0"/>
              <w:bottom w:val="nil"/>
            </w:tcBorders>
            <w:shd w:val="clear" w:color="auto" w:fill="FFFFFF"/>
            <w:vAlign w:val="center"/>
          </w:tcPr>
          <w:p w14:paraId="429B7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374BD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2FC5EC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380EFD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1.10</w:t>
            </w:r>
          </w:p>
        </w:tc>
      </w:tr>
      <w:tr w14:paraId="012DA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671EF75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Authority</w:t>
            </w:r>
          </w:p>
        </w:tc>
        <w:tc>
          <w:tcPr>
            <w:tcW w:w="284" w:type="dxa"/>
            <w:tcBorders>
              <w:top w:val="nil"/>
              <w:left w:val="single" w:color="000000" w:sz="16" w:space="0"/>
              <w:bottom w:val="nil"/>
            </w:tcBorders>
            <w:shd w:val="clear" w:color="auto" w:fill="FFFFFF"/>
            <w:vAlign w:val="center"/>
          </w:tcPr>
          <w:p w14:paraId="284464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08964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C9FF0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390B38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6B1FF8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9D90D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70C7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69FA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E9B09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FB203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285BB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014E24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2AB1A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7B16EB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Accessibility of the materials</w:t>
            </w:r>
          </w:p>
        </w:tc>
        <w:tc>
          <w:tcPr>
            <w:tcW w:w="284" w:type="dxa"/>
            <w:tcBorders>
              <w:top w:val="nil"/>
              <w:left w:val="single" w:color="000000" w:sz="16" w:space="0"/>
              <w:bottom w:val="nil"/>
            </w:tcBorders>
            <w:shd w:val="clear" w:color="auto" w:fill="FFFFFF"/>
            <w:vAlign w:val="center"/>
          </w:tcPr>
          <w:p w14:paraId="15E177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9617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674BD3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8E349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128DC5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ED802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23F9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7D7CC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023982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C8C25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5A88E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7B7543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0.65</w:t>
            </w:r>
          </w:p>
        </w:tc>
      </w:tr>
      <w:tr w14:paraId="02289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7" w:hRule="atLeast"/>
        </w:trPr>
        <w:tc>
          <w:tcPr>
            <w:tcW w:w="4009" w:type="dxa"/>
            <w:tcBorders>
              <w:top w:val="nil"/>
              <w:left w:val="single" w:color="000000" w:sz="16" w:space="0"/>
              <w:bottom w:val="nil"/>
              <w:right w:val="single" w:color="000000" w:sz="16" w:space="0"/>
            </w:tcBorders>
            <w:shd w:val="clear" w:color="auto" w:fill="FFFFFF"/>
          </w:tcPr>
          <w:p w14:paraId="1E18590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Users’ demands</w:t>
            </w:r>
          </w:p>
        </w:tc>
        <w:tc>
          <w:tcPr>
            <w:tcW w:w="284" w:type="dxa"/>
            <w:tcBorders>
              <w:top w:val="nil"/>
              <w:left w:val="single" w:color="000000" w:sz="16" w:space="0"/>
              <w:bottom w:val="nil"/>
            </w:tcBorders>
            <w:shd w:val="clear" w:color="auto" w:fill="FFFFFF"/>
            <w:vAlign w:val="center"/>
          </w:tcPr>
          <w:p w14:paraId="4DCCFE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6BFA29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697A70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781BF1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2498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B0A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0AF14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27C7C2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4A2625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0B421C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5E05CA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299526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353F7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247072D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General interest</w:t>
            </w:r>
          </w:p>
        </w:tc>
        <w:tc>
          <w:tcPr>
            <w:tcW w:w="284" w:type="dxa"/>
            <w:tcBorders>
              <w:top w:val="nil"/>
              <w:left w:val="single" w:color="000000" w:sz="16" w:space="0"/>
              <w:bottom w:val="nil"/>
            </w:tcBorders>
            <w:shd w:val="clear" w:color="auto" w:fill="FFFFFF"/>
            <w:vAlign w:val="center"/>
          </w:tcPr>
          <w:p w14:paraId="49FB5F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757C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891CF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05C4D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7D161F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3C10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20262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C29A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16BD78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5D4B19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ADD8C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762B8F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1.34</w:t>
            </w:r>
          </w:p>
        </w:tc>
      </w:tr>
      <w:tr w14:paraId="62B55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077D0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Cost</w:t>
            </w:r>
          </w:p>
        </w:tc>
        <w:tc>
          <w:tcPr>
            <w:tcW w:w="284" w:type="dxa"/>
            <w:tcBorders>
              <w:top w:val="nil"/>
              <w:left w:val="single" w:color="000000" w:sz="16" w:space="0"/>
              <w:bottom w:val="nil"/>
            </w:tcBorders>
            <w:shd w:val="clear" w:color="auto" w:fill="FFFFFF"/>
            <w:vAlign w:val="center"/>
          </w:tcPr>
          <w:p w14:paraId="5A04D8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25AC6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C4C19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50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00DF31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2F7A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100E61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FFCAB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1AFF9E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212F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F064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63D7C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1D2EE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274BDD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Up-to-datedness of contents</w:t>
            </w:r>
          </w:p>
        </w:tc>
        <w:tc>
          <w:tcPr>
            <w:tcW w:w="284" w:type="dxa"/>
            <w:tcBorders>
              <w:top w:val="nil"/>
              <w:left w:val="single" w:color="000000" w:sz="16" w:space="0"/>
              <w:bottom w:val="nil"/>
            </w:tcBorders>
            <w:shd w:val="clear" w:color="auto" w:fill="FFFFFF"/>
            <w:vAlign w:val="center"/>
          </w:tcPr>
          <w:p w14:paraId="0FA5C3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BE0E6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72C9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4463F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5E1CC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4F9C3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17A37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CDBD8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551D01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AFF4F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03F25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3.91</w:t>
            </w:r>
          </w:p>
        </w:tc>
        <w:tc>
          <w:tcPr>
            <w:tcW w:w="567" w:type="dxa"/>
            <w:vAlign w:val="center"/>
          </w:tcPr>
          <w:p w14:paraId="2C5190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253DD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4009" w:type="dxa"/>
            <w:tcBorders>
              <w:top w:val="nil"/>
              <w:left w:val="single" w:color="000000" w:sz="16" w:space="0"/>
              <w:bottom w:val="nil"/>
              <w:right w:val="single" w:color="000000" w:sz="16" w:space="0"/>
            </w:tcBorders>
            <w:shd w:val="clear" w:color="auto" w:fill="FFFFFF"/>
          </w:tcPr>
          <w:p w14:paraId="13D8675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Comprehensiveness and depth of treatment</w:t>
            </w:r>
          </w:p>
        </w:tc>
        <w:tc>
          <w:tcPr>
            <w:tcW w:w="284" w:type="dxa"/>
            <w:tcBorders>
              <w:top w:val="nil"/>
              <w:left w:val="single" w:color="000000" w:sz="16" w:space="0"/>
              <w:bottom w:val="nil"/>
            </w:tcBorders>
            <w:shd w:val="clear" w:color="auto" w:fill="FFFFFF"/>
            <w:vAlign w:val="center"/>
          </w:tcPr>
          <w:p w14:paraId="4F5C08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5CB6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3BE326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7B10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64E65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35FA6E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0C796A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DB06F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B9D84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30A9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D016F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34707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1.00</w:t>
            </w:r>
          </w:p>
        </w:tc>
      </w:tr>
      <w:tr w14:paraId="3053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4D0DA5B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Reputation of publisher or producer</w:t>
            </w:r>
          </w:p>
        </w:tc>
        <w:tc>
          <w:tcPr>
            <w:tcW w:w="284" w:type="dxa"/>
            <w:tcBorders>
              <w:top w:val="nil"/>
              <w:left w:val="single" w:color="000000" w:sz="16" w:space="0"/>
              <w:bottom w:val="nil"/>
            </w:tcBorders>
            <w:shd w:val="clear" w:color="auto" w:fill="FFFFFF"/>
            <w:vAlign w:val="center"/>
          </w:tcPr>
          <w:p w14:paraId="02B743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65CCC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16D5B3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2E3AF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B352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D4CEB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092025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A2932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0F130E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5E699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4693EF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02AC72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B753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7F545F8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Ease of use</w:t>
            </w:r>
          </w:p>
        </w:tc>
        <w:tc>
          <w:tcPr>
            <w:tcW w:w="284" w:type="dxa"/>
            <w:tcBorders>
              <w:top w:val="nil"/>
              <w:left w:val="single" w:color="000000" w:sz="16" w:space="0"/>
              <w:bottom w:val="nil"/>
            </w:tcBorders>
            <w:shd w:val="clear" w:color="auto" w:fill="FFFFFF"/>
            <w:vAlign w:val="center"/>
          </w:tcPr>
          <w:p w14:paraId="74DB11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75D9F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7E34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B0C58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17528D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7F1A8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CAA81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7DD6ED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F914F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5EF9EC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99CBD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08A314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1.27</w:t>
            </w:r>
          </w:p>
        </w:tc>
      </w:tr>
      <w:tr w14:paraId="37015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7" w:hRule="atLeast"/>
        </w:trPr>
        <w:tc>
          <w:tcPr>
            <w:tcW w:w="4009" w:type="dxa"/>
            <w:tcBorders>
              <w:top w:val="nil"/>
              <w:left w:val="single" w:color="000000" w:sz="16" w:space="0"/>
              <w:bottom w:val="single" w:color="000000" w:sz="16" w:space="0"/>
              <w:right w:val="single" w:color="000000" w:sz="16" w:space="0"/>
            </w:tcBorders>
            <w:shd w:val="clear" w:color="auto" w:fill="FFFFFF"/>
          </w:tcPr>
          <w:p w14:paraId="7754D53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Format</w:t>
            </w:r>
          </w:p>
        </w:tc>
        <w:tc>
          <w:tcPr>
            <w:tcW w:w="284" w:type="dxa"/>
            <w:tcBorders>
              <w:top w:val="nil"/>
              <w:left w:val="single" w:color="000000" w:sz="16" w:space="0"/>
              <w:bottom w:val="single" w:color="000000" w:sz="16" w:space="0"/>
            </w:tcBorders>
            <w:shd w:val="clear" w:color="auto" w:fill="FFFFFF"/>
            <w:vAlign w:val="center"/>
          </w:tcPr>
          <w:p w14:paraId="5C5593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2BDCE3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725C26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3AB69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3F22B1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833A7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511AF07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219EFC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495126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single" w:color="000000" w:sz="16" w:space="0"/>
              <w:right w:val="single" w:color="000000" w:sz="16" w:space="0"/>
            </w:tcBorders>
            <w:shd w:val="clear" w:color="auto" w:fill="FFFFFF"/>
            <w:vAlign w:val="center"/>
          </w:tcPr>
          <w:p w14:paraId="0816052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7BF59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72E293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0044830F">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4 above reveals that accessibility of the materials is ranked highest among the criteria used in selecting legal materials to be purchased in University of Ilorin Law Library with (4.27</w:t>
      </w:r>
      <w:r>
        <w:rPr>
          <w:rFonts w:ascii="Times New Roman" w:hAnsi="Times New Roman" w:cs="Times New Roman"/>
          <w:color w:val="auto"/>
          <w:sz w:val="24"/>
          <w:szCs w:val="24"/>
          <w:lang w:val="en-GB"/>
        </w:rPr>
        <w:t>± 0.65</w:t>
      </w:r>
      <w:r>
        <w:rPr>
          <w:rFonts w:ascii="Times New Roman" w:hAnsi="Times New Roman" w:cs="Times New Roman"/>
          <w:color w:val="auto"/>
          <w:sz w:val="24"/>
          <w:szCs w:val="24"/>
        </w:rPr>
        <w:t>), followed by authority (4.18</w:t>
      </w:r>
      <w:r>
        <w:rPr>
          <w:rFonts w:ascii="Times New Roman" w:hAnsi="Times New Roman" w:cs="Times New Roman"/>
          <w:color w:val="auto"/>
          <w:sz w:val="24"/>
          <w:szCs w:val="24"/>
          <w:lang w:val="en-GB"/>
        </w:rPr>
        <w:t>± 1.17) and up-to-datedness of content with (</w:t>
      </w:r>
      <w:r>
        <w:rPr>
          <w:rFonts w:ascii="Times New Roman" w:hAnsi="Times New Roman" w:cs="Times New Roman"/>
          <w:color w:val="auto"/>
          <w:sz w:val="24"/>
          <w:szCs w:val="24"/>
        </w:rPr>
        <w:t>3.91</w:t>
      </w:r>
      <w:r>
        <w:rPr>
          <w:rFonts w:ascii="Times New Roman" w:hAnsi="Times New Roman" w:cs="Times New Roman"/>
          <w:color w:val="auto"/>
          <w:sz w:val="24"/>
          <w:szCs w:val="24"/>
          <w:lang w:val="en-GB"/>
        </w:rPr>
        <w:t>± 1.14). However, ease of use is</w:t>
      </w:r>
      <w:r>
        <w:rPr>
          <w:rFonts w:ascii="Times New Roman" w:hAnsi="Times New Roman" w:cs="Times New Roman"/>
          <w:color w:val="auto"/>
          <w:sz w:val="24"/>
          <w:szCs w:val="24"/>
        </w:rPr>
        <w:t xml:space="preserve"> ranked lowest with (3.00</w:t>
      </w:r>
      <w:r>
        <w:rPr>
          <w:rFonts w:ascii="Times New Roman" w:hAnsi="Times New Roman" w:cs="Times New Roman"/>
          <w:color w:val="auto"/>
          <w:sz w:val="24"/>
          <w:szCs w:val="24"/>
          <w:lang w:val="en-GB"/>
        </w:rPr>
        <w:t xml:space="preserve">± 1.27). </w:t>
      </w:r>
    </w:p>
    <w:p w14:paraId="14F92AF3">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4.4.4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Four: </w:t>
      </w:r>
      <w:r>
        <w:rPr>
          <w:rFonts w:ascii="Times New Roman" w:hAnsi="Times New Roman"/>
          <w:b/>
          <w:color w:val="auto"/>
          <w:sz w:val="24"/>
          <w:szCs w:val="24"/>
        </w:rPr>
        <w:t>What are the types of legal information materials selected for acquisition in University of Ilorin Law Library?</w:t>
      </w:r>
    </w:p>
    <w:p w14:paraId="6BF622BD">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t xml:space="preserve">Table 5: </w:t>
      </w:r>
      <w:r>
        <w:rPr>
          <w:rFonts w:ascii="Times New Roman" w:hAnsi="Times New Roman"/>
          <w:b/>
          <w:color w:val="auto"/>
          <w:sz w:val="24"/>
          <w:szCs w:val="24"/>
        </w:rPr>
        <w:t>Types of legal information materials selected for acquisition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4"/>
        <w:gridCol w:w="480"/>
        <w:gridCol w:w="617"/>
        <w:gridCol w:w="411"/>
        <w:gridCol w:w="617"/>
        <w:gridCol w:w="411"/>
        <w:gridCol w:w="617"/>
        <w:gridCol w:w="480"/>
        <w:gridCol w:w="686"/>
        <w:gridCol w:w="411"/>
        <w:gridCol w:w="617"/>
        <w:gridCol w:w="617"/>
        <w:gridCol w:w="752"/>
      </w:tblGrid>
      <w:tr w14:paraId="657A0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369" w:type="dxa"/>
          <w:cantSplit/>
          <w:trHeight w:val="240" w:hRule="atLeast"/>
        </w:trPr>
        <w:tc>
          <w:tcPr>
            <w:tcW w:w="3085" w:type="dxa"/>
            <w:vMerge w:val="restart"/>
            <w:tcBorders>
              <w:top w:val="single" w:color="000000" w:sz="16" w:space="0"/>
              <w:left w:val="single" w:color="000000" w:sz="16" w:space="0"/>
              <w:bottom w:val="nil"/>
              <w:right w:val="single" w:color="000000" w:sz="16" w:space="0"/>
            </w:tcBorders>
            <w:shd w:val="clear" w:color="auto" w:fill="FFFFFF"/>
            <w:vAlign w:val="bottom"/>
          </w:tcPr>
          <w:p w14:paraId="25B11417">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97" w:type="dxa"/>
            <w:gridSpan w:val="2"/>
            <w:tcBorders>
              <w:top w:val="single" w:color="000000" w:sz="16" w:space="0"/>
              <w:left w:val="single" w:color="000000" w:sz="16" w:space="0"/>
            </w:tcBorders>
            <w:shd w:val="clear" w:color="auto" w:fill="FFFFFF"/>
            <w:vAlign w:val="bottom"/>
          </w:tcPr>
          <w:p w14:paraId="1B2461C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28" w:type="dxa"/>
            <w:gridSpan w:val="2"/>
            <w:tcBorders>
              <w:top w:val="single" w:color="000000" w:sz="16" w:space="0"/>
            </w:tcBorders>
            <w:shd w:val="clear" w:color="auto" w:fill="FFFFFF"/>
            <w:vAlign w:val="bottom"/>
          </w:tcPr>
          <w:p w14:paraId="1B11C69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28" w:type="dxa"/>
            <w:gridSpan w:val="2"/>
            <w:tcBorders>
              <w:top w:val="single" w:color="000000" w:sz="16" w:space="0"/>
            </w:tcBorders>
            <w:shd w:val="clear" w:color="auto" w:fill="FFFFFF"/>
            <w:vAlign w:val="bottom"/>
          </w:tcPr>
          <w:p w14:paraId="38ED52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165" w:type="dxa"/>
            <w:gridSpan w:val="2"/>
            <w:tcBorders>
              <w:top w:val="single" w:color="000000" w:sz="16" w:space="0"/>
            </w:tcBorders>
            <w:shd w:val="clear" w:color="auto" w:fill="FFFFFF"/>
            <w:vAlign w:val="bottom"/>
          </w:tcPr>
          <w:p w14:paraId="23F6B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028" w:type="dxa"/>
            <w:gridSpan w:val="2"/>
            <w:tcBorders>
              <w:top w:val="single" w:color="000000" w:sz="16" w:space="0"/>
              <w:right w:val="single" w:color="000000" w:sz="16" w:space="0"/>
            </w:tcBorders>
            <w:shd w:val="clear" w:color="auto" w:fill="FFFFFF"/>
            <w:vAlign w:val="bottom"/>
          </w:tcPr>
          <w:p w14:paraId="12E7927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1552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8" w:hRule="atLeast"/>
        </w:trPr>
        <w:tc>
          <w:tcPr>
            <w:tcW w:w="3085" w:type="dxa"/>
            <w:vMerge w:val="continue"/>
            <w:tcBorders>
              <w:top w:val="single" w:color="000000" w:sz="16" w:space="0"/>
              <w:left w:val="single" w:color="000000" w:sz="16" w:space="0"/>
              <w:bottom w:val="nil"/>
              <w:right w:val="single" w:color="000000" w:sz="16" w:space="0"/>
            </w:tcBorders>
            <w:shd w:val="clear" w:color="auto" w:fill="FFFFFF"/>
            <w:vAlign w:val="bottom"/>
          </w:tcPr>
          <w:p w14:paraId="15275A13">
            <w:pPr>
              <w:autoSpaceDE w:val="0"/>
              <w:autoSpaceDN w:val="0"/>
              <w:adjustRightInd w:val="0"/>
              <w:spacing w:after="0" w:line="360" w:lineRule="auto"/>
              <w:jc w:val="center"/>
              <w:rPr>
                <w:rFonts w:ascii="Times New Roman" w:hAnsi="Times New Roman" w:cs="Times New Roman"/>
                <w:b/>
                <w:color w:val="auto"/>
              </w:rPr>
            </w:pPr>
          </w:p>
        </w:tc>
        <w:tc>
          <w:tcPr>
            <w:tcW w:w="480" w:type="dxa"/>
            <w:tcBorders>
              <w:left w:val="single" w:color="000000" w:sz="16" w:space="0"/>
              <w:bottom w:val="single" w:color="000000" w:sz="16" w:space="0"/>
            </w:tcBorders>
            <w:shd w:val="clear" w:color="auto" w:fill="FFFFFF"/>
            <w:vAlign w:val="bottom"/>
          </w:tcPr>
          <w:p w14:paraId="47BCEF1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7C57C35C">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6BF698C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201B64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3E9314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1430822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80" w:type="dxa"/>
            <w:tcBorders>
              <w:bottom w:val="single" w:color="000000" w:sz="16" w:space="0"/>
            </w:tcBorders>
            <w:shd w:val="clear" w:color="auto" w:fill="FFFFFF"/>
            <w:vAlign w:val="bottom"/>
          </w:tcPr>
          <w:p w14:paraId="19669C1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86" w:type="dxa"/>
            <w:tcBorders>
              <w:bottom w:val="single" w:color="000000" w:sz="16" w:space="0"/>
            </w:tcBorders>
            <w:shd w:val="clear" w:color="auto" w:fill="FFFFFF"/>
            <w:vAlign w:val="bottom"/>
          </w:tcPr>
          <w:p w14:paraId="2D062D3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5970F6D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right w:val="single" w:color="000000" w:sz="16" w:space="0"/>
            </w:tcBorders>
            <w:shd w:val="clear" w:color="auto" w:fill="FFFFFF"/>
            <w:vAlign w:val="bottom"/>
          </w:tcPr>
          <w:p w14:paraId="2AEE0E7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617" w:type="dxa"/>
            <w:vAlign w:val="bottom"/>
          </w:tcPr>
          <w:p w14:paraId="47EC37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51" w:type="dxa"/>
            <w:vAlign w:val="bottom"/>
          </w:tcPr>
          <w:p w14:paraId="05FFA26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6F20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single" w:color="000000" w:sz="16" w:space="0"/>
              <w:left w:val="single" w:color="000000" w:sz="16" w:space="0"/>
              <w:bottom w:val="nil"/>
              <w:right w:val="single" w:color="000000" w:sz="16" w:space="0"/>
            </w:tcBorders>
            <w:shd w:val="clear" w:color="auto" w:fill="FFFFFF"/>
          </w:tcPr>
          <w:p w14:paraId="50AB01B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Constitutions</w:t>
            </w:r>
          </w:p>
        </w:tc>
        <w:tc>
          <w:tcPr>
            <w:tcW w:w="480" w:type="dxa"/>
            <w:tcBorders>
              <w:top w:val="single" w:color="000000" w:sz="16" w:space="0"/>
              <w:left w:val="single" w:color="000000" w:sz="16" w:space="0"/>
              <w:bottom w:val="nil"/>
            </w:tcBorders>
            <w:shd w:val="clear" w:color="auto" w:fill="FFFFFF"/>
            <w:vAlign w:val="center"/>
          </w:tcPr>
          <w:p w14:paraId="30A41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single" w:color="000000" w:sz="16" w:space="0"/>
              <w:bottom w:val="nil"/>
            </w:tcBorders>
            <w:shd w:val="clear" w:color="auto" w:fill="FFFFFF"/>
            <w:vAlign w:val="center"/>
          </w:tcPr>
          <w:p w14:paraId="7C4B9F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single" w:color="000000" w:sz="16" w:space="0"/>
              <w:bottom w:val="nil"/>
            </w:tcBorders>
            <w:shd w:val="clear" w:color="auto" w:fill="FFFFFF"/>
            <w:vAlign w:val="center"/>
          </w:tcPr>
          <w:p w14:paraId="159070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650FE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24E160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4BA621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single" w:color="000000" w:sz="16" w:space="0"/>
              <w:bottom w:val="nil"/>
            </w:tcBorders>
            <w:shd w:val="clear" w:color="auto" w:fill="FFFFFF"/>
            <w:vAlign w:val="center"/>
          </w:tcPr>
          <w:p w14:paraId="56398B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86" w:type="dxa"/>
            <w:tcBorders>
              <w:top w:val="single" w:color="000000" w:sz="16" w:space="0"/>
              <w:bottom w:val="nil"/>
            </w:tcBorders>
            <w:shd w:val="clear" w:color="auto" w:fill="FFFFFF"/>
            <w:vAlign w:val="center"/>
          </w:tcPr>
          <w:p w14:paraId="27714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5C2C36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single" w:color="000000" w:sz="16" w:space="0"/>
              <w:bottom w:val="nil"/>
              <w:right w:val="single" w:color="000000" w:sz="16" w:space="0"/>
            </w:tcBorders>
            <w:shd w:val="clear" w:color="auto" w:fill="FFFFFF"/>
            <w:vAlign w:val="center"/>
          </w:tcPr>
          <w:p w14:paraId="5C006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5AF419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2.64</w:t>
            </w:r>
          </w:p>
        </w:tc>
        <w:tc>
          <w:tcPr>
            <w:tcW w:w="751" w:type="dxa"/>
            <w:vAlign w:val="center"/>
          </w:tcPr>
          <w:p w14:paraId="131492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5A29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02822E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Statutes</w:t>
            </w:r>
          </w:p>
        </w:tc>
        <w:tc>
          <w:tcPr>
            <w:tcW w:w="480" w:type="dxa"/>
            <w:tcBorders>
              <w:top w:val="nil"/>
              <w:left w:val="single" w:color="000000" w:sz="16" w:space="0"/>
              <w:bottom w:val="nil"/>
            </w:tcBorders>
            <w:shd w:val="clear" w:color="auto" w:fill="FFFFFF"/>
            <w:vAlign w:val="center"/>
          </w:tcPr>
          <w:p w14:paraId="4670EF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6F9F98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106A2B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61B7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02254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A051C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B24D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965B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030BE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3FEE5F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16737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751" w:type="dxa"/>
            <w:vAlign w:val="center"/>
          </w:tcPr>
          <w:p w14:paraId="604B17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1.29</w:t>
            </w:r>
          </w:p>
        </w:tc>
      </w:tr>
      <w:tr w14:paraId="65F67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08FA14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Court case/Law reports</w:t>
            </w:r>
          </w:p>
        </w:tc>
        <w:tc>
          <w:tcPr>
            <w:tcW w:w="480" w:type="dxa"/>
            <w:tcBorders>
              <w:top w:val="nil"/>
              <w:left w:val="single" w:color="000000" w:sz="16" w:space="0"/>
              <w:bottom w:val="nil"/>
            </w:tcBorders>
            <w:shd w:val="clear" w:color="auto" w:fill="FFFFFF"/>
            <w:vAlign w:val="center"/>
          </w:tcPr>
          <w:p w14:paraId="24CA53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44923A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59A21B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590C77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4F678A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DF487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nil"/>
            </w:tcBorders>
            <w:shd w:val="clear" w:color="auto" w:fill="FFFFFF"/>
            <w:vAlign w:val="center"/>
          </w:tcPr>
          <w:p w14:paraId="31D632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7B27A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21FA48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CBFE6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3BFDA1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51" w:type="dxa"/>
            <w:vAlign w:val="center"/>
          </w:tcPr>
          <w:p w14:paraId="1043C5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5773A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C64D89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Rules and regulations</w:t>
            </w:r>
          </w:p>
        </w:tc>
        <w:tc>
          <w:tcPr>
            <w:tcW w:w="480" w:type="dxa"/>
            <w:tcBorders>
              <w:top w:val="nil"/>
              <w:left w:val="single" w:color="000000" w:sz="16" w:space="0"/>
              <w:bottom w:val="nil"/>
            </w:tcBorders>
            <w:shd w:val="clear" w:color="auto" w:fill="FFFFFF"/>
            <w:vAlign w:val="center"/>
          </w:tcPr>
          <w:p w14:paraId="7B431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991B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380AEE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7E0327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273F35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0870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433992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72D8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8E2BB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408A4A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0DE790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51" w:type="dxa"/>
            <w:vAlign w:val="center"/>
          </w:tcPr>
          <w:p w14:paraId="1827A6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1.30</w:t>
            </w:r>
          </w:p>
        </w:tc>
      </w:tr>
      <w:tr w14:paraId="3AC08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AFF7AD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Treatises</w:t>
            </w:r>
          </w:p>
        </w:tc>
        <w:tc>
          <w:tcPr>
            <w:tcW w:w="480" w:type="dxa"/>
            <w:tcBorders>
              <w:top w:val="nil"/>
              <w:left w:val="single" w:color="000000" w:sz="16" w:space="0"/>
              <w:bottom w:val="nil"/>
            </w:tcBorders>
            <w:shd w:val="clear" w:color="auto" w:fill="FFFFFF"/>
            <w:vAlign w:val="center"/>
          </w:tcPr>
          <w:p w14:paraId="395FF8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42E0ED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491933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C058F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3BF590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09B761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628195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C408A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209CC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46841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228184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751" w:type="dxa"/>
            <w:vAlign w:val="center"/>
          </w:tcPr>
          <w:p w14:paraId="712323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r w14:paraId="77BD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422B14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reviews</w:t>
            </w:r>
          </w:p>
        </w:tc>
        <w:tc>
          <w:tcPr>
            <w:tcW w:w="480" w:type="dxa"/>
            <w:tcBorders>
              <w:top w:val="nil"/>
              <w:left w:val="single" w:color="000000" w:sz="16" w:space="0"/>
              <w:bottom w:val="nil"/>
            </w:tcBorders>
            <w:shd w:val="clear" w:color="auto" w:fill="FFFFFF"/>
            <w:vAlign w:val="center"/>
          </w:tcPr>
          <w:p w14:paraId="20B665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4BA62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0FBFB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752532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5044C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14E2B89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58759E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09AB83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389E3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6DF3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FFF5C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751" w:type="dxa"/>
            <w:vAlign w:val="center"/>
          </w:tcPr>
          <w:p w14:paraId="745A2D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0.79</w:t>
            </w:r>
          </w:p>
        </w:tc>
      </w:tr>
      <w:tr w14:paraId="6187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D248BD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journals</w:t>
            </w:r>
          </w:p>
        </w:tc>
        <w:tc>
          <w:tcPr>
            <w:tcW w:w="480" w:type="dxa"/>
            <w:tcBorders>
              <w:top w:val="nil"/>
              <w:left w:val="single" w:color="000000" w:sz="16" w:space="0"/>
              <w:bottom w:val="nil"/>
            </w:tcBorders>
            <w:shd w:val="clear" w:color="auto" w:fill="FFFFFF"/>
            <w:vAlign w:val="center"/>
          </w:tcPr>
          <w:p w14:paraId="3023E8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54698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50E71CA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283A57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4E498B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6CE34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14B34D3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726D59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7A3047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533756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EB32C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751" w:type="dxa"/>
            <w:vAlign w:val="center"/>
          </w:tcPr>
          <w:p w14:paraId="36D0401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04DCC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10640B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deskbooks</w:t>
            </w:r>
          </w:p>
        </w:tc>
        <w:tc>
          <w:tcPr>
            <w:tcW w:w="480" w:type="dxa"/>
            <w:tcBorders>
              <w:top w:val="nil"/>
              <w:left w:val="single" w:color="000000" w:sz="16" w:space="0"/>
              <w:bottom w:val="nil"/>
            </w:tcBorders>
            <w:shd w:val="clear" w:color="auto" w:fill="FFFFFF"/>
            <w:vAlign w:val="center"/>
          </w:tcPr>
          <w:p w14:paraId="058BB5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35D05D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6478ED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3E9F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00608D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C8D7E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24951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667A40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710C50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4F89E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4E797D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751" w:type="dxa"/>
            <w:vAlign w:val="center"/>
          </w:tcPr>
          <w:p w14:paraId="0A8413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r w14:paraId="480A1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097B752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manuals</w:t>
            </w:r>
          </w:p>
        </w:tc>
        <w:tc>
          <w:tcPr>
            <w:tcW w:w="480" w:type="dxa"/>
            <w:tcBorders>
              <w:top w:val="nil"/>
              <w:left w:val="single" w:color="000000" w:sz="16" w:space="0"/>
              <w:bottom w:val="nil"/>
            </w:tcBorders>
            <w:shd w:val="clear" w:color="auto" w:fill="FFFFFF"/>
            <w:vAlign w:val="center"/>
          </w:tcPr>
          <w:p w14:paraId="2D49E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A4414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3A56E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4F4F8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7C82FE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3894E7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261F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4B37E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46700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65C3A9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30D658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273AE6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51B7D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57B60EF">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Legal dictionaries</w:t>
            </w:r>
          </w:p>
        </w:tc>
        <w:tc>
          <w:tcPr>
            <w:tcW w:w="480" w:type="dxa"/>
            <w:tcBorders>
              <w:top w:val="nil"/>
              <w:left w:val="single" w:color="000000" w:sz="16" w:space="0"/>
              <w:bottom w:val="nil"/>
            </w:tcBorders>
            <w:shd w:val="clear" w:color="auto" w:fill="FFFFFF"/>
            <w:vAlign w:val="center"/>
          </w:tcPr>
          <w:p w14:paraId="5018CB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19845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5D71E9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23E50D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098D64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7A5B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6A739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86" w:type="dxa"/>
            <w:tcBorders>
              <w:top w:val="nil"/>
              <w:bottom w:val="nil"/>
            </w:tcBorders>
            <w:shd w:val="clear" w:color="auto" w:fill="FFFFFF"/>
            <w:vAlign w:val="center"/>
          </w:tcPr>
          <w:p w14:paraId="3F08B80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428EB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188452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7F490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512066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7428A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68FBACF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Directories</w:t>
            </w:r>
          </w:p>
        </w:tc>
        <w:tc>
          <w:tcPr>
            <w:tcW w:w="480" w:type="dxa"/>
            <w:tcBorders>
              <w:top w:val="nil"/>
              <w:left w:val="single" w:color="000000" w:sz="16" w:space="0"/>
              <w:bottom w:val="nil"/>
            </w:tcBorders>
            <w:shd w:val="clear" w:color="auto" w:fill="FFFFFF"/>
            <w:vAlign w:val="center"/>
          </w:tcPr>
          <w:p w14:paraId="2E8960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2948C3D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79C3F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3317E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67951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70F9B7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3B7CEB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23222A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4FE89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8E55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7285DB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751" w:type="dxa"/>
            <w:vAlign w:val="center"/>
          </w:tcPr>
          <w:p w14:paraId="72D8CC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67E5A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233368E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480" w:type="dxa"/>
            <w:tcBorders>
              <w:top w:val="nil"/>
              <w:left w:val="single" w:color="000000" w:sz="16" w:space="0"/>
              <w:bottom w:val="nil"/>
            </w:tcBorders>
            <w:shd w:val="clear" w:color="auto" w:fill="FFFFFF"/>
            <w:vAlign w:val="center"/>
          </w:tcPr>
          <w:p w14:paraId="40933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405875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7D558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58B47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02CBC0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5D8049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87484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98AFF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779C7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8F61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699AB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3FB954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2D8EA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17807B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Compendium of law</w:t>
            </w:r>
          </w:p>
        </w:tc>
        <w:tc>
          <w:tcPr>
            <w:tcW w:w="480" w:type="dxa"/>
            <w:tcBorders>
              <w:top w:val="nil"/>
              <w:left w:val="single" w:color="000000" w:sz="16" w:space="0"/>
              <w:bottom w:val="nil"/>
            </w:tcBorders>
            <w:shd w:val="clear" w:color="auto" w:fill="FFFFFF"/>
            <w:vAlign w:val="center"/>
          </w:tcPr>
          <w:p w14:paraId="13700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5D9EEA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79D1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8E91A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1819B1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766FF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0E8C0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0250B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6A532D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0CAA87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CC8E83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727A58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1C25E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085" w:type="dxa"/>
            <w:tcBorders>
              <w:top w:val="nil"/>
              <w:left w:val="single" w:color="000000" w:sz="16" w:space="0"/>
              <w:bottom w:val="single" w:color="000000" w:sz="16" w:space="0"/>
              <w:right w:val="single" w:color="000000" w:sz="16" w:space="0"/>
            </w:tcBorders>
            <w:shd w:val="clear" w:color="auto" w:fill="FFFFFF"/>
          </w:tcPr>
          <w:p w14:paraId="4A92521A">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Encyclopedias of law</w:t>
            </w:r>
          </w:p>
        </w:tc>
        <w:tc>
          <w:tcPr>
            <w:tcW w:w="480" w:type="dxa"/>
            <w:tcBorders>
              <w:top w:val="nil"/>
              <w:left w:val="single" w:color="000000" w:sz="16" w:space="0"/>
              <w:bottom w:val="single" w:color="000000" w:sz="16" w:space="0"/>
            </w:tcBorders>
            <w:shd w:val="clear" w:color="auto" w:fill="FFFFFF"/>
            <w:vAlign w:val="center"/>
          </w:tcPr>
          <w:p w14:paraId="09941E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F9A4B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65E31E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C5BC4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5AE54F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single" w:color="000000" w:sz="16" w:space="0"/>
            </w:tcBorders>
            <w:shd w:val="clear" w:color="auto" w:fill="FFFFFF"/>
            <w:vAlign w:val="center"/>
          </w:tcPr>
          <w:p w14:paraId="28DB95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single" w:color="000000" w:sz="16" w:space="0"/>
            </w:tcBorders>
            <w:shd w:val="clear" w:color="auto" w:fill="FFFFFF"/>
            <w:vAlign w:val="center"/>
          </w:tcPr>
          <w:p w14:paraId="1E9A10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single" w:color="000000" w:sz="16" w:space="0"/>
            </w:tcBorders>
            <w:shd w:val="clear" w:color="auto" w:fill="FFFFFF"/>
            <w:vAlign w:val="center"/>
          </w:tcPr>
          <w:p w14:paraId="0C1AB1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single" w:color="000000" w:sz="16" w:space="0"/>
            </w:tcBorders>
            <w:shd w:val="clear" w:color="auto" w:fill="FFFFFF"/>
            <w:vAlign w:val="center"/>
          </w:tcPr>
          <w:p w14:paraId="470DC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single" w:color="000000" w:sz="16" w:space="0"/>
              <w:right w:val="single" w:color="000000" w:sz="16" w:space="0"/>
            </w:tcBorders>
            <w:shd w:val="clear" w:color="auto" w:fill="FFFFFF"/>
            <w:vAlign w:val="center"/>
          </w:tcPr>
          <w:p w14:paraId="74B882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7A98B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751" w:type="dxa"/>
            <w:vAlign w:val="center"/>
          </w:tcPr>
          <w:p w14:paraId="290C00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bl>
    <w:p w14:paraId="267CCEA1">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5 above shows that encyclopedias of Law is ranked highest among the types of legal information materials selected for acquisition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court cases/law reports (4.18 </w:t>
      </w:r>
      <w:r>
        <w:rPr>
          <w:rFonts w:ascii="Times New Roman" w:hAnsi="Times New Roman" w:cs="Times New Roman"/>
          <w:color w:val="auto"/>
          <w:sz w:val="24"/>
          <w:szCs w:val="24"/>
          <w:lang w:val="en-GB"/>
        </w:rPr>
        <w:t>± 0.87) and law journals with (</w:t>
      </w:r>
      <w:r>
        <w:rPr>
          <w:rFonts w:ascii="Times New Roman" w:hAnsi="Times New Roman" w:cs="Times New Roman"/>
          <w:color w:val="auto"/>
          <w:sz w:val="24"/>
          <w:szCs w:val="24"/>
        </w:rPr>
        <w:t xml:space="preserve">4.18 </w:t>
      </w:r>
      <w:r>
        <w:rPr>
          <w:rFonts w:ascii="Times New Roman" w:hAnsi="Times New Roman" w:cs="Times New Roman"/>
          <w:color w:val="auto"/>
          <w:sz w:val="24"/>
          <w:szCs w:val="24"/>
          <w:lang w:val="en-GB"/>
        </w:rPr>
        <w:t>± 0.87). However, constitutions are</w:t>
      </w:r>
      <w:r>
        <w:rPr>
          <w:rFonts w:ascii="Times New Roman" w:hAnsi="Times New Roman" w:cs="Times New Roman"/>
          <w:color w:val="auto"/>
          <w:sz w:val="24"/>
          <w:szCs w:val="24"/>
        </w:rPr>
        <w:t xml:space="preserve"> ranked lowest with (2.64 </w:t>
      </w:r>
      <w:r>
        <w:rPr>
          <w:rFonts w:ascii="Times New Roman" w:hAnsi="Times New Roman" w:cs="Times New Roman"/>
          <w:color w:val="auto"/>
          <w:sz w:val="24"/>
          <w:szCs w:val="24"/>
          <w:lang w:val="en-GB"/>
        </w:rPr>
        <w:t>± 1.12).</w:t>
      </w:r>
    </w:p>
    <w:p w14:paraId="6557645C">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5F192236">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4.4.5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Five: What are the benefits of selection on acquisition of legal information materials in University of Ilorin Law Library?</w:t>
      </w:r>
    </w:p>
    <w:p w14:paraId="42B01E56">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6: </w:t>
      </w:r>
      <w:r>
        <w:rPr>
          <w:rFonts w:ascii="Times New Roman" w:hAnsi="Times New Roman" w:cs="Times New Roman"/>
          <w:b/>
          <w:color w:val="auto"/>
          <w:sz w:val="24"/>
          <w:szCs w:val="24"/>
        </w:rPr>
        <w:t>Benefits of selection on acquisition of legal information materials in University of Ilorin Law Library</w:t>
      </w:r>
    </w:p>
    <w:tbl>
      <w:tblPr>
        <w:tblStyle w:val="5"/>
        <w:tblW w:w="982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426"/>
        <w:gridCol w:w="708"/>
        <w:gridCol w:w="709"/>
        <w:gridCol w:w="567"/>
      </w:tblGrid>
      <w:tr w14:paraId="63DA7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66"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1F4F8331">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D39C9C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550C185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D754A3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34457E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7100DD4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FD9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31611706">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34DE80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F69FDF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6EDD99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7C213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CBEA19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18CCCE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93194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953957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38A41A3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8" w:type="dxa"/>
            <w:tcBorders>
              <w:bottom w:val="single" w:color="000000" w:sz="16" w:space="0"/>
              <w:right w:val="single" w:color="000000" w:sz="16" w:space="0"/>
            </w:tcBorders>
            <w:shd w:val="clear" w:color="auto" w:fill="FFFFFF"/>
            <w:vAlign w:val="bottom"/>
          </w:tcPr>
          <w:p w14:paraId="7169752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11BE94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3E6E80B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7DCFC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1" w:hRule="atLeast"/>
        </w:trPr>
        <w:tc>
          <w:tcPr>
            <w:tcW w:w="4009" w:type="dxa"/>
            <w:tcBorders>
              <w:top w:val="single" w:color="000000" w:sz="16" w:space="0"/>
              <w:left w:val="single" w:color="000000" w:sz="16" w:space="0"/>
              <w:bottom w:val="nil"/>
              <w:right w:val="single" w:color="000000" w:sz="16" w:space="0"/>
            </w:tcBorders>
            <w:shd w:val="clear" w:color="auto" w:fill="FFFFFF"/>
          </w:tcPr>
          <w:p w14:paraId="6801E2C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including new publications</w:t>
            </w:r>
          </w:p>
        </w:tc>
        <w:tc>
          <w:tcPr>
            <w:tcW w:w="284" w:type="dxa"/>
            <w:tcBorders>
              <w:top w:val="single" w:color="000000" w:sz="16" w:space="0"/>
              <w:left w:val="single" w:color="000000" w:sz="16" w:space="0"/>
              <w:bottom w:val="nil"/>
            </w:tcBorders>
            <w:shd w:val="clear" w:color="auto" w:fill="FFFFFF"/>
            <w:vAlign w:val="center"/>
          </w:tcPr>
          <w:p w14:paraId="1919EF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E2D49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030784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6CDD73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8BD0C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E991E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single" w:color="000000" w:sz="16" w:space="0"/>
              <w:bottom w:val="nil"/>
            </w:tcBorders>
            <w:shd w:val="clear" w:color="auto" w:fill="FFFFFF"/>
            <w:vAlign w:val="center"/>
          </w:tcPr>
          <w:p w14:paraId="24F4F7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single" w:color="000000" w:sz="16" w:space="0"/>
              <w:bottom w:val="nil"/>
            </w:tcBorders>
            <w:shd w:val="clear" w:color="auto" w:fill="FFFFFF"/>
            <w:vAlign w:val="center"/>
          </w:tcPr>
          <w:p w14:paraId="5EC0B9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single" w:color="000000" w:sz="16" w:space="0"/>
              <w:bottom w:val="nil"/>
            </w:tcBorders>
            <w:shd w:val="clear" w:color="auto" w:fill="FFFFFF"/>
            <w:vAlign w:val="center"/>
          </w:tcPr>
          <w:p w14:paraId="0AC196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single" w:color="000000" w:sz="16" w:space="0"/>
              <w:bottom w:val="nil"/>
              <w:right w:val="single" w:color="000000" w:sz="16" w:space="0"/>
            </w:tcBorders>
            <w:shd w:val="clear" w:color="auto" w:fill="FFFFFF"/>
            <w:vAlign w:val="center"/>
          </w:tcPr>
          <w:p w14:paraId="3AE3A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412E7A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87DF4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27D5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4009" w:type="dxa"/>
            <w:tcBorders>
              <w:top w:val="nil"/>
              <w:left w:val="single" w:color="000000" w:sz="16" w:space="0"/>
              <w:bottom w:val="nil"/>
              <w:right w:val="single" w:color="000000" w:sz="16" w:space="0"/>
            </w:tcBorders>
            <w:shd w:val="clear" w:color="auto" w:fill="FFFFFF"/>
          </w:tcPr>
          <w:p w14:paraId="1A476D4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284" w:type="dxa"/>
            <w:tcBorders>
              <w:top w:val="nil"/>
              <w:left w:val="single" w:color="000000" w:sz="16" w:space="0"/>
              <w:bottom w:val="nil"/>
            </w:tcBorders>
            <w:shd w:val="clear" w:color="auto" w:fill="FFFFFF"/>
            <w:vAlign w:val="center"/>
          </w:tcPr>
          <w:p w14:paraId="4440C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D8A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0DFA8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C62A1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30E4DE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FBA89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1563A7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2BDD03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521BE5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65B0CD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3D7853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13D655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471D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703AEEF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continuous collection evaluation</w:t>
            </w:r>
          </w:p>
        </w:tc>
        <w:tc>
          <w:tcPr>
            <w:tcW w:w="284" w:type="dxa"/>
            <w:tcBorders>
              <w:top w:val="nil"/>
              <w:left w:val="single" w:color="000000" w:sz="16" w:space="0"/>
              <w:bottom w:val="nil"/>
            </w:tcBorders>
            <w:shd w:val="clear" w:color="auto" w:fill="FFFFFF"/>
            <w:vAlign w:val="center"/>
          </w:tcPr>
          <w:p w14:paraId="0F8C7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64A2C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70B7DB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E7AAB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A2E29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4A0EA4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F70D3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4D500B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04686D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8" w:type="dxa"/>
            <w:tcBorders>
              <w:top w:val="nil"/>
              <w:bottom w:val="nil"/>
              <w:right w:val="single" w:color="000000" w:sz="16" w:space="0"/>
            </w:tcBorders>
            <w:shd w:val="clear" w:color="auto" w:fill="FFFFFF"/>
            <w:vAlign w:val="center"/>
          </w:tcPr>
          <w:p w14:paraId="220152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1AA60D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0B7EB8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1.26</w:t>
            </w:r>
          </w:p>
        </w:tc>
      </w:tr>
      <w:tr w14:paraId="607B0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6" w:hRule="atLeast"/>
        </w:trPr>
        <w:tc>
          <w:tcPr>
            <w:tcW w:w="4009" w:type="dxa"/>
            <w:tcBorders>
              <w:top w:val="nil"/>
              <w:left w:val="single" w:color="000000" w:sz="16" w:space="0"/>
              <w:bottom w:val="nil"/>
              <w:right w:val="single" w:color="000000" w:sz="16" w:space="0"/>
            </w:tcBorders>
            <w:shd w:val="clear" w:color="auto" w:fill="FFFFFF"/>
          </w:tcPr>
          <w:p w14:paraId="6E4C63A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284" w:type="dxa"/>
            <w:tcBorders>
              <w:top w:val="nil"/>
              <w:left w:val="single" w:color="000000" w:sz="16" w:space="0"/>
              <w:bottom w:val="nil"/>
            </w:tcBorders>
            <w:shd w:val="clear" w:color="auto" w:fill="FFFFFF"/>
            <w:vAlign w:val="center"/>
          </w:tcPr>
          <w:p w14:paraId="43AD9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758772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40F49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C88C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0CC8B8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4B4DD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A6D3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7F5D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CDB9A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0611D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E8EE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567" w:type="dxa"/>
            <w:vAlign w:val="center"/>
          </w:tcPr>
          <w:p w14:paraId="1A4323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r w14:paraId="4D38A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4009" w:type="dxa"/>
            <w:tcBorders>
              <w:top w:val="nil"/>
              <w:left w:val="single" w:color="000000" w:sz="16" w:space="0"/>
              <w:bottom w:val="nil"/>
              <w:right w:val="single" w:color="000000" w:sz="16" w:space="0"/>
            </w:tcBorders>
            <w:shd w:val="clear" w:color="auto" w:fill="FFFFFF"/>
          </w:tcPr>
          <w:p w14:paraId="2674E80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284" w:type="dxa"/>
            <w:tcBorders>
              <w:top w:val="nil"/>
              <w:left w:val="single" w:color="000000" w:sz="16" w:space="0"/>
              <w:bottom w:val="nil"/>
            </w:tcBorders>
            <w:shd w:val="clear" w:color="auto" w:fill="FFFFFF"/>
            <w:vAlign w:val="center"/>
          </w:tcPr>
          <w:p w14:paraId="776901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208A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2DB91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567" w:type="dxa"/>
            <w:tcBorders>
              <w:top w:val="nil"/>
              <w:bottom w:val="nil"/>
            </w:tcBorders>
            <w:shd w:val="clear" w:color="auto" w:fill="FFFFFF"/>
            <w:vAlign w:val="center"/>
          </w:tcPr>
          <w:p w14:paraId="76CF2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c>
          <w:tcPr>
            <w:tcW w:w="284" w:type="dxa"/>
            <w:tcBorders>
              <w:top w:val="nil"/>
              <w:bottom w:val="nil"/>
            </w:tcBorders>
            <w:shd w:val="clear" w:color="auto" w:fill="FFFFFF"/>
            <w:vAlign w:val="center"/>
          </w:tcPr>
          <w:p w14:paraId="2A7532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403F4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AD6CE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77174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B0E29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4753406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536167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1677F3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0210A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1" w:hRule="atLeast"/>
        </w:trPr>
        <w:tc>
          <w:tcPr>
            <w:tcW w:w="4009" w:type="dxa"/>
            <w:tcBorders>
              <w:top w:val="nil"/>
              <w:left w:val="single" w:color="000000" w:sz="16" w:space="0"/>
              <w:bottom w:val="nil"/>
              <w:right w:val="single" w:color="000000" w:sz="16" w:space="0"/>
            </w:tcBorders>
            <w:shd w:val="clear" w:color="auto" w:fill="FFFFFF"/>
          </w:tcPr>
          <w:p w14:paraId="6964BC9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Increases the quality of services</w:t>
            </w:r>
          </w:p>
        </w:tc>
        <w:tc>
          <w:tcPr>
            <w:tcW w:w="284" w:type="dxa"/>
            <w:tcBorders>
              <w:top w:val="nil"/>
              <w:left w:val="single" w:color="000000" w:sz="16" w:space="0"/>
              <w:bottom w:val="nil"/>
            </w:tcBorders>
            <w:shd w:val="clear" w:color="auto" w:fill="FFFFFF"/>
            <w:vAlign w:val="center"/>
          </w:tcPr>
          <w:p w14:paraId="71B622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0D69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6DEAE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3E698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B429F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82E0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3CBF05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5A0AA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A38C1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D728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2D5646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7358F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5759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6" w:hRule="atLeast"/>
        </w:trPr>
        <w:tc>
          <w:tcPr>
            <w:tcW w:w="4009" w:type="dxa"/>
            <w:tcBorders>
              <w:top w:val="nil"/>
              <w:left w:val="single" w:color="000000" w:sz="16" w:space="0"/>
              <w:bottom w:val="nil"/>
              <w:right w:val="single" w:color="000000" w:sz="16" w:space="0"/>
            </w:tcBorders>
            <w:shd w:val="clear" w:color="auto" w:fill="FFFFFF"/>
          </w:tcPr>
          <w:p w14:paraId="45C795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284" w:type="dxa"/>
            <w:tcBorders>
              <w:top w:val="nil"/>
              <w:left w:val="single" w:color="000000" w:sz="16" w:space="0"/>
              <w:bottom w:val="nil"/>
            </w:tcBorders>
            <w:shd w:val="clear" w:color="auto" w:fill="FFFFFF"/>
            <w:vAlign w:val="center"/>
          </w:tcPr>
          <w:p w14:paraId="55CFAF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7311C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85189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424A1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4AAF2D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48EB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2471AE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A2BA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4F08C2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0B48B2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B3122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674C67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457B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7" w:hRule="atLeast"/>
        </w:trPr>
        <w:tc>
          <w:tcPr>
            <w:tcW w:w="4009" w:type="dxa"/>
            <w:tcBorders>
              <w:top w:val="nil"/>
              <w:left w:val="single" w:color="000000" w:sz="16" w:space="0"/>
              <w:bottom w:val="nil"/>
              <w:right w:val="single" w:color="000000" w:sz="16" w:space="0"/>
            </w:tcBorders>
            <w:shd w:val="clear" w:color="auto" w:fill="FFFFFF"/>
          </w:tcPr>
          <w:p w14:paraId="3CA44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284" w:type="dxa"/>
            <w:tcBorders>
              <w:top w:val="nil"/>
              <w:left w:val="single" w:color="000000" w:sz="16" w:space="0"/>
              <w:bottom w:val="nil"/>
            </w:tcBorders>
            <w:shd w:val="clear" w:color="auto" w:fill="FFFFFF"/>
            <w:vAlign w:val="center"/>
          </w:tcPr>
          <w:p w14:paraId="100D1C2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40DCF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926175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60C4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748F3C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DD08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882A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8727D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ECDE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7C592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A37FE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66EBDA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656E9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5" w:hRule="atLeast"/>
        </w:trPr>
        <w:tc>
          <w:tcPr>
            <w:tcW w:w="4009" w:type="dxa"/>
            <w:tcBorders>
              <w:top w:val="nil"/>
              <w:left w:val="single" w:color="000000" w:sz="16" w:space="0"/>
              <w:bottom w:val="nil"/>
              <w:right w:val="single" w:color="000000" w:sz="16" w:space="0"/>
            </w:tcBorders>
            <w:shd w:val="clear" w:color="auto" w:fill="FFFFFF"/>
          </w:tcPr>
          <w:p w14:paraId="0E98FD5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284" w:type="dxa"/>
            <w:tcBorders>
              <w:top w:val="nil"/>
              <w:left w:val="single" w:color="000000" w:sz="16" w:space="0"/>
              <w:bottom w:val="nil"/>
            </w:tcBorders>
            <w:shd w:val="clear" w:color="auto" w:fill="FFFFFF"/>
            <w:vAlign w:val="center"/>
          </w:tcPr>
          <w:p w14:paraId="2B8214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347B2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021AE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27038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891CC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25F70C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1DD6612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774C1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FB129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23C00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76CE41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6E12F79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4811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38B7157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space saving</w:t>
            </w:r>
          </w:p>
        </w:tc>
        <w:tc>
          <w:tcPr>
            <w:tcW w:w="284" w:type="dxa"/>
            <w:tcBorders>
              <w:top w:val="nil"/>
              <w:left w:val="single" w:color="000000" w:sz="16" w:space="0"/>
              <w:bottom w:val="nil"/>
            </w:tcBorders>
            <w:shd w:val="clear" w:color="auto" w:fill="FFFFFF"/>
            <w:vAlign w:val="center"/>
          </w:tcPr>
          <w:p w14:paraId="20EB97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B5C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172065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01A08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240308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7D69C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A47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353D05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9C82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8" w:type="dxa"/>
            <w:tcBorders>
              <w:top w:val="nil"/>
              <w:bottom w:val="nil"/>
              <w:right w:val="single" w:color="000000" w:sz="16" w:space="0"/>
            </w:tcBorders>
            <w:shd w:val="clear" w:color="auto" w:fill="FFFFFF"/>
            <w:vAlign w:val="center"/>
          </w:tcPr>
          <w:p w14:paraId="6B712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9" w:type="dxa"/>
            <w:vAlign w:val="center"/>
          </w:tcPr>
          <w:p w14:paraId="350E02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2.55</w:t>
            </w:r>
          </w:p>
        </w:tc>
        <w:tc>
          <w:tcPr>
            <w:tcW w:w="567" w:type="dxa"/>
            <w:vAlign w:val="center"/>
          </w:tcPr>
          <w:p w14:paraId="70C64E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00F7B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1" w:hRule="atLeast"/>
        </w:trPr>
        <w:tc>
          <w:tcPr>
            <w:tcW w:w="4009" w:type="dxa"/>
            <w:tcBorders>
              <w:top w:val="nil"/>
              <w:left w:val="single" w:color="000000" w:sz="16" w:space="0"/>
              <w:bottom w:val="single" w:color="000000" w:sz="16" w:space="0"/>
              <w:right w:val="single" w:color="000000" w:sz="16" w:space="0"/>
            </w:tcBorders>
            <w:shd w:val="clear" w:color="auto" w:fill="FFFFFF"/>
          </w:tcPr>
          <w:p w14:paraId="598798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284" w:type="dxa"/>
            <w:tcBorders>
              <w:top w:val="nil"/>
              <w:left w:val="single" w:color="000000" w:sz="16" w:space="0"/>
              <w:bottom w:val="single" w:color="000000" w:sz="16" w:space="0"/>
            </w:tcBorders>
            <w:shd w:val="clear" w:color="auto" w:fill="FFFFFF"/>
            <w:vAlign w:val="center"/>
          </w:tcPr>
          <w:p w14:paraId="4C10AA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692945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5F7E9E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EDE5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6EE3E1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617C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14C06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62CB13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single" w:color="000000" w:sz="16" w:space="0"/>
            </w:tcBorders>
            <w:shd w:val="clear" w:color="auto" w:fill="FFFFFF"/>
            <w:vAlign w:val="center"/>
          </w:tcPr>
          <w:p w14:paraId="2767F80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single" w:color="000000" w:sz="16" w:space="0"/>
              <w:right w:val="single" w:color="000000" w:sz="16" w:space="0"/>
            </w:tcBorders>
            <w:shd w:val="clear" w:color="auto" w:fill="FFFFFF"/>
            <w:vAlign w:val="center"/>
          </w:tcPr>
          <w:p w14:paraId="19F2D1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6642E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49E6EA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bl>
    <w:p w14:paraId="17481D5B">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Table 6 above points out that helping in following established policies and guidelines is ranked highest among the benefits of selection on acquisition of legal information materials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ensures judicious spending of library’s budget(4.18 </w:t>
      </w:r>
      <w:r>
        <w:rPr>
          <w:rFonts w:ascii="Times New Roman" w:hAnsi="Times New Roman" w:cs="Times New Roman"/>
          <w:color w:val="auto"/>
          <w:sz w:val="24"/>
          <w:szCs w:val="24"/>
          <w:lang w:val="en-GB"/>
        </w:rPr>
        <w:t xml:space="preserve">± 0.87) and </w:t>
      </w:r>
      <w:r>
        <w:rPr>
          <w:rFonts w:ascii="Times New Roman" w:hAnsi="Times New Roman" w:cs="Times New Roman"/>
          <w:color w:val="auto"/>
          <w:sz w:val="24"/>
          <w:szCs w:val="24"/>
        </w:rPr>
        <w:t>ensures provision of adequate legal information materials relevant to the needs of the users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4.00</w:t>
      </w:r>
      <w:r>
        <w:rPr>
          <w:rFonts w:ascii="Times New Roman" w:hAnsi="Times New Roman" w:cs="Times New Roman"/>
          <w:color w:val="auto"/>
          <w:sz w:val="24"/>
          <w:szCs w:val="24"/>
          <w:lang w:val="en-GB"/>
        </w:rPr>
        <w:t xml:space="preserve">± 1.96). However, </w:t>
      </w:r>
      <w:r>
        <w:rPr>
          <w:rFonts w:ascii="Times New Roman" w:hAnsi="Times New Roman" w:cs="Times New Roman"/>
          <w:color w:val="auto"/>
          <w:sz w:val="24"/>
          <w:szCs w:val="24"/>
        </w:rPr>
        <w:t>helps in space saving</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(2.55</w:t>
      </w:r>
      <w:r>
        <w:rPr>
          <w:rFonts w:ascii="Times New Roman" w:hAnsi="Times New Roman" w:cs="Times New Roman"/>
          <w:color w:val="auto"/>
          <w:sz w:val="24"/>
          <w:szCs w:val="24"/>
          <w:lang w:val="en-GB"/>
        </w:rPr>
        <w:t>± 1.21).</w:t>
      </w:r>
    </w:p>
    <w:p w14:paraId="3F50B86D">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4.4.6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Six: What are the factors affecting selection of legal information materials to be acquired in University of Ilorin Law Library?</w:t>
      </w:r>
    </w:p>
    <w:p w14:paraId="5AF52730">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7: </w:t>
      </w:r>
      <w:r>
        <w:rPr>
          <w:rFonts w:ascii="Times New Roman" w:hAnsi="Times New Roman" w:cs="Times New Roman"/>
          <w:b/>
          <w:color w:val="auto"/>
          <w:sz w:val="24"/>
          <w:szCs w:val="24"/>
        </w:rPr>
        <w:t>Factors affecting selection of legal information materials to be acquired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67"/>
        <w:gridCol w:w="467"/>
        <w:gridCol w:w="600"/>
        <w:gridCol w:w="400"/>
        <w:gridCol w:w="667"/>
        <w:gridCol w:w="467"/>
        <w:gridCol w:w="600"/>
        <w:gridCol w:w="467"/>
        <w:gridCol w:w="600"/>
        <w:gridCol w:w="400"/>
        <w:gridCol w:w="734"/>
        <w:gridCol w:w="734"/>
        <w:gridCol w:w="797"/>
      </w:tblGrid>
      <w:tr w14:paraId="2AA2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531" w:type="dxa"/>
          <w:cantSplit/>
          <w:trHeight w:val="273" w:hRule="atLeast"/>
        </w:trPr>
        <w:tc>
          <w:tcPr>
            <w:tcW w:w="2867" w:type="dxa"/>
            <w:vMerge w:val="restart"/>
            <w:tcBorders>
              <w:top w:val="single" w:color="000000" w:sz="16" w:space="0"/>
              <w:left w:val="single" w:color="000000" w:sz="16" w:space="0"/>
              <w:bottom w:val="nil"/>
              <w:right w:val="single" w:color="000000" w:sz="16" w:space="0"/>
            </w:tcBorders>
            <w:shd w:val="clear" w:color="auto" w:fill="FFFFFF"/>
            <w:vAlign w:val="bottom"/>
          </w:tcPr>
          <w:p w14:paraId="6703264C">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67" w:type="dxa"/>
            <w:gridSpan w:val="2"/>
            <w:tcBorders>
              <w:top w:val="single" w:color="000000" w:sz="16" w:space="0"/>
              <w:left w:val="single" w:color="000000" w:sz="16" w:space="0"/>
            </w:tcBorders>
            <w:shd w:val="clear" w:color="auto" w:fill="FFFFFF"/>
            <w:vAlign w:val="bottom"/>
          </w:tcPr>
          <w:p w14:paraId="7DA4BAC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67" w:type="dxa"/>
            <w:gridSpan w:val="2"/>
            <w:tcBorders>
              <w:top w:val="single" w:color="000000" w:sz="16" w:space="0"/>
            </w:tcBorders>
            <w:shd w:val="clear" w:color="auto" w:fill="FFFFFF"/>
            <w:vAlign w:val="bottom"/>
          </w:tcPr>
          <w:p w14:paraId="0587284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67" w:type="dxa"/>
            <w:gridSpan w:val="2"/>
            <w:tcBorders>
              <w:top w:val="single" w:color="000000" w:sz="16" w:space="0"/>
            </w:tcBorders>
            <w:shd w:val="clear" w:color="auto" w:fill="FFFFFF"/>
            <w:vAlign w:val="bottom"/>
          </w:tcPr>
          <w:p w14:paraId="7E7047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067" w:type="dxa"/>
            <w:gridSpan w:val="2"/>
            <w:tcBorders>
              <w:top w:val="single" w:color="000000" w:sz="16" w:space="0"/>
            </w:tcBorders>
            <w:shd w:val="clear" w:color="auto" w:fill="FFFFFF"/>
            <w:vAlign w:val="bottom"/>
          </w:tcPr>
          <w:p w14:paraId="7DBCD41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3A8598A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67E85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5" w:hRule="atLeast"/>
        </w:trPr>
        <w:tc>
          <w:tcPr>
            <w:tcW w:w="2867" w:type="dxa"/>
            <w:vMerge w:val="continue"/>
            <w:tcBorders>
              <w:top w:val="single" w:color="000000" w:sz="16" w:space="0"/>
              <w:left w:val="single" w:color="000000" w:sz="16" w:space="0"/>
              <w:bottom w:val="nil"/>
              <w:right w:val="single" w:color="000000" w:sz="16" w:space="0"/>
            </w:tcBorders>
            <w:shd w:val="clear" w:color="auto" w:fill="FFFFFF"/>
            <w:vAlign w:val="bottom"/>
          </w:tcPr>
          <w:p w14:paraId="3590564C">
            <w:pPr>
              <w:autoSpaceDE w:val="0"/>
              <w:autoSpaceDN w:val="0"/>
              <w:adjustRightInd w:val="0"/>
              <w:spacing w:after="0" w:line="360" w:lineRule="auto"/>
              <w:jc w:val="center"/>
              <w:rPr>
                <w:rFonts w:ascii="Times New Roman" w:hAnsi="Times New Roman" w:cs="Times New Roman"/>
                <w:b/>
                <w:color w:val="auto"/>
              </w:rPr>
            </w:pPr>
          </w:p>
        </w:tc>
        <w:tc>
          <w:tcPr>
            <w:tcW w:w="467" w:type="dxa"/>
            <w:tcBorders>
              <w:left w:val="single" w:color="000000" w:sz="16" w:space="0"/>
              <w:bottom w:val="single" w:color="000000" w:sz="16" w:space="0"/>
            </w:tcBorders>
            <w:shd w:val="clear" w:color="auto" w:fill="FFFFFF"/>
            <w:vAlign w:val="bottom"/>
          </w:tcPr>
          <w:p w14:paraId="7D082F7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8A4B0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3FA0722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67" w:type="dxa"/>
            <w:tcBorders>
              <w:bottom w:val="single" w:color="000000" w:sz="16" w:space="0"/>
            </w:tcBorders>
            <w:shd w:val="clear" w:color="auto" w:fill="FFFFFF"/>
            <w:vAlign w:val="bottom"/>
          </w:tcPr>
          <w:p w14:paraId="56B9E6A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7B728DF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D59E51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656D176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45653DC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130388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34" w:type="dxa"/>
            <w:tcBorders>
              <w:bottom w:val="single" w:color="000000" w:sz="16" w:space="0"/>
              <w:right w:val="single" w:color="000000" w:sz="16" w:space="0"/>
            </w:tcBorders>
            <w:shd w:val="clear" w:color="auto" w:fill="FFFFFF"/>
            <w:vAlign w:val="bottom"/>
          </w:tcPr>
          <w:p w14:paraId="7764AD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c>
          <w:tcPr>
            <w:tcW w:w="734" w:type="dxa"/>
            <w:vAlign w:val="bottom"/>
          </w:tcPr>
          <w:p w14:paraId="318344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97" w:type="dxa"/>
            <w:vAlign w:val="bottom"/>
          </w:tcPr>
          <w:p w14:paraId="5608E1B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F4C8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single" w:color="000000" w:sz="16" w:space="0"/>
              <w:left w:val="single" w:color="000000" w:sz="16" w:space="0"/>
              <w:bottom w:val="nil"/>
              <w:right w:val="single" w:color="000000" w:sz="16" w:space="0"/>
            </w:tcBorders>
            <w:shd w:val="clear" w:color="auto" w:fill="FFFFFF"/>
          </w:tcPr>
          <w:p w14:paraId="4D8897A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Inadequate funding</w:t>
            </w:r>
          </w:p>
        </w:tc>
        <w:tc>
          <w:tcPr>
            <w:tcW w:w="467" w:type="dxa"/>
            <w:tcBorders>
              <w:top w:val="single" w:color="000000" w:sz="16" w:space="0"/>
              <w:left w:val="single" w:color="000000" w:sz="16" w:space="0"/>
              <w:bottom w:val="nil"/>
            </w:tcBorders>
            <w:shd w:val="clear" w:color="auto" w:fill="FFFFFF"/>
            <w:vAlign w:val="center"/>
          </w:tcPr>
          <w:p w14:paraId="1AFAA1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single" w:color="000000" w:sz="16" w:space="0"/>
              <w:bottom w:val="nil"/>
            </w:tcBorders>
            <w:shd w:val="clear" w:color="auto" w:fill="FFFFFF"/>
            <w:vAlign w:val="center"/>
          </w:tcPr>
          <w:p w14:paraId="3A9F8F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single" w:color="000000" w:sz="16" w:space="0"/>
              <w:bottom w:val="nil"/>
            </w:tcBorders>
            <w:shd w:val="clear" w:color="auto" w:fill="FFFFFF"/>
            <w:vAlign w:val="center"/>
          </w:tcPr>
          <w:p w14:paraId="30DF73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single" w:color="000000" w:sz="16" w:space="0"/>
              <w:bottom w:val="nil"/>
            </w:tcBorders>
            <w:shd w:val="clear" w:color="auto" w:fill="FFFFFF"/>
            <w:vAlign w:val="center"/>
          </w:tcPr>
          <w:p w14:paraId="7BC7C3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single" w:color="000000" w:sz="16" w:space="0"/>
              <w:bottom w:val="nil"/>
            </w:tcBorders>
            <w:shd w:val="clear" w:color="auto" w:fill="FFFFFF"/>
            <w:vAlign w:val="center"/>
          </w:tcPr>
          <w:p w14:paraId="662FF8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24CCC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67" w:type="dxa"/>
            <w:tcBorders>
              <w:top w:val="single" w:color="000000" w:sz="16" w:space="0"/>
              <w:bottom w:val="nil"/>
            </w:tcBorders>
            <w:shd w:val="clear" w:color="auto" w:fill="FFFFFF"/>
            <w:vAlign w:val="center"/>
          </w:tcPr>
          <w:p w14:paraId="4EE12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5BE314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single" w:color="000000" w:sz="16" w:space="0"/>
              <w:bottom w:val="nil"/>
            </w:tcBorders>
            <w:shd w:val="clear" w:color="auto" w:fill="FFFFFF"/>
            <w:vAlign w:val="center"/>
          </w:tcPr>
          <w:p w14:paraId="76F95E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single" w:color="000000" w:sz="16" w:space="0"/>
              <w:bottom w:val="nil"/>
              <w:right w:val="single" w:color="000000" w:sz="16" w:space="0"/>
            </w:tcBorders>
            <w:shd w:val="clear" w:color="auto" w:fill="FFFFFF"/>
            <w:vAlign w:val="center"/>
          </w:tcPr>
          <w:p w14:paraId="13B47C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3AE4AF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2B2477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012C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6D0EF28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Economic instability</w:t>
            </w:r>
          </w:p>
        </w:tc>
        <w:tc>
          <w:tcPr>
            <w:tcW w:w="467" w:type="dxa"/>
            <w:tcBorders>
              <w:top w:val="nil"/>
              <w:left w:val="single" w:color="000000" w:sz="16" w:space="0"/>
              <w:bottom w:val="nil"/>
            </w:tcBorders>
            <w:shd w:val="clear" w:color="auto" w:fill="FFFFFF"/>
            <w:vAlign w:val="center"/>
          </w:tcPr>
          <w:p w14:paraId="31507C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nil"/>
              <w:bottom w:val="nil"/>
            </w:tcBorders>
            <w:shd w:val="clear" w:color="auto" w:fill="FFFFFF"/>
            <w:vAlign w:val="center"/>
          </w:tcPr>
          <w:p w14:paraId="03D5002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nil"/>
              <w:bottom w:val="nil"/>
            </w:tcBorders>
            <w:shd w:val="clear" w:color="auto" w:fill="FFFFFF"/>
            <w:vAlign w:val="center"/>
          </w:tcPr>
          <w:p w14:paraId="57B307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67" w:type="dxa"/>
            <w:tcBorders>
              <w:top w:val="nil"/>
              <w:bottom w:val="nil"/>
            </w:tcBorders>
            <w:shd w:val="clear" w:color="auto" w:fill="FFFFFF"/>
            <w:vAlign w:val="center"/>
          </w:tcPr>
          <w:p w14:paraId="056CD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67" w:type="dxa"/>
            <w:tcBorders>
              <w:top w:val="nil"/>
              <w:bottom w:val="nil"/>
            </w:tcBorders>
            <w:shd w:val="clear" w:color="auto" w:fill="FFFFFF"/>
            <w:vAlign w:val="center"/>
          </w:tcPr>
          <w:p w14:paraId="73B84B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3BB2D9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67" w:type="dxa"/>
            <w:tcBorders>
              <w:top w:val="nil"/>
              <w:bottom w:val="nil"/>
            </w:tcBorders>
            <w:shd w:val="clear" w:color="auto" w:fill="FFFFFF"/>
            <w:vAlign w:val="center"/>
          </w:tcPr>
          <w:p w14:paraId="175F74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63692A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4F83D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07757A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35AA55B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68FE1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1.16</w:t>
            </w:r>
          </w:p>
        </w:tc>
      </w:tr>
      <w:tr w14:paraId="7D1B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013ADD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Dearth of current books</w:t>
            </w:r>
          </w:p>
        </w:tc>
        <w:tc>
          <w:tcPr>
            <w:tcW w:w="467" w:type="dxa"/>
            <w:tcBorders>
              <w:top w:val="nil"/>
              <w:left w:val="single" w:color="000000" w:sz="16" w:space="0"/>
              <w:bottom w:val="nil"/>
            </w:tcBorders>
            <w:shd w:val="clear" w:color="auto" w:fill="FFFFFF"/>
            <w:vAlign w:val="center"/>
          </w:tcPr>
          <w:p w14:paraId="5C01D7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16D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3D048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7608F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129402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2878A8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53C85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1233E7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00" w:type="dxa"/>
            <w:tcBorders>
              <w:top w:val="nil"/>
              <w:bottom w:val="nil"/>
            </w:tcBorders>
            <w:shd w:val="clear" w:color="auto" w:fill="FFFFFF"/>
            <w:vAlign w:val="center"/>
          </w:tcPr>
          <w:p w14:paraId="359B2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nil"/>
              <w:bottom w:val="nil"/>
              <w:right w:val="single" w:color="000000" w:sz="16" w:space="0"/>
            </w:tcBorders>
            <w:shd w:val="clear" w:color="auto" w:fill="FFFFFF"/>
            <w:vAlign w:val="center"/>
          </w:tcPr>
          <w:p w14:paraId="12AD7D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2CFE4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0C1E83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3892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4F826B7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due process</w:t>
            </w:r>
          </w:p>
        </w:tc>
        <w:tc>
          <w:tcPr>
            <w:tcW w:w="467" w:type="dxa"/>
            <w:tcBorders>
              <w:top w:val="nil"/>
              <w:left w:val="single" w:color="000000" w:sz="16" w:space="0"/>
              <w:bottom w:val="nil"/>
            </w:tcBorders>
            <w:shd w:val="clear" w:color="auto" w:fill="FFFFFF"/>
            <w:vAlign w:val="center"/>
          </w:tcPr>
          <w:p w14:paraId="54C54F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A2631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70C4F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7F1CC9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D2884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48DDB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42A15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97EA4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nil"/>
            </w:tcBorders>
            <w:shd w:val="clear" w:color="auto" w:fill="FFFFFF"/>
            <w:vAlign w:val="center"/>
          </w:tcPr>
          <w:p w14:paraId="5D18A0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04F8EC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F554C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4CA285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403C6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5" w:hRule="atLeast"/>
        </w:trPr>
        <w:tc>
          <w:tcPr>
            <w:tcW w:w="2867" w:type="dxa"/>
            <w:tcBorders>
              <w:top w:val="nil"/>
              <w:left w:val="single" w:color="000000" w:sz="16" w:space="0"/>
              <w:bottom w:val="nil"/>
              <w:right w:val="single" w:color="000000" w:sz="16" w:space="0"/>
            </w:tcBorders>
            <w:shd w:val="clear" w:color="auto" w:fill="FFFFFF"/>
          </w:tcPr>
          <w:p w14:paraId="1F3966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current selection tools</w:t>
            </w:r>
          </w:p>
        </w:tc>
        <w:tc>
          <w:tcPr>
            <w:tcW w:w="467" w:type="dxa"/>
            <w:tcBorders>
              <w:top w:val="nil"/>
              <w:left w:val="single" w:color="000000" w:sz="16" w:space="0"/>
              <w:bottom w:val="nil"/>
            </w:tcBorders>
            <w:shd w:val="clear" w:color="auto" w:fill="FFFFFF"/>
            <w:vAlign w:val="center"/>
          </w:tcPr>
          <w:p w14:paraId="1F4829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E29BE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03E870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57B510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541E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627543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D4085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5342F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42B0D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586E58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15CC8B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4B74A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6D96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67" w:type="dxa"/>
            <w:tcBorders>
              <w:top w:val="nil"/>
              <w:left w:val="single" w:color="000000" w:sz="16" w:space="0"/>
              <w:bottom w:val="nil"/>
              <w:right w:val="single" w:color="000000" w:sz="16" w:space="0"/>
            </w:tcBorders>
            <w:shd w:val="clear" w:color="auto" w:fill="FFFFFF"/>
          </w:tcPr>
          <w:p w14:paraId="5178DCE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Insufficient content with source of supply</w:t>
            </w:r>
          </w:p>
        </w:tc>
        <w:tc>
          <w:tcPr>
            <w:tcW w:w="467" w:type="dxa"/>
            <w:tcBorders>
              <w:top w:val="nil"/>
              <w:left w:val="single" w:color="000000" w:sz="16" w:space="0"/>
              <w:bottom w:val="nil"/>
            </w:tcBorders>
            <w:shd w:val="clear" w:color="auto" w:fill="FFFFFF"/>
            <w:vAlign w:val="center"/>
          </w:tcPr>
          <w:p w14:paraId="6D22F6B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067D189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0F658D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17C99A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23A03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4D31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4A51CA7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3738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E1C6D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458322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A246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797" w:type="dxa"/>
            <w:vAlign w:val="center"/>
          </w:tcPr>
          <w:p w14:paraId="06888E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1.41</w:t>
            </w:r>
          </w:p>
        </w:tc>
      </w:tr>
      <w:tr w14:paraId="02D6A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4" w:hRule="atLeast"/>
        </w:trPr>
        <w:tc>
          <w:tcPr>
            <w:tcW w:w="2867" w:type="dxa"/>
            <w:tcBorders>
              <w:top w:val="nil"/>
              <w:left w:val="single" w:color="000000" w:sz="16" w:space="0"/>
              <w:bottom w:val="nil"/>
              <w:right w:val="single" w:color="000000" w:sz="16" w:space="0"/>
            </w:tcBorders>
            <w:shd w:val="clear" w:color="auto" w:fill="FFFFFF"/>
          </w:tcPr>
          <w:p w14:paraId="2E7304A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467" w:type="dxa"/>
            <w:tcBorders>
              <w:top w:val="nil"/>
              <w:left w:val="single" w:color="000000" w:sz="16" w:space="0"/>
              <w:bottom w:val="nil"/>
            </w:tcBorders>
            <w:shd w:val="clear" w:color="auto" w:fill="FFFFFF"/>
            <w:vAlign w:val="center"/>
          </w:tcPr>
          <w:p w14:paraId="072CD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7C1298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3E0779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nil"/>
            </w:tcBorders>
            <w:shd w:val="clear" w:color="auto" w:fill="FFFFFF"/>
            <w:vAlign w:val="center"/>
          </w:tcPr>
          <w:p w14:paraId="128881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76ECE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FCA01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F2BFE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D80EB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63086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756D51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A9B2E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797" w:type="dxa"/>
            <w:vAlign w:val="center"/>
          </w:tcPr>
          <w:p w14:paraId="574378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3397D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0" w:hRule="atLeast"/>
        </w:trPr>
        <w:tc>
          <w:tcPr>
            <w:tcW w:w="2867" w:type="dxa"/>
            <w:tcBorders>
              <w:top w:val="nil"/>
              <w:left w:val="single" w:color="000000" w:sz="16" w:space="0"/>
              <w:bottom w:val="nil"/>
              <w:right w:val="single" w:color="000000" w:sz="16" w:space="0"/>
            </w:tcBorders>
            <w:shd w:val="clear" w:color="auto" w:fill="FFFFFF"/>
          </w:tcPr>
          <w:p w14:paraId="07A661B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Few resources in our dominant languages</w:t>
            </w:r>
          </w:p>
        </w:tc>
        <w:tc>
          <w:tcPr>
            <w:tcW w:w="467" w:type="dxa"/>
            <w:tcBorders>
              <w:top w:val="nil"/>
              <w:left w:val="single" w:color="000000" w:sz="16" w:space="0"/>
              <w:bottom w:val="nil"/>
            </w:tcBorders>
            <w:shd w:val="clear" w:color="auto" w:fill="FFFFFF"/>
            <w:vAlign w:val="center"/>
          </w:tcPr>
          <w:p w14:paraId="5EAFDA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C552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98EF7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27A535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06626A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C2CF5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4D4F8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672E6F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E68FD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6FD405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5B625F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5E02CD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0612D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nil"/>
              <w:left w:val="single" w:color="000000" w:sz="16" w:space="0"/>
              <w:bottom w:val="nil"/>
              <w:right w:val="single" w:color="000000" w:sz="16" w:space="0"/>
            </w:tcBorders>
            <w:shd w:val="clear" w:color="auto" w:fill="FFFFFF"/>
          </w:tcPr>
          <w:p w14:paraId="05307B9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Administrative bottlenecks</w:t>
            </w:r>
          </w:p>
        </w:tc>
        <w:tc>
          <w:tcPr>
            <w:tcW w:w="467" w:type="dxa"/>
            <w:tcBorders>
              <w:top w:val="nil"/>
              <w:left w:val="single" w:color="000000" w:sz="16" w:space="0"/>
              <w:bottom w:val="nil"/>
            </w:tcBorders>
            <w:shd w:val="clear" w:color="auto" w:fill="FFFFFF"/>
            <w:vAlign w:val="center"/>
          </w:tcPr>
          <w:p w14:paraId="5C3695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A9D0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2B2911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076CE36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756B39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0B39B39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6BE192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F5D3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2B9226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1528A4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9AB08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0CEBD0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1A9B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7" w:hRule="atLeast"/>
        </w:trPr>
        <w:tc>
          <w:tcPr>
            <w:tcW w:w="2867" w:type="dxa"/>
            <w:tcBorders>
              <w:top w:val="nil"/>
              <w:left w:val="single" w:color="000000" w:sz="16" w:space="0"/>
              <w:bottom w:val="single" w:color="000000" w:sz="16" w:space="0"/>
              <w:right w:val="single" w:color="000000" w:sz="16" w:space="0"/>
            </w:tcBorders>
            <w:shd w:val="clear" w:color="auto" w:fill="FFFFFF"/>
          </w:tcPr>
          <w:p w14:paraId="43958D9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High cost of legal information materials</w:t>
            </w:r>
          </w:p>
        </w:tc>
        <w:tc>
          <w:tcPr>
            <w:tcW w:w="467" w:type="dxa"/>
            <w:tcBorders>
              <w:top w:val="nil"/>
              <w:left w:val="single" w:color="000000" w:sz="16" w:space="0"/>
              <w:bottom w:val="single" w:color="000000" w:sz="16" w:space="0"/>
            </w:tcBorders>
            <w:shd w:val="clear" w:color="auto" w:fill="FFFFFF"/>
            <w:vAlign w:val="center"/>
          </w:tcPr>
          <w:p w14:paraId="68AD8F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single" w:color="000000" w:sz="16" w:space="0"/>
            </w:tcBorders>
            <w:shd w:val="clear" w:color="auto" w:fill="FFFFFF"/>
            <w:vAlign w:val="center"/>
          </w:tcPr>
          <w:p w14:paraId="0CD3B6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single" w:color="000000" w:sz="16" w:space="0"/>
            </w:tcBorders>
            <w:shd w:val="clear" w:color="auto" w:fill="FFFFFF"/>
            <w:vAlign w:val="center"/>
          </w:tcPr>
          <w:p w14:paraId="55C319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single" w:color="000000" w:sz="16" w:space="0"/>
            </w:tcBorders>
            <w:shd w:val="clear" w:color="auto" w:fill="FFFFFF"/>
            <w:vAlign w:val="center"/>
          </w:tcPr>
          <w:p w14:paraId="038D81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single" w:color="000000" w:sz="16" w:space="0"/>
            </w:tcBorders>
            <w:shd w:val="clear" w:color="auto" w:fill="FFFFFF"/>
            <w:vAlign w:val="center"/>
          </w:tcPr>
          <w:p w14:paraId="50D304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single" w:color="000000" w:sz="16" w:space="0"/>
            </w:tcBorders>
            <w:shd w:val="clear" w:color="auto" w:fill="FFFFFF"/>
            <w:vAlign w:val="center"/>
          </w:tcPr>
          <w:p w14:paraId="26557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single" w:color="000000" w:sz="16" w:space="0"/>
            </w:tcBorders>
            <w:shd w:val="clear" w:color="auto" w:fill="FFFFFF"/>
            <w:vAlign w:val="center"/>
          </w:tcPr>
          <w:p w14:paraId="40AD8B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single" w:color="000000" w:sz="16" w:space="0"/>
            </w:tcBorders>
            <w:shd w:val="clear" w:color="auto" w:fill="FFFFFF"/>
            <w:vAlign w:val="center"/>
          </w:tcPr>
          <w:p w14:paraId="7C347A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single" w:color="000000" w:sz="16" w:space="0"/>
            </w:tcBorders>
            <w:shd w:val="clear" w:color="auto" w:fill="FFFFFF"/>
            <w:vAlign w:val="center"/>
          </w:tcPr>
          <w:p w14:paraId="482819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single" w:color="000000" w:sz="16" w:space="0"/>
              <w:right w:val="single" w:color="000000" w:sz="16" w:space="0"/>
            </w:tcBorders>
            <w:shd w:val="clear" w:color="auto" w:fill="FFFFFF"/>
            <w:vAlign w:val="center"/>
          </w:tcPr>
          <w:p w14:paraId="36125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0E2AA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97" w:type="dxa"/>
            <w:vAlign w:val="center"/>
          </w:tcPr>
          <w:p w14:paraId="645E1F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bl>
    <w:p w14:paraId="6E40B002">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7 above indicates that economic instability are ranked highest among the factors affecting selection of legal information materials to be acquired in University of Ilorin Law Library with (4.18 </w:t>
      </w:r>
      <w:r>
        <w:rPr>
          <w:rFonts w:ascii="Times New Roman" w:hAnsi="Times New Roman" w:cs="Times New Roman"/>
          <w:color w:val="auto"/>
          <w:sz w:val="24"/>
          <w:szCs w:val="24"/>
          <w:lang w:val="en-GB"/>
        </w:rPr>
        <w:t>± 1.16</w:t>
      </w:r>
      <w:r>
        <w:rPr>
          <w:rFonts w:ascii="Times New Roman" w:hAnsi="Times New Roman" w:cs="Times New Roman"/>
          <w:color w:val="auto"/>
          <w:sz w:val="24"/>
          <w:szCs w:val="24"/>
        </w:rPr>
        <w:t xml:space="preserve">), followed by inadequate funding (4.18 </w:t>
      </w:r>
      <w:r>
        <w:rPr>
          <w:rFonts w:ascii="Times New Roman" w:hAnsi="Times New Roman" w:cs="Times New Roman"/>
          <w:color w:val="auto"/>
          <w:sz w:val="24"/>
          <w:szCs w:val="24"/>
          <w:lang w:val="en-GB"/>
        </w:rPr>
        <w:t xml:space="preserve">± 0.98) and </w:t>
      </w:r>
      <w:r>
        <w:rPr>
          <w:rFonts w:ascii="Times New Roman" w:hAnsi="Times New Roman" w:cs="Times New Roman"/>
          <w:color w:val="auto"/>
          <w:sz w:val="24"/>
          <w:szCs w:val="24"/>
        </w:rPr>
        <w:t>lack of knowledge of the needs of the special libraries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 xml:space="preserve">3.18 </w:t>
      </w:r>
      <w:r>
        <w:rPr>
          <w:rFonts w:ascii="Times New Roman" w:hAnsi="Times New Roman" w:cs="Times New Roman"/>
          <w:color w:val="auto"/>
          <w:sz w:val="24"/>
          <w:szCs w:val="24"/>
          <w:lang w:val="en-GB"/>
        </w:rPr>
        <w:t xml:space="preserve">± 1.17). However, </w:t>
      </w:r>
      <w:r>
        <w:rPr>
          <w:rFonts w:ascii="Times New Roman" w:hAnsi="Times New Roman" w:cs="Times New Roman"/>
          <w:color w:val="auto"/>
          <w:sz w:val="24"/>
          <w:szCs w:val="24"/>
        </w:rPr>
        <w:t>high cost of legal information materials</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(2.73 </w:t>
      </w:r>
      <w:r>
        <w:rPr>
          <w:rFonts w:ascii="Times New Roman" w:hAnsi="Times New Roman" w:cs="Times New Roman"/>
          <w:color w:val="auto"/>
          <w:sz w:val="24"/>
          <w:szCs w:val="24"/>
          <w:lang w:val="en-GB"/>
        </w:rPr>
        <w:t>± 1.19).</w:t>
      </w:r>
    </w:p>
    <w:p w14:paraId="2B598ABE">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6BB1D7D7">
      <w:pPr>
        <w:pStyle w:val="13"/>
        <w:numPr>
          <w:ilvl w:val="1"/>
          <w:numId w:val="4"/>
        </w:numPr>
        <w:autoSpaceDE w:val="0"/>
        <w:autoSpaceDN w:val="0"/>
        <w:adjustRightInd w:val="0"/>
        <w:spacing w:before="240" w:after="0" w:line="360" w:lineRule="auto"/>
        <w:ind w:hanging="1080"/>
        <w:jc w:val="both"/>
        <w:rPr>
          <w:rFonts w:ascii="Times New Roman" w:hAnsi="Times New Roman"/>
          <w:b/>
          <w:color w:val="auto"/>
          <w:sz w:val="24"/>
          <w:szCs w:val="24"/>
        </w:rPr>
      </w:pPr>
      <w:r>
        <w:rPr>
          <w:rFonts w:ascii="Times New Roman" w:hAnsi="Times New Roman"/>
          <w:b/>
          <w:color w:val="auto"/>
          <w:sz w:val="24"/>
          <w:szCs w:val="24"/>
        </w:rPr>
        <w:t>Discussion of Findings</w:t>
      </w:r>
    </w:p>
    <w:p w14:paraId="41ACAF4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implications of the results of Table 2 are: selection and acquisition of legal information materials in University of Ilorin Law Library are being carried out by following the standardised procedures stipulated by some major international associations and bodies in Library and Information Science, such as the International Federation of Library Association and Institutions (IFLA), the Nigerian Library Association (NLA), and the American Library Association (ALA). Their policy statements emphasised that the Selection and Acquisition Committee has the ultimate power to determine the information materials to be selected and acquired.</w:t>
      </w:r>
    </w:p>
    <w:p w14:paraId="4B2AE6D4">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It is also interesting to find out the Acquisition Librarian is among the personnel responsible for selecting information materials to be acquired in University of Ilorin Law Library. The position of the respondents is in tandem with Ezeh (2020) that the acquisition of librarian oversee the process of purchasing and ordering of legal information materials in order to acquire current legal information materials about law discipline to satisfy users. The roles of the acquisition librarian also involve the acquisition of relevant technologies to support management, to make the replacement of lost or damaged legal information materials.</w:t>
      </w:r>
    </w:p>
    <w:p w14:paraId="0BD154F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Findings further revealed the Law Librarian is also involved in the selection and acquisition process of legal information materials in University of Ilorin Law Library. As expected, the Law Librarian is having closed and direct observations and interactions with the users of legal information resources. Therefore, his/her contributions are highly valuable to the entire selection and acquisition of legal information materials. It can be assumed that subject experts are not usually among the personnel responsible for selection and acquisition because they Law Librarian is also an expert who possesses basic or advanced certificate in the legal discipline. Thus, he/she is expected to be conversant with the various aspects of Law where information materials suitable for the needs of users can be considered.</w:t>
      </w:r>
    </w:p>
    <w:p w14:paraId="09EF06B8">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The findings of the Table 3 implied that bibliographies are the tools highly used in selecting legal materials to be purchased in the library understudy. This shows that the library considers bibliographies useful in the selection process because they systematically list information materials published by either a particular author, country, regions, period or on a subject, specifically the subjects of Law. This makes it easy for the library to have access to detailed bibliographic descriptions of information materials that consider relevant to the needs of their users.</w:t>
      </w:r>
    </w:p>
    <w:p w14:paraId="30D0690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Readers’ suggestions are also used in selection of legal information materials to be selected by the library understudied. One of the librarians who provided further explanations to the researcher on this study notes that the library has a register for users to record the details of the information materials they want the library to purchase. Therefore, when the library is selecting for acquisition, it usually consider the register. What makes the register to be highly prioritised is because the suggestions made users are mostly from learned and reputable individuals who are versed in the subject of Law.</w:t>
      </w:r>
    </w:p>
    <w:p w14:paraId="0A241915">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Furthermore, the library uses yearbooks above other selection tools. This contradicts the practices of other libraries according to some research. </w:t>
      </w:r>
      <w:r>
        <w:rPr>
          <w:rFonts w:ascii="Times New Roman" w:hAnsi="Times New Roman" w:cs="Times New Roman"/>
          <w:color w:val="auto"/>
          <w:sz w:val="24"/>
          <w:szCs w:val="24"/>
        </w:rPr>
        <w:t>Kumar (2017) and Ashikuzzaman (2021) noted that yearbooks are not highly used in most law libraries in India, Pakistan and Afghanistan. They argued that yearbooks are not usually specific on the subject of Law, because they are mostly generalized. Thus, they are not mostly considered for selection.</w:t>
      </w:r>
    </w:p>
    <w:p w14:paraId="2430F41A">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rPr>
        <w:t>It is important to discover that publishers’ catalogues were ranked lowest based on the respondents’ responses. The implication of that result is that publishers’ catalogues among the selection tools highly used in the library understudied. However, data have revealed that publishers’ catalogues have constituted a major selection tools, particularly the ones from reputable legal publishers such as Lexis and Nexis, Nigerian Weekly Law Report publishers and others.</w:t>
      </w:r>
    </w:p>
    <w:p w14:paraId="75CCD42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Table 4’s results implied that </w:t>
      </w:r>
      <w:r>
        <w:rPr>
          <w:rFonts w:ascii="Times New Roman" w:hAnsi="Times New Roman" w:cs="Times New Roman"/>
          <w:color w:val="auto"/>
          <w:sz w:val="24"/>
          <w:szCs w:val="24"/>
        </w:rPr>
        <w:t xml:space="preserve">accessibility of the materials, authority and </w:t>
      </w:r>
      <w:r>
        <w:rPr>
          <w:rFonts w:ascii="Times New Roman" w:hAnsi="Times New Roman" w:cs="Times New Roman"/>
          <w:color w:val="auto"/>
          <w:sz w:val="24"/>
          <w:szCs w:val="24"/>
          <w:lang w:val="en-GB"/>
        </w:rPr>
        <w:t xml:space="preserve">up-to-datedness of content are the major criteria used in selecting legal information materials to be acquired in the library understudied. </w:t>
      </w:r>
      <w:r>
        <w:rPr>
          <w:rFonts w:ascii="Times New Roman" w:hAnsi="Times New Roman" w:cs="Times New Roman"/>
          <w:color w:val="auto"/>
          <w:sz w:val="24"/>
          <w:szCs w:val="24"/>
        </w:rPr>
        <w:t>Accessibility of the materials is paramount in the selection of legal information because there are many cases libraries have selected information materials they can’t accessed maybe based on the location of the publisher of the information or the time the information material was published. Therefore, to avoid falling into this trap, University of Ilorin Law Library always considers accessibility of the materials to be acquired.</w:t>
      </w:r>
    </w:p>
    <w:p w14:paraId="6075445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Authority is also an important criteria to be considered when selecting legal information materials to be acquired because it reveals the credibility and reputation of the author(s) or editor(s) responsible for the contents of the information materials to be acquired. ALA (2020) buttressed the importance of authority on selection of legal information materials by noting that legal information materials which its authority is questionable give readers inadequate information.</w:t>
      </w:r>
    </w:p>
    <w:p w14:paraId="18622C6D">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Furthermore, up-to-datedness of contents is considered for selection of legal information materials because the library understudied is in academic environment. Therefore, it is down on the library to always provide information materials whose contents are up-to-date and timely for the needs of its users. Libraries mostly acquire old legal information materials for records or archival purposes. That ease of use is ranked lowest call for concerns because legal information materials that are difficult to be used by patrons always end up being useless and irrelevant.</w:t>
      </w:r>
    </w:p>
    <w:p w14:paraId="2A1911E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GB"/>
        </w:rPr>
        <w:t xml:space="preserve">Results of the Table 5 indicated that </w:t>
      </w:r>
      <w:r>
        <w:rPr>
          <w:rFonts w:ascii="Times New Roman" w:hAnsi="Times New Roman" w:cs="Times New Roman"/>
          <w:color w:val="auto"/>
          <w:sz w:val="24"/>
          <w:szCs w:val="24"/>
        </w:rPr>
        <w:t xml:space="preserve">encyclopedias of Law, court cases/law reports and </w:t>
      </w:r>
      <w:r>
        <w:rPr>
          <w:rFonts w:ascii="Times New Roman" w:hAnsi="Times New Roman" w:cs="Times New Roman"/>
          <w:color w:val="auto"/>
          <w:sz w:val="24"/>
          <w:szCs w:val="24"/>
          <w:lang w:val="en-GB"/>
        </w:rPr>
        <w:t xml:space="preserve">law journals are the major types of legal information materials selected for acquisition in the library understudied. This means that the library placed high interest on </w:t>
      </w:r>
      <w:r>
        <w:rPr>
          <w:rFonts w:ascii="Times New Roman" w:hAnsi="Times New Roman" w:cs="Times New Roman"/>
          <w:color w:val="auto"/>
          <w:sz w:val="24"/>
          <w:szCs w:val="24"/>
        </w:rPr>
        <w:t>encyclopedias of Law because their contents are always specific, precise and concise. Encyclopedias of Law fall in the category of tertiary sources of legal information, whose contents are derived from condensations of primary and secondary sources.</w:t>
      </w:r>
    </w:p>
    <w:p w14:paraId="310A8DC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Court case/law reports are another legal information materials that are essential to every law library. Courts cases/law reports contain judicial precedents that operate under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which literally means “to stand by decisions”. This principle means that a court must follow and apply the law as set out in the decisions of higher courts in previous cases. In order for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to operate, a judge must know what the previous decisions of courts are (Cornell Law School, 2022). Observations made by this researcher made her document the following law reports/court cases: Nigerian Weekly Law Report (NWLR), Supreme Court Law Report (SCLR), and African Law Reports (ALR).</w:t>
      </w:r>
    </w:p>
    <w:p w14:paraId="4E75020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also interesting to find out that the library understudied selects law journals among the legal information materials it acquires. Journals are considered to be primary information resources which contains latest information and results of findings on the subjects of Law. This implication of this aspect is that the respondents with their opinions based on their responses in Table 4 where it was ranked higher that up-to-datedness of contents is a criterion used in selecting legal information materials to be acquired by the library.</w:t>
      </w:r>
    </w:p>
    <w:p w14:paraId="18E4B0C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Findings negatively showed that constitutions are not among the major types of legal information materials usually selected for acquisition in the library. The reason is not far-fetched. Constitutions are not information materials that are being published regularly.</w:t>
      </w:r>
      <w:r>
        <w:rPr>
          <w:rFonts w:ascii="Times New Roman" w:hAnsi="Times New Roman" w:cs="Times New Roman"/>
          <w:color w:val="auto"/>
          <w:sz w:val="24"/>
          <w:szCs w:val="24"/>
          <w:lang w:val="en-GB"/>
        </w:rPr>
        <w:t>They are always static in nature because they are subjected to changes through the process of amendment. And amendment is always being done when there are needs for some aspects of the constitutions to be reviewed and updated.</w:t>
      </w:r>
    </w:p>
    <w:p w14:paraId="0D655BF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implications of the results of the Table 6 was that the major benefits of selection on acquisition of legal information materials helps in following established policies and guidelines, ensures judicious spending of library’s budget and ensures provision of adequate legal information materials relevant to the needs of the users. The result are consistent with the assertions of Ezeh (2020) that selection helps law libraries in following the established policies and guidelines because the library’s selection and acquisition committee members and other personnel responsible for selection will have some predefined criteria that have to be followed, the kinds of materials to be acquired and also the sources of acquisition.  </w:t>
      </w:r>
    </w:p>
    <w:p w14:paraId="03840E9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also ensures judicious spending of library’s budget because through it, law libraries always adequate information – including price and amount to be paid for delivery – about the information materials they want to acquire. Hence, law libraries won’t have need to waste their meager financial resources. In this era where one of the major challenges libraries are facing are poor funding and others, it is thus necessary for them to follow standard procedures that can help them manage their funds. </w:t>
      </w:r>
    </w:p>
    <w:p w14:paraId="6651CFC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interesting to also find out that the respondents believed that selection helps in the provision of adequate legal information materials relevant to the needs of the users. Their position is consistent with Plockey and Ofori (2018) who argued that without selection, law libraries find it difficult to end up choosing legal information materials that are suitable to their users’ needs. Thus, it is always imperative that law libraries engaged in selection before acquiring information materials.</w:t>
      </w:r>
    </w:p>
    <w:p w14:paraId="33B1070E">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However, it is disturbing to discover that the respondents don’t believed that selection helps in space saving. Logically, since selection helps in the acquisition of legal information materials relevant to the needs of the users, it therefore helps law libraries to avoid acquiring information materials that will just occupy the library space without being used by the patrons.</w:t>
      </w:r>
    </w:p>
    <w:p w14:paraId="70F77EA5">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7 implied that the major factors affecting selection of legal information materials to be acquired in the library understudied are economic instability, inadequate funding and lack of knowledge of the needs of the special libraries. It is apparent that the major sources of supply of legal information materials to Nigerian law libraries are through foreign publishers. This makes it difficult to have a stable conversion rates when it comes to paying for the legal information materials selected for acquisition.</w:t>
      </w:r>
    </w:p>
    <w:p w14:paraId="3233D56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More so, inadequate funding is a barrier to selecting legal information materials to be acquired by the library understudied. Since, this study is not concerned with funding, it is difficult to conclude on funding. However, as it is obvious that most Nigerian academic libraries survived on subventions provided by the host institutions, which most times may not be adequate, it is therefore trite to agree with the respondents that funding truly affects selection of legal information materials.</w:t>
      </w:r>
    </w:p>
    <w:p w14:paraId="4828A85A">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Lack of the knowledge of the special libraries shouldn’t be seen as a challenge by the respondents because those involved in the selection and acquisition process are members of the selection and acquisition committee, the acquisition librarian and the Law librarian, according to the respondents’ responses in Table 2. This means that the personnel involved in selection and acquisition are required to be knowledgeable about the needs of their users and also, community analysis is expected to be performed before embarking on selection and acquisition of legal information resources.</w:t>
      </w:r>
    </w:p>
    <w:p w14:paraId="746402C2">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Furthermore, high cost of legal information materials is not considered a major challenge by the respondents. This is questionable. Since their major sources of acquisition is through foreign publishers and book sellers, economic instability is expected to affect the price at which legal information materials to be sold. But above all, this point has become a gap that has to be covered by future research by investigating the effect of price of legal information materials on the selection and acquisition of legal information.</w:t>
      </w:r>
    </w:p>
    <w:p w14:paraId="4D7EC191">
      <w:pPr>
        <w:autoSpaceDE w:val="0"/>
        <w:autoSpaceDN w:val="0"/>
        <w:adjustRightInd w:val="0"/>
        <w:spacing w:after="0" w:line="360" w:lineRule="auto"/>
        <w:rPr>
          <w:rFonts w:ascii="Times New Roman" w:hAnsi="Times New Roman" w:cs="Times New Roman"/>
          <w:color w:val="auto"/>
          <w:sz w:val="24"/>
          <w:szCs w:val="24"/>
        </w:rPr>
      </w:pPr>
    </w:p>
    <w:p w14:paraId="72091CCA">
      <w:pPr>
        <w:autoSpaceDE w:val="0"/>
        <w:autoSpaceDN w:val="0"/>
        <w:adjustRightInd w:val="0"/>
        <w:spacing w:after="0" w:line="360" w:lineRule="auto"/>
        <w:rPr>
          <w:rFonts w:ascii="Times New Roman" w:hAnsi="Times New Roman" w:cs="Times New Roman"/>
          <w:color w:val="auto"/>
          <w:sz w:val="24"/>
          <w:szCs w:val="24"/>
        </w:rPr>
      </w:pPr>
    </w:p>
    <w:p w14:paraId="6B76FB92">
      <w:pPr>
        <w:autoSpaceDE w:val="0"/>
        <w:autoSpaceDN w:val="0"/>
        <w:adjustRightInd w:val="0"/>
        <w:spacing w:after="0" w:line="360" w:lineRule="auto"/>
        <w:rPr>
          <w:rFonts w:ascii="Times New Roman" w:hAnsi="Times New Roman" w:cs="Times New Roman"/>
          <w:color w:val="auto"/>
          <w:sz w:val="24"/>
          <w:szCs w:val="24"/>
        </w:rPr>
      </w:pPr>
    </w:p>
    <w:p w14:paraId="4992A846">
      <w:pPr>
        <w:autoSpaceDE w:val="0"/>
        <w:autoSpaceDN w:val="0"/>
        <w:adjustRightInd w:val="0"/>
        <w:spacing w:after="0" w:line="360" w:lineRule="auto"/>
        <w:rPr>
          <w:rFonts w:ascii="Times New Roman" w:hAnsi="Times New Roman" w:cs="Times New Roman"/>
          <w:color w:val="auto"/>
          <w:sz w:val="24"/>
          <w:szCs w:val="24"/>
        </w:rPr>
      </w:pPr>
    </w:p>
    <w:p w14:paraId="04DCE3C7">
      <w:pPr>
        <w:autoSpaceDE w:val="0"/>
        <w:autoSpaceDN w:val="0"/>
        <w:adjustRightInd w:val="0"/>
        <w:spacing w:after="0" w:line="360" w:lineRule="auto"/>
        <w:rPr>
          <w:rFonts w:ascii="Times New Roman" w:hAnsi="Times New Roman" w:cs="Times New Roman"/>
          <w:color w:val="auto"/>
          <w:sz w:val="24"/>
          <w:szCs w:val="24"/>
        </w:rPr>
      </w:pPr>
    </w:p>
    <w:p w14:paraId="149C3A30">
      <w:pPr>
        <w:autoSpaceDE w:val="0"/>
        <w:autoSpaceDN w:val="0"/>
        <w:adjustRightInd w:val="0"/>
        <w:spacing w:after="0" w:line="360" w:lineRule="auto"/>
        <w:rPr>
          <w:rFonts w:ascii="Times New Roman" w:hAnsi="Times New Roman" w:cs="Times New Roman"/>
          <w:color w:val="auto"/>
          <w:sz w:val="24"/>
          <w:szCs w:val="24"/>
        </w:rPr>
      </w:pPr>
    </w:p>
    <w:p w14:paraId="15D7B5CF">
      <w:pPr>
        <w:spacing w:line="360" w:lineRule="auto"/>
        <w:rPr>
          <w:color w:val="auto"/>
        </w:rPr>
      </w:pPr>
    </w:p>
    <w:p w14:paraId="789C3E09">
      <w:pPr>
        <w:spacing w:line="360" w:lineRule="auto"/>
        <w:rPr>
          <w:color w:val="auto"/>
        </w:rPr>
      </w:pPr>
    </w:p>
    <w:p w14:paraId="28D8A7B6">
      <w:pPr>
        <w:spacing w:before="240" w:line="360" w:lineRule="auto"/>
        <w:jc w:val="center"/>
        <w:rPr>
          <w:rFonts w:ascii="Times New Roman" w:hAnsi="Times New Roman" w:cs="Times New Roman"/>
          <w:b/>
          <w:color w:val="auto"/>
          <w:sz w:val="28"/>
          <w:szCs w:val="28"/>
        </w:rPr>
      </w:pPr>
      <w:bookmarkStart w:id="4" w:name="_Hlk154039640"/>
      <w:r>
        <w:rPr>
          <w:rFonts w:ascii="Times New Roman" w:hAnsi="Times New Roman" w:cs="Times New Roman"/>
          <w:b/>
          <w:color w:val="auto"/>
          <w:sz w:val="28"/>
          <w:szCs w:val="28"/>
        </w:rPr>
        <w:t>CHAPTER FIVE</w:t>
      </w:r>
    </w:p>
    <w:p w14:paraId="541EE55C">
      <w:pPr>
        <w:spacing w:before="240"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5.0</w:t>
      </w:r>
      <w:r>
        <w:rPr>
          <w:rFonts w:ascii="Times New Roman" w:hAnsi="Times New Roman" w:cs="Times New Roman"/>
          <w:b/>
          <w:color w:val="auto"/>
          <w:sz w:val="28"/>
          <w:szCs w:val="28"/>
        </w:rPr>
        <w:tab/>
      </w:r>
      <w:r>
        <w:rPr>
          <w:rFonts w:ascii="Times New Roman" w:hAnsi="Times New Roman" w:cs="Times New Roman"/>
          <w:b/>
          <w:color w:val="auto"/>
          <w:sz w:val="28"/>
          <w:szCs w:val="28"/>
        </w:rPr>
        <w:t>SUMMARY OF THE FINDINGS, CONCLUSION AND RECOMMENDATIONS</w:t>
      </w:r>
    </w:p>
    <w:p w14:paraId="3D4ED708">
      <w:pPr>
        <w:pStyle w:val="13"/>
        <w:numPr>
          <w:ilvl w:val="1"/>
          <w:numId w:val="11"/>
        </w:numPr>
        <w:spacing w:before="240" w:line="360" w:lineRule="auto"/>
        <w:rPr>
          <w:rFonts w:ascii="Times New Roman" w:hAnsi="Times New Roman"/>
          <w:b/>
          <w:color w:val="auto"/>
          <w:sz w:val="24"/>
          <w:szCs w:val="24"/>
        </w:rPr>
      </w:pPr>
      <w:r>
        <w:rPr>
          <w:rFonts w:ascii="Times New Roman" w:hAnsi="Times New Roman"/>
          <w:b/>
          <w:color w:val="auto"/>
          <w:sz w:val="24"/>
          <w:szCs w:val="24"/>
        </w:rPr>
        <w:t>Summary of Findings</w:t>
      </w:r>
    </w:p>
    <w:p w14:paraId="1711E7AC">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Findings of this study revealed that </w:t>
      </w:r>
      <w:r>
        <w:rPr>
          <w:rFonts w:ascii="Times New Roman" w:hAnsi="Times New Roman"/>
          <w:color w:val="auto"/>
          <w:sz w:val="24"/>
          <w:szCs w:val="24"/>
        </w:rPr>
        <w:t>most of the personnel of University of Ilorin Law Library are males, although with closed margin with their female counterparts. Also, most of the personnel are married with the highest age range around 34 – 43 years and also MLIS holders with work experience of 10 – 14 years in Librarianship’s professional cadre.</w:t>
      </w:r>
      <w:r>
        <w:rPr>
          <w:rFonts w:ascii="Times New Roman" w:hAnsi="Times New Roman" w:cs="Times New Roman"/>
          <w:color w:val="auto"/>
          <w:sz w:val="24"/>
          <w:szCs w:val="24"/>
        </w:rPr>
        <w:t xml:space="preserve"> It was also discovered that me</w:t>
      </w:r>
      <w:r>
        <w:rPr>
          <w:rFonts w:ascii="Times New Roman" w:hAnsi="Times New Roman"/>
          <w:color w:val="auto"/>
          <w:sz w:val="24"/>
          <w:szCs w:val="24"/>
        </w:rPr>
        <w:t>mbers of the Selection and Acquisition Committee, Acquisition Librarian and Law Librarian are the personnel responsible for selection and acquisition of legal information materials in University of Ilorin Law Library.</w:t>
      </w:r>
    </w:p>
    <w:p w14:paraId="1DFCFEFE">
      <w:pPr>
        <w:spacing w:before="240" w:line="360" w:lineRule="auto"/>
        <w:jc w:val="both"/>
        <w:rPr>
          <w:rFonts w:ascii="Times New Roman" w:hAnsi="Times New Roman"/>
          <w:color w:val="auto"/>
          <w:sz w:val="24"/>
          <w:szCs w:val="24"/>
        </w:rPr>
      </w:pPr>
      <w:r>
        <w:rPr>
          <w:rFonts w:ascii="Times New Roman" w:hAnsi="Times New Roman"/>
          <w:color w:val="auto"/>
          <w:sz w:val="24"/>
          <w:szCs w:val="24"/>
        </w:rPr>
        <w:t>Bibliographies, readers’ suggestions and yearbooks are the tools used for selection and acquisition of legal information materials in University of Ilorin Law Library, while accessibility of the materials, authority and up-to-datedness are the criteria used in selection and acquisition of legal information materials in University of Ilorin Law Library. Encyclopedias of Law, court cases/law reports and law journals are the types of legal information materials selected and acquired in the University of Ilorin Law Library.</w:t>
      </w:r>
    </w:p>
    <w:p w14:paraId="2E03F7B3">
      <w:pPr>
        <w:spacing w:before="240" w:line="360" w:lineRule="auto"/>
        <w:jc w:val="both"/>
        <w:rPr>
          <w:rFonts w:ascii="Times New Roman" w:hAnsi="Times New Roman"/>
          <w:color w:val="auto"/>
          <w:sz w:val="24"/>
          <w:szCs w:val="24"/>
        </w:rPr>
      </w:pPr>
      <w:r>
        <w:rPr>
          <w:rFonts w:ascii="Times New Roman" w:hAnsi="Times New Roman"/>
          <w:color w:val="auto"/>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 However, economic instability, inadequate funding and lack of knowledge of the needs of the special libraries are the challenges affecting University of Ilorin Law Library from selecting and acquiring legal information materials.</w:t>
      </w:r>
    </w:p>
    <w:p w14:paraId="27E53CD5">
      <w:pPr>
        <w:spacing w:before="240" w:line="360" w:lineRule="auto"/>
        <w:jc w:val="both"/>
        <w:rPr>
          <w:rFonts w:ascii="Times New Roman" w:hAnsi="Times New Roman"/>
          <w:color w:val="auto"/>
          <w:sz w:val="24"/>
          <w:szCs w:val="24"/>
        </w:rPr>
      </w:pPr>
    </w:p>
    <w:p w14:paraId="73609969">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5.2</w:t>
      </w:r>
      <w:r>
        <w:rPr>
          <w:rFonts w:ascii="Times New Roman" w:hAnsi="Times New Roman" w:cs="Times New Roman"/>
          <w:b/>
          <w:color w:val="auto"/>
          <w:sz w:val="24"/>
          <w:szCs w:val="24"/>
        </w:rPr>
        <w:tab/>
      </w:r>
      <w:r>
        <w:rPr>
          <w:rFonts w:ascii="Times New Roman" w:hAnsi="Times New Roman" w:cs="Times New Roman"/>
          <w:b/>
          <w:color w:val="auto"/>
          <w:sz w:val="24"/>
          <w:szCs w:val="24"/>
        </w:rPr>
        <w:t>Conclusion</w:t>
      </w:r>
    </w:p>
    <w:p w14:paraId="5C33ED1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and acquisition are essential routines in every library. However, their roles and nature in law libraries are different because performing them requires specialised knowledge such as having the knowledge of different aspects of Law, the nature of legal information materials and the various users of legal information materials. This study has established that there are many procedures to be followed in the process and selection of legal information materials and when those procedures are followed, they ensure judicious spending of library’s budget and provision of adequate legal information materials relevant to the needs. Some hindrances limiting University of Ilorin Law Library from selection and acquisition include economic instability, inadequate funding and lack of knowledge of the needs of the special libraries.</w:t>
      </w:r>
    </w:p>
    <w:p w14:paraId="5D7C0E75">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5.3</w:t>
      </w:r>
      <w:r>
        <w:rPr>
          <w:rFonts w:ascii="Times New Roman" w:hAnsi="Times New Roman" w:cs="Times New Roman"/>
          <w:b/>
          <w:color w:val="auto"/>
          <w:sz w:val="24"/>
          <w:szCs w:val="24"/>
        </w:rPr>
        <w:tab/>
      </w:r>
      <w:r>
        <w:rPr>
          <w:rFonts w:ascii="Times New Roman" w:hAnsi="Times New Roman" w:cs="Times New Roman"/>
          <w:b/>
          <w:color w:val="auto"/>
          <w:sz w:val="24"/>
          <w:szCs w:val="24"/>
        </w:rPr>
        <w:t>Recommendations</w:t>
      </w:r>
    </w:p>
    <w:p w14:paraId="71FE23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following suggested recommendations are hereby made for this study:</w:t>
      </w:r>
    </w:p>
    <w:p w14:paraId="2D80DC06">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be using publishers’ and library catalogues for selection. This will help them in having information about publications of different publishers locally and globally.</w:t>
      </w:r>
    </w:p>
    <w:p w14:paraId="202CB6CF">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Cost of legal information materials should be considered when selecting information materials to be acquired in University of Ilorin Law Library. This will help in saving the library from profligate spending of its meager financial resources on legal information materials that are most relevant to users.</w:t>
      </w:r>
    </w:p>
    <w:p w14:paraId="652AB7C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Comprehensiveness and depth of legal information materials should be considered during selection. This will ensure provision of quality and reliable information materials to users.</w:t>
      </w:r>
    </w:p>
    <w:p w14:paraId="397942D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always endeavour to acquire adequate knowledge about the needs of their patrons. This will help in considering selection and acquisition based on their users’ interest.</w:t>
      </w:r>
    </w:p>
    <w:p w14:paraId="6E6BB111">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Management of University of Ilorin should adequately fund the University of Ilorin Library, so that it can cater for the needs of users across other branch/faculties and departmental libraries.</w:t>
      </w:r>
    </w:p>
    <w:bookmarkEnd w:id="4"/>
    <w:p w14:paraId="6D747C2B">
      <w:pPr>
        <w:spacing w:line="360" w:lineRule="auto"/>
        <w:rPr>
          <w:color w:val="auto"/>
        </w:rPr>
      </w:pPr>
    </w:p>
    <w:p w14:paraId="760CC540">
      <w:pPr>
        <w:spacing w:line="360" w:lineRule="auto"/>
        <w:rPr>
          <w:color w:val="auto"/>
        </w:rPr>
      </w:pPr>
    </w:p>
    <w:p w14:paraId="09B08371">
      <w:pPr>
        <w:spacing w:line="360" w:lineRule="auto"/>
        <w:rPr>
          <w:color w:val="auto"/>
        </w:rPr>
      </w:pPr>
    </w:p>
    <w:p w14:paraId="05BDC2BC">
      <w:pPr>
        <w:spacing w:line="360" w:lineRule="auto"/>
        <w:rPr>
          <w:color w:val="auto"/>
        </w:rPr>
      </w:pPr>
    </w:p>
    <w:p w14:paraId="5DA4AD12">
      <w:pPr>
        <w:spacing w:line="360" w:lineRule="auto"/>
        <w:rPr>
          <w:color w:val="auto"/>
        </w:rPr>
      </w:pPr>
    </w:p>
    <w:p w14:paraId="7A6B965E">
      <w:pPr>
        <w:spacing w:line="360" w:lineRule="auto"/>
        <w:rPr>
          <w:rFonts w:ascii="Times New Roman" w:hAnsi="Times New Roman"/>
          <w:b/>
          <w:color w:val="auto"/>
          <w:sz w:val="24"/>
          <w:szCs w:val="24"/>
        </w:rPr>
      </w:pPr>
    </w:p>
    <w:p w14:paraId="6C5BE628">
      <w:pPr>
        <w:spacing w:line="360" w:lineRule="auto"/>
        <w:rPr>
          <w:rFonts w:ascii="Times New Roman" w:hAnsi="Times New Roman"/>
          <w:b/>
          <w:color w:val="auto"/>
          <w:sz w:val="24"/>
          <w:szCs w:val="24"/>
        </w:rPr>
      </w:pPr>
    </w:p>
    <w:p w14:paraId="471EC43E">
      <w:pPr>
        <w:spacing w:line="360" w:lineRule="auto"/>
        <w:rPr>
          <w:rFonts w:ascii="Times New Roman" w:hAnsi="Times New Roman"/>
          <w:b/>
          <w:color w:val="auto"/>
          <w:sz w:val="24"/>
          <w:szCs w:val="24"/>
        </w:rPr>
      </w:pPr>
    </w:p>
    <w:p w14:paraId="6BCA2BCA">
      <w:pPr>
        <w:spacing w:line="360" w:lineRule="auto"/>
        <w:rPr>
          <w:rFonts w:ascii="Times New Roman" w:hAnsi="Times New Roman"/>
          <w:b/>
          <w:color w:val="auto"/>
          <w:sz w:val="24"/>
          <w:szCs w:val="24"/>
        </w:rPr>
      </w:pPr>
    </w:p>
    <w:p w14:paraId="61614A03">
      <w:pPr>
        <w:spacing w:line="360" w:lineRule="auto"/>
        <w:rPr>
          <w:rFonts w:ascii="Times New Roman" w:hAnsi="Times New Roman"/>
          <w:b/>
          <w:color w:val="auto"/>
          <w:sz w:val="24"/>
          <w:szCs w:val="24"/>
        </w:rPr>
      </w:pPr>
    </w:p>
    <w:p w14:paraId="509535E7">
      <w:pPr>
        <w:spacing w:line="360" w:lineRule="auto"/>
        <w:rPr>
          <w:rFonts w:ascii="Times New Roman" w:hAnsi="Times New Roman"/>
          <w:b/>
          <w:color w:val="auto"/>
          <w:sz w:val="24"/>
          <w:szCs w:val="24"/>
        </w:rPr>
      </w:pPr>
    </w:p>
    <w:p w14:paraId="1D101261">
      <w:pPr>
        <w:spacing w:line="360" w:lineRule="auto"/>
        <w:rPr>
          <w:rFonts w:ascii="Times New Roman" w:hAnsi="Times New Roman"/>
          <w:b/>
          <w:color w:val="auto"/>
          <w:sz w:val="24"/>
          <w:szCs w:val="24"/>
        </w:rPr>
      </w:pPr>
    </w:p>
    <w:p w14:paraId="59A77E85">
      <w:pPr>
        <w:spacing w:line="360" w:lineRule="auto"/>
        <w:rPr>
          <w:rFonts w:ascii="Times New Roman" w:hAnsi="Times New Roman"/>
          <w:b/>
          <w:color w:val="auto"/>
          <w:sz w:val="24"/>
          <w:szCs w:val="24"/>
        </w:rPr>
      </w:pPr>
    </w:p>
    <w:p w14:paraId="35303157">
      <w:pPr>
        <w:spacing w:line="360" w:lineRule="auto"/>
        <w:rPr>
          <w:rFonts w:ascii="Times New Roman" w:hAnsi="Times New Roman"/>
          <w:b/>
          <w:color w:val="auto"/>
          <w:sz w:val="24"/>
          <w:szCs w:val="24"/>
        </w:rPr>
      </w:pPr>
    </w:p>
    <w:p w14:paraId="45C9098F">
      <w:pPr>
        <w:spacing w:line="360" w:lineRule="auto"/>
        <w:rPr>
          <w:rFonts w:ascii="Times New Roman" w:hAnsi="Times New Roman"/>
          <w:b/>
          <w:color w:val="auto"/>
          <w:sz w:val="24"/>
          <w:szCs w:val="24"/>
        </w:rPr>
      </w:pPr>
    </w:p>
    <w:p w14:paraId="38D4E97A">
      <w:pPr>
        <w:spacing w:line="360" w:lineRule="auto"/>
        <w:rPr>
          <w:rFonts w:ascii="Times New Roman" w:hAnsi="Times New Roman"/>
          <w:b/>
          <w:color w:val="auto"/>
          <w:sz w:val="24"/>
          <w:szCs w:val="24"/>
        </w:rPr>
      </w:pPr>
    </w:p>
    <w:p w14:paraId="44BEAD4F">
      <w:pPr>
        <w:spacing w:line="360" w:lineRule="auto"/>
        <w:rPr>
          <w:rFonts w:ascii="Times New Roman" w:hAnsi="Times New Roman"/>
          <w:b/>
          <w:color w:val="auto"/>
          <w:sz w:val="24"/>
          <w:szCs w:val="24"/>
        </w:rPr>
      </w:pPr>
    </w:p>
    <w:p w14:paraId="70A87045">
      <w:pPr>
        <w:spacing w:line="360" w:lineRule="auto"/>
        <w:rPr>
          <w:rFonts w:ascii="Times New Roman" w:hAnsi="Times New Roman"/>
          <w:b/>
          <w:color w:val="auto"/>
          <w:sz w:val="24"/>
          <w:szCs w:val="24"/>
        </w:rPr>
      </w:pPr>
    </w:p>
    <w:p w14:paraId="61AFFE24">
      <w:pPr>
        <w:spacing w:line="360" w:lineRule="auto"/>
        <w:jc w:val="center"/>
        <w:rPr>
          <w:rFonts w:ascii="Times New Roman" w:hAnsi="Times New Roman"/>
          <w:b/>
          <w:color w:val="auto"/>
          <w:sz w:val="24"/>
          <w:szCs w:val="24"/>
        </w:rPr>
      </w:pPr>
      <w:r>
        <w:rPr>
          <w:rFonts w:ascii="Times New Roman" w:hAnsi="Times New Roman"/>
          <w:b/>
          <w:color w:val="auto"/>
          <w:sz w:val="24"/>
          <w:szCs w:val="24"/>
        </w:rPr>
        <w:t>REFERENCES</w:t>
      </w:r>
    </w:p>
    <w:p w14:paraId="4996B73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Abdulsalami, L.T. &amp;Arowolo, O.B. (2019). The method of acquisition of library resources in Nigeria institute of transport technology library, Zaria. </w:t>
      </w:r>
      <w:r>
        <w:rPr>
          <w:rFonts w:ascii="Times New Roman" w:hAnsi="Times New Roman" w:cs="Times New Roman"/>
          <w:i/>
          <w:color w:val="auto"/>
          <w:sz w:val="24"/>
          <w:szCs w:val="24"/>
        </w:rPr>
        <w:t>Library Philosophy and Practice (e-journal). 2530. https://digitalcommons.unl.edu/libphilprac/2530</w:t>
      </w:r>
      <w:r>
        <w:rPr>
          <w:rFonts w:ascii="Times New Roman" w:hAnsi="Times New Roman" w:cs="Times New Roman"/>
          <w:color w:val="auto"/>
          <w:sz w:val="24"/>
          <w:szCs w:val="24"/>
        </w:rPr>
        <w:cr/>
      </w:r>
      <w:r>
        <w:rPr>
          <w:rFonts w:ascii="Times New Roman" w:hAnsi="Times New Roman" w:cs="Times New Roman"/>
          <w:color w:val="auto"/>
          <w:sz w:val="24"/>
          <w:szCs w:val="24"/>
        </w:rPr>
        <w:t xml:space="preserve">Highline College Library (2022). Introduction to Law: Primary and secondary legal sources. </w:t>
      </w:r>
      <w:r>
        <w:rPr>
          <w:color w:val="auto"/>
        </w:rPr>
        <w:fldChar w:fldCharType="begin"/>
      </w:r>
      <w:r>
        <w:rPr>
          <w:color w:val="auto"/>
        </w:rPr>
        <w:instrText xml:space="preserve"> HYPERLINK "https://library.highline.edu/c.php?g=344547&amp;p=2320319" </w:instrText>
      </w:r>
      <w:r>
        <w:rPr>
          <w:color w:val="auto"/>
        </w:rPr>
        <w:fldChar w:fldCharType="separate"/>
      </w:r>
      <w:r>
        <w:rPr>
          <w:rStyle w:val="9"/>
          <w:rFonts w:ascii="Times New Roman" w:hAnsi="Times New Roman" w:cs="Times New Roman"/>
          <w:color w:val="auto"/>
          <w:sz w:val="24"/>
          <w:szCs w:val="24"/>
        </w:rPr>
        <w:t>https://library.highline.edu/c.php?g=344547&amp;p=2320319</w:t>
      </w:r>
      <w:r>
        <w:rPr>
          <w:rStyle w:val="9"/>
          <w:rFonts w:ascii="Times New Roman" w:hAnsi="Times New Roman" w:cs="Times New Roman"/>
          <w:color w:val="auto"/>
          <w:sz w:val="24"/>
          <w:szCs w:val="24"/>
        </w:rPr>
        <w:fldChar w:fldCharType="end"/>
      </w:r>
    </w:p>
    <w:p w14:paraId="3E1CD54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Adesanya, O.O. (2015). Acquisition patterns in academic libraries: A case study of Michael Otedola College of Primary Education, NoforijaEpe Lagos State.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Vol. 7(2), pp. 40-46. DOI: 10.5897/IJLIS2014.0438.</w:t>
      </w:r>
    </w:p>
    <w:p w14:paraId="7F2B316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Agwunobi, J.N. &amp;Umoren, P.T. (2020). </w:t>
      </w:r>
      <w:r>
        <w:rPr>
          <w:rFonts w:ascii="Times New Roman" w:hAnsi="Times New Roman" w:cs="Times New Roman"/>
          <w:color w:val="auto"/>
          <w:sz w:val="24"/>
          <w:szCs w:val="24"/>
        </w:rPr>
        <w:t xml:space="preserve">Legal information environment and utilization of e-resources by undergraduate students at E-library, Faculty of Law, University of Calabar, Nigeria. </w:t>
      </w:r>
      <w:r>
        <w:rPr>
          <w:rFonts w:ascii="Times New Roman" w:hAnsi="Times New Roman" w:cs="Times New Roman"/>
          <w:i/>
          <w:color w:val="auto"/>
          <w:sz w:val="24"/>
          <w:szCs w:val="24"/>
        </w:rPr>
        <w:t>Journal of Library Services and Technologies,</w:t>
      </w:r>
      <w:r>
        <w:rPr>
          <w:rFonts w:ascii="Times New Roman" w:hAnsi="Times New Roman" w:cs="Times New Roman"/>
          <w:color w:val="auto"/>
          <w:sz w:val="24"/>
          <w:szCs w:val="24"/>
        </w:rPr>
        <w:t xml:space="preserve"> Vol. 2(1), 30-40. DOI: 10.47524/jlst.v2i1.3.</w:t>
      </w:r>
    </w:p>
    <w:p w14:paraId="55E07F4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Ajetunmobi, A. O. (2017). Computers and the law handbook: A resource for lawyers and business professional. Lagos: Princeton Publishing Co. Ltd.</w:t>
      </w:r>
    </w:p>
    <w:p w14:paraId="0C87012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American Library Association [ALA] (202). Selection criteria: Tools, publications and resources. </w:t>
      </w:r>
      <w:r>
        <w:rPr>
          <w:color w:val="auto"/>
        </w:rPr>
        <w:fldChar w:fldCharType="begin"/>
      </w:r>
      <w:r>
        <w:rPr>
          <w:color w:val="auto"/>
        </w:rPr>
        <w:instrText xml:space="preserve"> HYPERLINK "https://www.ala.org/tools/challengesupport/selectionpolicytoolkit/criteria" </w:instrText>
      </w:r>
      <w:r>
        <w:rPr>
          <w:color w:val="auto"/>
        </w:rPr>
        <w:fldChar w:fldCharType="separate"/>
      </w:r>
      <w:r>
        <w:rPr>
          <w:rStyle w:val="9"/>
          <w:rFonts w:ascii="Times New Roman" w:hAnsi="Times New Roman" w:cs="Times New Roman"/>
          <w:color w:val="auto"/>
          <w:sz w:val="24"/>
          <w:szCs w:val="24"/>
        </w:rPr>
        <w:t>https://www.ala.org/tools/challengesupport/selectionpolicytoolkit/criteria</w:t>
      </w:r>
      <w:r>
        <w:rPr>
          <w:rStyle w:val="9"/>
          <w:rFonts w:ascii="Times New Roman" w:hAnsi="Times New Roman" w:cs="Times New Roman"/>
          <w:color w:val="auto"/>
          <w:sz w:val="24"/>
          <w:szCs w:val="24"/>
        </w:rPr>
        <w:fldChar w:fldCharType="end"/>
      </w:r>
    </w:p>
    <w:p w14:paraId="12FA55FB">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Anaeme, B. F. O. (2015). Strengthening the Nigerian Judicial Libraries: A Call for Standards. In </w:t>
      </w:r>
      <w:r>
        <w:rPr>
          <w:rFonts w:ascii="Times New Roman" w:hAnsi="Times New Roman" w:cs="Times New Roman"/>
          <w:i/>
          <w:iCs/>
          <w:color w:val="auto"/>
          <w:sz w:val="24"/>
          <w:szCs w:val="24"/>
          <w:shd w:val="clear" w:color="auto" w:fill="FFFFFF"/>
        </w:rPr>
        <w:t>A paper delivered at the National Workshop for Judicial Librarians, 27th-31st July</w:t>
      </w:r>
      <w:r>
        <w:rPr>
          <w:rFonts w:ascii="Times New Roman" w:hAnsi="Times New Roman" w:cs="Times New Roman"/>
          <w:color w:val="auto"/>
          <w:sz w:val="24"/>
          <w:szCs w:val="24"/>
          <w:shd w:val="clear" w:color="auto" w:fill="FFFFFF"/>
        </w:rPr>
        <w:t>.</w:t>
      </w:r>
    </w:p>
    <w:p w14:paraId="37428FE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Anyaegbu, M.I. &amp;Obiozor-Ekeze, R.N. (2013). Academic Law Libraries &amp; Management of Resources for National Development in Nigeria. </w:t>
      </w:r>
      <w:r>
        <w:rPr>
          <w:rFonts w:ascii="Times New Roman" w:hAnsi="Times New Roman" w:cs="Times New Roman"/>
          <w:i/>
          <w:color w:val="auto"/>
          <w:sz w:val="24"/>
          <w:szCs w:val="24"/>
        </w:rPr>
        <w:t>International Journal of Management and Information Technology,</w:t>
      </w:r>
      <w:r>
        <w:rPr>
          <w:rFonts w:ascii="Times New Roman" w:hAnsi="Times New Roman" w:cs="Times New Roman"/>
          <w:color w:val="auto"/>
          <w:sz w:val="24"/>
          <w:szCs w:val="24"/>
        </w:rPr>
        <w:t xml:space="preserve"> 3(3), 85-89.</w:t>
      </w:r>
    </w:p>
    <w:p w14:paraId="6E1F9D0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Ashikuzzaman, Md. (2022). Selection process of library resources. </w:t>
      </w:r>
      <w:r>
        <w:rPr>
          <w:color w:val="auto"/>
        </w:rPr>
        <w:fldChar w:fldCharType="begin"/>
      </w:r>
      <w:r>
        <w:rPr>
          <w:color w:val="auto"/>
        </w:rPr>
        <w:instrText xml:space="preserve"> HYPERLINK "https://www.lisedunetwork.com/selection-process-of-library-resources/" </w:instrText>
      </w:r>
      <w:r>
        <w:rPr>
          <w:color w:val="auto"/>
        </w:rPr>
        <w:fldChar w:fldCharType="separate"/>
      </w:r>
      <w:r>
        <w:rPr>
          <w:rStyle w:val="9"/>
          <w:rFonts w:ascii="Times New Roman" w:hAnsi="Times New Roman" w:cs="Times New Roman"/>
          <w:color w:val="auto"/>
          <w:sz w:val="24"/>
          <w:szCs w:val="24"/>
        </w:rPr>
        <w:t>https://www.lisedunetwork.com/selection-process-of-library-resources/</w:t>
      </w:r>
      <w:r>
        <w:rPr>
          <w:rStyle w:val="9"/>
          <w:rFonts w:ascii="Times New Roman" w:hAnsi="Times New Roman" w:cs="Times New Roman"/>
          <w:color w:val="auto"/>
          <w:sz w:val="24"/>
          <w:szCs w:val="24"/>
        </w:rPr>
        <w:fldChar w:fldCharType="end"/>
      </w:r>
    </w:p>
    <w:p w14:paraId="02BEC5CC">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British Standards for Law Libraries (2010). A library for the modern law school: a statement of standards for university law library provision in the United Kingdom - 2009 revision prepared by the Libraries Sub-Committee of the Society of Legal Scholars. </w:t>
      </w:r>
      <w:r>
        <w:rPr>
          <w:color w:val="auto"/>
        </w:rPr>
        <w:fldChar w:fldCharType="begin"/>
      </w:r>
      <w:r>
        <w:rPr>
          <w:color w:val="auto"/>
        </w:rPr>
        <w:instrText xml:space="preserve"> HYPERLINK "https://www.legalscholars.ac.uk/wp-content/uploads/2016/05/SLS-Library-for-a-Modern-Law-School-Statement-2009.pdf" </w:instrText>
      </w:r>
      <w:r>
        <w:rPr>
          <w:color w:val="auto"/>
        </w:rPr>
        <w:fldChar w:fldCharType="separate"/>
      </w:r>
      <w:r>
        <w:rPr>
          <w:rStyle w:val="9"/>
          <w:rFonts w:ascii="Times New Roman" w:hAnsi="Times New Roman" w:cs="Times New Roman"/>
          <w:color w:val="auto"/>
          <w:sz w:val="24"/>
          <w:szCs w:val="24"/>
        </w:rPr>
        <w:t>https://www.legalscholars.ac.uk/wp-content/uploads/2016/05/SLS-Library-for-a-Modern-Law-School-Statement-2009.pdf</w:t>
      </w:r>
      <w:r>
        <w:rPr>
          <w:rStyle w:val="9"/>
          <w:rFonts w:ascii="Times New Roman" w:hAnsi="Times New Roman" w:cs="Times New Roman"/>
          <w:color w:val="auto"/>
          <w:sz w:val="24"/>
          <w:szCs w:val="24"/>
        </w:rPr>
        <w:fldChar w:fldCharType="end"/>
      </w:r>
    </w:p>
    <w:p w14:paraId="49924DC9">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Cornell Law School (2022). Legal Information Institute. </w:t>
      </w:r>
      <w:r>
        <w:rPr>
          <w:color w:val="auto"/>
        </w:rPr>
        <w:fldChar w:fldCharType="begin"/>
      </w:r>
      <w:r>
        <w:rPr>
          <w:color w:val="auto"/>
        </w:rPr>
        <w:instrText xml:space="preserve"> HYPERLINK "https://www.law.cornell.edu/wex/material" </w:instrText>
      </w:r>
      <w:r>
        <w:rPr>
          <w:color w:val="auto"/>
        </w:rPr>
        <w:fldChar w:fldCharType="separate"/>
      </w:r>
      <w:r>
        <w:rPr>
          <w:rStyle w:val="9"/>
          <w:rFonts w:ascii="Times New Roman" w:hAnsi="Times New Roman" w:cs="Times New Roman"/>
          <w:color w:val="auto"/>
          <w:sz w:val="24"/>
          <w:szCs w:val="24"/>
        </w:rPr>
        <w:t>https://www.law.cornell.edu/wex/material</w:t>
      </w:r>
      <w:r>
        <w:rPr>
          <w:rStyle w:val="9"/>
          <w:rFonts w:ascii="Times New Roman" w:hAnsi="Times New Roman" w:cs="Times New Roman"/>
          <w:color w:val="auto"/>
          <w:sz w:val="24"/>
          <w:szCs w:val="24"/>
        </w:rPr>
        <w:fldChar w:fldCharType="end"/>
      </w:r>
    </w:p>
    <w:p w14:paraId="0834F7A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Ezeh, R.U. (2020). Impediment to Acquisition of Library Resources in Academic Library in Developing Nations: Issues and Prospects. </w:t>
      </w:r>
      <w:r>
        <w:rPr>
          <w:rFonts w:ascii="Times New Roman" w:hAnsi="Times New Roman" w:cs="Times New Roman"/>
          <w:i/>
          <w:color w:val="auto"/>
          <w:sz w:val="24"/>
          <w:szCs w:val="24"/>
        </w:rPr>
        <w:t>Jewel Journal of Librarianship,</w:t>
      </w:r>
      <w:r>
        <w:rPr>
          <w:rFonts w:ascii="Times New Roman" w:hAnsi="Times New Roman" w:cs="Times New Roman"/>
          <w:color w:val="auto"/>
          <w:sz w:val="24"/>
          <w:szCs w:val="24"/>
        </w:rPr>
        <w:t xml:space="preserve"> 15(2), 129-143.</w:t>
      </w:r>
    </w:p>
    <w:p w14:paraId="6DF5BDA2">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Faculty of Law, University of Ilorin (2022). History of Faculty of Law. </w:t>
      </w:r>
      <w:r>
        <w:rPr>
          <w:color w:val="auto"/>
        </w:rPr>
        <w:fldChar w:fldCharType="begin"/>
      </w:r>
      <w:r>
        <w:rPr>
          <w:color w:val="auto"/>
        </w:rPr>
        <w:instrText xml:space="preserve"> HYPERLINK "http://law.unilorin.edu.ng/history" </w:instrText>
      </w:r>
      <w:r>
        <w:rPr>
          <w:color w:val="auto"/>
        </w:rPr>
        <w:fldChar w:fldCharType="separate"/>
      </w:r>
      <w:r>
        <w:rPr>
          <w:rStyle w:val="9"/>
          <w:rFonts w:ascii="Times New Roman" w:hAnsi="Times New Roman" w:cs="Times New Roman"/>
          <w:color w:val="auto"/>
          <w:sz w:val="24"/>
          <w:szCs w:val="24"/>
        </w:rPr>
        <w:t>http://law.unilorin.edu.ng/history</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w:t>
      </w:r>
    </w:p>
    <w:p w14:paraId="1803AA62">
      <w:pPr>
        <w:spacing w:before="240" w:line="360" w:lineRule="auto"/>
        <w:ind w:left="1170" w:hanging="117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Garmon, M. (2018). </w:t>
      </w:r>
      <w:r>
        <w:rPr>
          <w:rFonts w:ascii="Times New Roman" w:hAnsi="Times New Roman" w:cs="Times New Roman"/>
          <w:iCs/>
          <w:color w:val="auto"/>
          <w:sz w:val="24"/>
          <w:szCs w:val="24"/>
          <w:shd w:val="clear" w:color="auto" w:fill="FFFFFF"/>
        </w:rPr>
        <w:t>Book Selection Services: One Law Library, Two Vendors</w:t>
      </w:r>
      <w:r>
        <w:rPr>
          <w:rFonts w:ascii="Times New Roman" w:hAnsi="Times New Roman" w:cs="Times New Roman"/>
          <w:color w:val="auto"/>
          <w:sz w:val="24"/>
          <w:szCs w:val="24"/>
          <w:shd w:val="clear" w:color="auto" w:fill="FFFFFF"/>
        </w:rPr>
        <w:t> (pp. 259-274). Routledge.</w:t>
      </w:r>
    </w:p>
    <w:p w14:paraId="2CFB48DF">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Gregory, V.L. (2011). Collection Development and Management for 21st Century Collections. Neal-Schuman Publishers, Inc.</w:t>
      </w:r>
    </w:p>
    <w:p w14:paraId="189BFAC1">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Information Resource Development (2017). Different types of selection tools and their importance. Philadelphia: Information Resources Development.</w:t>
      </w:r>
    </w:p>
    <w:p w14:paraId="54CB8EF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Irwin, J. &amp; Albee, U. (2015). Acquisition and management of knowledge and information. </w:t>
      </w:r>
      <w:r>
        <w:rPr>
          <w:color w:val="auto"/>
        </w:rPr>
        <w:fldChar w:fldCharType="begin"/>
      </w:r>
      <w:r>
        <w:rPr>
          <w:color w:val="auto"/>
        </w:rPr>
        <w:instrText xml:space="preserve"> HYPERLINK "https://eduscapes.com/collection/4.htm" </w:instrText>
      </w:r>
      <w:r>
        <w:rPr>
          <w:color w:val="auto"/>
        </w:rPr>
        <w:fldChar w:fldCharType="separate"/>
      </w:r>
      <w:r>
        <w:rPr>
          <w:rStyle w:val="9"/>
          <w:rFonts w:ascii="Times New Roman" w:hAnsi="Times New Roman" w:cs="Times New Roman"/>
          <w:color w:val="auto"/>
          <w:sz w:val="24"/>
          <w:szCs w:val="24"/>
        </w:rPr>
        <w:t>https://eduscapes.com/collection/4.htm</w:t>
      </w:r>
      <w:r>
        <w:rPr>
          <w:rStyle w:val="9"/>
          <w:rFonts w:ascii="Times New Roman" w:hAnsi="Times New Roman" w:cs="Times New Roman"/>
          <w:color w:val="auto"/>
          <w:sz w:val="24"/>
          <w:szCs w:val="24"/>
        </w:rPr>
        <w:fldChar w:fldCharType="end"/>
      </w:r>
    </w:p>
    <w:p w14:paraId="06EB07E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Issa, A.O. (2012). Practical guides to project writing for students in Polytechnics, Colleges and    Universities. Offa: Wunmi Commercial Press.</w:t>
      </w:r>
    </w:p>
    <w:p w14:paraId="1D918EC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Kolawole, A.A. &amp;Ijiebor, J. A. (2018). A guide for researchers and writers of term papers. Offa: Correctman Press Limited.</w:t>
      </w:r>
    </w:p>
    <w:p w14:paraId="39AFD1FB">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Kumar, P.A. (2017). Impact of information technology on the collection development in university libraries of Assam: a study. </w:t>
      </w:r>
      <w:r>
        <w:rPr>
          <w:color w:val="auto"/>
        </w:rPr>
        <w:fldChar w:fldCharType="begin"/>
      </w:r>
      <w:r>
        <w:rPr>
          <w:color w:val="auto"/>
        </w:rPr>
        <w:instrText xml:space="preserve"> HYPERLINK "http://hdl.handle.net/10603/180648" </w:instrText>
      </w:r>
      <w:r>
        <w:rPr>
          <w:color w:val="auto"/>
        </w:rPr>
        <w:fldChar w:fldCharType="separate"/>
      </w:r>
      <w:r>
        <w:rPr>
          <w:rStyle w:val="9"/>
          <w:rFonts w:ascii="Times New Roman" w:hAnsi="Times New Roman" w:cs="Times New Roman"/>
          <w:color w:val="auto"/>
          <w:sz w:val="24"/>
          <w:szCs w:val="24"/>
        </w:rPr>
        <w:t>http://hdl.handle.net/10603/180648</w:t>
      </w:r>
      <w:r>
        <w:rPr>
          <w:rStyle w:val="9"/>
          <w:rFonts w:ascii="Times New Roman" w:hAnsi="Times New Roman" w:cs="Times New Roman"/>
          <w:color w:val="auto"/>
          <w:sz w:val="24"/>
          <w:szCs w:val="24"/>
        </w:rPr>
        <w:fldChar w:fldCharType="end"/>
      </w:r>
    </w:p>
    <w:p w14:paraId="4038286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Library University of Ilorin (2022). Divisions: Law Library. </w:t>
      </w:r>
      <w:r>
        <w:rPr>
          <w:color w:val="auto"/>
        </w:rPr>
        <w:fldChar w:fldCharType="begin"/>
      </w:r>
      <w:r>
        <w:rPr>
          <w:color w:val="auto"/>
        </w:rPr>
        <w:instrText xml:space="preserve"> HYPERLINK "http://universitylibrary.unilorin.edu.ng/law.html" </w:instrText>
      </w:r>
      <w:r>
        <w:rPr>
          <w:color w:val="auto"/>
        </w:rPr>
        <w:fldChar w:fldCharType="separate"/>
      </w:r>
      <w:r>
        <w:rPr>
          <w:rStyle w:val="9"/>
          <w:rFonts w:ascii="Times New Roman" w:hAnsi="Times New Roman" w:cs="Times New Roman"/>
          <w:color w:val="auto"/>
          <w:sz w:val="24"/>
          <w:szCs w:val="24"/>
        </w:rPr>
        <w:t>http://universitylibrary.unilorin.edu.ng/law.html</w:t>
      </w:r>
      <w:r>
        <w:rPr>
          <w:rStyle w:val="9"/>
          <w:rFonts w:ascii="Times New Roman" w:hAnsi="Times New Roman" w:cs="Times New Roman"/>
          <w:color w:val="auto"/>
          <w:sz w:val="24"/>
          <w:szCs w:val="24"/>
        </w:rPr>
        <w:fldChar w:fldCharType="end"/>
      </w:r>
    </w:p>
    <w:p w14:paraId="121F97D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Mwilongo, R. (2020). Collection development practices in academic libraries in Tanzania </w:t>
      </w:r>
    </w:p>
    <w:p w14:paraId="575713A2">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Okogwu, F.I. &amp; Achebe, N.E. (2018). Selection and acquisition of electronic resources in university libraries in Southeast Nigeria: Challenges. </w:t>
      </w:r>
      <w:r>
        <w:rPr>
          <w:rFonts w:ascii="Times New Roman" w:hAnsi="Times New Roman" w:cs="Times New Roman"/>
          <w:i/>
          <w:color w:val="auto"/>
          <w:sz w:val="24"/>
          <w:szCs w:val="24"/>
        </w:rPr>
        <w:t>Library Philosophy and Practice (e-journal). 1833.</w:t>
      </w:r>
      <w:r>
        <w:rPr>
          <w:color w:val="auto"/>
        </w:rPr>
        <w:fldChar w:fldCharType="begin"/>
      </w:r>
      <w:r>
        <w:rPr>
          <w:color w:val="auto"/>
        </w:rPr>
        <w:instrText xml:space="preserve">HYPERLINK "https://digitalcommons.unl.edu/libphilprac/1833"</w:instrText>
      </w:r>
      <w:r>
        <w:rPr>
          <w:color w:val="auto"/>
        </w:rPr>
        <w:fldChar w:fldCharType="separate"/>
      </w:r>
      <w:r>
        <w:rPr>
          <w:rStyle w:val="9"/>
          <w:rFonts w:ascii="Times New Roman" w:hAnsi="Times New Roman" w:cs="Times New Roman"/>
          <w:color w:val="auto"/>
          <w:sz w:val="24"/>
          <w:szCs w:val="24"/>
        </w:rPr>
        <w:t>https://digitalcommons.unl.edu/libphilprac/1833</w:t>
      </w:r>
      <w:r>
        <w:rPr>
          <w:color w:val="auto"/>
        </w:rPr>
        <w:fldChar w:fldCharType="end"/>
      </w:r>
    </w:p>
    <w:p w14:paraId="54F9D87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O.T. (2015). Law Journal Collections: Accreditation Issues and Imperatives for Law Libraries. </w:t>
      </w:r>
      <w:r>
        <w:rPr>
          <w:rFonts w:ascii="Times New Roman" w:hAnsi="Times New Roman" w:cs="Times New Roman"/>
          <w:i/>
          <w:color w:val="auto"/>
          <w:sz w:val="24"/>
          <w:szCs w:val="24"/>
        </w:rPr>
        <w:t>Library Philosophy and Practice (e-journal). 1237</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"http://digitalcommons.unl.edu/libphilprac/1237" </w:instrText>
      </w:r>
      <w:r>
        <w:rPr>
          <w:color w:val="auto"/>
        </w:rPr>
        <w:fldChar w:fldCharType="separate"/>
      </w:r>
      <w:r>
        <w:rPr>
          <w:rStyle w:val="9"/>
          <w:rFonts w:ascii="Times New Roman" w:hAnsi="Times New Roman" w:cs="Times New Roman"/>
          <w:color w:val="auto"/>
          <w:sz w:val="24"/>
          <w:szCs w:val="24"/>
        </w:rPr>
        <w:t>http://digitalcommons.unl.edu/libphilprac/1237</w:t>
      </w:r>
      <w:r>
        <w:rPr>
          <w:rStyle w:val="9"/>
          <w:rFonts w:ascii="Times New Roman" w:hAnsi="Times New Roman" w:cs="Times New Roman"/>
          <w:color w:val="auto"/>
          <w:sz w:val="24"/>
          <w:szCs w:val="24"/>
        </w:rPr>
        <w:fldChar w:fldCharType="end"/>
      </w:r>
    </w:p>
    <w:p w14:paraId="542C0FB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Plockey, F. &amp; Appiah, D.K. (2019) Information Acquisition Mechanism of Universities Libraries: An Empirical Study of Public University Libraries in Ghana.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xml:space="preserve"> http://www.academicjournals.org/IJLIS </w:t>
      </w:r>
    </w:p>
    <w:p w14:paraId="49C57BC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Shou, R. &amp;Kimaro, A. (2021). Selection and Acquisition of Library Materials in Academic Libraries: A Case Study of Sokoine National Agricultural Library (SNAL) and Mzumbe University Library. </w:t>
      </w:r>
      <w:r>
        <w:rPr>
          <w:rFonts w:ascii="Times New Roman" w:hAnsi="Times New Roman" w:cs="Times New Roman"/>
          <w:i/>
          <w:color w:val="auto"/>
          <w:sz w:val="24"/>
          <w:szCs w:val="24"/>
        </w:rPr>
        <w:t>International Journal of Academic Library and Information Science,</w:t>
      </w:r>
      <w:r>
        <w:rPr>
          <w:rFonts w:ascii="Times New Roman" w:hAnsi="Times New Roman" w:cs="Times New Roman"/>
          <w:color w:val="auto"/>
          <w:sz w:val="24"/>
          <w:szCs w:val="24"/>
        </w:rPr>
        <w:t xml:space="preserve"> 9(3): 87-92.</w:t>
      </w:r>
    </w:p>
    <w:p w14:paraId="0798ABD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Ubwa, T.T., Gbuushi, J.A., Ianna, M.S. &amp;Iornum, Q.S. (2020). Information needs and resources utilization by law students in federal universities in North Central Nigeria. Journal of Library Services and Technologies, 3(1), 60-71. doi.org/10.47524/jlst.v3i1.7. </w:t>
      </w:r>
    </w:p>
    <w:p w14:paraId="2CA7345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Ukpanah, M.E. &amp; Afolabi, M. (2011). Availability of cited law resources by law students in the Universities of Uyo and Calabar law libraries, Nigeria. </w:t>
      </w:r>
      <w:r>
        <w:rPr>
          <w:rFonts w:ascii="Times New Roman" w:hAnsi="Times New Roman" w:cs="Times New Roman"/>
          <w:i/>
          <w:color w:val="auto"/>
          <w:sz w:val="24"/>
          <w:szCs w:val="24"/>
        </w:rPr>
        <w:t>Nigerian Libraries</w:t>
      </w:r>
      <w:r>
        <w:rPr>
          <w:rFonts w:ascii="Times New Roman" w:hAnsi="Times New Roman" w:cs="Times New Roman"/>
          <w:color w:val="auto"/>
          <w:sz w:val="24"/>
          <w:szCs w:val="24"/>
        </w:rPr>
        <w:t>, 44 (2), 40 – 57</w:t>
      </w:r>
    </w:p>
    <w:p w14:paraId="2649056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University of Sheffield (2022). Discovering and understanding legal materials. https://librarydevelopment.group.shef.ac.uk/Assets/pdfs/legal-materials.pdf </w:t>
      </w:r>
    </w:p>
    <w:p w14:paraId="28720DA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iCs/>
          <w:color w:val="auto"/>
          <w:sz w:val="24"/>
          <w:szCs w:val="24"/>
          <w:shd w:val="clear" w:color="auto" w:fill="FFFFFF"/>
        </w:rPr>
        <w:t>Walters, W.H., Gormley, J., Handfield, A.E., López-Fitzsimmons, B.M., Markgren, S., Paradise, L. &amp; Sheehan</w:t>
      </w:r>
      <w:r>
        <w:rPr>
          <w:rStyle w:val="15"/>
          <w:rFonts w:ascii="Times New Roman" w:hAnsi="Times New Roman" w:cs="Times New Roman"/>
          <w:color w:val="auto"/>
          <w:sz w:val="24"/>
          <w:szCs w:val="24"/>
          <w:shd w:val="clear" w:color="auto" w:fill="FFFFFF"/>
        </w:rPr>
        <w:t xml:space="preserve">, S.E. (2020). </w:t>
      </w:r>
      <w:r>
        <w:rPr>
          <w:rFonts w:ascii="Times New Roman" w:hAnsi="Times New Roman" w:cs="Times New Roman"/>
          <w:color w:val="auto"/>
          <w:sz w:val="24"/>
          <w:szCs w:val="24"/>
        </w:rPr>
        <w:t xml:space="preserve">Library Book Selection Decisions and Selectors’ Effectiveness: Differences among Librarians, Faculty, and Students. College and Research Libraries, 81(4). </w:t>
      </w:r>
      <w:r>
        <w:rPr>
          <w:color w:val="auto"/>
        </w:rPr>
        <w:fldChar w:fldCharType="begin"/>
      </w:r>
      <w:r>
        <w:rPr>
          <w:color w:val="auto"/>
        </w:rPr>
        <w:instrText xml:space="preserve"> HYPERLINK "https://crl.acrl.org/index.php/crl/article/view/24432/32274" </w:instrText>
      </w:r>
      <w:r>
        <w:rPr>
          <w:color w:val="auto"/>
        </w:rPr>
        <w:fldChar w:fldCharType="separate"/>
      </w:r>
      <w:r>
        <w:rPr>
          <w:rStyle w:val="9"/>
          <w:rFonts w:ascii="Times New Roman" w:hAnsi="Times New Roman" w:cs="Times New Roman"/>
          <w:color w:val="auto"/>
          <w:sz w:val="24"/>
          <w:szCs w:val="24"/>
        </w:rPr>
        <w:t>https://crl.acrl.org/index.php/crl/article/view/24432/32274</w:t>
      </w:r>
      <w:r>
        <w:rPr>
          <w:rStyle w:val="9"/>
          <w:rFonts w:ascii="Times New Roman" w:hAnsi="Times New Roman" w:cs="Times New Roman"/>
          <w:color w:val="auto"/>
          <w:sz w:val="24"/>
          <w:szCs w:val="24"/>
        </w:rPr>
        <w:fldChar w:fldCharType="end"/>
      </w:r>
    </w:p>
    <w:p w14:paraId="323728E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Zorza, R. (2012). The Sustainable 21st Century Law Library: Vision, Deployment and Assessment for Access to Justice. New York: National Center for State Courts. </w:t>
      </w:r>
    </w:p>
    <w:p w14:paraId="2E658C7E">
      <w:pPr>
        <w:spacing w:line="360" w:lineRule="auto"/>
        <w:rPr>
          <w:color w:val="auto"/>
        </w:rPr>
      </w:pPr>
    </w:p>
    <w:p w14:paraId="532764A7">
      <w:pPr>
        <w:spacing w:line="360" w:lineRule="auto"/>
        <w:rPr>
          <w:color w:val="auto"/>
        </w:rPr>
      </w:pPr>
    </w:p>
    <w:p w14:paraId="0A84CDAA">
      <w:pPr>
        <w:spacing w:line="360" w:lineRule="auto"/>
        <w:rPr>
          <w:color w:val="auto"/>
        </w:rPr>
      </w:pPr>
    </w:p>
    <w:p w14:paraId="4B5A1458">
      <w:pPr>
        <w:spacing w:line="360" w:lineRule="auto"/>
        <w:rPr>
          <w:color w:val="auto"/>
        </w:rPr>
      </w:pPr>
    </w:p>
    <w:p w14:paraId="435AF9D5">
      <w:pPr>
        <w:spacing w:after="0" w:line="360" w:lineRule="auto"/>
        <w:jc w:val="both"/>
        <w:rPr>
          <w:color w:val="auto"/>
        </w:rPr>
      </w:pPr>
    </w:p>
    <w:p w14:paraId="4006C415">
      <w:pPr>
        <w:spacing w:after="0" w:line="360" w:lineRule="auto"/>
        <w:jc w:val="both"/>
        <w:rPr>
          <w:color w:val="auto"/>
        </w:rPr>
      </w:pPr>
    </w:p>
    <w:p w14:paraId="6073FCE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Appendix 1</w:t>
      </w:r>
    </w:p>
    <w:p w14:paraId="312BB54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Kwara State Polytechnic, Ilorin, Nigeria</w:t>
      </w:r>
    </w:p>
    <w:p w14:paraId="1F11D5F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Institute of Information and Communication Technology </w:t>
      </w:r>
    </w:p>
    <w:p w14:paraId="68B5A64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Department of Library and Information Science</w:t>
      </w:r>
    </w:p>
    <w:p w14:paraId="385362EE">
      <w:pPr>
        <w:spacing w:after="0" w:line="360" w:lineRule="auto"/>
        <w:jc w:val="center"/>
        <w:rPr>
          <w:rFonts w:ascii="Times New Roman" w:hAnsi="Times New Roman" w:cs="Times New Roman"/>
          <w:b/>
          <w:color w:val="auto"/>
          <w:sz w:val="24"/>
          <w:szCs w:val="24"/>
        </w:rPr>
      </w:pPr>
    </w:p>
    <w:p w14:paraId="122F9E60">
      <w:pPr>
        <w:pStyle w:val="3"/>
        <w:spacing w:before="0" w:line="360" w:lineRule="auto"/>
        <w:jc w:val="center"/>
        <w:rPr>
          <w:rFonts w:ascii="Times New Roman" w:hAnsi="Times New Roman"/>
          <w:color w:val="auto"/>
          <w:sz w:val="28"/>
          <w:szCs w:val="28"/>
        </w:rPr>
      </w:pPr>
      <w:r>
        <w:rPr>
          <w:rFonts w:ascii="Times New Roman" w:hAnsi="Times New Roman" w:eastAsiaTheme="minorHAnsi"/>
          <w:b w:val="0"/>
          <w:bCs w:val="0"/>
          <w:color w:val="auto"/>
          <w:sz w:val="24"/>
          <w:szCs w:val="24"/>
        </w:rPr>
        <w:t xml:space="preserve">Questionnaire on </w:t>
      </w:r>
      <w:r>
        <w:rPr>
          <w:rFonts w:ascii="Times New Roman" w:hAnsi="Times New Roman" w:eastAsiaTheme="minorHAnsi"/>
          <w:bCs w:val="0"/>
          <w:color w:val="auto"/>
          <w:sz w:val="24"/>
          <w:szCs w:val="24"/>
        </w:rPr>
        <w:t>“</w:t>
      </w:r>
      <w:r>
        <w:rPr>
          <w:rFonts w:ascii="Times New Roman" w:hAnsi="Times New Roman"/>
          <w:color w:val="auto"/>
          <w:sz w:val="24"/>
          <w:szCs w:val="24"/>
        </w:rPr>
        <w:t>Influence of Selection and Acquisition Procedures on Legal Information Materials in University of Ilorin Law Library”</w:t>
      </w:r>
    </w:p>
    <w:p w14:paraId="21D58E2F">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Dear Respondent, </w:t>
      </w:r>
    </w:p>
    <w:p w14:paraId="5357E66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Request for Response to Questionnaire</w:t>
      </w:r>
    </w:p>
    <w:p w14:paraId="6759B93A">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 am an undergraduate of the above named institution, carrying out research on the above mentioned topic. My research is in partial fulfilment of the requirements for the award of National Diploma in Library and Information Science (ND).</w:t>
      </w:r>
    </w:p>
    <w:p w14:paraId="2A4A71A5">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Your assistance is hereby requested for prompt completion of this questionnaire. I am assuring you that all data provided will be treated with utmost confidentiality and used for academic purpose only.</w:t>
      </w:r>
    </w:p>
    <w:p w14:paraId="01790A88">
      <w:pPr>
        <w:spacing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Thank you for your anticipated cooperation.</w:t>
      </w:r>
    </w:p>
    <w:p w14:paraId="207C7DEF">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A: Demographic Information of Respondents</w:t>
      </w:r>
    </w:p>
    <w:p w14:paraId="4F21333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Kindly select the option of your choice by ticking from the answers below</w:t>
      </w:r>
    </w:p>
    <w:p w14:paraId="68D5AEA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Gender:    Male (    )     Female (     )</w:t>
      </w:r>
    </w:p>
    <w:p w14:paraId="1E92FBEB">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Marital Status:   Single (     )   Married (    )   Divorced (    )   Widow (    )</w:t>
      </w:r>
    </w:p>
    <w:p w14:paraId="6E1CFD53">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Age range: 24 – 33 years (    )    34 – 43 years (    )     44 – 53 years (    ) </w:t>
      </w:r>
    </w:p>
    <w:p w14:paraId="236EBD5F">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54 and above years (   ) </w:t>
      </w:r>
    </w:p>
    <w:p w14:paraId="397B12DC">
      <w:pPr>
        <w:pStyle w:val="13"/>
        <w:numPr>
          <w:ilvl w:val="0"/>
          <w:numId w:val="13"/>
        </w:numPr>
        <w:spacing w:after="0" w:line="360" w:lineRule="auto"/>
        <w:rPr>
          <w:rFonts w:ascii="Times New Roman" w:hAnsi="Times New Roman"/>
          <w:color w:val="auto"/>
          <w:sz w:val="24"/>
          <w:szCs w:val="24"/>
        </w:rPr>
      </w:pPr>
      <w:r>
        <w:rPr>
          <w:rFonts w:ascii="Times New Roman" w:hAnsi="Times New Roman"/>
          <w:color w:val="auto"/>
          <w:sz w:val="24"/>
          <w:szCs w:val="24"/>
        </w:rPr>
        <w:t xml:space="preserve">Academic qualification:  ND  (    )   HND  (    ) BLIS  (   ) MLIS (   ) </w:t>
      </w:r>
    </w:p>
    <w:p w14:paraId="2D748782">
      <w:pPr>
        <w:pStyle w:val="13"/>
        <w:spacing w:after="0" w:line="360" w:lineRule="auto"/>
        <w:ind w:left="1440"/>
        <w:rPr>
          <w:rFonts w:ascii="Times New Roman" w:hAnsi="Times New Roman"/>
          <w:color w:val="auto"/>
          <w:sz w:val="24"/>
          <w:szCs w:val="24"/>
        </w:rPr>
      </w:pPr>
      <w:r>
        <w:rPr>
          <w:rFonts w:ascii="Times New Roman" w:hAnsi="Times New Roman"/>
          <w:color w:val="auto"/>
          <w:sz w:val="24"/>
          <w:szCs w:val="24"/>
        </w:rPr>
        <w:t xml:space="preserve">       Ph.D. (   )</w:t>
      </w:r>
    </w:p>
    <w:p w14:paraId="028FDC2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Work experience: 0 – 4 years (    )    5 – 9 years (    )     10 – 14 years (    ) </w:t>
      </w:r>
    </w:p>
    <w:p w14:paraId="73B08FE8">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15 – 19 years (   ) 20 and above years (   )</w:t>
      </w:r>
    </w:p>
    <w:p w14:paraId="63B4A802">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Cadre in the library: Para-professional  (    )   Professional  (    )</w:t>
      </w:r>
    </w:p>
    <w:p w14:paraId="51E86D9E">
      <w:pPr>
        <w:tabs>
          <w:tab w:val="left" w:pos="1260"/>
        </w:tabs>
        <w:spacing w:after="0" w:line="360" w:lineRule="auto"/>
        <w:rPr>
          <w:rFonts w:ascii="Times New Roman" w:hAnsi="Times New Roman" w:cs="Times New Roman"/>
          <w:b/>
          <w:color w:val="auto"/>
          <w:sz w:val="24"/>
          <w:szCs w:val="24"/>
        </w:rPr>
      </w:pPr>
    </w:p>
    <w:p w14:paraId="61E99F50">
      <w:pPr>
        <w:tabs>
          <w:tab w:val="left" w:pos="1260"/>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Section B</w:t>
      </w:r>
    </w:p>
    <w:p w14:paraId="741F4DA8">
      <w:pPr>
        <w:pStyle w:val="13"/>
        <w:numPr>
          <w:ilvl w:val="3"/>
          <w:numId w:val="13"/>
        </w:numPr>
        <w:spacing w:line="360" w:lineRule="auto"/>
        <w:ind w:left="450"/>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your library?</w:t>
      </w:r>
    </w:p>
    <w:p w14:paraId="4D4E5C8B">
      <w:pPr>
        <w:spacing w:after="200" w:line="360" w:lineRule="auto"/>
        <w:rPr>
          <w:rFonts w:ascii="Times New Roman" w:hAnsi="Times New Roman" w:cs="Times New Roman"/>
          <w:color w:val="auto"/>
          <w:sz w:val="24"/>
          <w:szCs w:val="24"/>
        </w:rPr>
      </w:pPr>
      <w:r>
        <w:rPr>
          <w:rFonts w:ascii="Times New Roman" w:hAnsi="Times New Roman" w:cs="Times New Roman"/>
          <w:bCs/>
          <w:color w:val="auto"/>
          <w:sz w:val="24"/>
          <w:szCs w:val="24"/>
        </w:rPr>
        <w:t>Kindly tick SA for “Strongly Agree,” A for “Agree,” U for “Undecided,” D for “Disagree” and SD for “Strongly Disagree.”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4192"/>
        <w:gridCol w:w="867"/>
        <w:gridCol w:w="779"/>
        <w:gridCol w:w="779"/>
        <w:gridCol w:w="780"/>
        <w:gridCol w:w="892"/>
      </w:tblGrid>
      <w:tr w14:paraId="01F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E354EA7">
            <w:pPr>
              <w:spacing w:line="360" w:lineRule="auto"/>
              <w:jc w:val="both"/>
              <w:rPr>
                <w:rFonts w:ascii="Times New Roman" w:hAnsi="Times New Roman" w:cs="Times New Roman"/>
                <w:b/>
                <w:color w:val="auto"/>
              </w:rPr>
            </w:pPr>
            <w:r>
              <w:rPr>
                <w:rFonts w:ascii="Times New Roman" w:hAnsi="Times New Roman" w:cs="Times New Roman"/>
                <w:b/>
                <w:color w:val="auto"/>
              </w:rPr>
              <w:t>S/No</w:t>
            </w:r>
          </w:p>
        </w:tc>
        <w:tc>
          <w:tcPr>
            <w:tcW w:w="4339" w:type="dxa"/>
            <w:tcBorders>
              <w:top w:val="single" w:color="auto" w:sz="4" w:space="0"/>
              <w:left w:val="single" w:color="auto" w:sz="4" w:space="0"/>
              <w:bottom w:val="single" w:color="auto" w:sz="4" w:space="0"/>
              <w:right w:val="single" w:color="auto" w:sz="4" w:space="0"/>
            </w:tcBorders>
          </w:tcPr>
          <w:p w14:paraId="73CF0D5B">
            <w:pPr>
              <w:spacing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884" w:type="dxa"/>
            <w:tcBorders>
              <w:top w:val="single" w:color="auto" w:sz="4" w:space="0"/>
              <w:left w:val="single" w:color="auto" w:sz="4" w:space="0"/>
              <w:bottom w:val="single" w:color="auto" w:sz="4" w:space="0"/>
              <w:right w:val="single" w:color="auto" w:sz="4" w:space="0"/>
            </w:tcBorders>
          </w:tcPr>
          <w:p w14:paraId="39E2223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799" w:type="dxa"/>
            <w:tcBorders>
              <w:top w:val="single" w:color="auto" w:sz="4" w:space="0"/>
              <w:left w:val="single" w:color="auto" w:sz="4" w:space="0"/>
              <w:bottom w:val="single" w:color="auto" w:sz="4" w:space="0"/>
              <w:right w:val="single" w:color="auto" w:sz="4" w:space="0"/>
            </w:tcBorders>
          </w:tcPr>
          <w:p w14:paraId="4BCBA14F">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799" w:type="dxa"/>
            <w:tcBorders>
              <w:top w:val="single" w:color="auto" w:sz="4" w:space="0"/>
              <w:left w:val="single" w:color="auto" w:sz="4" w:space="0"/>
              <w:bottom w:val="single" w:color="auto" w:sz="4" w:space="0"/>
              <w:right w:val="single" w:color="auto" w:sz="4" w:space="0"/>
            </w:tcBorders>
          </w:tcPr>
          <w:p w14:paraId="6F2748AE">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799" w:type="dxa"/>
            <w:tcBorders>
              <w:top w:val="single" w:color="auto" w:sz="4" w:space="0"/>
              <w:left w:val="single" w:color="auto" w:sz="4" w:space="0"/>
              <w:bottom w:val="single" w:color="auto" w:sz="4" w:space="0"/>
              <w:right w:val="single" w:color="auto" w:sz="4" w:space="0"/>
            </w:tcBorders>
          </w:tcPr>
          <w:p w14:paraId="7DAE73A3">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910" w:type="dxa"/>
            <w:tcBorders>
              <w:top w:val="single" w:color="auto" w:sz="4" w:space="0"/>
              <w:left w:val="single" w:color="auto" w:sz="4" w:space="0"/>
              <w:bottom w:val="single" w:color="auto" w:sz="4" w:space="0"/>
              <w:right w:val="single" w:color="auto" w:sz="4" w:space="0"/>
            </w:tcBorders>
          </w:tcPr>
          <w:p w14:paraId="2003A9F9">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088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2A7960D">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00" w:type="dxa"/>
            <w:tcBorders>
              <w:top w:val="single" w:color="auto" w:sz="4" w:space="0"/>
              <w:left w:val="single" w:color="auto" w:sz="4" w:space="0"/>
              <w:bottom w:val="single" w:color="auto" w:sz="4" w:space="0"/>
              <w:right w:val="single" w:color="auto" w:sz="4" w:space="0"/>
            </w:tcBorders>
          </w:tcPr>
          <w:p w14:paraId="348FF0BD">
            <w:pPr>
              <w:spacing w:line="360" w:lineRule="auto"/>
              <w:jc w:val="both"/>
              <w:rPr>
                <w:rFonts w:ascii="Times New Roman" w:hAnsi="Times New Roman" w:cs="Times New Roman"/>
                <w:color w:val="auto"/>
              </w:rPr>
            </w:pPr>
            <w:r>
              <w:rPr>
                <w:rFonts w:ascii="Times New Roman" w:hAnsi="Times New Roman" w:cs="Times New Roman"/>
                <w:color w:val="auto"/>
              </w:rPr>
              <w:t>Acquisition Librarian</w:t>
            </w:r>
          </w:p>
        </w:tc>
        <w:tc>
          <w:tcPr>
            <w:tcW w:w="893" w:type="dxa"/>
            <w:tcBorders>
              <w:top w:val="single" w:color="auto" w:sz="4" w:space="0"/>
              <w:left w:val="single" w:color="auto" w:sz="4" w:space="0"/>
              <w:bottom w:val="single" w:color="auto" w:sz="4" w:space="0"/>
              <w:right w:val="single" w:color="auto" w:sz="4" w:space="0"/>
            </w:tcBorders>
          </w:tcPr>
          <w:p w14:paraId="65F1D125">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D200E3">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6A462BC">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9037DD0">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B8A17C3">
            <w:pPr>
              <w:spacing w:line="360" w:lineRule="auto"/>
              <w:jc w:val="both"/>
              <w:rPr>
                <w:rFonts w:ascii="Times New Roman" w:hAnsi="Times New Roman" w:cs="Times New Roman"/>
                <w:color w:val="auto"/>
              </w:rPr>
            </w:pPr>
          </w:p>
        </w:tc>
      </w:tr>
      <w:tr w14:paraId="3FC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CF57A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00" w:type="dxa"/>
            <w:tcBorders>
              <w:top w:val="single" w:color="auto" w:sz="4" w:space="0"/>
              <w:left w:val="single" w:color="auto" w:sz="4" w:space="0"/>
              <w:bottom w:val="single" w:color="auto" w:sz="4" w:space="0"/>
              <w:right w:val="single" w:color="auto" w:sz="4" w:space="0"/>
            </w:tcBorders>
          </w:tcPr>
          <w:p w14:paraId="65314990">
            <w:pPr>
              <w:spacing w:line="360" w:lineRule="auto"/>
              <w:jc w:val="both"/>
              <w:rPr>
                <w:rFonts w:ascii="Times New Roman" w:hAnsi="Times New Roman" w:cs="Times New Roman"/>
                <w:color w:val="auto"/>
              </w:rPr>
            </w:pPr>
            <w:r>
              <w:rPr>
                <w:rFonts w:ascii="Times New Roman" w:hAnsi="Times New Roman" w:cs="Times New Roman"/>
                <w:color w:val="auto"/>
              </w:rPr>
              <w:t>Law Librarian</w:t>
            </w:r>
          </w:p>
        </w:tc>
        <w:tc>
          <w:tcPr>
            <w:tcW w:w="893" w:type="dxa"/>
            <w:tcBorders>
              <w:top w:val="single" w:color="auto" w:sz="4" w:space="0"/>
              <w:left w:val="single" w:color="auto" w:sz="4" w:space="0"/>
              <w:bottom w:val="single" w:color="auto" w:sz="4" w:space="0"/>
              <w:right w:val="single" w:color="auto" w:sz="4" w:space="0"/>
            </w:tcBorders>
          </w:tcPr>
          <w:p w14:paraId="6C30B5F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DE6BA8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4D9E8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B8B65B">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5BF8B9A4">
            <w:pPr>
              <w:spacing w:line="360" w:lineRule="auto"/>
              <w:jc w:val="both"/>
              <w:rPr>
                <w:rFonts w:ascii="Times New Roman" w:hAnsi="Times New Roman" w:cs="Times New Roman"/>
                <w:color w:val="auto"/>
              </w:rPr>
            </w:pPr>
          </w:p>
        </w:tc>
      </w:tr>
      <w:tr w14:paraId="296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FFBD5E3">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00" w:type="dxa"/>
            <w:tcBorders>
              <w:top w:val="single" w:color="auto" w:sz="4" w:space="0"/>
              <w:left w:val="single" w:color="auto" w:sz="4" w:space="0"/>
              <w:bottom w:val="single" w:color="auto" w:sz="4" w:space="0"/>
              <w:right w:val="single" w:color="auto" w:sz="4" w:space="0"/>
            </w:tcBorders>
          </w:tcPr>
          <w:p w14:paraId="63141167">
            <w:pPr>
              <w:spacing w:line="360" w:lineRule="auto"/>
              <w:jc w:val="both"/>
              <w:rPr>
                <w:rFonts w:ascii="Times New Roman" w:hAnsi="Times New Roman" w:cs="Times New Roman"/>
                <w:color w:val="auto"/>
              </w:rPr>
            </w:pPr>
            <w:r>
              <w:rPr>
                <w:rFonts w:ascii="Times New Roman" w:hAnsi="Times New Roman" w:cs="Times New Roman"/>
                <w:color w:val="auto"/>
              </w:rPr>
              <w:t>Head, Faculty of Law</w:t>
            </w:r>
          </w:p>
        </w:tc>
        <w:tc>
          <w:tcPr>
            <w:tcW w:w="893" w:type="dxa"/>
            <w:tcBorders>
              <w:top w:val="single" w:color="auto" w:sz="4" w:space="0"/>
              <w:left w:val="single" w:color="auto" w:sz="4" w:space="0"/>
              <w:bottom w:val="single" w:color="auto" w:sz="4" w:space="0"/>
              <w:right w:val="single" w:color="auto" w:sz="4" w:space="0"/>
            </w:tcBorders>
          </w:tcPr>
          <w:p w14:paraId="66D778D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B3B9A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4BF422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79DBFC8A">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6F6F7E68">
            <w:pPr>
              <w:spacing w:line="360" w:lineRule="auto"/>
              <w:jc w:val="both"/>
              <w:rPr>
                <w:rFonts w:ascii="Times New Roman" w:hAnsi="Times New Roman" w:cs="Times New Roman"/>
                <w:color w:val="auto"/>
              </w:rPr>
            </w:pPr>
          </w:p>
        </w:tc>
      </w:tr>
      <w:tr w14:paraId="5AEF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AF2DE2">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00" w:type="dxa"/>
            <w:tcBorders>
              <w:top w:val="single" w:color="auto" w:sz="4" w:space="0"/>
              <w:left w:val="single" w:color="auto" w:sz="4" w:space="0"/>
              <w:bottom w:val="single" w:color="auto" w:sz="4" w:space="0"/>
              <w:right w:val="single" w:color="auto" w:sz="4" w:space="0"/>
            </w:tcBorders>
          </w:tcPr>
          <w:p w14:paraId="15177930">
            <w:pPr>
              <w:spacing w:line="360" w:lineRule="auto"/>
              <w:jc w:val="both"/>
              <w:rPr>
                <w:rFonts w:ascii="Times New Roman" w:hAnsi="Times New Roman" w:cs="Times New Roman"/>
                <w:color w:val="auto"/>
              </w:rPr>
            </w:pPr>
            <w:r>
              <w:rPr>
                <w:rFonts w:ascii="Times New Roman" w:hAnsi="Times New Roman" w:cs="Times New Roman"/>
                <w:color w:val="auto"/>
              </w:rPr>
              <w:t>Subject Experts</w:t>
            </w:r>
          </w:p>
        </w:tc>
        <w:tc>
          <w:tcPr>
            <w:tcW w:w="893" w:type="dxa"/>
            <w:tcBorders>
              <w:top w:val="single" w:color="auto" w:sz="4" w:space="0"/>
              <w:left w:val="single" w:color="auto" w:sz="4" w:space="0"/>
              <w:bottom w:val="single" w:color="auto" w:sz="4" w:space="0"/>
              <w:right w:val="single" w:color="auto" w:sz="4" w:space="0"/>
            </w:tcBorders>
          </w:tcPr>
          <w:p w14:paraId="62693A7A">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104A8974">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59D6BE7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FC7CBE4">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38421309">
            <w:pPr>
              <w:spacing w:line="360" w:lineRule="auto"/>
              <w:jc w:val="both"/>
              <w:rPr>
                <w:rFonts w:ascii="Times New Roman" w:hAnsi="Times New Roman" w:cs="Times New Roman"/>
                <w:color w:val="auto"/>
              </w:rPr>
            </w:pPr>
          </w:p>
        </w:tc>
      </w:tr>
      <w:tr w14:paraId="57B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3063F2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00" w:type="dxa"/>
            <w:tcBorders>
              <w:top w:val="single" w:color="auto" w:sz="4" w:space="0"/>
              <w:left w:val="single" w:color="auto" w:sz="4" w:space="0"/>
              <w:bottom w:val="single" w:color="auto" w:sz="4" w:space="0"/>
              <w:right w:val="single" w:color="auto" w:sz="4" w:space="0"/>
            </w:tcBorders>
          </w:tcPr>
          <w:p w14:paraId="6303F93F">
            <w:pPr>
              <w:spacing w:line="360" w:lineRule="auto"/>
              <w:jc w:val="both"/>
              <w:rPr>
                <w:rFonts w:ascii="Times New Roman" w:hAnsi="Times New Roman" w:cs="Times New Roman"/>
                <w:color w:val="auto"/>
              </w:rPr>
            </w:pPr>
            <w:r>
              <w:rPr>
                <w:rFonts w:ascii="Times New Roman" w:hAnsi="Times New Roman" w:cs="Times New Roman"/>
                <w:color w:val="auto"/>
              </w:rPr>
              <w:t>Students</w:t>
            </w:r>
          </w:p>
        </w:tc>
        <w:tc>
          <w:tcPr>
            <w:tcW w:w="893" w:type="dxa"/>
            <w:tcBorders>
              <w:top w:val="single" w:color="auto" w:sz="4" w:space="0"/>
              <w:left w:val="single" w:color="auto" w:sz="4" w:space="0"/>
              <w:bottom w:val="single" w:color="auto" w:sz="4" w:space="0"/>
              <w:right w:val="single" w:color="auto" w:sz="4" w:space="0"/>
            </w:tcBorders>
          </w:tcPr>
          <w:p w14:paraId="3F49313F">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DEFFB0">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3A0CEDD">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B63D6DF">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86E2766">
            <w:pPr>
              <w:spacing w:line="360" w:lineRule="auto"/>
              <w:jc w:val="both"/>
              <w:rPr>
                <w:rFonts w:ascii="Times New Roman" w:hAnsi="Times New Roman" w:cs="Times New Roman"/>
                <w:color w:val="auto"/>
              </w:rPr>
            </w:pPr>
          </w:p>
        </w:tc>
      </w:tr>
      <w:tr w14:paraId="4A3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E5D0AD1">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00" w:type="dxa"/>
            <w:tcBorders>
              <w:top w:val="single" w:color="auto" w:sz="4" w:space="0"/>
              <w:left w:val="single" w:color="auto" w:sz="4" w:space="0"/>
              <w:bottom w:val="single" w:color="auto" w:sz="4" w:space="0"/>
              <w:right w:val="single" w:color="auto" w:sz="4" w:space="0"/>
            </w:tcBorders>
          </w:tcPr>
          <w:p w14:paraId="0D51423B">
            <w:pPr>
              <w:spacing w:line="360" w:lineRule="auto"/>
              <w:jc w:val="both"/>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893" w:type="dxa"/>
            <w:tcBorders>
              <w:top w:val="single" w:color="auto" w:sz="4" w:space="0"/>
              <w:left w:val="single" w:color="auto" w:sz="4" w:space="0"/>
              <w:bottom w:val="single" w:color="auto" w:sz="4" w:space="0"/>
              <w:right w:val="single" w:color="auto" w:sz="4" w:space="0"/>
            </w:tcBorders>
          </w:tcPr>
          <w:p w14:paraId="6E2E440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9C543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123FDE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C2704FE">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047C7F9B">
            <w:pPr>
              <w:spacing w:line="360" w:lineRule="auto"/>
              <w:jc w:val="both"/>
              <w:rPr>
                <w:rFonts w:ascii="Times New Roman" w:hAnsi="Times New Roman" w:cs="Times New Roman"/>
                <w:color w:val="auto"/>
              </w:rPr>
            </w:pPr>
          </w:p>
        </w:tc>
      </w:tr>
      <w:tr w14:paraId="1B89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D6702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59C4F427">
      <w:pPr>
        <w:spacing w:line="360" w:lineRule="auto"/>
        <w:jc w:val="both"/>
        <w:rPr>
          <w:rFonts w:ascii="Times New Roman" w:hAnsi="Times New Roman" w:cs="Times New Roman"/>
          <w:b/>
          <w:color w:val="auto"/>
          <w:sz w:val="24"/>
          <w:szCs w:val="24"/>
        </w:rPr>
      </w:pPr>
    </w:p>
    <w:p w14:paraId="3C6A787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C</w:t>
      </w:r>
    </w:p>
    <w:p w14:paraId="26594075">
      <w:pPr>
        <w:pStyle w:val="13"/>
        <w:numPr>
          <w:ilvl w:val="3"/>
          <w:numId w:val="13"/>
        </w:numPr>
        <w:spacing w:line="360" w:lineRule="auto"/>
        <w:ind w:left="720"/>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294"/>
        <w:gridCol w:w="762"/>
        <w:gridCol w:w="808"/>
        <w:gridCol w:w="808"/>
        <w:gridCol w:w="808"/>
        <w:gridCol w:w="818"/>
      </w:tblGrid>
      <w:tr w14:paraId="73F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509BAB7C">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FBEDC14">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3A5520C5">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68C3E82E">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200FA93F">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11EC0BBA">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4918CFA7">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2A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A1AA9DE">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4B465B0B">
            <w:pPr>
              <w:spacing w:line="360" w:lineRule="auto"/>
              <w:jc w:val="both"/>
              <w:rPr>
                <w:rFonts w:ascii="Times New Roman" w:hAnsi="Times New Roman" w:cs="Times New Roman"/>
                <w:color w:val="auto"/>
              </w:rPr>
            </w:pPr>
            <w:r>
              <w:rPr>
                <w:rFonts w:ascii="Times New Roman" w:hAnsi="Times New Roman" w:cs="Times New Roman"/>
                <w:color w:val="auto"/>
              </w:rPr>
              <w:t>Book reviews</w:t>
            </w:r>
          </w:p>
        </w:tc>
        <w:tc>
          <w:tcPr>
            <w:tcW w:w="781" w:type="dxa"/>
            <w:tcBorders>
              <w:top w:val="single" w:color="auto" w:sz="4" w:space="0"/>
              <w:left w:val="single" w:color="auto" w:sz="4" w:space="0"/>
              <w:bottom w:val="single" w:color="auto" w:sz="4" w:space="0"/>
              <w:right w:val="single" w:color="auto" w:sz="4" w:space="0"/>
            </w:tcBorders>
          </w:tcPr>
          <w:p w14:paraId="0E4941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F8836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50E55C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4E8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EE96E57">
            <w:pPr>
              <w:spacing w:line="360" w:lineRule="auto"/>
              <w:jc w:val="both"/>
              <w:rPr>
                <w:rFonts w:ascii="Times New Roman" w:hAnsi="Times New Roman" w:cs="Times New Roman"/>
                <w:color w:val="auto"/>
              </w:rPr>
            </w:pPr>
          </w:p>
        </w:tc>
      </w:tr>
      <w:tr w14:paraId="1E7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59C4C5">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697CCCC4">
            <w:pPr>
              <w:spacing w:line="360" w:lineRule="auto"/>
              <w:jc w:val="both"/>
              <w:rPr>
                <w:rFonts w:ascii="Times New Roman" w:hAnsi="Times New Roman" w:cs="Times New Roman"/>
                <w:color w:val="auto"/>
              </w:rPr>
            </w:pPr>
            <w:r>
              <w:rPr>
                <w:rFonts w:ascii="Times New Roman" w:hAnsi="Times New Roman" w:cs="Times New Roman"/>
                <w:color w:val="auto"/>
              </w:rPr>
              <w:t>Readers’ suggestions</w:t>
            </w:r>
          </w:p>
        </w:tc>
        <w:tc>
          <w:tcPr>
            <w:tcW w:w="781" w:type="dxa"/>
            <w:tcBorders>
              <w:top w:val="single" w:color="auto" w:sz="4" w:space="0"/>
              <w:left w:val="single" w:color="auto" w:sz="4" w:space="0"/>
              <w:bottom w:val="single" w:color="auto" w:sz="4" w:space="0"/>
              <w:right w:val="single" w:color="auto" w:sz="4" w:space="0"/>
            </w:tcBorders>
          </w:tcPr>
          <w:p w14:paraId="624C052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FDAA8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817B6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79147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13EB8">
            <w:pPr>
              <w:spacing w:line="360" w:lineRule="auto"/>
              <w:jc w:val="both"/>
              <w:rPr>
                <w:rFonts w:ascii="Times New Roman" w:hAnsi="Times New Roman" w:cs="Times New Roman"/>
                <w:color w:val="auto"/>
              </w:rPr>
            </w:pPr>
          </w:p>
        </w:tc>
      </w:tr>
      <w:tr w14:paraId="775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84A9F26">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1044ACD">
            <w:pPr>
              <w:spacing w:line="360" w:lineRule="auto"/>
              <w:jc w:val="both"/>
              <w:rPr>
                <w:rFonts w:ascii="Times New Roman" w:hAnsi="Times New Roman" w:cs="Times New Roman"/>
                <w:color w:val="auto"/>
              </w:rPr>
            </w:pPr>
            <w:r>
              <w:rPr>
                <w:rFonts w:ascii="Times New Roman" w:hAnsi="Times New Roman" w:cs="Times New Roman"/>
                <w:color w:val="auto"/>
              </w:rPr>
              <w:t>Bibliographies</w:t>
            </w:r>
          </w:p>
        </w:tc>
        <w:tc>
          <w:tcPr>
            <w:tcW w:w="781" w:type="dxa"/>
            <w:tcBorders>
              <w:top w:val="single" w:color="auto" w:sz="4" w:space="0"/>
              <w:left w:val="single" w:color="auto" w:sz="4" w:space="0"/>
              <w:bottom w:val="single" w:color="auto" w:sz="4" w:space="0"/>
              <w:right w:val="single" w:color="auto" w:sz="4" w:space="0"/>
            </w:tcBorders>
          </w:tcPr>
          <w:p w14:paraId="77AB32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757AB2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54E20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814C7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81C3630">
            <w:pPr>
              <w:spacing w:line="360" w:lineRule="auto"/>
              <w:jc w:val="both"/>
              <w:rPr>
                <w:rFonts w:ascii="Times New Roman" w:hAnsi="Times New Roman" w:cs="Times New Roman"/>
                <w:color w:val="auto"/>
              </w:rPr>
            </w:pPr>
          </w:p>
        </w:tc>
      </w:tr>
      <w:tr w14:paraId="22F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435E731">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784953BD">
            <w:pPr>
              <w:spacing w:line="360" w:lineRule="auto"/>
              <w:jc w:val="both"/>
              <w:rPr>
                <w:rFonts w:ascii="Times New Roman" w:hAnsi="Times New Roman" w:cs="Times New Roman"/>
                <w:color w:val="auto"/>
              </w:rPr>
            </w:pPr>
            <w:r>
              <w:rPr>
                <w:rFonts w:ascii="Times New Roman" w:hAnsi="Times New Roman" w:cs="Times New Roman"/>
                <w:color w:val="auto"/>
              </w:rPr>
              <w:t>Reading lists</w:t>
            </w:r>
          </w:p>
        </w:tc>
        <w:tc>
          <w:tcPr>
            <w:tcW w:w="781" w:type="dxa"/>
            <w:tcBorders>
              <w:top w:val="single" w:color="auto" w:sz="4" w:space="0"/>
              <w:left w:val="single" w:color="auto" w:sz="4" w:space="0"/>
              <w:bottom w:val="single" w:color="auto" w:sz="4" w:space="0"/>
              <w:right w:val="single" w:color="auto" w:sz="4" w:space="0"/>
            </w:tcBorders>
          </w:tcPr>
          <w:p w14:paraId="0C185E0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C5F48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62F98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721A91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033620F">
            <w:pPr>
              <w:spacing w:line="360" w:lineRule="auto"/>
              <w:jc w:val="both"/>
              <w:rPr>
                <w:rFonts w:ascii="Times New Roman" w:hAnsi="Times New Roman" w:cs="Times New Roman"/>
                <w:color w:val="auto"/>
              </w:rPr>
            </w:pPr>
          </w:p>
        </w:tc>
      </w:tr>
      <w:tr w14:paraId="61C9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511840">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586DA51C">
            <w:pPr>
              <w:spacing w:line="360" w:lineRule="auto"/>
              <w:jc w:val="both"/>
              <w:rPr>
                <w:rFonts w:ascii="Times New Roman" w:hAnsi="Times New Roman" w:cs="Times New Roman"/>
                <w:color w:val="auto"/>
              </w:rPr>
            </w:pPr>
            <w:r>
              <w:rPr>
                <w:rFonts w:ascii="Times New Roman" w:hAnsi="Times New Roman" w:cs="Times New Roman"/>
                <w:color w:val="auto"/>
              </w:rPr>
              <w:t>Prospectus</w:t>
            </w:r>
          </w:p>
        </w:tc>
        <w:tc>
          <w:tcPr>
            <w:tcW w:w="781" w:type="dxa"/>
            <w:tcBorders>
              <w:top w:val="single" w:color="auto" w:sz="4" w:space="0"/>
              <w:left w:val="single" w:color="auto" w:sz="4" w:space="0"/>
              <w:bottom w:val="single" w:color="auto" w:sz="4" w:space="0"/>
              <w:right w:val="single" w:color="auto" w:sz="4" w:space="0"/>
            </w:tcBorders>
          </w:tcPr>
          <w:p w14:paraId="36E9556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A3222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2C0AF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22126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442F1E1">
            <w:pPr>
              <w:spacing w:line="360" w:lineRule="auto"/>
              <w:jc w:val="both"/>
              <w:rPr>
                <w:rFonts w:ascii="Times New Roman" w:hAnsi="Times New Roman" w:cs="Times New Roman"/>
                <w:color w:val="auto"/>
              </w:rPr>
            </w:pPr>
          </w:p>
        </w:tc>
      </w:tr>
      <w:tr w14:paraId="6972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DD3AB4D">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40E0A9C4">
            <w:pPr>
              <w:spacing w:line="360" w:lineRule="auto"/>
              <w:jc w:val="both"/>
              <w:rPr>
                <w:rFonts w:ascii="Times New Roman" w:hAnsi="Times New Roman" w:cs="Times New Roman"/>
                <w:color w:val="auto"/>
              </w:rPr>
            </w:pPr>
            <w:r>
              <w:rPr>
                <w:rFonts w:ascii="Times New Roman" w:hAnsi="Times New Roman" w:cs="Times New Roman"/>
                <w:color w:val="auto"/>
              </w:rPr>
              <w:t xml:space="preserve">Year books </w:t>
            </w:r>
          </w:p>
        </w:tc>
        <w:tc>
          <w:tcPr>
            <w:tcW w:w="781" w:type="dxa"/>
            <w:tcBorders>
              <w:top w:val="single" w:color="auto" w:sz="4" w:space="0"/>
              <w:left w:val="single" w:color="auto" w:sz="4" w:space="0"/>
              <w:bottom w:val="single" w:color="auto" w:sz="4" w:space="0"/>
              <w:right w:val="single" w:color="auto" w:sz="4" w:space="0"/>
            </w:tcBorders>
          </w:tcPr>
          <w:p w14:paraId="321F16E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2E012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205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4EFFC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422620">
            <w:pPr>
              <w:spacing w:line="360" w:lineRule="auto"/>
              <w:jc w:val="both"/>
              <w:rPr>
                <w:rFonts w:ascii="Times New Roman" w:hAnsi="Times New Roman" w:cs="Times New Roman"/>
                <w:color w:val="auto"/>
              </w:rPr>
            </w:pPr>
          </w:p>
        </w:tc>
      </w:tr>
      <w:tr w14:paraId="224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4EA9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686E4FF5">
            <w:pPr>
              <w:spacing w:line="360" w:lineRule="auto"/>
              <w:jc w:val="both"/>
              <w:rPr>
                <w:rFonts w:ascii="Times New Roman" w:hAnsi="Times New Roman" w:cs="Times New Roman"/>
                <w:color w:val="auto"/>
              </w:rPr>
            </w:pPr>
            <w:r>
              <w:rPr>
                <w:rFonts w:ascii="Times New Roman" w:hAnsi="Times New Roman" w:cs="Times New Roman"/>
                <w:color w:val="auto"/>
              </w:rPr>
              <w:t>Library catalogues</w:t>
            </w:r>
          </w:p>
        </w:tc>
        <w:tc>
          <w:tcPr>
            <w:tcW w:w="781" w:type="dxa"/>
            <w:tcBorders>
              <w:top w:val="single" w:color="auto" w:sz="4" w:space="0"/>
              <w:left w:val="single" w:color="auto" w:sz="4" w:space="0"/>
              <w:bottom w:val="single" w:color="auto" w:sz="4" w:space="0"/>
              <w:right w:val="single" w:color="auto" w:sz="4" w:space="0"/>
            </w:tcBorders>
          </w:tcPr>
          <w:p w14:paraId="5B55300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EF16B6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F005D0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3944A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18F05A">
            <w:pPr>
              <w:spacing w:line="360" w:lineRule="auto"/>
              <w:jc w:val="both"/>
              <w:rPr>
                <w:rFonts w:ascii="Times New Roman" w:hAnsi="Times New Roman" w:cs="Times New Roman"/>
                <w:color w:val="auto"/>
              </w:rPr>
            </w:pPr>
          </w:p>
        </w:tc>
      </w:tr>
      <w:tr w14:paraId="65AD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1517DB">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63C25949">
            <w:pPr>
              <w:spacing w:line="360" w:lineRule="auto"/>
              <w:jc w:val="both"/>
              <w:rPr>
                <w:rFonts w:ascii="Times New Roman" w:hAnsi="Times New Roman" w:cs="Times New Roman"/>
                <w:color w:val="auto"/>
              </w:rPr>
            </w:pPr>
            <w:r>
              <w:rPr>
                <w:rFonts w:ascii="Times New Roman" w:hAnsi="Times New Roman" w:cs="Times New Roman"/>
                <w:color w:val="auto"/>
              </w:rPr>
              <w:t>Publishers’ catalogues</w:t>
            </w:r>
          </w:p>
        </w:tc>
        <w:tc>
          <w:tcPr>
            <w:tcW w:w="781" w:type="dxa"/>
            <w:tcBorders>
              <w:top w:val="single" w:color="auto" w:sz="4" w:space="0"/>
              <w:left w:val="single" w:color="auto" w:sz="4" w:space="0"/>
              <w:bottom w:val="single" w:color="auto" w:sz="4" w:space="0"/>
              <w:right w:val="single" w:color="auto" w:sz="4" w:space="0"/>
            </w:tcBorders>
          </w:tcPr>
          <w:p w14:paraId="0AE9BA7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646EA5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D6DE79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FE1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377DF89">
            <w:pPr>
              <w:spacing w:line="360" w:lineRule="auto"/>
              <w:jc w:val="both"/>
              <w:rPr>
                <w:rFonts w:ascii="Times New Roman" w:hAnsi="Times New Roman" w:cs="Times New Roman"/>
                <w:color w:val="auto"/>
              </w:rPr>
            </w:pPr>
          </w:p>
        </w:tc>
      </w:tr>
      <w:tr w14:paraId="092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F64E12">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55F33CA8">
            <w:pPr>
              <w:spacing w:line="360" w:lineRule="auto"/>
              <w:jc w:val="both"/>
              <w:rPr>
                <w:rFonts w:ascii="Times New Roman" w:hAnsi="Times New Roman" w:cs="Times New Roman"/>
                <w:color w:val="auto"/>
              </w:rPr>
            </w:pPr>
            <w:r>
              <w:rPr>
                <w:rFonts w:ascii="Times New Roman" w:hAnsi="Times New Roman" w:cs="Times New Roman"/>
                <w:color w:val="auto"/>
              </w:rPr>
              <w:t>List of theses and dissertations</w:t>
            </w:r>
          </w:p>
        </w:tc>
        <w:tc>
          <w:tcPr>
            <w:tcW w:w="781" w:type="dxa"/>
            <w:tcBorders>
              <w:top w:val="single" w:color="auto" w:sz="4" w:space="0"/>
              <w:left w:val="single" w:color="auto" w:sz="4" w:space="0"/>
              <w:bottom w:val="single" w:color="auto" w:sz="4" w:space="0"/>
              <w:right w:val="single" w:color="auto" w:sz="4" w:space="0"/>
            </w:tcBorders>
          </w:tcPr>
          <w:p w14:paraId="4EFB4C4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339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B302E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06C89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AA5A015">
            <w:pPr>
              <w:spacing w:line="360" w:lineRule="auto"/>
              <w:jc w:val="both"/>
              <w:rPr>
                <w:rFonts w:ascii="Times New Roman" w:hAnsi="Times New Roman" w:cs="Times New Roman"/>
                <w:color w:val="auto"/>
              </w:rPr>
            </w:pPr>
          </w:p>
        </w:tc>
      </w:tr>
      <w:tr w14:paraId="1FF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0B8CF27D">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6AA970E5">
            <w:pPr>
              <w:spacing w:line="360" w:lineRule="auto"/>
              <w:jc w:val="both"/>
              <w:rPr>
                <w:rFonts w:ascii="Times New Roman" w:hAnsi="Times New Roman" w:cs="Times New Roman"/>
                <w:color w:val="auto"/>
              </w:rPr>
            </w:pPr>
            <w:r>
              <w:rPr>
                <w:rFonts w:ascii="Times New Roman" w:hAnsi="Times New Roman" w:cs="Times New Roman"/>
                <w:color w:val="auto"/>
              </w:rPr>
              <w:t>Accession registers</w:t>
            </w:r>
          </w:p>
        </w:tc>
        <w:tc>
          <w:tcPr>
            <w:tcW w:w="781" w:type="dxa"/>
            <w:tcBorders>
              <w:top w:val="single" w:color="auto" w:sz="4" w:space="0"/>
              <w:left w:val="single" w:color="auto" w:sz="4" w:space="0"/>
              <w:bottom w:val="single" w:color="auto" w:sz="4" w:space="0"/>
              <w:right w:val="single" w:color="auto" w:sz="4" w:space="0"/>
            </w:tcBorders>
          </w:tcPr>
          <w:p w14:paraId="307F4DE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596B49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C39B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E1B6F6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8A5D8A">
            <w:pPr>
              <w:spacing w:line="360" w:lineRule="auto"/>
              <w:jc w:val="both"/>
              <w:rPr>
                <w:rFonts w:ascii="Times New Roman" w:hAnsi="Times New Roman" w:cs="Times New Roman"/>
                <w:color w:val="auto"/>
              </w:rPr>
            </w:pPr>
          </w:p>
        </w:tc>
      </w:tr>
      <w:tr w14:paraId="35D5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23847BF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67C6DE">
      <w:pPr>
        <w:spacing w:after="0" w:line="360" w:lineRule="auto"/>
        <w:jc w:val="both"/>
        <w:rPr>
          <w:rFonts w:ascii="Times New Roman" w:hAnsi="Times New Roman" w:cs="Times New Roman"/>
          <w:b/>
          <w:color w:val="auto"/>
          <w:sz w:val="24"/>
          <w:szCs w:val="24"/>
        </w:rPr>
      </w:pPr>
    </w:p>
    <w:p w14:paraId="67234972">
      <w:pPr>
        <w:spacing w:line="360" w:lineRule="auto"/>
        <w:jc w:val="both"/>
        <w:rPr>
          <w:rFonts w:ascii="Times New Roman" w:hAnsi="Times New Roman" w:eastAsia="Times New Roman" w:cs="Times New Roman"/>
          <w:b/>
          <w:color w:val="auto"/>
        </w:rPr>
      </w:pPr>
      <w:r>
        <w:rPr>
          <w:rFonts w:ascii="Times New Roman" w:hAnsi="Times New Roman" w:cs="Times New Roman"/>
          <w:b/>
          <w:color w:val="auto"/>
        </w:rPr>
        <w:t>Section D</w:t>
      </w:r>
    </w:p>
    <w:p w14:paraId="2F813BE0">
      <w:pPr>
        <w:pStyle w:val="13"/>
        <w:numPr>
          <w:ilvl w:val="3"/>
          <w:numId w:val="13"/>
        </w:numPr>
        <w:spacing w:after="160" w:line="360" w:lineRule="auto"/>
        <w:ind w:left="720"/>
        <w:jc w:val="both"/>
        <w:rPr>
          <w:rFonts w:ascii="Times New Roman" w:hAnsi="Times New Roman"/>
          <w:color w:val="auto"/>
        </w:rPr>
      </w:pPr>
      <w:r>
        <w:rPr>
          <w:rFonts w:ascii="Times New Roman" w:hAnsi="Times New Roman"/>
          <w:color w:val="auto"/>
        </w:rPr>
        <w:t>What are the criteria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04"/>
        <w:gridCol w:w="841"/>
        <w:gridCol w:w="791"/>
        <w:gridCol w:w="780"/>
        <w:gridCol w:w="806"/>
        <w:gridCol w:w="877"/>
      </w:tblGrid>
      <w:tr w14:paraId="062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B2E928A">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4139F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0" w:type="dxa"/>
            <w:tcBorders>
              <w:top w:val="single" w:color="auto" w:sz="4" w:space="0"/>
              <w:left w:val="single" w:color="auto" w:sz="4" w:space="0"/>
              <w:bottom w:val="single" w:color="auto" w:sz="4" w:space="0"/>
              <w:right w:val="single" w:color="auto" w:sz="4" w:space="0"/>
            </w:tcBorders>
          </w:tcPr>
          <w:p w14:paraId="4D737BFB">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3" w:type="dxa"/>
            <w:tcBorders>
              <w:top w:val="single" w:color="auto" w:sz="4" w:space="0"/>
              <w:left w:val="single" w:color="auto" w:sz="4" w:space="0"/>
              <w:bottom w:val="single" w:color="auto" w:sz="4" w:space="0"/>
              <w:right w:val="single" w:color="auto" w:sz="4" w:space="0"/>
            </w:tcBorders>
          </w:tcPr>
          <w:p w14:paraId="08F74F9F">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A32760">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0360E6E2">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8" w:type="dxa"/>
            <w:tcBorders>
              <w:top w:val="single" w:color="auto" w:sz="4" w:space="0"/>
              <w:left w:val="single" w:color="auto" w:sz="4" w:space="0"/>
              <w:bottom w:val="single" w:color="auto" w:sz="4" w:space="0"/>
              <w:right w:val="single" w:color="auto" w:sz="4" w:space="0"/>
            </w:tcBorders>
          </w:tcPr>
          <w:p w14:paraId="7DA20309">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4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E22CE3">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0D697EA8">
            <w:pPr>
              <w:spacing w:line="360" w:lineRule="auto"/>
              <w:jc w:val="both"/>
              <w:rPr>
                <w:rFonts w:ascii="Times New Roman" w:hAnsi="Times New Roman" w:cs="Times New Roman"/>
                <w:color w:val="auto"/>
              </w:rPr>
            </w:pPr>
            <w:r>
              <w:rPr>
                <w:rFonts w:ascii="Times New Roman" w:hAnsi="Times New Roman" w:cs="Times New Roman"/>
                <w:color w:val="auto"/>
              </w:rPr>
              <w:t>Literary and artistic excellence</w:t>
            </w:r>
          </w:p>
        </w:tc>
        <w:tc>
          <w:tcPr>
            <w:tcW w:w="869" w:type="dxa"/>
            <w:tcBorders>
              <w:top w:val="single" w:color="auto" w:sz="4" w:space="0"/>
              <w:left w:val="single" w:color="auto" w:sz="4" w:space="0"/>
              <w:bottom w:val="single" w:color="auto" w:sz="4" w:space="0"/>
              <w:right w:val="single" w:color="auto" w:sz="4" w:space="0"/>
            </w:tcBorders>
          </w:tcPr>
          <w:p w14:paraId="21E917B2">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88AAF5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A519D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EE9E140">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251917D">
            <w:pPr>
              <w:spacing w:line="360" w:lineRule="auto"/>
              <w:jc w:val="both"/>
              <w:rPr>
                <w:rFonts w:ascii="Times New Roman" w:hAnsi="Times New Roman" w:cs="Times New Roman"/>
                <w:color w:val="auto"/>
              </w:rPr>
            </w:pPr>
          </w:p>
        </w:tc>
      </w:tr>
      <w:tr w14:paraId="45B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317C6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743668FF">
            <w:pPr>
              <w:spacing w:line="360" w:lineRule="auto"/>
              <w:jc w:val="both"/>
              <w:rPr>
                <w:rFonts w:ascii="Times New Roman" w:hAnsi="Times New Roman" w:cs="Times New Roman"/>
                <w:color w:val="auto"/>
              </w:rPr>
            </w:pPr>
            <w:r>
              <w:rPr>
                <w:rFonts w:ascii="Times New Roman" w:hAnsi="Times New Roman" w:cs="Times New Roman"/>
                <w:color w:val="auto"/>
              </w:rPr>
              <w:t>Appropriateness to level of user</w:t>
            </w:r>
          </w:p>
        </w:tc>
        <w:tc>
          <w:tcPr>
            <w:tcW w:w="869" w:type="dxa"/>
            <w:tcBorders>
              <w:top w:val="single" w:color="auto" w:sz="4" w:space="0"/>
              <w:left w:val="single" w:color="auto" w:sz="4" w:space="0"/>
              <w:bottom w:val="single" w:color="auto" w:sz="4" w:space="0"/>
              <w:right w:val="single" w:color="auto" w:sz="4" w:space="0"/>
            </w:tcBorders>
          </w:tcPr>
          <w:p w14:paraId="201746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13E9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707658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3A347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F11D93">
            <w:pPr>
              <w:spacing w:line="360" w:lineRule="auto"/>
              <w:jc w:val="both"/>
              <w:rPr>
                <w:rFonts w:ascii="Times New Roman" w:hAnsi="Times New Roman" w:cs="Times New Roman"/>
                <w:color w:val="auto"/>
              </w:rPr>
            </w:pPr>
          </w:p>
        </w:tc>
      </w:tr>
      <w:tr w14:paraId="563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ADEDC0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3579FBA8">
            <w:pPr>
              <w:spacing w:line="360" w:lineRule="auto"/>
              <w:jc w:val="both"/>
              <w:rPr>
                <w:rFonts w:ascii="Times New Roman" w:hAnsi="Times New Roman" w:cs="Times New Roman"/>
                <w:color w:val="auto"/>
              </w:rPr>
            </w:pPr>
            <w:r>
              <w:rPr>
                <w:rFonts w:ascii="Times New Roman" w:hAnsi="Times New Roman" w:cs="Times New Roman"/>
                <w:color w:val="auto"/>
              </w:rPr>
              <w:t>Authoritative</w:t>
            </w:r>
          </w:p>
        </w:tc>
        <w:tc>
          <w:tcPr>
            <w:tcW w:w="869" w:type="dxa"/>
            <w:tcBorders>
              <w:top w:val="single" w:color="auto" w:sz="4" w:space="0"/>
              <w:left w:val="single" w:color="auto" w:sz="4" w:space="0"/>
              <w:bottom w:val="single" w:color="auto" w:sz="4" w:space="0"/>
              <w:right w:val="single" w:color="auto" w:sz="4" w:space="0"/>
            </w:tcBorders>
          </w:tcPr>
          <w:p w14:paraId="2CFA1F4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ADAF85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AAC925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B212C2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BC22196">
            <w:pPr>
              <w:spacing w:line="360" w:lineRule="auto"/>
              <w:jc w:val="both"/>
              <w:rPr>
                <w:rFonts w:ascii="Times New Roman" w:hAnsi="Times New Roman" w:cs="Times New Roman"/>
                <w:color w:val="auto"/>
              </w:rPr>
            </w:pPr>
          </w:p>
        </w:tc>
      </w:tr>
      <w:tr w14:paraId="0683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2286CA9">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8F91D6D">
            <w:pPr>
              <w:spacing w:line="360" w:lineRule="auto"/>
              <w:jc w:val="both"/>
              <w:rPr>
                <w:rFonts w:ascii="Times New Roman" w:hAnsi="Times New Roman" w:cs="Times New Roman"/>
                <w:color w:val="auto"/>
              </w:rPr>
            </w:pPr>
            <w:r>
              <w:rPr>
                <w:rFonts w:ascii="Times New Roman" w:hAnsi="Times New Roman" w:cs="Times New Roman"/>
                <w:color w:val="auto"/>
              </w:rPr>
              <w:t xml:space="preserve">Accessibility of the materials </w:t>
            </w:r>
          </w:p>
        </w:tc>
        <w:tc>
          <w:tcPr>
            <w:tcW w:w="869" w:type="dxa"/>
            <w:tcBorders>
              <w:top w:val="single" w:color="auto" w:sz="4" w:space="0"/>
              <w:left w:val="single" w:color="auto" w:sz="4" w:space="0"/>
              <w:bottom w:val="single" w:color="auto" w:sz="4" w:space="0"/>
              <w:right w:val="single" w:color="auto" w:sz="4" w:space="0"/>
            </w:tcBorders>
          </w:tcPr>
          <w:p w14:paraId="45B1CE33">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4B56AB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737E44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AC86B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FD20A36">
            <w:pPr>
              <w:spacing w:line="360" w:lineRule="auto"/>
              <w:jc w:val="both"/>
              <w:rPr>
                <w:rFonts w:ascii="Times New Roman" w:hAnsi="Times New Roman" w:cs="Times New Roman"/>
                <w:color w:val="auto"/>
              </w:rPr>
            </w:pPr>
          </w:p>
        </w:tc>
      </w:tr>
      <w:tr w14:paraId="3E3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23BE65A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4E7AEFBB">
            <w:pPr>
              <w:spacing w:line="360" w:lineRule="auto"/>
              <w:jc w:val="both"/>
              <w:rPr>
                <w:rFonts w:ascii="Times New Roman" w:hAnsi="Times New Roman" w:cs="Times New Roman"/>
                <w:color w:val="auto"/>
              </w:rPr>
            </w:pPr>
            <w:r>
              <w:rPr>
                <w:rFonts w:ascii="Times New Roman" w:hAnsi="Times New Roman" w:cs="Times New Roman"/>
                <w:color w:val="auto"/>
              </w:rPr>
              <w:t xml:space="preserve">Users’ demands </w:t>
            </w:r>
          </w:p>
        </w:tc>
        <w:tc>
          <w:tcPr>
            <w:tcW w:w="869" w:type="dxa"/>
            <w:tcBorders>
              <w:top w:val="single" w:color="auto" w:sz="4" w:space="0"/>
              <w:left w:val="single" w:color="auto" w:sz="4" w:space="0"/>
              <w:bottom w:val="single" w:color="auto" w:sz="4" w:space="0"/>
              <w:right w:val="single" w:color="auto" w:sz="4" w:space="0"/>
            </w:tcBorders>
          </w:tcPr>
          <w:p w14:paraId="6DEB980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C1A4F61">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B010792">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707F1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5FCF4F6">
            <w:pPr>
              <w:spacing w:line="360" w:lineRule="auto"/>
              <w:jc w:val="both"/>
              <w:rPr>
                <w:rFonts w:ascii="Times New Roman" w:hAnsi="Times New Roman" w:cs="Times New Roman"/>
                <w:color w:val="auto"/>
              </w:rPr>
            </w:pPr>
          </w:p>
        </w:tc>
      </w:tr>
      <w:tr w14:paraId="685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79C3898">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346E6CDB">
            <w:pPr>
              <w:spacing w:line="360" w:lineRule="auto"/>
              <w:jc w:val="both"/>
              <w:rPr>
                <w:rFonts w:ascii="Times New Roman" w:hAnsi="Times New Roman" w:cs="Times New Roman"/>
                <w:color w:val="auto"/>
              </w:rPr>
            </w:pPr>
            <w:r>
              <w:rPr>
                <w:rFonts w:ascii="Times New Roman" w:hAnsi="Times New Roman" w:cs="Times New Roman"/>
                <w:color w:val="auto"/>
              </w:rPr>
              <w:t>General interest</w:t>
            </w:r>
          </w:p>
        </w:tc>
        <w:tc>
          <w:tcPr>
            <w:tcW w:w="869" w:type="dxa"/>
            <w:tcBorders>
              <w:top w:val="single" w:color="auto" w:sz="4" w:space="0"/>
              <w:left w:val="single" w:color="auto" w:sz="4" w:space="0"/>
              <w:bottom w:val="single" w:color="auto" w:sz="4" w:space="0"/>
              <w:right w:val="single" w:color="auto" w:sz="4" w:space="0"/>
            </w:tcBorders>
          </w:tcPr>
          <w:p w14:paraId="0835C8C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65A91E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667C40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982C86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C885B60">
            <w:pPr>
              <w:spacing w:line="360" w:lineRule="auto"/>
              <w:jc w:val="both"/>
              <w:rPr>
                <w:rFonts w:ascii="Times New Roman" w:hAnsi="Times New Roman" w:cs="Times New Roman"/>
                <w:color w:val="auto"/>
              </w:rPr>
            </w:pPr>
          </w:p>
        </w:tc>
      </w:tr>
      <w:tr w14:paraId="719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57B57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64AABF6B">
            <w:pPr>
              <w:spacing w:line="360" w:lineRule="auto"/>
              <w:jc w:val="both"/>
              <w:rPr>
                <w:rFonts w:ascii="Times New Roman" w:hAnsi="Times New Roman" w:cs="Times New Roman"/>
                <w:color w:val="auto"/>
              </w:rPr>
            </w:pPr>
            <w:r>
              <w:rPr>
                <w:rFonts w:ascii="Times New Roman" w:hAnsi="Times New Roman" w:cs="Times New Roman"/>
                <w:color w:val="auto"/>
              </w:rPr>
              <w:t>Cost</w:t>
            </w:r>
          </w:p>
        </w:tc>
        <w:tc>
          <w:tcPr>
            <w:tcW w:w="869" w:type="dxa"/>
            <w:tcBorders>
              <w:top w:val="single" w:color="auto" w:sz="4" w:space="0"/>
              <w:left w:val="single" w:color="auto" w:sz="4" w:space="0"/>
              <w:bottom w:val="single" w:color="auto" w:sz="4" w:space="0"/>
              <w:right w:val="single" w:color="auto" w:sz="4" w:space="0"/>
            </w:tcBorders>
          </w:tcPr>
          <w:p w14:paraId="7562D07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7BCD0D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B51ECA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561CC8F">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6C775B6">
            <w:pPr>
              <w:spacing w:line="360" w:lineRule="auto"/>
              <w:jc w:val="both"/>
              <w:rPr>
                <w:rFonts w:ascii="Times New Roman" w:hAnsi="Times New Roman" w:cs="Times New Roman"/>
                <w:color w:val="auto"/>
              </w:rPr>
            </w:pPr>
          </w:p>
        </w:tc>
      </w:tr>
      <w:tr w14:paraId="04E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3E0C0453">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68D9BFE">
            <w:pPr>
              <w:spacing w:line="360" w:lineRule="auto"/>
              <w:jc w:val="both"/>
              <w:rPr>
                <w:rFonts w:ascii="Times New Roman" w:hAnsi="Times New Roman" w:cs="Times New Roman"/>
                <w:color w:val="auto"/>
              </w:rPr>
            </w:pPr>
            <w:r>
              <w:rPr>
                <w:rFonts w:ascii="Times New Roman" w:hAnsi="Times New Roman" w:cs="Times New Roman"/>
                <w:color w:val="auto"/>
              </w:rPr>
              <w:t>Updateness of contents</w:t>
            </w:r>
          </w:p>
        </w:tc>
        <w:tc>
          <w:tcPr>
            <w:tcW w:w="869" w:type="dxa"/>
            <w:tcBorders>
              <w:top w:val="single" w:color="auto" w:sz="4" w:space="0"/>
              <w:left w:val="single" w:color="auto" w:sz="4" w:space="0"/>
              <w:bottom w:val="single" w:color="auto" w:sz="4" w:space="0"/>
              <w:right w:val="single" w:color="auto" w:sz="4" w:space="0"/>
            </w:tcBorders>
          </w:tcPr>
          <w:p w14:paraId="4F3C083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397C3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366A2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5B0FA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B1EA59E">
            <w:pPr>
              <w:spacing w:line="360" w:lineRule="auto"/>
              <w:jc w:val="both"/>
              <w:rPr>
                <w:rFonts w:ascii="Times New Roman" w:hAnsi="Times New Roman" w:cs="Times New Roman"/>
                <w:color w:val="auto"/>
              </w:rPr>
            </w:pPr>
          </w:p>
        </w:tc>
      </w:tr>
      <w:tr w14:paraId="061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900827A">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7BA9C5EF">
            <w:pPr>
              <w:spacing w:line="360" w:lineRule="auto"/>
              <w:jc w:val="both"/>
              <w:rPr>
                <w:rFonts w:ascii="Times New Roman" w:hAnsi="Times New Roman" w:cs="Times New Roman"/>
                <w:color w:val="auto"/>
              </w:rPr>
            </w:pPr>
            <w:r>
              <w:rPr>
                <w:rFonts w:ascii="Times New Roman" w:hAnsi="Times New Roman" w:cs="Times New Roman"/>
                <w:color w:val="auto"/>
              </w:rPr>
              <w:t>Comprehensiveness and depth of treatment</w:t>
            </w:r>
          </w:p>
        </w:tc>
        <w:tc>
          <w:tcPr>
            <w:tcW w:w="869" w:type="dxa"/>
            <w:tcBorders>
              <w:top w:val="single" w:color="auto" w:sz="4" w:space="0"/>
              <w:left w:val="single" w:color="auto" w:sz="4" w:space="0"/>
              <w:bottom w:val="single" w:color="auto" w:sz="4" w:space="0"/>
              <w:right w:val="single" w:color="auto" w:sz="4" w:space="0"/>
            </w:tcBorders>
          </w:tcPr>
          <w:p w14:paraId="2283FA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50C1D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3F17DF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67179D">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8C20FCE">
            <w:pPr>
              <w:spacing w:line="360" w:lineRule="auto"/>
              <w:jc w:val="both"/>
              <w:rPr>
                <w:rFonts w:ascii="Times New Roman" w:hAnsi="Times New Roman" w:cs="Times New Roman"/>
                <w:color w:val="auto"/>
              </w:rPr>
            </w:pPr>
          </w:p>
        </w:tc>
      </w:tr>
      <w:tr w14:paraId="22D9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B73E0E">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7727232C">
            <w:pPr>
              <w:spacing w:line="360" w:lineRule="auto"/>
              <w:jc w:val="both"/>
              <w:rPr>
                <w:rFonts w:ascii="Times New Roman" w:hAnsi="Times New Roman" w:cs="Times New Roman"/>
                <w:color w:val="auto"/>
              </w:rPr>
            </w:pPr>
            <w:r>
              <w:rPr>
                <w:rFonts w:ascii="Times New Roman" w:hAnsi="Times New Roman" w:cs="Times New Roman"/>
                <w:color w:val="auto"/>
              </w:rPr>
              <w:t>Reputation of publisher or producer</w:t>
            </w:r>
          </w:p>
        </w:tc>
        <w:tc>
          <w:tcPr>
            <w:tcW w:w="869" w:type="dxa"/>
            <w:tcBorders>
              <w:top w:val="single" w:color="auto" w:sz="4" w:space="0"/>
              <w:left w:val="single" w:color="auto" w:sz="4" w:space="0"/>
              <w:bottom w:val="single" w:color="auto" w:sz="4" w:space="0"/>
              <w:right w:val="single" w:color="auto" w:sz="4" w:space="0"/>
            </w:tcBorders>
          </w:tcPr>
          <w:p w14:paraId="29C3769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0294A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C78028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3B047E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AB57139">
            <w:pPr>
              <w:spacing w:line="360" w:lineRule="auto"/>
              <w:jc w:val="both"/>
              <w:rPr>
                <w:rFonts w:ascii="Times New Roman" w:hAnsi="Times New Roman" w:cs="Times New Roman"/>
                <w:color w:val="auto"/>
              </w:rPr>
            </w:pPr>
          </w:p>
        </w:tc>
      </w:tr>
      <w:tr w14:paraId="7D8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457F6365">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0BC1E000">
            <w:pPr>
              <w:spacing w:line="360" w:lineRule="auto"/>
              <w:jc w:val="both"/>
              <w:rPr>
                <w:rFonts w:ascii="Times New Roman" w:hAnsi="Times New Roman" w:cs="Times New Roman"/>
                <w:color w:val="auto"/>
              </w:rPr>
            </w:pPr>
            <w:r>
              <w:rPr>
                <w:rFonts w:ascii="Times New Roman" w:hAnsi="Times New Roman" w:cs="Times New Roman"/>
                <w:color w:val="auto"/>
              </w:rPr>
              <w:t>Ease of use</w:t>
            </w:r>
          </w:p>
        </w:tc>
        <w:tc>
          <w:tcPr>
            <w:tcW w:w="869" w:type="dxa"/>
            <w:tcBorders>
              <w:top w:val="single" w:color="auto" w:sz="4" w:space="0"/>
              <w:left w:val="single" w:color="auto" w:sz="4" w:space="0"/>
              <w:bottom w:val="single" w:color="auto" w:sz="4" w:space="0"/>
              <w:right w:val="single" w:color="auto" w:sz="4" w:space="0"/>
            </w:tcBorders>
          </w:tcPr>
          <w:p w14:paraId="6178D9ED">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9C822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D89A18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6FD6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669A253">
            <w:pPr>
              <w:spacing w:line="360" w:lineRule="auto"/>
              <w:jc w:val="both"/>
              <w:rPr>
                <w:rFonts w:ascii="Times New Roman" w:hAnsi="Times New Roman" w:cs="Times New Roman"/>
                <w:color w:val="auto"/>
              </w:rPr>
            </w:pPr>
          </w:p>
        </w:tc>
      </w:tr>
      <w:tr w14:paraId="2D07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E905786">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383" w:type="dxa"/>
            <w:tcBorders>
              <w:top w:val="single" w:color="auto" w:sz="4" w:space="0"/>
              <w:left w:val="single" w:color="auto" w:sz="4" w:space="0"/>
              <w:bottom w:val="single" w:color="auto" w:sz="4" w:space="0"/>
              <w:right w:val="single" w:color="auto" w:sz="4" w:space="0"/>
            </w:tcBorders>
          </w:tcPr>
          <w:p w14:paraId="048A43A6">
            <w:pPr>
              <w:spacing w:line="360" w:lineRule="auto"/>
              <w:jc w:val="both"/>
              <w:rPr>
                <w:rFonts w:ascii="Times New Roman" w:hAnsi="Times New Roman" w:cs="Times New Roman"/>
                <w:color w:val="auto"/>
              </w:rPr>
            </w:pPr>
            <w:r>
              <w:rPr>
                <w:rFonts w:ascii="Times New Roman" w:hAnsi="Times New Roman" w:cs="Times New Roman"/>
                <w:color w:val="auto"/>
              </w:rPr>
              <w:t>Format</w:t>
            </w:r>
          </w:p>
        </w:tc>
        <w:tc>
          <w:tcPr>
            <w:tcW w:w="869" w:type="dxa"/>
            <w:tcBorders>
              <w:top w:val="single" w:color="auto" w:sz="4" w:space="0"/>
              <w:left w:val="single" w:color="auto" w:sz="4" w:space="0"/>
              <w:bottom w:val="single" w:color="auto" w:sz="4" w:space="0"/>
              <w:right w:val="single" w:color="auto" w:sz="4" w:space="0"/>
            </w:tcBorders>
          </w:tcPr>
          <w:p w14:paraId="17861CC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B3ECDC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24319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A91DF0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803EF83">
            <w:pPr>
              <w:spacing w:line="360" w:lineRule="auto"/>
              <w:jc w:val="both"/>
              <w:rPr>
                <w:rFonts w:ascii="Times New Roman" w:hAnsi="Times New Roman" w:cs="Times New Roman"/>
                <w:color w:val="auto"/>
              </w:rPr>
            </w:pPr>
          </w:p>
        </w:tc>
      </w:tr>
      <w:tr w14:paraId="505C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0640CF51">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17E1C720">
      <w:pPr>
        <w:spacing w:line="360" w:lineRule="auto"/>
        <w:rPr>
          <w:rFonts w:ascii="Times New Roman" w:hAnsi="Times New Roman" w:cs="Times New Roman"/>
          <w:color w:val="auto"/>
          <w:sz w:val="24"/>
          <w:szCs w:val="24"/>
        </w:rPr>
      </w:pPr>
    </w:p>
    <w:p w14:paraId="43DB9F81">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E</w:t>
      </w:r>
    </w:p>
    <w:p w14:paraId="5B58BEFF">
      <w:pPr>
        <w:pStyle w:val="13"/>
        <w:numPr>
          <w:ilvl w:val="3"/>
          <w:numId w:val="13"/>
        </w:numPr>
        <w:spacing w:line="360" w:lineRule="auto"/>
        <w:ind w:left="720" w:hanging="540"/>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3"/>
        <w:gridCol w:w="762"/>
        <w:gridCol w:w="809"/>
        <w:gridCol w:w="809"/>
        <w:gridCol w:w="809"/>
        <w:gridCol w:w="817"/>
      </w:tblGrid>
      <w:tr w14:paraId="086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413B1E4E">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6BEB55F">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1C78ED1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089391BC">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4E61D4E3">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5786C254">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65D86F2E">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72D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34628A1">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72E830A9">
            <w:pPr>
              <w:spacing w:line="360" w:lineRule="auto"/>
              <w:jc w:val="both"/>
              <w:rPr>
                <w:rFonts w:ascii="Times New Roman" w:hAnsi="Times New Roman" w:cs="Times New Roman"/>
                <w:color w:val="auto"/>
              </w:rPr>
            </w:pPr>
            <w:r>
              <w:rPr>
                <w:rFonts w:ascii="Times New Roman" w:hAnsi="Times New Roman" w:cs="Times New Roman"/>
                <w:color w:val="auto"/>
              </w:rPr>
              <w:t>Constitutions</w:t>
            </w:r>
          </w:p>
        </w:tc>
        <w:tc>
          <w:tcPr>
            <w:tcW w:w="781" w:type="dxa"/>
            <w:tcBorders>
              <w:top w:val="single" w:color="auto" w:sz="4" w:space="0"/>
              <w:left w:val="single" w:color="auto" w:sz="4" w:space="0"/>
              <w:bottom w:val="single" w:color="auto" w:sz="4" w:space="0"/>
              <w:right w:val="single" w:color="auto" w:sz="4" w:space="0"/>
            </w:tcBorders>
          </w:tcPr>
          <w:p w14:paraId="7F003A9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E0A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51DF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BE85D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4D0FC56">
            <w:pPr>
              <w:spacing w:line="360" w:lineRule="auto"/>
              <w:jc w:val="both"/>
              <w:rPr>
                <w:rFonts w:ascii="Times New Roman" w:hAnsi="Times New Roman" w:cs="Times New Roman"/>
                <w:color w:val="auto"/>
              </w:rPr>
            </w:pPr>
          </w:p>
        </w:tc>
      </w:tr>
      <w:tr w14:paraId="78A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C05C14B">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759A7BFE">
            <w:pPr>
              <w:spacing w:line="360" w:lineRule="auto"/>
              <w:jc w:val="both"/>
              <w:rPr>
                <w:rFonts w:ascii="Times New Roman" w:hAnsi="Times New Roman" w:cs="Times New Roman"/>
                <w:color w:val="auto"/>
              </w:rPr>
            </w:pPr>
            <w:r>
              <w:rPr>
                <w:rFonts w:ascii="Times New Roman" w:hAnsi="Times New Roman" w:cs="Times New Roman"/>
                <w:color w:val="auto"/>
              </w:rPr>
              <w:t xml:space="preserve">Statutes </w:t>
            </w:r>
          </w:p>
        </w:tc>
        <w:tc>
          <w:tcPr>
            <w:tcW w:w="781" w:type="dxa"/>
            <w:tcBorders>
              <w:top w:val="single" w:color="auto" w:sz="4" w:space="0"/>
              <w:left w:val="single" w:color="auto" w:sz="4" w:space="0"/>
              <w:bottom w:val="single" w:color="auto" w:sz="4" w:space="0"/>
              <w:right w:val="single" w:color="auto" w:sz="4" w:space="0"/>
            </w:tcBorders>
          </w:tcPr>
          <w:p w14:paraId="73D2F54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AA512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4F0C28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819BE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6BC09D9">
            <w:pPr>
              <w:spacing w:line="360" w:lineRule="auto"/>
              <w:jc w:val="both"/>
              <w:rPr>
                <w:rFonts w:ascii="Times New Roman" w:hAnsi="Times New Roman" w:cs="Times New Roman"/>
                <w:color w:val="auto"/>
              </w:rPr>
            </w:pPr>
          </w:p>
        </w:tc>
      </w:tr>
      <w:tr w14:paraId="75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2359AD5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F4798C5">
            <w:pPr>
              <w:spacing w:line="360" w:lineRule="auto"/>
              <w:jc w:val="both"/>
              <w:rPr>
                <w:rFonts w:ascii="Times New Roman" w:hAnsi="Times New Roman" w:cs="Times New Roman"/>
                <w:color w:val="auto"/>
              </w:rPr>
            </w:pPr>
            <w:r>
              <w:rPr>
                <w:rFonts w:ascii="Times New Roman" w:hAnsi="Times New Roman" w:cs="Times New Roman"/>
                <w:color w:val="auto"/>
              </w:rPr>
              <w:t>Law cases/law reports</w:t>
            </w:r>
          </w:p>
        </w:tc>
        <w:tc>
          <w:tcPr>
            <w:tcW w:w="781" w:type="dxa"/>
            <w:tcBorders>
              <w:top w:val="single" w:color="auto" w:sz="4" w:space="0"/>
              <w:left w:val="single" w:color="auto" w:sz="4" w:space="0"/>
              <w:bottom w:val="single" w:color="auto" w:sz="4" w:space="0"/>
              <w:right w:val="single" w:color="auto" w:sz="4" w:space="0"/>
            </w:tcBorders>
          </w:tcPr>
          <w:p w14:paraId="4939AD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DF1A90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96755A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9A377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F4231B">
            <w:pPr>
              <w:spacing w:line="360" w:lineRule="auto"/>
              <w:jc w:val="both"/>
              <w:rPr>
                <w:rFonts w:ascii="Times New Roman" w:hAnsi="Times New Roman" w:cs="Times New Roman"/>
                <w:color w:val="auto"/>
              </w:rPr>
            </w:pPr>
          </w:p>
        </w:tc>
      </w:tr>
      <w:tr w14:paraId="015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D7D8A34">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106A4B53">
            <w:pPr>
              <w:spacing w:line="360" w:lineRule="auto"/>
              <w:jc w:val="both"/>
              <w:rPr>
                <w:rFonts w:ascii="Times New Roman" w:hAnsi="Times New Roman" w:cs="Times New Roman"/>
                <w:color w:val="auto"/>
              </w:rPr>
            </w:pPr>
            <w:r>
              <w:rPr>
                <w:rFonts w:ascii="Times New Roman" w:hAnsi="Times New Roman" w:cs="Times New Roman"/>
                <w:color w:val="auto"/>
              </w:rPr>
              <w:t>Rules and regulations</w:t>
            </w:r>
          </w:p>
        </w:tc>
        <w:tc>
          <w:tcPr>
            <w:tcW w:w="781" w:type="dxa"/>
            <w:tcBorders>
              <w:top w:val="single" w:color="auto" w:sz="4" w:space="0"/>
              <w:left w:val="single" w:color="auto" w:sz="4" w:space="0"/>
              <w:bottom w:val="single" w:color="auto" w:sz="4" w:space="0"/>
              <w:right w:val="single" w:color="auto" w:sz="4" w:space="0"/>
            </w:tcBorders>
          </w:tcPr>
          <w:p w14:paraId="507401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1AA83C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608FD8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5A3D1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B05377">
            <w:pPr>
              <w:spacing w:line="360" w:lineRule="auto"/>
              <w:jc w:val="both"/>
              <w:rPr>
                <w:rFonts w:ascii="Times New Roman" w:hAnsi="Times New Roman" w:cs="Times New Roman"/>
                <w:color w:val="auto"/>
              </w:rPr>
            </w:pPr>
          </w:p>
        </w:tc>
      </w:tr>
      <w:tr w14:paraId="3AA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9A98A07">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32532CCD">
            <w:pPr>
              <w:spacing w:line="360" w:lineRule="auto"/>
              <w:jc w:val="both"/>
              <w:rPr>
                <w:rFonts w:ascii="Times New Roman" w:hAnsi="Times New Roman" w:cs="Times New Roman"/>
                <w:color w:val="auto"/>
              </w:rPr>
            </w:pPr>
            <w:r>
              <w:rPr>
                <w:rFonts w:ascii="Times New Roman" w:hAnsi="Times New Roman" w:cs="Times New Roman"/>
                <w:color w:val="auto"/>
              </w:rPr>
              <w:t>Treatises</w:t>
            </w:r>
          </w:p>
        </w:tc>
        <w:tc>
          <w:tcPr>
            <w:tcW w:w="781" w:type="dxa"/>
            <w:tcBorders>
              <w:top w:val="single" w:color="auto" w:sz="4" w:space="0"/>
              <w:left w:val="single" w:color="auto" w:sz="4" w:space="0"/>
              <w:bottom w:val="single" w:color="auto" w:sz="4" w:space="0"/>
              <w:right w:val="single" w:color="auto" w:sz="4" w:space="0"/>
            </w:tcBorders>
          </w:tcPr>
          <w:p w14:paraId="4228345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FD6F8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7D1F8A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F9A98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A09613C">
            <w:pPr>
              <w:spacing w:line="360" w:lineRule="auto"/>
              <w:jc w:val="both"/>
              <w:rPr>
                <w:rFonts w:ascii="Times New Roman" w:hAnsi="Times New Roman" w:cs="Times New Roman"/>
                <w:color w:val="auto"/>
              </w:rPr>
            </w:pPr>
          </w:p>
        </w:tc>
      </w:tr>
      <w:tr w14:paraId="46E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5DEAF6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5D3DA8CD">
            <w:pPr>
              <w:spacing w:line="360" w:lineRule="auto"/>
              <w:jc w:val="both"/>
              <w:rPr>
                <w:rFonts w:ascii="Times New Roman" w:hAnsi="Times New Roman" w:cs="Times New Roman"/>
                <w:color w:val="auto"/>
              </w:rPr>
            </w:pPr>
            <w:r>
              <w:rPr>
                <w:rFonts w:ascii="Times New Roman" w:hAnsi="Times New Roman" w:cs="Times New Roman"/>
                <w:color w:val="auto"/>
              </w:rPr>
              <w:t>Legal reviews</w:t>
            </w:r>
          </w:p>
        </w:tc>
        <w:tc>
          <w:tcPr>
            <w:tcW w:w="781" w:type="dxa"/>
            <w:tcBorders>
              <w:top w:val="single" w:color="auto" w:sz="4" w:space="0"/>
              <w:left w:val="single" w:color="auto" w:sz="4" w:space="0"/>
              <w:bottom w:val="single" w:color="auto" w:sz="4" w:space="0"/>
              <w:right w:val="single" w:color="auto" w:sz="4" w:space="0"/>
            </w:tcBorders>
          </w:tcPr>
          <w:p w14:paraId="5FD9C2D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F2C42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062AA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E17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F91BFE2">
            <w:pPr>
              <w:spacing w:line="360" w:lineRule="auto"/>
              <w:jc w:val="both"/>
              <w:rPr>
                <w:rFonts w:ascii="Times New Roman" w:hAnsi="Times New Roman" w:cs="Times New Roman"/>
                <w:color w:val="auto"/>
              </w:rPr>
            </w:pPr>
          </w:p>
        </w:tc>
      </w:tr>
      <w:tr w14:paraId="322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FB1270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3D4B0E62">
            <w:pPr>
              <w:spacing w:line="360" w:lineRule="auto"/>
              <w:jc w:val="both"/>
              <w:rPr>
                <w:rFonts w:ascii="Times New Roman" w:hAnsi="Times New Roman" w:cs="Times New Roman"/>
                <w:color w:val="auto"/>
              </w:rPr>
            </w:pPr>
            <w:r>
              <w:rPr>
                <w:rFonts w:ascii="Times New Roman" w:hAnsi="Times New Roman" w:cs="Times New Roman"/>
                <w:color w:val="auto"/>
              </w:rPr>
              <w:t>Law journals</w:t>
            </w:r>
          </w:p>
        </w:tc>
        <w:tc>
          <w:tcPr>
            <w:tcW w:w="781" w:type="dxa"/>
            <w:tcBorders>
              <w:top w:val="single" w:color="auto" w:sz="4" w:space="0"/>
              <w:left w:val="single" w:color="auto" w:sz="4" w:space="0"/>
              <w:bottom w:val="single" w:color="auto" w:sz="4" w:space="0"/>
              <w:right w:val="single" w:color="auto" w:sz="4" w:space="0"/>
            </w:tcBorders>
          </w:tcPr>
          <w:p w14:paraId="2FE9483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DBF8F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244CA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F5BD4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BD7C63">
            <w:pPr>
              <w:spacing w:line="360" w:lineRule="auto"/>
              <w:jc w:val="both"/>
              <w:rPr>
                <w:rFonts w:ascii="Times New Roman" w:hAnsi="Times New Roman" w:cs="Times New Roman"/>
                <w:color w:val="auto"/>
              </w:rPr>
            </w:pPr>
          </w:p>
        </w:tc>
      </w:tr>
      <w:tr w14:paraId="6F96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61DE2FAA">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5E047F92">
            <w:pPr>
              <w:spacing w:line="360" w:lineRule="auto"/>
              <w:jc w:val="both"/>
              <w:rPr>
                <w:rFonts w:ascii="Times New Roman" w:hAnsi="Times New Roman" w:cs="Times New Roman"/>
                <w:color w:val="auto"/>
              </w:rPr>
            </w:pPr>
            <w:r>
              <w:rPr>
                <w:rFonts w:ascii="Times New Roman" w:hAnsi="Times New Roman" w:cs="Times New Roman"/>
                <w:color w:val="auto"/>
              </w:rPr>
              <w:t>Legal deskbooks</w:t>
            </w:r>
          </w:p>
        </w:tc>
        <w:tc>
          <w:tcPr>
            <w:tcW w:w="781" w:type="dxa"/>
            <w:tcBorders>
              <w:top w:val="single" w:color="auto" w:sz="4" w:space="0"/>
              <w:left w:val="single" w:color="auto" w:sz="4" w:space="0"/>
              <w:bottom w:val="single" w:color="auto" w:sz="4" w:space="0"/>
              <w:right w:val="single" w:color="auto" w:sz="4" w:space="0"/>
            </w:tcBorders>
          </w:tcPr>
          <w:p w14:paraId="7F1B0B9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4E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C5327F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16969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0DBBD8F">
            <w:pPr>
              <w:spacing w:line="360" w:lineRule="auto"/>
              <w:jc w:val="both"/>
              <w:rPr>
                <w:rFonts w:ascii="Times New Roman" w:hAnsi="Times New Roman" w:cs="Times New Roman"/>
                <w:color w:val="auto"/>
              </w:rPr>
            </w:pPr>
          </w:p>
        </w:tc>
      </w:tr>
      <w:tr w14:paraId="4E9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223B2C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4FCF83DD">
            <w:pPr>
              <w:spacing w:line="360" w:lineRule="auto"/>
              <w:jc w:val="both"/>
              <w:rPr>
                <w:rFonts w:ascii="Times New Roman" w:hAnsi="Times New Roman" w:cs="Times New Roman"/>
                <w:color w:val="auto"/>
              </w:rPr>
            </w:pPr>
            <w:r>
              <w:rPr>
                <w:rFonts w:ascii="Times New Roman" w:hAnsi="Times New Roman" w:cs="Times New Roman"/>
                <w:color w:val="auto"/>
              </w:rPr>
              <w:t>Legal manuals</w:t>
            </w:r>
          </w:p>
        </w:tc>
        <w:tc>
          <w:tcPr>
            <w:tcW w:w="781" w:type="dxa"/>
            <w:tcBorders>
              <w:top w:val="single" w:color="auto" w:sz="4" w:space="0"/>
              <w:left w:val="single" w:color="auto" w:sz="4" w:space="0"/>
              <w:bottom w:val="single" w:color="auto" w:sz="4" w:space="0"/>
              <w:right w:val="single" w:color="auto" w:sz="4" w:space="0"/>
            </w:tcBorders>
          </w:tcPr>
          <w:p w14:paraId="31B2EFF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ABFC0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AC3D7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8F9E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AA54A">
            <w:pPr>
              <w:spacing w:line="360" w:lineRule="auto"/>
              <w:jc w:val="both"/>
              <w:rPr>
                <w:rFonts w:ascii="Times New Roman" w:hAnsi="Times New Roman" w:cs="Times New Roman"/>
                <w:color w:val="auto"/>
              </w:rPr>
            </w:pPr>
          </w:p>
        </w:tc>
      </w:tr>
      <w:tr w14:paraId="489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1964EB3C">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093E3486">
            <w:pPr>
              <w:spacing w:line="360" w:lineRule="auto"/>
              <w:jc w:val="both"/>
              <w:rPr>
                <w:rFonts w:ascii="Times New Roman" w:hAnsi="Times New Roman" w:cs="Times New Roman"/>
                <w:color w:val="auto"/>
              </w:rPr>
            </w:pPr>
            <w:r>
              <w:rPr>
                <w:rFonts w:ascii="Times New Roman" w:hAnsi="Times New Roman" w:cs="Times New Roman"/>
                <w:color w:val="auto"/>
              </w:rPr>
              <w:t>Legal dictionaries</w:t>
            </w:r>
          </w:p>
        </w:tc>
        <w:tc>
          <w:tcPr>
            <w:tcW w:w="781" w:type="dxa"/>
            <w:tcBorders>
              <w:top w:val="single" w:color="auto" w:sz="4" w:space="0"/>
              <w:left w:val="single" w:color="auto" w:sz="4" w:space="0"/>
              <w:bottom w:val="single" w:color="auto" w:sz="4" w:space="0"/>
              <w:right w:val="single" w:color="auto" w:sz="4" w:space="0"/>
            </w:tcBorders>
          </w:tcPr>
          <w:p w14:paraId="0655C24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7FA81E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0CD75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66C07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B8B6436">
            <w:pPr>
              <w:spacing w:line="360" w:lineRule="auto"/>
              <w:jc w:val="both"/>
              <w:rPr>
                <w:rFonts w:ascii="Times New Roman" w:hAnsi="Times New Roman" w:cs="Times New Roman"/>
                <w:color w:val="auto"/>
              </w:rPr>
            </w:pPr>
          </w:p>
        </w:tc>
      </w:tr>
      <w:tr w14:paraId="3F1F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30A0832">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497" w:type="dxa"/>
            <w:tcBorders>
              <w:top w:val="single" w:color="auto" w:sz="4" w:space="0"/>
              <w:left w:val="single" w:color="auto" w:sz="4" w:space="0"/>
              <w:bottom w:val="single" w:color="auto" w:sz="4" w:space="0"/>
              <w:right w:val="single" w:color="auto" w:sz="4" w:space="0"/>
            </w:tcBorders>
          </w:tcPr>
          <w:p w14:paraId="0A194EF4">
            <w:pPr>
              <w:spacing w:line="360" w:lineRule="auto"/>
              <w:jc w:val="both"/>
              <w:rPr>
                <w:rFonts w:ascii="Times New Roman" w:hAnsi="Times New Roman" w:cs="Times New Roman"/>
                <w:color w:val="auto"/>
              </w:rPr>
            </w:pPr>
            <w:r>
              <w:rPr>
                <w:rFonts w:ascii="Times New Roman" w:hAnsi="Times New Roman" w:cs="Times New Roman"/>
                <w:color w:val="auto"/>
              </w:rPr>
              <w:t>Encyclopedias of Law</w:t>
            </w:r>
          </w:p>
        </w:tc>
        <w:tc>
          <w:tcPr>
            <w:tcW w:w="781" w:type="dxa"/>
            <w:tcBorders>
              <w:top w:val="single" w:color="auto" w:sz="4" w:space="0"/>
              <w:left w:val="single" w:color="auto" w:sz="4" w:space="0"/>
              <w:bottom w:val="single" w:color="auto" w:sz="4" w:space="0"/>
              <w:right w:val="single" w:color="auto" w:sz="4" w:space="0"/>
            </w:tcBorders>
          </w:tcPr>
          <w:p w14:paraId="254A664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D835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157A04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3C20FC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1DBAB9">
            <w:pPr>
              <w:spacing w:line="360" w:lineRule="auto"/>
              <w:jc w:val="both"/>
              <w:rPr>
                <w:rFonts w:ascii="Times New Roman" w:hAnsi="Times New Roman" w:cs="Times New Roman"/>
                <w:color w:val="auto"/>
              </w:rPr>
            </w:pPr>
          </w:p>
        </w:tc>
      </w:tr>
      <w:tr w14:paraId="32B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741CB01">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497" w:type="dxa"/>
            <w:tcBorders>
              <w:top w:val="single" w:color="auto" w:sz="4" w:space="0"/>
              <w:left w:val="single" w:color="auto" w:sz="4" w:space="0"/>
              <w:bottom w:val="single" w:color="auto" w:sz="4" w:space="0"/>
              <w:right w:val="single" w:color="auto" w:sz="4" w:space="0"/>
            </w:tcBorders>
          </w:tcPr>
          <w:p w14:paraId="2B8456D7">
            <w:pPr>
              <w:spacing w:line="360" w:lineRule="auto"/>
              <w:jc w:val="both"/>
              <w:rPr>
                <w:rFonts w:ascii="Times New Roman" w:hAnsi="Times New Roman" w:cs="Times New Roman"/>
                <w:color w:val="auto"/>
              </w:rPr>
            </w:pPr>
            <w:r>
              <w:rPr>
                <w:rFonts w:ascii="Times New Roman" w:hAnsi="Times New Roman" w:cs="Times New Roman"/>
                <w:color w:val="auto"/>
              </w:rPr>
              <w:t>Directories</w:t>
            </w:r>
          </w:p>
        </w:tc>
        <w:tc>
          <w:tcPr>
            <w:tcW w:w="781" w:type="dxa"/>
            <w:tcBorders>
              <w:top w:val="single" w:color="auto" w:sz="4" w:space="0"/>
              <w:left w:val="single" w:color="auto" w:sz="4" w:space="0"/>
              <w:bottom w:val="single" w:color="auto" w:sz="4" w:space="0"/>
              <w:right w:val="single" w:color="auto" w:sz="4" w:space="0"/>
            </w:tcBorders>
          </w:tcPr>
          <w:p w14:paraId="42E8AB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75440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A03D3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DC74B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31E0D1">
            <w:pPr>
              <w:spacing w:line="360" w:lineRule="auto"/>
              <w:jc w:val="both"/>
              <w:rPr>
                <w:rFonts w:ascii="Times New Roman" w:hAnsi="Times New Roman" w:cs="Times New Roman"/>
                <w:color w:val="auto"/>
              </w:rPr>
            </w:pPr>
          </w:p>
        </w:tc>
      </w:tr>
      <w:tr w14:paraId="7898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EBB0406">
            <w:pPr>
              <w:spacing w:line="360" w:lineRule="auto"/>
              <w:jc w:val="both"/>
              <w:rPr>
                <w:rFonts w:ascii="Times New Roman" w:hAnsi="Times New Roman" w:cs="Times New Roman"/>
                <w:color w:val="auto"/>
              </w:rPr>
            </w:pPr>
            <w:r>
              <w:rPr>
                <w:rFonts w:ascii="Times New Roman" w:hAnsi="Times New Roman" w:cs="Times New Roman"/>
                <w:color w:val="auto"/>
              </w:rPr>
              <w:t>13.</w:t>
            </w:r>
          </w:p>
        </w:tc>
        <w:tc>
          <w:tcPr>
            <w:tcW w:w="4497" w:type="dxa"/>
            <w:tcBorders>
              <w:top w:val="single" w:color="auto" w:sz="4" w:space="0"/>
              <w:left w:val="single" w:color="auto" w:sz="4" w:space="0"/>
              <w:bottom w:val="single" w:color="auto" w:sz="4" w:space="0"/>
              <w:right w:val="single" w:color="auto" w:sz="4" w:space="0"/>
            </w:tcBorders>
          </w:tcPr>
          <w:p w14:paraId="6858F945">
            <w:pPr>
              <w:spacing w:line="360" w:lineRule="auto"/>
              <w:jc w:val="both"/>
              <w:rPr>
                <w:rFonts w:ascii="Times New Roman" w:hAnsi="Times New Roman" w:cs="Times New Roman"/>
                <w:color w:val="auto"/>
              </w:rPr>
            </w:pPr>
            <w:r>
              <w:rPr>
                <w:rFonts w:ascii="Times New Roman" w:hAnsi="Times New Roman" w:cs="Times New Roman"/>
                <w:color w:val="auto"/>
              </w:rPr>
              <w:t>Year books</w:t>
            </w:r>
          </w:p>
        </w:tc>
        <w:tc>
          <w:tcPr>
            <w:tcW w:w="781" w:type="dxa"/>
            <w:tcBorders>
              <w:top w:val="single" w:color="auto" w:sz="4" w:space="0"/>
              <w:left w:val="single" w:color="auto" w:sz="4" w:space="0"/>
              <w:bottom w:val="single" w:color="auto" w:sz="4" w:space="0"/>
              <w:right w:val="single" w:color="auto" w:sz="4" w:space="0"/>
            </w:tcBorders>
          </w:tcPr>
          <w:p w14:paraId="5A3172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2656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170B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7A20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401D99">
            <w:pPr>
              <w:spacing w:line="360" w:lineRule="auto"/>
              <w:jc w:val="both"/>
              <w:rPr>
                <w:rFonts w:ascii="Times New Roman" w:hAnsi="Times New Roman" w:cs="Times New Roman"/>
                <w:color w:val="auto"/>
              </w:rPr>
            </w:pPr>
          </w:p>
        </w:tc>
      </w:tr>
      <w:tr w14:paraId="376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295609">
            <w:pPr>
              <w:spacing w:line="360" w:lineRule="auto"/>
              <w:jc w:val="both"/>
              <w:rPr>
                <w:rFonts w:ascii="Times New Roman" w:hAnsi="Times New Roman" w:cs="Times New Roman"/>
                <w:color w:val="auto"/>
              </w:rPr>
            </w:pPr>
            <w:r>
              <w:rPr>
                <w:rFonts w:ascii="Times New Roman" w:hAnsi="Times New Roman" w:cs="Times New Roman"/>
                <w:color w:val="auto"/>
              </w:rPr>
              <w:t>14.</w:t>
            </w:r>
          </w:p>
        </w:tc>
        <w:tc>
          <w:tcPr>
            <w:tcW w:w="4497" w:type="dxa"/>
            <w:tcBorders>
              <w:top w:val="single" w:color="auto" w:sz="4" w:space="0"/>
              <w:left w:val="single" w:color="auto" w:sz="4" w:space="0"/>
              <w:bottom w:val="single" w:color="auto" w:sz="4" w:space="0"/>
              <w:right w:val="single" w:color="auto" w:sz="4" w:space="0"/>
            </w:tcBorders>
          </w:tcPr>
          <w:p w14:paraId="47B4D3DC">
            <w:pPr>
              <w:spacing w:line="360" w:lineRule="auto"/>
              <w:jc w:val="both"/>
              <w:rPr>
                <w:rFonts w:ascii="Times New Roman" w:hAnsi="Times New Roman" w:cs="Times New Roman"/>
                <w:color w:val="auto"/>
              </w:rPr>
            </w:pPr>
            <w:r>
              <w:rPr>
                <w:rFonts w:ascii="Times New Roman" w:hAnsi="Times New Roman" w:cs="Times New Roman"/>
                <w:color w:val="auto"/>
              </w:rPr>
              <w:t>Compendium of Law</w:t>
            </w:r>
          </w:p>
        </w:tc>
        <w:tc>
          <w:tcPr>
            <w:tcW w:w="781" w:type="dxa"/>
            <w:tcBorders>
              <w:top w:val="single" w:color="auto" w:sz="4" w:space="0"/>
              <w:left w:val="single" w:color="auto" w:sz="4" w:space="0"/>
              <w:bottom w:val="single" w:color="auto" w:sz="4" w:space="0"/>
              <w:right w:val="single" w:color="auto" w:sz="4" w:space="0"/>
            </w:tcBorders>
          </w:tcPr>
          <w:p w14:paraId="31D435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2147F7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318631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4AA79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AC78DB">
            <w:pPr>
              <w:spacing w:line="360" w:lineRule="auto"/>
              <w:jc w:val="both"/>
              <w:rPr>
                <w:rFonts w:ascii="Times New Roman" w:hAnsi="Times New Roman" w:cs="Times New Roman"/>
                <w:color w:val="auto"/>
              </w:rPr>
            </w:pPr>
          </w:p>
        </w:tc>
      </w:tr>
      <w:tr w14:paraId="5530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358120B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46309C6C">
      <w:pPr>
        <w:spacing w:line="360" w:lineRule="auto"/>
        <w:rPr>
          <w:rFonts w:ascii="Times New Roman" w:hAnsi="Times New Roman" w:cs="Times New Roman"/>
          <w:color w:val="auto"/>
          <w:sz w:val="24"/>
          <w:szCs w:val="24"/>
        </w:rPr>
      </w:pPr>
    </w:p>
    <w:p w14:paraId="70EFFF7B">
      <w:pPr>
        <w:spacing w:after="0" w:line="360" w:lineRule="auto"/>
        <w:jc w:val="both"/>
        <w:rPr>
          <w:rFonts w:ascii="Times New Roman" w:hAnsi="Times New Roman" w:eastAsia="Times New Roman" w:cs="Times New Roman"/>
          <w:b/>
          <w:color w:val="auto"/>
          <w:sz w:val="24"/>
          <w:szCs w:val="24"/>
        </w:rPr>
      </w:pPr>
      <w:r>
        <w:rPr>
          <w:rFonts w:ascii="Times New Roman" w:hAnsi="Times New Roman" w:cs="Times New Roman"/>
          <w:b/>
          <w:color w:val="auto"/>
          <w:sz w:val="24"/>
          <w:szCs w:val="24"/>
        </w:rPr>
        <w:t>Section F</w:t>
      </w:r>
    </w:p>
    <w:p w14:paraId="3607C4C1">
      <w:pPr>
        <w:pStyle w:val="13"/>
        <w:numPr>
          <w:ilvl w:val="3"/>
          <w:numId w:val="13"/>
        </w:numPr>
        <w:spacing w:line="360" w:lineRule="auto"/>
        <w:ind w:left="720" w:hanging="450"/>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2"/>
        <w:gridCol w:w="845"/>
        <w:gridCol w:w="795"/>
        <w:gridCol w:w="784"/>
        <w:gridCol w:w="811"/>
        <w:gridCol w:w="881"/>
      </w:tblGrid>
      <w:tr w14:paraId="756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54ED534D">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92AB5E">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861" w:type="dxa"/>
            <w:tcBorders>
              <w:top w:val="single" w:color="auto" w:sz="4" w:space="0"/>
              <w:left w:val="single" w:color="auto" w:sz="4" w:space="0"/>
              <w:bottom w:val="single" w:color="auto" w:sz="4" w:space="0"/>
              <w:right w:val="single" w:color="auto" w:sz="4" w:space="0"/>
            </w:tcBorders>
          </w:tcPr>
          <w:p w14:paraId="57E4D8EC">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018820CB">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7F6D9FA6">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1C235501">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2C87C621">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7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94B74D8">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21CC6996">
            <w:pPr>
              <w:spacing w:line="360" w:lineRule="auto"/>
              <w:jc w:val="both"/>
              <w:rPr>
                <w:rFonts w:ascii="Times New Roman" w:hAnsi="Times New Roman" w:cs="Times New Roman"/>
                <w:color w:val="auto"/>
              </w:rPr>
            </w:pPr>
            <w:r>
              <w:rPr>
                <w:rFonts w:ascii="Times New Roman" w:hAnsi="Times New Roman" w:cs="Times New Roman"/>
                <w:color w:val="auto"/>
              </w:rPr>
              <w:t xml:space="preserve">Helps in including new publications </w:t>
            </w:r>
          </w:p>
        </w:tc>
        <w:tc>
          <w:tcPr>
            <w:tcW w:w="869" w:type="dxa"/>
            <w:tcBorders>
              <w:top w:val="single" w:color="auto" w:sz="4" w:space="0"/>
              <w:left w:val="single" w:color="auto" w:sz="4" w:space="0"/>
              <w:bottom w:val="single" w:color="auto" w:sz="4" w:space="0"/>
              <w:right w:val="single" w:color="auto" w:sz="4" w:space="0"/>
            </w:tcBorders>
          </w:tcPr>
          <w:p w14:paraId="1EFD72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226F82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C30099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7D09C3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7104976">
            <w:pPr>
              <w:spacing w:line="360" w:lineRule="auto"/>
              <w:jc w:val="both"/>
              <w:rPr>
                <w:rFonts w:ascii="Times New Roman" w:hAnsi="Times New Roman" w:cs="Times New Roman"/>
                <w:color w:val="auto"/>
              </w:rPr>
            </w:pPr>
          </w:p>
        </w:tc>
      </w:tr>
      <w:tr w14:paraId="69CF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1EFF026">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185CE1C">
            <w:pPr>
              <w:spacing w:line="360" w:lineRule="auto"/>
              <w:jc w:val="both"/>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869" w:type="dxa"/>
            <w:tcBorders>
              <w:top w:val="single" w:color="auto" w:sz="4" w:space="0"/>
              <w:left w:val="single" w:color="auto" w:sz="4" w:space="0"/>
              <w:bottom w:val="single" w:color="auto" w:sz="4" w:space="0"/>
              <w:right w:val="single" w:color="auto" w:sz="4" w:space="0"/>
            </w:tcBorders>
          </w:tcPr>
          <w:p w14:paraId="2C8EAB1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C2BD8C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FB8E0A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5A563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0662EFB">
            <w:pPr>
              <w:spacing w:line="360" w:lineRule="auto"/>
              <w:jc w:val="both"/>
              <w:rPr>
                <w:rFonts w:ascii="Times New Roman" w:hAnsi="Times New Roman" w:cs="Times New Roman"/>
                <w:color w:val="auto"/>
              </w:rPr>
            </w:pPr>
          </w:p>
        </w:tc>
      </w:tr>
      <w:tr w14:paraId="14A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04A367C">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2FBABAAA">
            <w:pPr>
              <w:spacing w:line="360" w:lineRule="auto"/>
              <w:jc w:val="both"/>
              <w:rPr>
                <w:rFonts w:ascii="Times New Roman" w:hAnsi="Times New Roman" w:cs="Times New Roman"/>
                <w:color w:val="auto"/>
              </w:rPr>
            </w:pPr>
            <w:r>
              <w:rPr>
                <w:rFonts w:ascii="Times New Roman" w:hAnsi="Times New Roman" w:cs="Times New Roman"/>
                <w:color w:val="auto"/>
              </w:rPr>
              <w:t>Helps in continuous content evaluation</w:t>
            </w:r>
          </w:p>
        </w:tc>
        <w:tc>
          <w:tcPr>
            <w:tcW w:w="869" w:type="dxa"/>
            <w:tcBorders>
              <w:top w:val="single" w:color="auto" w:sz="4" w:space="0"/>
              <w:left w:val="single" w:color="auto" w:sz="4" w:space="0"/>
              <w:bottom w:val="single" w:color="auto" w:sz="4" w:space="0"/>
              <w:right w:val="single" w:color="auto" w:sz="4" w:space="0"/>
            </w:tcBorders>
          </w:tcPr>
          <w:p w14:paraId="0B7573D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2F7C55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E4229E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DCF5A9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190D344">
            <w:pPr>
              <w:spacing w:line="360" w:lineRule="auto"/>
              <w:jc w:val="both"/>
              <w:rPr>
                <w:rFonts w:ascii="Times New Roman" w:hAnsi="Times New Roman" w:cs="Times New Roman"/>
                <w:color w:val="auto"/>
              </w:rPr>
            </w:pPr>
          </w:p>
        </w:tc>
      </w:tr>
      <w:tr w14:paraId="0CA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36F02DD">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3387C9D">
            <w:pPr>
              <w:spacing w:line="360" w:lineRule="auto"/>
              <w:jc w:val="both"/>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869" w:type="dxa"/>
            <w:tcBorders>
              <w:top w:val="single" w:color="auto" w:sz="4" w:space="0"/>
              <w:left w:val="single" w:color="auto" w:sz="4" w:space="0"/>
              <w:bottom w:val="single" w:color="auto" w:sz="4" w:space="0"/>
              <w:right w:val="single" w:color="auto" w:sz="4" w:space="0"/>
            </w:tcBorders>
          </w:tcPr>
          <w:p w14:paraId="0034DFCB">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5FD87D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3C471D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EA1D31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E23FD6E">
            <w:pPr>
              <w:spacing w:line="360" w:lineRule="auto"/>
              <w:jc w:val="both"/>
              <w:rPr>
                <w:rFonts w:ascii="Times New Roman" w:hAnsi="Times New Roman" w:cs="Times New Roman"/>
                <w:color w:val="auto"/>
              </w:rPr>
            </w:pPr>
          </w:p>
        </w:tc>
      </w:tr>
      <w:tr w14:paraId="433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D7AF56">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CF71C6B">
            <w:pPr>
              <w:spacing w:line="360" w:lineRule="auto"/>
              <w:jc w:val="both"/>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869" w:type="dxa"/>
            <w:tcBorders>
              <w:top w:val="single" w:color="auto" w:sz="4" w:space="0"/>
              <w:left w:val="single" w:color="auto" w:sz="4" w:space="0"/>
              <w:bottom w:val="single" w:color="auto" w:sz="4" w:space="0"/>
              <w:right w:val="single" w:color="auto" w:sz="4" w:space="0"/>
            </w:tcBorders>
          </w:tcPr>
          <w:p w14:paraId="7EE0F32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689B8D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6FE7CB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9EBF4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C62D729">
            <w:pPr>
              <w:spacing w:line="360" w:lineRule="auto"/>
              <w:jc w:val="both"/>
              <w:rPr>
                <w:rFonts w:ascii="Times New Roman" w:hAnsi="Times New Roman" w:cs="Times New Roman"/>
                <w:color w:val="auto"/>
              </w:rPr>
            </w:pPr>
          </w:p>
        </w:tc>
      </w:tr>
      <w:tr w14:paraId="131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05E9B22">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1B6A718B">
            <w:pPr>
              <w:spacing w:line="360" w:lineRule="auto"/>
              <w:jc w:val="both"/>
              <w:rPr>
                <w:rFonts w:ascii="Times New Roman" w:hAnsi="Times New Roman" w:cs="Times New Roman"/>
                <w:color w:val="auto"/>
              </w:rPr>
            </w:pPr>
            <w:r>
              <w:rPr>
                <w:rFonts w:ascii="Times New Roman" w:hAnsi="Times New Roman" w:cs="Times New Roman"/>
                <w:color w:val="auto"/>
              </w:rPr>
              <w:t>Increases the quality of services</w:t>
            </w:r>
          </w:p>
        </w:tc>
        <w:tc>
          <w:tcPr>
            <w:tcW w:w="869" w:type="dxa"/>
            <w:tcBorders>
              <w:top w:val="single" w:color="auto" w:sz="4" w:space="0"/>
              <w:left w:val="single" w:color="auto" w:sz="4" w:space="0"/>
              <w:bottom w:val="single" w:color="auto" w:sz="4" w:space="0"/>
              <w:right w:val="single" w:color="auto" w:sz="4" w:space="0"/>
            </w:tcBorders>
          </w:tcPr>
          <w:p w14:paraId="65593F2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F10B84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353E35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53112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8AE269A">
            <w:pPr>
              <w:spacing w:line="360" w:lineRule="auto"/>
              <w:jc w:val="both"/>
              <w:rPr>
                <w:rFonts w:ascii="Times New Roman" w:hAnsi="Times New Roman" w:cs="Times New Roman"/>
                <w:color w:val="auto"/>
              </w:rPr>
            </w:pPr>
          </w:p>
        </w:tc>
      </w:tr>
      <w:tr w14:paraId="3F25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F6D1F9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18500BDA">
            <w:pPr>
              <w:spacing w:line="360" w:lineRule="auto"/>
              <w:jc w:val="both"/>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869" w:type="dxa"/>
            <w:tcBorders>
              <w:top w:val="single" w:color="auto" w:sz="4" w:space="0"/>
              <w:left w:val="single" w:color="auto" w:sz="4" w:space="0"/>
              <w:bottom w:val="single" w:color="auto" w:sz="4" w:space="0"/>
              <w:right w:val="single" w:color="auto" w:sz="4" w:space="0"/>
            </w:tcBorders>
          </w:tcPr>
          <w:p w14:paraId="71B53D2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472158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B4ED6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70F2C6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5EA5AA7">
            <w:pPr>
              <w:spacing w:line="360" w:lineRule="auto"/>
              <w:jc w:val="both"/>
              <w:rPr>
                <w:rFonts w:ascii="Times New Roman" w:hAnsi="Times New Roman" w:cs="Times New Roman"/>
                <w:color w:val="auto"/>
              </w:rPr>
            </w:pPr>
          </w:p>
        </w:tc>
      </w:tr>
      <w:tr w14:paraId="288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A55DF8">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77CCC21B">
            <w:pPr>
              <w:spacing w:line="360" w:lineRule="auto"/>
              <w:jc w:val="both"/>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869" w:type="dxa"/>
            <w:tcBorders>
              <w:top w:val="single" w:color="auto" w:sz="4" w:space="0"/>
              <w:left w:val="single" w:color="auto" w:sz="4" w:space="0"/>
              <w:bottom w:val="single" w:color="auto" w:sz="4" w:space="0"/>
              <w:right w:val="single" w:color="auto" w:sz="4" w:space="0"/>
            </w:tcBorders>
          </w:tcPr>
          <w:p w14:paraId="1165744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79759DA">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167C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85EFC4E">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1C76230">
            <w:pPr>
              <w:spacing w:line="360" w:lineRule="auto"/>
              <w:jc w:val="both"/>
              <w:rPr>
                <w:rFonts w:ascii="Times New Roman" w:hAnsi="Times New Roman" w:cs="Times New Roman"/>
                <w:color w:val="auto"/>
              </w:rPr>
            </w:pPr>
          </w:p>
        </w:tc>
      </w:tr>
      <w:tr w14:paraId="1CA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DA89EC5">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1BBBB6DA">
            <w:pPr>
              <w:spacing w:line="360" w:lineRule="auto"/>
              <w:jc w:val="both"/>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869" w:type="dxa"/>
            <w:tcBorders>
              <w:top w:val="single" w:color="auto" w:sz="4" w:space="0"/>
              <w:left w:val="single" w:color="auto" w:sz="4" w:space="0"/>
              <w:bottom w:val="single" w:color="auto" w:sz="4" w:space="0"/>
              <w:right w:val="single" w:color="auto" w:sz="4" w:space="0"/>
            </w:tcBorders>
          </w:tcPr>
          <w:p w14:paraId="6F00C0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8C7D2B5">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E597F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F52DBC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D16D29C">
            <w:pPr>
              <w:spacing w:line="360" w:lineRule="auto"/>
              <w:jc w:val="both"/>
              <w:rPr>
                <w:rFonts w:ascii="Times New Roman" w:hAnsi="Times New Roman" w:cs="Times New Roman"/>
                <w:color w:val="auto"/>
              </w:rPr>
            </w:pPr>
          </w:p>
        </w:tc>
      </w:tr>
      <w:tr w14:paraId="514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4D205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D31965A">
            <w:pPr>
              <w:spacing w:line="360" w:lineRule="auto"/>
              <w:jc w:val="both"/>
              <w:rPr>
                <w:rFonts w:ascii="Times New Roman" w:hAnsi="Times New Roman" w:cs="Times New Roman"/>
                <w:color w:val="auto"/>
              </w:rPr>
            </w:pPr>
            <w:r>
              <w:rPr>
                <w:rFonts w:ascii="Times New Roman" w:hAnsi="Times New Roman" w:cs="Times New Roman"/>
                <w:color w:val="auto"/>
              </w:rPr>
              <w:t>Helps in space saving</w:t>
            </w:r>
          </w:p>
        </w:tc>
        <w:tc>
          <w:tcPr>
            <w:tcW w:w="869" w:type="dxa"/>
            <w:tcBorders>
              <w:top w:val="single" w:color="auto" w:sz="4" w:space="0"/>
              <w:left w:val="single" w:color="auto" w:sz="4" w:space="0"/>
              <w:bottom w:val="single" w:color="auto" w:sz="4" w:space="0"/>
              <w:right w:val="single" w:color="auto" w:sz="4" w:space="0"/>
            </w:tcBorders>
          </w:tcPr>
          <w:p w14:paraId="42FD56B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2CAD5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51E036">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9C9561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D8CA606">
            <w:pPr>
              <w:spacing w:line="360" w:lineRule="auto"/>
              <w:jc w:val="both"/>
              <w:rPr>
                <w:rFonts w:ascii="Times New Roman" w:hAnsi="Times New Roman" w:cs="Times New Roman"/>
                <w:color w:val="auto"/>
              </w:rPr>
            </w:pPr>
          </w:p>
        </w:tc>
      </w:tr>
      <w:tr w14:paraId="782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B9435F7">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430365FD">
            <w:pPr>
              <w:spacing w:line="360" w:lineRule="auto"/>
              <w:jc w:val="both"/>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869" w:type="dxa"/>
            <w:tcBorders>
              <w:top w:val="single" w:color="auto" w:sz="4" w:space="0"/>
              <w:left w:val="single" w:color="auto" w:sz="4" w:space="0"/>
              <w:bottom w:val="single" w:color="auto" w:sz="4" w:space="0"/>
              <w:right w:val="single" w:color="auto" w:sz="4" w:space="0"/>
            </w:tcBorders>
          </w:tcPr>
          <w:p w14:paraId="22119D1F">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055694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BCC404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A13DB3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389384D">
            <w:pPr>
              <w:spacing w:line="360" w:lineRule="auto"/>
              <w:jc w:val="both"/>
              <w:rPr>
                <w:rFonts w:ascii="Times New Roman" w:hAnsi="Times New Roman" w:cs="Times New Roman"/>
                <w:color w:val="auto"/>
              </w:rPr>
            </w:pPr>
          </w:p>
        </w:tc>
      </w:tr>
      <w:tr w14:paraId="206B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gridSpan w:val="7"/>
            <w:tcBorders>
              <w:top w:val="single" w:color="auto" w:sz="4" w:space="0"/>
              <w:left w:val="single" w:color="auto" w:sz="4" w:space="0"/>
              <w:bottom w:val="single" w:color="auto" w:sz="4" w:space="0"/>
              <w:right w:val="single" w:color="auto" w:sz="4" w:space="0"/>
            </w:tcBorders>
          </w:tcPr>
          <w:p w14:paraId="14BDB5A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3EBBDA4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G</w:t>
      </w:r>
    </w:p>
    <w:p w14:paraId="4FB6BDF1">
      <w:pPr>
        <w:spacing w:after="0" w:line="360" w:lineRule="auto"/>
        <w:ind w:left="720" w:hanging="270"/>
        <w:jc w:val="both"/>
        <w:rPr>
          <w:rFonts w:ascii="Times New Roman" w:hAnsi="Times New Roman" w:cs="Times New Roman"/>
          <w:b/>
          <w:color w:val="auto"/>
          <w:sz w:val="24"/>
          <w:szCs w:val="24"/>
        </w:rPr>
      </w:pPr>
      <w:r>
        <w:rPr>
          <w:rFonts w:ascii="Times New Roman" w:hAnsi="Times New Roman" w:cs="Times New Roman"/>
          <w:b/>
          <w:color w:val="auto"/>
          <w:sz w:val="24"/>
          <w:szCs w:val="24"/>
        </w:rPr>
        <w:t>6</w:t>
      </w:r>
      <w:r>
        <w:rPr>
          <w:rFonts w:ascii="Times New Roman" w:hAnsi="Times New Roman" w:cs="Times New Roman"/>
          <w:color w:val="auto"/>
          <w:sz w:val="24"/>
          <w:szCs w:val="24"/>
        </w:rPr>
        <w:t>. What are the factors affecting selection of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9"/>
        <w:gridCol w:w="844"/>
        <w:gridCol w:w="793"/>
        <w:gridCol w:w="783"/>
        <w:gridCol w:w="809"/>
        <w:gridCol w:w="880"/>
      </w:tblGrid>
      <w:tr w14:paraId="4B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7400BBA3">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05A1D45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1" w:type="dxa"/>
            <w:tcBorders>
              <w:top w:val="single" w:color="auto" w:sz="4" w:space="0"/>
              <w:left w:val="single" w:color="auto" w:sz="4" w:space="0"/>
              <w:bottom w:val="single" w:color="auto" w:sz="4" w:space="0"/>
              <w:right w:val="single" w:color="auto" w:sz="4" w:space="0"/>
            </w:tcBorders>
          </w:tcPr>
          <w:p w14:paraId="4F994FB9">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2ED4A3F6">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649FEC">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518699ED">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7339073B">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13D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E93397">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47D79FCA">
            <w:pPr>
              <w:spacing w:line="360" w:lineRule="auto"/>
              <w:jc w:val="both"/>
              <w:rPr>
                <w:rFonts w:ascii="Times New Roman" w:hAnsi="Times New Roman" w:cs="Times New Roman"/>
                <w:color w:val="auto"/>
              </w:rPr>
            </w:pPr>
            <w:r>
              <w:rPr>
                <w:rFonts w:ascii="Times New Roman" w:hAnsi="Times New Roman" w:cs="Times New Roman"/>
                <w:color w:val="auto"/>
              </w:rPr>
              <w:t>Inadequate funding</w:t>
            </w:r>
          </w:p>
        </w:tc>
        <w:tc>
          <w:tcPr>
            <w:tcW w:w="869" w:type="dxa"/>
            <w:tcBorders>
              <w:top w:val="single" w:color="auto" w:sz="4" w:space="0"/>
              <w:left w:val="single" w:color="auto" w:sz="4" w:space="0"/>
              <w:bottom w:val="single" w:color="auto" w:sz="4" w:space="0"/>
              <w:right w:val="single" w:color="auto" w:sz="4" w:space="0"/>
            </w:tcBorders>
          </w:tcPr>
          <w:p w14:paraId="0215F4D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76542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5B1696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7BD641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8DB9133">
            <w:pPr>
              <w:spacing w:line="360" w:lineRule="auto"/>
              <w:jc w:val="both"/>
              <w:rPr>
                <w:rFonts w:ascii="Times New Roman" w:hAnsi="Times New Roman" w:cs="Times New Roman"/>
                <w:color w:val="auto"/>
              </w:rPr>
            </w:pPr>
          </w:p>
        </w:tc>
      </w:tr>
      <w:tr w14:paraId="02E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AC9BCE">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57F8593">
            <w:pPr>
              <w:spacing w:line="360" w:lineRule="auto"/>
              <w:jc w:val="both"/>
              <w:rPr>
                <w:rFonts w:ascii="Times New Roman" w:hAnsi="Times New Roman" w:cs="Times New Roman"/>
                <w:color w:val="auto"/>
              </w:rPr>
            </w:pPr>
            <w:r>
              <w:rPr>
                <w:rFonts w:ascii="Times New Roman" w:hAnsi="Times New Roman" w:cs="Times New Roman"/>
                <w:color w:val="auto"/>
              </w:rPr>
              <w:t>Economic instability</w:t>
            </w:r>
          </w:p>
        </w:tc>
        <w:tc>
          <w:tcPr>
            <w:tcW w:w="869" w:type="dxa"/>
            <w:tcBorders>
              <w:top w:val="single" w:color="auto" w:sz="4" w:space="0"/>
              <w:left w:val="single" w:color="auto" w:sz="4" w:space="0"/>
              <w:bottom w:val="single" w:color="auto" w:sz="4" w:space="0"/>
              <w:right w:val="single" w:color="auto" w:sz="4" w:space="0"/>
            </w:tcBorders>
          </w:tcPr>
          <w:p w14:paraId="10AE2E2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6B79320">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78F9F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AE279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883B95D">
            <w:pPr>
              <w:spacing w:line="360" w:lineRule="auto"/>
              <w:jc w:val="both"/>
              <w:rPr>
                <w:rFonts w:ascii="Times New Roman" w:hAnsi="Times New Roman" w:cs="Times New Roman"/>
                <w:color w:val="auto"/>
              </w:rPr>
            </w:pPr>
          </w:p>
        </w:tc>
      </w:tr>
      <w:tr w14:paraId="10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64C91B7">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77A37436">
            <w:pPr>
              <w:spacing w:line="360" w:lineRule="auto"/>
              <w:jc w:val="both"/>
              <w:rPr>
                <w:rFonts w:ascii="Times New Roman" w:hAnsi="Times New Roman" w:cs="Times New Roman"/>
                <w:color w:val="auto"/>
              </w:rPr>
            </w:pPr>
            <w:r>
              <w:rPr>
                <w:rFonts w:ascii="Times New Roman" w:hAnsi="Times New Roman" w:cs="Times New Roman"/>
                <w:color w:val="auto"/>
              </w:rPr>
              <w:t>Dearth of current books</w:t>
            </w:r>
          </w:p>
        </w:tc>
        <w:tc>
          <w:tcPr>
            <w:tcW w:w="869" w:type="dxa"/>
            <w:tcBorders>
              <w:top w:val="single" w:color="auto" w:sz="4" w:space="0"/>
              <w:left w:val="single" w:color="auto" w:sz="4" w:space="0"/>
              <w:bottom w:val="single" w:color="auto" w:sz="4" w:space="0"/>
              <w:right w:val="single" w:color="auto" w:sz="4" w:space="0"/>
            </w:tcBorders>
          </w:tcPr>
          <w:p w14:paraId="273F4F9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A6C15A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C9693A">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DBF8C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8E19B0">
            <w:pPr>
              <w:spacing w:line="360" w:lineRule="auto"/>
              <w:jc w:val="both"/>
              <w:rPr>
                <w:rFonts w:ascii="Times New Roman" w:hAnsi="Times New Roman" w:cs="Times New Roman"/>
                <w:color w:val="auto"/>
              </w:rPr>
            </w:pPr>
          </w:p>
        </w:tc>
      </w:tr>
      <w:tr w14:paraId="4D43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EFF2AA">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77F216C4">
            <w:pPr>
              <w:spacing w:line="360" w:lineRule="auto"/>
              <w:jc w:val="both"/>
              <w:rPr>
                <w:rFonts w:ascii="Times New Roman" w:hAnsi="Times New Roman" w:cs="Times New Roman"/>
                <w:color w:val="auto"/>
              </w:rPr>
            </w:pPr>
            <w:r>
              <w:rPr>
                <w:rFonts w:ascii="Times New Roman" w:hAnsi="Times New Roman" w:cs="Times New Roman"/>
                <w:color w:val="auto"/>
              </w:rPr>
              <w:t>Lack of due process</w:t>
            </w:r>
          </w:p>
        </w:tc>
        <w:tc>
          <w:tcPr>
            <w:tcW w:w="869" w:type="dxa"/>
            <w:tcBorders>
              <w:top w:val="single" w:color="auto" w:sz="4" w:space="0"/>
              <w:left w:val="single" w:color="auto" w:sz="4" w:space="0"/>
              <w:bottom w:val="single" w:color="auto" w:sz="4" w:space="0"/>
              <w:right w:val="single" w:color="auto" w:sz="4" w:space="0"/>
            </w:tcBorders>
          </w:tcPr>
          <w:p w14:paraId="1978A3E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6CAEC8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823EA2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AB76EF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706CBEE">
            <w:pPr>
              <w:spacing w:line="360" w:lineRule="auto"/>
              <w:jc w:val="both"/>
              <w:rPr>
                <w:rFonts w:ascii="Times New Roman" w:hAnsi="Times New Roman" w:cs="Times New Roman"/>
                <w:color w:val="auto"/>
              </w:rPr>
            </w:pPr>
          </w:p>
        </w:tc>
      </w:tr>
      <w:tr w14:paraId="2EE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73D7F4">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9FDE026">
            <w:pPr>
              <w:spacing w:line="360" w:lineRule="auto"/>
              <w:jc w:val="both"/>
              <w:rPr>
                <w:rFonts w:ascii="Times New Roman" w:hAnsi="Times New Roman" w:cs="Times New Roman"/>
                <w:color w:val="auto"/>
              </w:rPr>
            </w:pPr>
            <w:r>
              <w:rPr>
                <w:rFonts w:ascii="Times New Roman" w:hAnsi="Times New Roman" w:cs="Times New Roman"/>
                <w:color w:val="auto"/>
              </w:rPr>
              <w:t>Lack of current selection tools</w:t>
            </w:r>
          </w:p>
        </w:tc>
        <w:tc>
          <w:tcPr>
            <w:tcW w:w="869" w:type="dxa"/>
            <w:tcBorders>
              <w:top w:val="single" w:color="auto" w:sz="4" w:space="0"/>
              <w:left w:val="single" w:color="auto" w:sz="4" w:space="0"/>
              <w:bottom w:val="single" w:color="auto" w:sz="4" w:space="0"/>
              <w:right w:val="single" w:color="auto" w:sz="4" w:space="0"/>
            </w:tcBorders>
          </w:tcPr>
          <w:p w14:paraId="05F166A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F68EB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9E559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CCC9CF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06C9CF">
            <w:pPr>
              <w:spacing w:line="360" w:lineRule="auto"/>
              <w:jc w:val="both"/>
              <w:rPr>
                <w:rFonts w:ascii="Times New Roman" w:hAnsi="Times New Roman" w:cs="Times New Roman"/>
                <w:color w:val="auto"/>
              </w:rPr>
            </w:pPr>
          </w:p>
        </w:tc>
      </w:tr>
      <w:tr w14:paraId="14F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A14A7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2E33EC29">
            <w:pPr>
              <w:spacing w:line="360" w:lineRule="auto"/>
              <w:jc w:val="both"/>
              <w:rPr>
                <w:rFonts w:ascii="Times New Roman" w:hAnsi="Times New Roman" w:cs="Times New Roman"/>
                <w:color w:val="auto"/>
              </w:rPr>
            </w:pPr>
            <w:r>
              <w:rPr>
                <w:rFonts w:ascii="Times New Roman" w:hAnsi="Times New Roman" w:cs="Times New Roman"/>
                <w:color w:val="auto"/>
              </w:rPr>
              <w:t>Insufficient content with source of supply</w:t>
            </w:r>
          </w:p>
        </w:tc>
        <w:tc>
          <w:tcPr>
            <w:tcW w:w="869" w:type="dxa"/>
            <w:tcBorders>
              <w:top w:val="single" w:color="auto" w:sz="4" w:space="0"/>
              <w:left w:val="single" w:color="auto" w:sz="4" w:space="0"/>
              <w:bottom w:val="single" w:color="auto" w:sz="4" w:space="0"/>
              <w:right w:val="single" w:color="auto" w:sz="4" w:space="0"/>
            </w:tcBorders>
          </w:tcPr>
          <w:p w14:paraId="109CED0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67C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83A3E0C">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B93D7FC">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4AB1836">
            <w:pPr>
              <w:spacing w:line="360" w:lineRule="auto"/>
              <w:jc w:val="both"/>
              <w:rPr>
                <w:rFonts w:ascii="Times New Roman" w:hAnsi="Times New Roman" w:cs="Times New Roman"/>
                <w:color w:val="auto"/>
              </w:rPr>
            </w:pPr>
          </w:p>
        </w:tc>
      </w:tr>
      <w:tr w14:paraId="131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B9A5B8">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4FC88389">
            <w:pPr>
              <w:spacing w:line="360" w:lineRule="auto"/>
              <w:jc w:val="both"/>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869" w:type="dxa"/>
            <w:tcBorders>
              <w:top w:val="single" w:color="auto" w:sz="4" w:space="0"/>
              <w:left w:val="single" w:color="auto" w:sz="4" w:space="0"/>
              <w:bottom w:val="single" w:color="auto" w:sz="4" w:space="0"/>
              <w:right w:val="single" w:color="auto" w:sz="4" w:space="0"/>
            </w:tcBorders>
          </w:tcPr>
          <w:p w14:paraId="6B1E9CD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45F45B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149D32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B391D81">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C7AC7A3">
            <w:pPr>
              <w:spacing w:line="360" w:lineRule="auto"/>
              <w:jc w:val="both"/>
              <w:rPr>
                <w:rFonts w:ascii="Times New Roman" w:hAnsi="Times New Roman" w:cs="Times New Roman"/>
                <w:color w:val="auto"/>
              </w:rPr>
            </w:pPr>
          </w:p>
        </w:tc>
      </w:tr>
      <w:tr w14:paraId="363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FD6E1F5">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7B0EAD8">
            <w:pPr>
              <w:spacing w:line="360" w:lineRule="auto"/>
              <w:jc w:val="both"/>
              <w:rPr>
                <w:rFonts w:ascii="Times New Roman" w:hAnsi="Times New Roman" w:cs="Times New Roman"/>
                <w:color w:val="auto"/>
              </w:rPr>
            </w:pPr>
            <w:r>
              <w:rPr>
                <w:rFonts w:ascii="Times New Roman" w:hAnsi="Times New Roman" w:cs="Times New Roman"/>
                <w:color w:val="auto"/>
              </w:rPr>
              <w:t>Few resources in our dominant languages</w:t>
            </w:r>
          </w:p>
        </w:tc>
        <w:tc>
          <w:tcPr>
            <w:tcW w:w="869" w:type="dxa"/>
            <w:tcBorders>
              <w:top w:val="single" w:color="auto" w:sz="4" w:space="0"/>
              <w:left w:val="single" w:color="auto" w:sz="4" w:space="0"/>
              <w:bottom w:val="single" w:color="auto" w:sz="4" w:space="0"/>
              <w:right w:val="single" w:color="auto" w:sz="4" w:space="0"/>
            </w:tcBorders>
          </w:tcPr>
          <w:p w14:paraId="6334E79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DE74899">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5C5C93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26D893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231FAB">
            <w:pPr>
              <w:spacing w:line="360" w:lineRule="auto"/>
              <w:jc w:val="both"/>
              <w:rPr>
                <w:rFonts w:ascii="Times New Roman" w:hAnsi="Times New Roman" w:cs="Times New Roman"/>
                <w:color w:val="auto"/>
              </w:rPr>
            </w:pPr>
          </w:p>
        </w:tc>
      </w:tr>
      <w:tr w14:paraId="6CF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EEC8F2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231BDA8A">
            <w:pPr>
              <w:spacing w:line="360" w:lineRule="auto"/>
              <w:jc w:val="both"/>
              <w:rPr>
                <w:rFonts w:ascii="Times New Roman" w:hAnsi="Times New Roman" w:cs="Times New Roman"/>
                <w:color w:val="auto"/>
              </w:rPr>
            </w:pPr>
            <w:r>
              <w:rPr>
                <w:rFonts w:ascii="Times New Roman" w:hAnsi="Times New Roman" w:cs="Times New Roman"/>
                <w:color w:val="auto"/>
              </w:rPr>
              <w:t>Administrative bottlenecks in administrative process</w:t>
            </w:r>
          </w:p>
        </w:tc>
        <w:tc>
          <w:tcPr>
            <w:tcW w:w="869" w:type="dxa"/>
            <w:tcBorders>
              <w:top w:val="single" w:color="auto" w:sz="4" w:space="0"/>
              <w:left w:val="single" w:color="auto" w:sz="4" w:space="0"/>
              <w:bottom w:val="single" w:color="auto" w:sz="4" w:space="0"/>
              <w:right w:val="single" w:color="auto" w:sz="4" w:space="0"/>
            </w:tcBorders>
          </w:tcPr>
          <w:p w14:paraId="40F6687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EBF776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9D553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39508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10EF7F">
            <w:pPr>
              <w:spacing w:line="360" w:lineRule="auto"/>
              <w:jc w:val="both"/>
              <w:rPr>
                <w:rFonts w:ascii="Times New Roman" w:hAnsi="Times New Roman" w:cs="Times New Roman"/>
                <w:color w:val="auto"/>
              </w:rPr>
            </w:pPr>
          </w:p>
        </w:tc>
      </w:tr>
      <w:tr w14:paraId="4B7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380C8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2422BA3">
            <w:pPr>
              <w:spacing w:line="360" w:lineRule="auto"/>
              <w:jc w:val="both"/>
              <w:rPr>
                <w:rFonts w:ascii="Times New Roman" w:hAnsi="Times New Roman" w:cs="Times New Roman"/>
                <w:color w:val="auto"/>
              </w:rPr>
            </w:pPr>
            <w:r>
              <w:rPr>
                <w:rFonts w:ascii="Times New Roman" w:hAnsi="Times New Roman" w:cs="Times New Roman"/>
                <w:color w:val="auto"/>
              </w:rPr>
              <w:t>High cost of legal information materials</w:t>
            </w:r>
          </w:p>
        </w:tc>
        <w:tc>
          <w:tcPr>
            <w:tcW w:w="869" w:type="dxa"/>
            <w:tcBorders>
              <w:top w:val="single" w:color="auto" w:sz="4" w:space="0"/>
              <w:left w:val="single" w:color="auto" w:sz="4" w:space="0"/>
              <w:bottom w:val="single" w:color="auto" w:sz="4" w:space="0"/>
              <w:right w:val="single" w:color="auto" w:sz="4" w:space="0"/>
            </w:tcBorders>
          </w:tcPr>
          <w:p w14:paraId="4A51293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876C6E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1D2438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AFAADA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546DE9D">
            <w:pPr>
              <w:spacing w:line="360" w:lineRule="auto"/>
              <w:jc w:val="both"/>
              <w:rPr>
                <w:rFonts w:ascii="Times New Roman" w:hAnsi="Times New Roman" w:cs="Times New Roman"/>
                <w:color w:val="auto"/>
              </w:rPr>
            </w:pPr>
          </w:p>
        </w:tc>
      </w:tr>
      <w:tr w14:paraId="49E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7B02C9CA">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0B2D99">
      <w:pPr>
        <w:spacing w:line="360" w:lineRule="auto"/>
        <w:rPr>
          <w:color w:val="auto"/>
        </w:rPr>
      </w:pPr>
    </w:p>
    <w:sectPr>
      <w:footerReference r:id="rId6" w:type="default"/>
      <w:pgSz w:w="11664" w:h="14688"/>
      <w:pgMar w:top="1440" w:right="1440" w:bottom="1440" w:left="1440" w:header="708" w:footer="706"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B9E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9B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eQJvVAAAA&#10;CAEAAA8AAAAAAAAAAQAgAAAAIgAAAGRycy9kb3ducmV2LnhtbFBLAQIUABQAAAAIAIdO4kBcLeX6&#10;IAIAAGAEAAAOAAAAAAAAAAEAIAAAACQBAABkcnMvZTJvRG9jLnhtbFBLBQYAAAAABgAGAFkBAAC2&#10;BQAAAAA=&#10;">
              <v:fill on="f" focussize="0,0"/>
              <v:stroke on="f" weight="0.5pt"/>
              <v:imagedata o:title=""/>
              <o:lock v:ext="edit" aspectratio="f"/>
              <v:textbox inset="0mm,0mm,0mm,0mm" style="mso-fit-shape-to-text:t;">
                <w:txbxContent>
                  <w:p w14:paraId="2DF09B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4B6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9ED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DE9ED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9B84"/>
    <w:multiLevelType w:val="multilevel"/>
    <w:tmpl w:val="BBD79B84"/>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2A7BBC"/>
    <w:multiLevelType w:val="multilevel"/>
    <w:tmpl w:val="002A7B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B84591"/>
    <w:multiLevelType w:val="multilevel"/>
    <w:tmpl w:val="00B84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3E5769B"/>
    <w:multiLevelType w:val="multilevel"/>
    <w:tmpl w:val="13E576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F04984"/>
    <w:multiLevelType w:val="multilevel"/>
    <w:tmpl w:val="20F04984"/>
    <w:lvl w:ilvl="0" w:tentative="0">
      <w:start w:val="1"/>
      <w:numFmt w:val="decimal"/>
      <w:lvlText w:val="%1."/>
      <w:lvlJc w:val="left"/>
      <w:pPr>
        <w:ind w:left="720" w:hanging="36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2CD06B6A"/>
    <w:multiLevelType w:val="multilevel"/>
    <w:tmpl w:val="2CD06B6A"/>
    <w:lvl w:ilvl="0" w:tentative="0">
      <w:start w:val="1"/>
      <w:numFmt w:val="decimal"/>
      <w:lvlText w:val="%1."/>
      <w:lvlJc w:val="left"/>
      <w:pPr>
        <w:ind w:left="720" w:hanging="360"/>
      </w:pPr>
      <w:rPr>
        <w:rFonts w:hint="default" w:ascii="Times New Roman" w:hAnsi="Times New Roman" w:cs="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1B54B8"/>
    <w:multiLevelType w:val="multilevel"/>
    <w:tmpl w:val="3A1B54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124F9A"/>
    <w:multiLevelType w:val="multilevel"/>
    <w:tmpl w:val="43124F9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FE83A24"/>
    <w:multiLevelType w:val="multilevel"/>
    <w:tmpl w:val="4FE83A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6DE4B03"/>
    <w:multiLevelType w:val="multilevel"/>
    <w:tmpl w:val="56DE4B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52F1487"/>
    <w:multiLevelType w:val="multilevel"/>
    <w:tmpl w:val="652F14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966B23"/>
    <w:multiLevelType w:val="multilevel"/>
    <w:tmpl w:val="7F966B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12"/>
  </w:num>
  <w:num w:numId="4">
    <w:abstractNumId w:val="4"/>
  </w:num>
  <w:num w:numId="5">
    <w:abstractNumId w:val="11"/>
  </w:num>
  <w:num w:numId="6">
    <w:abstractNumId w:val="10"/>
  </w:num>
  <w:num w:numId="7">
    <w:abstractNumId w:val="2"/>
  </w:num>
  <w:num w:numId="8">
    <w:abstractNumId w:val="1"/>
  </w:num>
  <w:num w:numId="9">
    <w:abstractNumId w:val="7"/>
  </w:num>
  <w:num w:numId="10">
    <w:abstractNumId w:val="3"/>
  </w:num>
  <w:num w:numId="11">
    <w:abstractNumId w:val="8"/>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091B"/>
    <w:rsid w:val="095E63F5"/>
    <w:rsid w:val="0E91081A"/>
    <w:rsid w:val="2F37373D"/>
    <w:rsid w:val="3CE869DB"/>
    <w:rsid w:val="44E85171"/>
    <w:rsid w:val="48C131ED"/>
    <w:rsid w:val="4CD751A0"/>
    <w:rsid w:val="580F0AD5"/>
    <w:rsid w:val="64736928"/>
    <w:rsid w:val="6A5663C4"/>
    <w:rsid w:val="6B81091B"/>
    <w:rsid w:val="70B82EFE"/>
    <w:rsid w:val="751D3132"/>
    <w:rsid w:val="75B4425D"/>
    <w:rsid w:val="77EE7FAE"/>
    <w:rsid w:val="7E4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24"/>
      <w:ind w:left="572" w:hanging="433"/>
      <w:outlineLvl w:val="0"/>
    </w:pPr>
    <w:rPr>
      <w:rFonts w:ascii="Calibri Light" w:hAnsi="Calibri Light" w:eastAsia="Calibri Light" w:cs="Calibri Light"/>
      <w:sz w:val="32"/>
      <w:szCs w:val="32"/>
    </w:rPr>
  </w:style>
  <w:style w:type="paragraph" w:styleId="3">
    <w:name w:val="heading 2"/>
    <w:basedOn w:val="1"/>
    <w:next w:val="1"/>
    <w:unhideWhenUsed/>
    <w:qFormat/>
    <w:uiPriority w:val="99"/>
    <w:pPr>
      <w:keepNext/>
      <w:keepLines/>
      <w:widowControl w:val="0"/>
      <w:spacing w:before="200" w:after="0" w:line="271" w:lineRule="auto"/>
      <w:outlineLvl w:val="1"/>
    </w:pPr>
    <w:rPr>
      <w:rFonts w:ascii="Cambria" w:hAnsi="Cambria" w:eastAsia="SimSun" w:cs="Times New Roman"/>
      <w:b/>
      <w:bCs/>
      <w:color w:val="4F81BD"/>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qFormat/>
    <w:uiPriority w:val="2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qFormat/>
    <w:uiPriority w:val="22"/>
    <w:rPr>
      <w:b/>
      <w:bCs/>
    </w:rPr>
  </w:style>
  <w:style w:type="table" w:styleId="12">
    <w:name w:val="Table Grid"/>
    <w:basedOn w:val="5"/>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spacing w:after="200" w:line="276" w:lineRule="auto"/>
      <w:ind w:left="720"/>
      <w:contextualSpacing/>
    </w:pPr>
    <w:rPr>
      <w:rFonts w:ascii="Calibri" w:hAnsi="Calibri" w:eastAsia="SimSun" w:cs="Times New Roman"/>
      <w:lang w:eastAsia="zh-CN"/>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character" w:customStyle="1" w:styleId="15">
    <w:name w:val="fnref"/>
    <w:basedOn w:val="4"/>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5</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2024-06-28T09:23:00Z</dcterms:created>
  <dc:creator>user</dc:creator>
  <cp:lastModifiedBy>WPS_1617172529</cp:lastModifiedBy>
  <cp:lastPrinted>2024-06-28T12:39:00Z</cp:lastPrinted>
  <dcterms:modified xsi:type="dcterms:W3CDTF">2025-06-30T16:29:03Z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53634AA7E28144E7A32E868A122F91C5_11</vt:lpwstr>
  </property>
</Properties>
</file>