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F702">
      <w:pPr>
        <w:jc w:val="center"/>
        <w:rPr>
          <w:rStyle w:val="11"/>
          <w:b/>
          <w:sz w:val="28"/>
          <w:szCs w:val="28"/>
        </w:rPr>
      </w:pPr>
      <w:r>
        <w:rPr>
          <w:rStyle w:val="11"/>
          <w:b/>
          <w:sz w:val="28"/>
          <w:szCs w:val="28"/>
        </w:rPr>
        <w:t xml:space="preserve">ADOPTION OF OPEN ACCESS (AO) FOR LEARNING AND RESEARCH </w:t>
      </w:r>
      <w:r>
        <w:rPr>
          <w:rStyle w:val="11"/>
          <w:rFonts w:hint="default"/>
          <w:b/>
          <w:sz w:val="28"/>
          <w:szCs w:val="28"/>
          <w:lang w:val="en-US"/>
        </w:rPr>
        <w:t xml:space="preserve">AMONG </w:t>
      </w:r>
      <w:r>
        <w:rPr>
          <w:rStyle w:val="11"/>
          <w:b/>
          <w:sz w:val="28"/>
          <w:szCs w:val="28"/>
        </w:rPr>
        <w:t>USERS OF UNIVERSITY OF ILORIN LIBRARY</w:t>
      </w:r>
    </w:p>
    <w:p w14:paraId="17950591">
      <w:pPr>
        <w:jc w:val="center"/>
        <w:rPr>
          <w:rStyle w:val="11"/>
          <w:b/>
          <w:sz w:val="28"/>
          <w:szCs w:val="28"/>
        </w:rPr>
      </w:pPr>
    </w:p>
    <w:p w14:paraId="06A6D554">
      <w:pPr>
        <w:spacing w:line="360" w:lineRule="auto"/>
        <w:ind w:left="3600" w:leftChars="0" w:firstLine="720" w:firstLineChars="0"/>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4B62DBE7">
      <w:pPr>
        <w:spacing w:line="24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ADEBAYO, RUFUS OLAMILEKAN</w:t>
      </w:r>
    </w:p>
    <w:p w14:paraId="30F78070">
      <w:pPr>
        <w:spacing w:line="24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ND/2</w:t>
      </w:r>
      <w:r>
        <w:rPr>
          <w:rFonts w:hint="default" w:ascii="Times New Roman" w:hAnsi="Times New Roman" w:cs="Times New Roman"/>
          <w:b/>
          <w:bCs w:val="0"/>
          <w:sz w:val="24"/>
          <w:szCs w:val="24"/>
          <w:lang w:val="en-US"/>
        </w:rPr>
        <w:t>3</w:t>
      </w:r>
      <w:r>
        <w:rPr>
          <w:rFonts w:hint="default" w:ascii="Times New Roman" w:hAnsi="Times New Roman" w:cs="Times New Roman"/>
          <w:b/>
          <w:bCs w:val="0"/>
          <w:sz w:val="24"/>
          <w:szCs w:val="24"/>
        </w:rPr>
        <w:t>/LIS/</w:t>
      </w:r>
      <w:r>
        <w:rPr>
          <w:rFonts w:hint="default" w:ascii="Times New Roman" w:hAnsi="Times New Roman" w:cs="Times New Roman"/>
          <w:b/>
          <w:bCs w:val="0"/>
          <w:sz w:val="24"/>
          <w:szCs w:val="24"/>
          <w:lang w:val="en-US"/>
        </w:rPr>
        <w:t>F</w:t>
      </w:r>
      <w:r>
        <w:rPr>
          <w:rFonts w:hint="default" w:ascii="Times New Roman" w:hAnsi="Times New Roman" w:cs="Times New Roman"/>
          <w:b/>
          <w:bCs w:val="0"/>
          <w:sz w:val="24"/>
          <w:szCs w:val="24"/>
        </w:rPr>
        <w:t>T/</w:t>
      </w:r>
      <w:r>
        <w:rPr>
          <w:rFonts w:hint="default" w:ascii="Times New Roman" w:hAnsi="Times New Roman" w:cs="Times New Roman"/>
          <w:b/>
          <w:bCs w:val="0"/>
          <w:sz w:val="24"/>
          <w:szCs w:val="24"/>
          <w:lang w:val="en-US"/>
        </w:rPr>
        <w:t>0024</w:t>
      </w:r>
    </w:p>
    <w:p w14:paraId="611A4297">
      <w:pPr>
        <w:spacing w:line="360" w:lineRule="auto"/>
        <w:jc w:val="both"/>
        <w:rPr>
          <w:rFonts w:hint="default" w:ascii="Times New Roman" w:hAnsi="Times New Roman" w:cs="Times New Roman"/>
          <w:b/>
          <w:bCs w:val="0"/>
          <w:sz w:val="24"/>
          <w:szCs w:val="24"/>
        </w:rPr>
      </w:pPr>
    </w:p>
    <w:p w14:paraId="381B801F">
      <w:pPr>
        <w:spacing w:line="360" w:lineRule="auto"/>
        <w:jc w:val="both"/>
        <w:rPr>
          <w:rFonts w:hint="default" w:ascii="Times New Roman" w:hAnsi="Times New Roman" w:cs="Times New Roman"/>
          <w:b/>
          <w:bCs w:val="0"/>
          <w:sz w:val="24"/>
          <w:szCs w:val="24"/>
        </w:rPr>
      </w:pPr>
    </w:p>
    <w:p w14:paraId="76F50175">
      <w:pPr>
        <w:spacing w:line="360" w:lineRule="auto"/>
        <w:jc w:val="both"/>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1CDE06D7">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003070EF">
      <w:pPr>
        <w:spacing w:line="360" w:lineRule="auto"/>
        <w:ind w:left="5760" w:leftChars="0" w:firstLine="720"/>
        <w:jc w:val="center"/>
        <w:rPr>
          <w:rFonts w:hint="default" w:ascii="Times New Roman" w:hAnsi="Times New Roman" w:cs="Times New Roman"/>
          <w:b/>
          <w:bCs w:val="0"/>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DD78372">
      <w:pPr>
        <w:spacing w:line="360" w:lineRule="auto"/>
        <w:jc w:val="both"/>
        <w:rPr>
          <w:rFonts w:hint="default" w:ascii="Times New Roman" w:hAnsi="Times New Roman" w:cs="Times New Roman"/>
          <w:b/>
          <w:bCs w:val="0"/>
          <w:sz w:val="24"/>
          <w:szCs w:val="24"/>
        </w:rPr>
      </w:pPr>
    </w:p>
    <w:p w14:paraId="7A755BAC">
      <w:pPr>
        <w:spacing w:line="360" w:lineRule="auto"/>
        <w:jc w:val="both"/>
        <w:rPr>
          <w:rFonts w:hint="default" w:ascii="Times New Roman" w:hAnsi="Times New Roman" w:cs="Times New Roman"/>
          <w:b/>
          <w:bCs w:val="0"/>
          <w:sz w:val="24"/>
          <w:szCs w:val="24"/>
        </w:rPr>
      </w:pPr>
    </w:p>
    <w:p w14:paraId="731A15EC">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w:t>
      </w:r>
      <w:r>
        <w:rPr>
          <w:rFonts w:hint="default" w:ascii="Times New Roman" w:hAnsi="Times New Roman" w:cs="Times New Roman"/>
          <w:sz w:val="24"/>
          <w:szCs w:val="24"/>
          <w:lang w:val="en-US"/>
        </w:rPr>
        <w:t>, Mr and Mrs Adebayo</w:t>
      </w:r>
      <w:bookmarkStart w:id="0" w:name="_GoBack"/>
      <w:bookmarkEnd w:id="0"/>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rPr>
          <w:rFonts w:hint="default" w:ascii="Times New Roman" w:hAnsi="Times New Roman" w:cs="Times New Roman"/>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68FD938F">
      <w:pPr>
        <w:jc w:val="both"/>
        <w:rPr>
          <w:rFonts w:ascii="Times New Roman" w:hAnsi="Times New Roman" w:cs="Times New Roman"/>
          <w:b/>
          <w:color w:val="000000"/>
          <w:sz w:val="28"/>
          <w:szCs w:val="28"/>
        </w:rPr>
      </w:pPr>
    </w:p>
    <w:p w14:paraId="3B0D4430">
      <w:pPr>
        <w:spacing w:line="480" w:lineRule="auto"/>
        <w:jc w:val="center"/>
        <w:rPr>
          <w:rFonts w:ascii="Times New Roman" w:hAnsi="Times New Roman" w:eastAsia="Times New Roman" w:cs="Times New Roman"/>
          <w:b/>
          <w:sz w:val="24"/>
          <w:szCs w:val="24"/>
        </w:rPr>
      </w:pPr>
      <w:r>
        <w:br w:type="page"/>
      </w:r>
      <w:r>
        <w:rPr>
          <w:rFonts w:hint="default" w:ascii="Times New Roman" w:hAnsi="Times New Roman" w:cs="Times New Roman"/>
          <w:b/>
          <w:bCs/>
          <w:sz w:val="28"/>
          <w:szCs w:val="28"/>
          <w:lang w:val="en-US"/>
        </w:rPr>
        <w:t xml:space="preserve">TABLE OF </w:t>
      </w:r>
      <w:r>
        <w:rPr>
          <w:rFonts w:hint="default" w:ascii="Times New Roman" w:hAnsi="Times New Roman" w:eastAsia="Times New Roman" w:cs="Times New Roman"/>
          <w:b/>
          <w:bCs/>
          <w:sz w:val="28"/>
          <w:szCs w:val="28"/>
        </w:rPr>
        <w:t>CONTENTS</w:t>
      </w:r>
    </w:p>
    <w:p w14:paraId="7093E39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Title Page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w:t>
      </w:r>
    </w:p>
    <w:p w14:paraId="685255B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w:t>
      </w:r>
    </w:p>
    <w:p w14:paraId="25E2AA1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Dedication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iii</w:t>
      </w:r>
    </w:p>
    <w:p w14:paraId="42E5250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Acknowledgement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iv</w:t>
      </w:r>
    </w:p>
    <w:p w14:paraId="247D3BF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List of Tables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w:t>
      </w:r>
    </w:p>
    <w:p w14:paraId="47A577D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Abbreviations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w:t>
      </w:r>
    </w:p>
    <w:p w14:paraId="310CC93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Abstract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vii</w:t>
      </w:r>
    </w:p>
    <w:p w14:paraId="15C2D54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Contents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viii</w:t>
      </w:r>
    </w:p>
    <w:p w14:paraId="410264BD">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ONE: Introduction</w:t>
      </w:r>
    </w:p>
    <w:p w14:paraId="31E30AF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Background to the Study </w:t>
      </w:r>
      <w:r>
        <w:rPr>
          <w:rFonts w:hint="default" w:ascii="Times New Roman" w:hAnsi="Times New Roman" w:cs="Times New Roman"/>
          <w:sz w:val="24"/>
          <w:szCs w:val="24"/>
          <w:lang w:val="en-US"/>
        </w:rPr>
        <w:t>……………………………………………………3</w:t>
      </w:r>
    </w:p>
    <w:p w14:paraId="2617F973">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hint="default" w:ascii="Times New Roman" w:hAnsi="Times New Roman" w:cs="Times New Roman"/>
          <w:sz w:val="24"/>
          <w:szCs w:val="24"/>
          <w:lang w:val="en-US"/>
        </w:rPr>
        <w:t>…………………………………………………….3</w:t>
      </w:r>
    </w:p>
    <w:p w14:paraId="529DE71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r>
        <w:rPr>
          <w:rFonts w:hint="default" w:ascii="Times New Roman" w:hAnsi="Times New Roman" w:cs="Times New Roman"/>
          <w:sz w:val="24"/>
          <w:szCs w:val="24"/>
          <w:lang w:val="en-US"/>
        </w:rPr>
        <w:t>……………………………………………………….4</w:t>
      </w:r>
    </w:p>
    <w:p w14:paraId="539AC58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w:t>
      </w:r>
      <w:r>
        <w:rPr>
          <w:rFonts w:hint="default" w:ascii="Times New Roman" w:hAnsi="Times New Roman" w:cs="Times New Roman"/>
          <w:sz w:val="24"/>
          <w:szCs w:val="24"/>
          <w:lang w:val="en-US"/>
        </w:rPr>
        <w:t>…………………………………………………………….5</w:t>
      </w:r>
    </w:p>
    <w:p w14:paraId="49E5B5FB">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hint="default" w:ascii="Times New Roman" w:hAnsi="Times New Roman" w:cs="Times New Roman"/>
          <w:sz w:val="24"/>
          <w:szCs w:val="24"/>
          <w:lang w:val="en-US"/>
        </w:rPr>
        <w:t>………………………………………………………5</w:t>
      </w:r>
    </w:p>
    <w:p w14:paraId="0B17BAC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and Limitation of the Study</w:t>
      </w:r>
      <w:r>
        <w:rPr>
          <w:rFonts w:hint="default" w:ascii="Times New Roman" w:hAnsi="Times New Roman" w:cs="Times New Roman"/>
          <w:sz w:val="24"/>
          <w:szCs w:val="24"/>
          <w:lang w:val="en-US"/>
        </w:rPr>
        <w:t>……………………………………………..6</w:t>
      </w:r>
    </w:p>
    <w:p w14:paraId="01D85E07">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 of Terms</w:t>
      </w:r>
      <w:r>
        <w:rPr>
          <w:rFonts w:hint="default" w:ascii="Times New Roman" w:hAnsi="Times New Roman" w:cs="Times New Roman"/>
          <w:sz w:val="24"/>
          <w:szCs w:val="24"/>
          <w:lang w:val="en-US"/>
        </w:rPr>
        <w:t>………………………………………………..6</w:t>
      </w:r>
    </w:p>
    <w:p w14:paraId="47A656FC">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14:paraId="45B5FCCB">
      <w:pPr>
        <w:spacing w:after="0" w:line="360" w:lineRule="auto"/>
        <w:ind w:right="26"/>
        <w:jc w:val="both"/>
        <w:rPr>
          <w:rFonts w:hint="default"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……………………………………………………………………..7</w:t>
      </w:r>
    </w:p>
    <w:p w14:paraId="60210DB8">
      <w:pPr>
        <w:spacing w:after="0" w:line="360" w:lineRule="auto"/>
        <w:ind w:right="26"/>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Conceptual Framework</w:t>
      </w:r>
      <w:r>
        <w:rPr>
          <w:rFonts w:hint="default" w:ascii="Times New Roman" w:hAnsi="Times New Roman" w:cs="Times New Roman"/>
          <w:sz w:val="24"/>
          <w:szCs w:val="24"/>
          <w:lang w:val="en-US"/>
        </w:rPr>
        <w:t>………………………………………………………….7</w:t>
      </w:r>
    </w:p>
    <w:p w14:paraId="5318A839">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bCs/>
          <w:sz w:val="24"/>
          <w:szCs w:val="24"/>
        </w:rPr>
        <w:t>Open access</w:t>
      </w:r>
      <w:r>
        <w:rPr>
          <w:rFonts w:ascii="Times New Roman" w:hAnsi="Times New Roman" w:cs="Times New Roman"/>
          <w:sz w:val="24"/>
          <w:szCs w:val="24"/>
        </w:rPr>
        <w:t> </w:t>
      </w:r>
      <w:r>
        <w:rPr>
          <w:rFonts w:hint="default" w:ascii="Times New Roman" w:hAnsi="Times New Roman" w:cs="Times New Roman"/>
          <w:sz w:val="24"/>
          <w:szCs w:val="24"/>
          <w:lang w:val="en-US"/>
        </w:rPr>
        <w:t>………………………………………………………………………7</w:t>
      </w:r>
    </w:p>
    <w:p w14:paraId="0C8ADA1E">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Adoption of Open Access by Libraries</w:t>
      </w:r>
      <w:r>
        <w:rPr>
          <w:rFonts w:hint="default" w:ascii="Times New Roman" w:hAnsi="Times New Roman" w:cs="Times New Roman"/>
          <w:sz w:val="24"/>
          <w:szCs w:val="24"/>
          <w:lang w:val="en-US"/>
        </w:rPr>
        <w:t>…………………………………………12</w:t>
      </w:r>
    </w:p>
    <w:p w14:paraId="4D0BF645">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2.2.3</w:t>
      </w:r>
      <w:r>
        <w:rPr>
          <w:rFonts w:ascii="Times New Roman" w:hAnsi="Times New Roman" w:cs="Times New Roman"/>
          <w:sz w:val="24"/>
          <w:szCs w:val="24"/>
        </w:rPr>
        <w:tab/>
      </w:r>
      <w:r>
        <w:rPr>
          <w:rFonts w:ascii="Times New Roman" w:hAnsi="Times New Roman" w:cs="Times New Roman"/>
          <w:sz w:val="24"/>
          <w:szCs w:val="24"/>
        </w:rPr>
        <w:t>Frequency of Usage of Open Access</w:t>
      </w:r>
      <w:r>
        <w:rPr>
          <w:rFonts w:hint="default" w:ascii="Times New Roman" w:hAnsi="Times New Roman" w:cs="Times New Roman"/>
          <w:sz w:val="24"/>
          <w:szCs w:val="24"/>
          <w:lang w:val="en-US"/>
        </w:rPr>
        <w:t>……………………………………………14</w:t>
      </w:r>
    </w:p>
    <w:p w14:paraId="7ED04E86">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2.2.4</w:t>
      </w:r>
      <w:r>
        <w:rPr>
          <w:rFonts w:ascii="Times New Roman" w:hAnsi="Times New Roman" w:cs="Times New Roman"/>
          <w:sz w:val="24"/>
          <w:szCs w:val="24"/>
        </w:rPr>
        <w:tab/>
      </w:r>
      <w:r>
        <w:rPr>
          <w:rFonts w:ascii="Times New Roman" w:hAnsi="Times New Roman" w:cs="Times New Roman"/>
          <w:sz w:val="24"/>
          <w:szCs w:val="24"/>
        </w:rPr>
        <w:t>Types of Open Access</w:t>
      </w:r>
      <w:r>
        <w:rPr>
          <w:rFonts w:hint="default" w:ascii="Times New Roman" w:hAnsi="Times New Roman" w:cs="Times New Roman"/>
          <w:sz w:val="24"/>
          <w:szCs w:val="24"/>
          <w:lang w:val="en-US"/>
        </w:rPr>
        <w:t>…………………………………………………………17</w:t>
      </w:r>
    </w:p>
    <w:p w14:paraId="65CB2C84">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2.2.5</w:t>
      </w:r>
      <w:r>
        <w:rPr>
          <w:rFonts w:ascii="Times New Roman" w:hAnsi="Times New Roman" w:cs="Times New Roman"/>
          <w:sz w:val="24"/>
          <w:szCs w:val="24"/>
        </w:rPr>
        <w:tab/>
      </w:r>
      <w:r>
        <w:rPr>
          <w:rFonts w:ascii="Times New Roman" w:hAnsi="Times New Roman" w:cs="Times New Roman"/>
          <w:sz w:val="24"/>
          <w:szCs w:val="24"/>
        </w:rPr>
        <w:t xml:space="preserve">The tools used for Open Access </w:t>
      </w:r>
      <w:r>
        <w:rPr>
          <w:rFonts w:hint="default" w:ascii="Times New Roman" w:hAnsi="Times New Roman" w:cs="Times New Roman"/>
          <w:sz w:val="24"/>
          <w:szCs w:val="24"/>
          <w:lang w:val="en-US"/>
        </w:rPr>
        <w:t>………………………………………………..18</w:t>
      </w:r>
    </w:p>
    <w:p w14:paraId="7B4317F4">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2.2.6</w:t>
      </w:r>
      <w:r>
        <w:rPr>
          <w:rFonts w:ascii="Times New Roman" w:hAnsi="Times New Roman" w:cs="Times New Roman"/>
          <w:sz w:val="24"/>
          <w:szCs w:val="24"/>
        </w:rPr>
        <w:tab/>
      </w:r>
      <w:r>
        <w:rPr>
          <w:rFonts w:ascii="Times New Roman" w:hAnsi="Times New Roman" w:cs="Times New Roman"/>
          <w:sz w:val="24"/>
          <w:szCs w:val="24"/>
        </w:rPr>
        <w:t xml:space="preserve">Benefits of using Open Access for Learning and Research </w:t>
      </w:r>
      <w:r>
        <w:rPr>
          <w:rFonts w:hint="default" w:ascii="Times New Roman" w:hAnsi="Times New Roman" w:cs="Times New Roman"/>
          <w:sz w:val="24"/>
          <w:szCs w:val="24"/>
          <w:lang w:val="en-US"/>
        </w:rPr>
        <w:t>…………………….19</w:t>
      </w:r>
    </w:p>
    <w:p w14:paraId="3F25077D">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2.2.7</w:t>
      </w:r>
      <w:r>
        <w:rPr>
          <w:rFonts w:ascii="Times New Roman" w:hAnsi="Times New Roman" w:cs="Times New Roman"/>
          <w:sz w:val="24"/>
          <w:szCs w:val="24"/>
        </w:rPr>
        <w:tab/>
      </w:r>
      <w:r>
        <w:rPr>
          <w:rFonts w:ascii="Times New Roman" w:hAnsi="Times New Roman" w:cs="Times New Roman"/>
          <w:sz w:val="24"/>
          <w:szCs w:val="24"/>
        </w:rPr>
        <w:t>Factors that affect the Acceptance and Adoption of Open Access</w:t>
      </w:r>
      <w:r>
        <w:rPr>
          <w:rFonts w:hint="default" w:ascii="Times New Roman" w:hAnsi="Times New Roman" w:cs="Times New Roman"/>
          <w:sz w:val="24"/>
          <w:szCs w:val="24"/>
          <w:lang w:val="en-US"/>
        </w:rPr>
        <w:t>…………….22</w:t>
      </w:r>
    </w:p>
    <w:p w14:paraId="521FDCC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Summary of Literature Reviewed</w:t>
      </w:r>
      <w:r>
        <w:rPr>
          <w:rFonts w:hint="default" w:ascii="Times New Roman" w:hAnsi="Times New Roman" w:cs="Times New Roman"/>
          <w:sz w:val="24"/>
          <w:szCs w:val="24"/>
          <w:lang w:val="en-US"/>
        </w:rPr>
        <w:t>………………………………………………23</w:t>
      </w:r>
    </w:p>
    <w:p w14:paraId="6CB9FB99">
      <w:pPr>
        <w:spacing w:after="0" w:line="240" w:lineRule="auto"/>
        <w:jc w:val="both"/>
        <w:rPr>
          <w:rFonts w:ascii="Times New Roman" w:hAnsi="Times New Roman" w:cs="Times New Roman"/>
          <w:b/>
          <w:sz w:val="24"/>
          <w:szCs w:val="24"/>
        </w:rPr>
      </w:pPr>
    </w:p>
    <w:p w14:paraId="44FA2687">
      <w:pPr>
        <w:spacing w:after="0" w:line="240" w:lineRule="auto"/>
        <w:jc w:val="both"/>
        <w:rPr>
          <w:rFonts w:ascii="Times New Roman" w:hAnsi="Times New Roman" w:cs="Times New Roman"/>
          <w:b/>
          <w:sz w:val="24"/>
          <w:szCs w:val="24"/>
        </w:rPr>
      </w:pPr>
    </w:p>
    <w:p w14:paraId="375E18A1">
      <w:pPr>
        <w:spacing w:after="0" w:line="240" w:lineRule="auto"/>
        <w:jc w:val="both"/>
        <w:rPr>
          <w:rFonts w:ascii="Times New Roman" w:hAnsi="Times New Roman" w:cs="Times New Roman"/>
          <w:b/>
          <w:sz w:val="24"/>
          <w:szCs w:val="24"/>
        </w:rPr>
      </w:pPr>
    </w:p>
    <w:p w14:paraId="1239BF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THREE: </w:t>
      </w:r>
      <w:r>
        <w:rPr>
          <w:rFonts w:ascii="Times New Roman" w:hAnsi="Times New Roman" w:eastAsia="Calibri" w:cs="Times New Roman"/>
          <w:b/>
          <w:sz w:val="24"/>
          <w:szCs w:val="24"/>
        </w:rPr>
        <w:t>RESEARCH METHODOLOGY</w:t>
      </w:r>
    </w:p>
    <w:p w14:paraId="6EED9AA8">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r>
        <w:rPr>
          <w:rFonts w:hint="default" w:ascii="Times New Roman" w:hAnsi="Times New Roman" w:cs="Times New Roman"/>
          <w:sz w:val="24"/>
          <w:szCs w:val="24"/>
          <w:lang w:val="en-US"/>
        </w:rPr>
        <w:t>…………………………………………………………….25</w:t>
      </w:r>
    </w:p>
    <w:p w14:paraId="3993A892">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hint="default" w:ascii="Times New Roman" w:hAnsi="Times New Roman" w:cs="Times New Roman"/>
          <w:sz w:val="24"/>
          <w:szCs w:val="24"/>
          <w:lang w:val="en-US"/>
        </w:rPr>
        <w:t>………………………………………………………25</w:t>
      </w:r>
    </w:p>
    <w:p w14:paraId="5F058CF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Sample and Sampling Techniques</w:t>
      </w:r>
      <w:r>
        <w:rPr>
          <w:rFonts w:hint="default" w:ascii="Times New Roman" w:hAnsi="Times New Roman" w:cs="Times New Roman"/>
          <w:sz w:val="24"/>
          <w:szCs w:val="24"/>
          <w:lang w:val="en-US"/>
        </w:rPr>
        <w:t>……………………………………………25</w:t>
      </w:r>
    </w:p>
    <w:p w14:paraId="26F3C99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Instrument for Data Collection</w:t>
      </w:r>
      <w:r>
        <w:rPr>
          <w:rFonts w:hint="default" w:ascii="Times New Roman" w:hAnsi="Times New Roman" w:cs="Times New Roman"/>
          <w:sz w:val="24"/>
          <w:szCs w:val="24"/>
          <w:lang w:val="en-US"/>
        </w:rPr>
        <w:t>……………………………………………….26</w:t>
      </w:r>
    </w:p>
    <w:p w14:paraId="71E42239">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Reliability and Validity of Research Instrument</w:t>
      </w:r>
      <w:r>
        <w:rPr>
          <w:rFonts w:hint="default" w:ascii="Times New Roman" w:hAnsi="Times New Roman" w:cs="Times New Roman"/>
          <w:sz w:val="24"/>
          <w:szCs w:val="24"/>
          <w:lang w:val="en-US"/>
        </w:rPr>
        <w:t>………………………………27</w:t>
      </w:r>
    </w:p>
    <w:p w14:paraId="2F436508">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Administration of the Instrument</w:t>
      </w:r>
      <w:r>
        <w:rPr>
          <w:rFonts w:hint="default" w:ascii="Times New Roman" w:hAnsi="Times New Roman" w:cs="Times New Roman"/>
          <w:sz w:val="24"/>
          <w:szCs w:val="24"/>
          <w:lang w:val="en-US"/>
        </w:rPr>
        <w:t>………………………………………………27</w:t>
      </w:r>
    </w:p>
    <w:p w14:paraId="369E183B">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Method of Data Analysis</w:t>
      </w:r>
      <w:r>
        <w:rPr>
          <w:rFonts w:hint="default" w:ascii="Times New Roman" w:hAnsi="Times New Roman" w:cs="Times New Roman"/>
          <w:sz w:val="24"/>
          <w:szCs w:val="24"/>
          <w:lang w:val="en-US"/>
        </w:rPr>
        <w:t>……………………………………………………….28</w:t>
      </w:r>
    </w:p>
    <w:p w14:paraId="1EF5BA33">
      <w:pPr>
        <w:spacing w:after="0" w:line="240" w:lineRule="auto"/>
        <w:rPr>
          <w:rFonts w:ascii="Times New Roman" w:hAnsi="Times New Roman" w:cs="Times New Roman"/>
          <w:sz w:val="24"/>
          <w:szCs w:val="24"/>
        </w:rPr>
      </w:pPr>
      <w:r>
        <w:rPr>
          <w:rFonts w:ascii="Times New Roman" w:hAnsi="Times New Roman" w:cs="Times New Roman"/>
          <w:b/>
          <w:sz w:val="24"/>
          <w:szCs w:val="24"/>
        </w:rPr>
        <w:t>CHAPTER FOUR: DATA PRESENTATION, ANALYSIS AND INTERPRETATION</w:t>
      </w:r>
    </w:p>
    <w:p w14:paraId="43C06763">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……………………………………………………………………29</w:t>
      </w:r>
    </w:p>
    <w:p w14:paraId="476EF769">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Return Rate</w:t>
      </w:r>
      <w:r>
        <w:rPr>
          <w:rFonts w:hint="default" w:ascii="Times New Roman" w:hAnsi="Times New Roman" w:cs="Times New Roman"/>
          <w:sz w:val="24"/>
          <w:szCs w:val="24"/>
          <w:lang w:val="en-US"/>
        </w:rPr>
        <w:t>…………………………………………………………………….29</w:t>
      </w:r>
    </w:p>
    <w:p w14:paraId="32C7EA31">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Analysis of Staff Questionnaire</w:t>
      </w:r>
      <w:r>
        <w:rPr>
          <w:rFonts w:hint="default" w:ascii="Times New Roman" w:hAnsi="Times New Roman" w:cs="Times New Roman"/>
          <w:sz w:val="24"/>
          <w:szCs w:val="24"/>
          <w:lang w:val="en-US"/>
        </w:rPr>
        <w:t>………………………………………………..29</w:t>
      </w:r>
    </w:p>
    <w:p w14:paraId="7E1CE920">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Answering Research Questions</w:t>
      </w:r>
      <w:r>
        <w:rPr>
          <w:rFonts w:hint="default" w:ascii="Times New Roman" w:hAnsi="Times New Roman" w:cs="Times New Roman"/>
          <w:sz w:val="24"/>
          <w:szCs w:val="24"/>
          <w:lang w:val="en-US"/>
        </w:rPr>
        <w:t>…………………………………………………30</w:t>
      </w:r>
    </w:p>
    <w:p w14:paraId="64E7DEB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Discussion of Findings</w:t>
      </w:r>
      <w:r>
        <w:rPr>
          <w:rFonts w:hint="default" w:ascii="Times New Roman" w:hAnsi="Times New Roman" w:cs="Times New Roman"/>
          <w:sz w:val="24"/>
          <w:szCs w:val="24"/>
          <w:lang w:val="en-US"/>
        </w:rPr>
        <w:t>………………………………………………………….41</w:t>
      </w:r>
    </w:p>
    <w:p w14:paraId="5243332F">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FIVE: SUMMARY OF FINDINGS, CONCLUSION AND RECOMMENDATIONS</w:t>
      </w:r>
    </w:p>
    <w:p w14:paraId="7DDCA02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Introductions</w:t>
      </w:r>
      <w:r>
        <w:rPr>
          <w:rFonts w:hint="default" w:ascii="Times New Roman" w:hAnsi="Times New Roman" w:cs="Times New Roman"/>
          <w:sz w:val="24"/>
          <w:szCs w:val="24"/>
          <w:lang w:val="en-US"/>
        </w:rPr>
        <w:t>……………………………………………………………………43</w:t>
      </w:r>
    </w:p>
    <w:p w14:paraId="07C1C2B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Summary</w:t>
      </w:r>
      <w:r>
        <w:rPr>
          <w:rFonts w:hint="default" w:ascii="Times New Roman" w:hAnsi="Times New Roman" w:cs="Times New Roman"/>
          <w:sz w:val="24"/>
          <w:szCs w:val="24"/>
          <w:lang w:val="en-US"/>
        </w:rPr>
        <w:t>……………………………………………………………………….43</w:t>
      </w:r>
    </w:p>
    <w:p w14:paraId="165A871F">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……………………………………………………………………..44</w:t>
      </w:r>
    </w:p>
    <w:p w14:paraId="74638181">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sz w:val="24"/>
          <w:szCs w:val="24"/>
        </w:rPr>
        <w:t>Recommendations</w:t>
      </w:r>
      <w:r>
        <w:rPr>
          <w:rFonts w:hint="default" w:ascii="Times New Roman" w:hAnsi="Times New Roman" w:cs="Times New Roman"/>
          <w:sz w:val="24"/>
          <w:szCs w:val="24"/>
          <w:lang w:val="en-US"/>
        </w:rPr>
        <w:t>………………………………………………………………45</w:t>
      </w:r>
    </w:p>
    <w:p w14:paraId="0B4952BD">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Areas for Further Studies</w:t>
      </w:r>
      <w:r>
        <w:rPr>
          <w:rFonts w:hint="default" w:ascii="Times New Roman" w:hAnsi="Times New Roman" w:cs="Times New Roman"/>
          <w:sz w:val="24"/>
          <w:szCs w:val="24"/>
          <w:lang w:val="en-US"/>
        </w:rPr>
        <w:t>……………………………………………………….45</w:t>
      </w:r>
    </w:p>
    <w:p w14:paraId="525AECEA">
      <w:pPr>
        <w:spacing w:after="0" w:line="360" w:lineRule="auto"/>
        <w:ind w:firstLine="720"/>
        <w:jc w:val="both"/>
        <w:rPr>
          <w:rFonts w:hint="default" w:ascii="Times New Roman" w:hAnsi="Times New Roman" w:cs="Times New Roman"/>
          <w:sz w:val="24"/>
          <w:szCs w:val="24"/>
          <w:lang w:val="en-US"/>
        </w:rPr>
      </w:pPr>
      <w:r>
        <w:rPr>
          <w:rFonts w:ascii="Times New Roman" w:hAnsi="Times New Roman" w:cs="Times New Roman"/>
          <w:sz w:val="24"/>
          <w:szCs w:val="24"/>
        </w:rPr>
        <w:t>Bibliography</w:t>
      </w:r>
      <w:r>
        <w:rPr>
          <w:rFonts w:hint="default" w:ascii="Times New Roman" w:hAnsi="Times New Roman" w:cs="Times New Roman"/>
          <w:sz w:val="24"/>
          <w:szCs w:val="24"/>
          <w:lang w:val="en-US"/>
        </w:rPr>
        <w:t>…………………………………………………………………….46</w:t>
      </w:r>
    </w:p>
    <w:p w14:paraId="233E2803">
      <w:pPr>
        <w:spacing w:line="360" w:lineRule="auto"/>
        <w:rPr>
          <w:rFonts w:ascii="Times New Roman" w:hAnsi="Times New Roman" w:cs="Times New Roman"/>
          <w:sz w:val="24"/>
          <w:szCs w:val="24"/>
        </w:rPr>
      </w:pPr>
    </w:p>
    <w:p w14:paraId="2206AD87">
      <w:pPr>
        <w:rPr>
          <w:rFonts w:ascii="Times New Roman" w:hAnsi="Times New Roman" w:cs="Times New Roman"/>
          <w:sz w:val="24"/>
          <w:szCs w:val="24"/>
        </w:rPr>
      </w:pPr>
    </w:p>
    <w:p w14:paraId="6760FBCD">
      <w:pPr>
        <w:rPr>
          <w:rFonts w:ascii="Times New Roman" w:hAnsi="Times New Roman" w:cs="Times New Roman"/>
          <w:sz w:val="24"/>
          <w:szCs w:val="24"/>
        </w:rPr>
      </w:pPr>
    </w:p>
    <w:p w14:paraId="541CC792">
      <w:pPr>
        <w:rPr>
          <w:rFonts w:ascii="Times New Roman" w:hAnsi="Times New Roman" w:cs="Times New Roman"/>
          <w:sz w:val="24"/>
          <w:szCs w:val="24"/>
        </w:rPr>
      </w:pPr>
    </w:p>
    <w:p w14:paraId="34043E49">
      <w:pPr>
        <w:rPr>
          <w:rFonts w:ascii="Times New Roman" w:hAnsi="Times New Roman" w:cs="Times New Roman"/>
          <w:sz w:val="24"/>
          <w:szCs w:val="24"/>
        </w:rPr>
      </w:pPr>
    </w:p>
    <w:p w14:paraId="560A6D0D">
      <w:pPr>
        <w:rPr>
          <w:rFonts w:ascii="Times New Roman" w:hAnsi="Times New Roman" w:cs="Times New Roman"/>
          <w:sz w:val="24"/>
          <w:szCs w:val="24"/>
        </w:rPr>
      </w:pPr>
    </w:p>
    <w:p w14:paraId="7A6BDF8D">
      <w:pPr>
        <w:rPr>
          <w:rFonts w:ascii="Times New Roman" w:hAnsi="Times New Roman" w:cs="Times New Roman"/>
          <w:sz w:val="24"/>
          <w:szCs w:val="24"/>
        </w:rPr>
      </w:pPr>
    </w:p>
    <w:p w14:paraId="22AA571B">
      <w:pPr>
        <w:rPr>
          <w:rFonts w:ascii="Times New Roman" w:hAnsi="Times New Roman" w:cs="Times New Roman"/>
          <w:sz w:val="24"/>
          <w:szCs w:val="24"/>
        </w:rPr>
      </w:pPr>
    </w:p>
    <w:p w14:paraId="76A04CD3">
      <w:pPr>
        <w:rPr>
          <w:rFonts w:ascii="Times New Roman" w:hAnsi="Times New Roman" w:cs="Times New Roman"/>
          <w:sz w:val="24"/>
          <w:szCs w:val="24"/>
        </w:rPr>
      </w:pPr>
    </w:p>
    <w:p w14:paraId="011E5711">
      <w:pPr>
        <w:spacing w:after="0" w:line="480" w:lineRule="auto"/>
        <w:jc w:val="center"/>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Abstract</w:t>
      </w:r>
    </w:p>
    <w:p w14:paraId="120D409E">
      <w:pPr>
        <w:jc w:val="both"/>
        <w:rPr>
          <w:rFonts w:ascii="Times New Roman" w:hAnsi="Times New Roman" w:cs="Times New Roman"/>
          <w:sz w:val="24"/>
          <w:szCs w:val="24"/>
        </w:rPr>
        <w:sectPr>
          <w:footerReference r:id="rId6" w:type="first"/>
          <w:footerReference r:id="rId5" w:type="default"/>
          <w:pgSz w:w="11907" w:h="16839"/>
          <w:pgMar w:top="1440" w:right="1440" w:bottom="1872" w:left="1872" w:header="720" w:footer="1267" w:gutter="0"/>
          <w:pgNumType w:fmt="lowerRoman" w:start="1"/>
          <w:cols w:space="720" w:num="1"/>
          <w:titlePg/>
          <w:docGrid w:linePitch="360" w:charSpace="0"/>
        </w:sectPr>
      </w:pPr>
      <w:r>
        <w:rPr>
          <w:rFonts w:ascii="Times New Roman" w:hAnsi="Times New Roman" w:cs="Times New Roman"/>
          <w:i/>
          <w:sz w:val="24"/>
          <w:szCs w:val="24"/>
        </w:rPr>
        <w:t xml:space="preserve">This project examined the </w:t>
      </w:r>
      <w:r>
        <w:rPr>
          <w:rStyle w:val="11"/>
          <w:i/>
          <w:color w:val="auto"/>
        </w:rPr>
        <w:t xml:space="preserve">Adoption of Open Access for Learning and Research by Library Users in </w:t>
      </w:r>
      <w:r>
        <w:rPr>
          <w:rStyle w:val="11"/>
          <w:rFonts w:hint="default"/>
          <w:i/>
          <w:color w:val="auto"/>
          <w:lang w:val="en-US"/>
        </w:rPr>
        <w:t>university of ilorin</w:t>
      </w:r>
      <w:r>
        <w:rPr>
          <w:rStyle w:val="11"/>
          <w:i/>
          <w:color w:val="auto"/>
        </w:rPr>
        <w:t xml:space="preserve"> library.</w:t>
      </w:r>
      <w:r>
        <w:rPr>
          <w:rFonts w:ascii="Times New Roman" w:hAnsi="Times New Roman" w:cs="Times New Roman"/>
          <w:i/>
          <w:sz w:val="24"/>
          <w:szCs w:val="24"/>
        </w:rPr>
        <w:t xml:space="preserve"> The objectives of the study examined the  frequency of usage of open access by the library users for learning and research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determine the types of open access that are used by the library users for learning, find out the benefit of using open access for learning and research by the  library users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examine the tools used for open access and adopted by the library user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and determine factors that affect the acceptance and adoption of open access for learning and research by the library user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The descriptive method was adopted for research design. Questionnaires are administered to 245 respondents and all the questionnaires were retrieved. The findings of the study shows that students have positive attitude towards the use of  Repository-based or “Green” open access  as types of open access in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Also findings shows that there are many factors that affect adoption of open access for learning and research in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which include: poor website design, lack of printing provision, lack of online help, More so, finding revealed that the major strategy for enhancing adoption of open access for learning and research in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is that polytechnic library should adopt ICT in order to enable them manage open access resources. This is followed by releasing of more funds to Federal polytechnic library for library ICT (internet) projects, provision of functional computers by the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w:t>
      </w:r>
    </w:p>
    <w:p w14:paraId="1AB92E9A">
      <w:pPr>
        <w:spacing w:after="160" w:line="259" w:lineRule="auto"/>
      </w:pPr>
    </w:p>
    <w:p w14:paraId="1C35BE2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54CCD035">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INTRODUCTION</w:t>
      </w:r>
    </w:p>
    <w:p w14:paraId="505C6C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ab/>
      </w:r>
      <w:r>
        <w:rPr>
          <w:rFonts w:ascii="Times New Roman" w:hAnsi="Times New Roman" w:cs="Times New Roman"/>
          <w:b/>
          <w:sz w:val="24"/>
          <w:szCs w:val="24"/>
        </w:rPr>
        <w:t>Background to the Study</w:t>
      </w:r>
      <w:r>
        <w:rPr>
          <w:rFonts w:ascii="Times New Roman" w:hAnsi="Times New Roman" w:cs="Times New Roman"/>
          <w:sz w:val="24"/>
          <w:szCs w:val="24"/>
        </w:rPr>
        <w:t xml:space="preserve"> </w:t>
      </w:r>
    </w:p>
    <w:p w14:paraId="04C01B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access enable institutions to save cost in their provision, access and utilization of their institution resources. They provide the most current results of scientific and scholarly information. They enable users’ access to read, copy, download, print full text of the available articles before them. Open access can be seen as unrestricted visibility, provision and exploitation of external or scholarly publications. Rossini, (2015) opined that Open access movement is a reaction to the persistence traditional control-based models of scientific knowledge distribution characterized by high-cost subscription journals. Open access acceptance and adoption in university libraries therefore is an attempt that is characterized by capture and lockdown through digital rights management (DRM), rather than the maximization of distribution of which is their supposed reason for existence. </w:t>
      </w:r>
    </w:p>
    <w:p w14:paraId="58DD95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access according to Balnaves (2018) posits that open access is important in leveraging the research output of an organization within the institution (even where copy right restrictions prevent external visibility). Macklin (2017) opined that “open access is also one solution to problem for university libraries-a problem that affect all of us in academia, whether we are aware of it or not. That problem is the rising price of work published in academic journals”. It is in view of the importance of open access that a good number of information service-oriented institutions such as university libraries are speedily accepting and adopting open access scholarly communication. </w:t>
      </w:r>
    </w:p>
    <w:p w14:paraId="47AF12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Learning and research are the fundamental part of any tertiary institution. Lecturers are the core runners of any institution because they teach scholars and engage in research in one way or the other. Open access will help academics have access to current and relevant studies. Through the open access lecturers can build on other previously conducted research studies. Lecturers create, share and allow their teaching resources not only to be used but able to be amended, improved and transformed (Ayangwe, 2017).</w:t>
      </w:r>
    </w:p>
    <w:p w14:paraId="226631A4">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is an investigative process of finding reliable solution to a problem through a systematic selection, collection, analysis and interpretation of data relating to the problem. In order words research is all activities that make us discover new knowledge about things around us. Research may be very broadly defined as systematic gathering of data and information and its analysis for advancement of knowledge in any subject. Research attempts to find answer intellectual and practical questions through application of systematic methods. Webster’s Collegiate Dictionary defines research as "studious inquiry or examination; esp.: investigation or experimentation aimed at the discovery and interpretation of facts, revision of accepted theories or laws in the light of new facts, or practical application of such new or revised theories or laws". Some people consider research as a movement, a movement from the known to the unknown.</w:t>
      </w:r>
    </w:p>
    <w:p w14:paraId="458B12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Sequeira (2019) affirmed that learning is about a change: the change brought about by developing a new skill, understanding a scientific law, changing an attitude. The change is not merely incidental or natural in the way that our appearance changes as we get older. Learning is a relatively permanent change, usually brought about intentionally. When we attend a course, search through a book, or read a discussion paper, we set out to learn! Other learning can take place without planning, for example by experience. Generally, with all learning there is an element within use of wishing to remember and understand why something happens and to do it better next time and Teaching on the other hand is a set of events, outside the learners which are designed to support internal process of learning. Teaching (Instruction) is outside the learner. Learning is internal to learners. You cannot motivate others if you are not self-motivated. Motives are not seen, but Behaviors are seen. Is learning a motive or behavior? Learning is both a motive and behavior but only behavior is seen, learning is internal, performance is external. They need to be fully aware of the existence and usefulness of open access information resources in order to accept and adopt it for use by users of the libraries. In order to meet the information needs of the academic community, university libraries acquire not only print information resources which are sometimes keep under closed access but also acquire and provide access to open access resources which have limitless access. They gather information resources from time to time from different institutions related to their academic programs and such institutions websites, blogs, archives, repositories, publications e.g. books and journals et cetera are accessed as open access resources. This means that open access resources exist in different forms or types. Rao (2020) identifies the various types of open access resources as institutional repository, subject repository, self-archiving, blogs, open journals, wiki, personal websites, e-books, e-mail list services, forums, Reach Site Summary (RSS) feeds originally called Really Sample Syndication, document sharing networks et cetera. These resources are created and adopted through different means or tools. The tools as identified by Rao (2020) include open-source institutional repository software, open journal systems and open harvester systems.</w:t>
      </w:r>
    </w:p>
    <w:p w14:paraId="034B11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14:paraId="71F41E61">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Open access resources provide endless benefits to organizations and other institutions. They save or minimize cost, time, free access to publishers to publish their works, provide the most current information to users anywhere anytime. In consideration of the benefits of open access resources, universities have been spending considerably to train staff in the area of information and communication technology (ICT) and to procure, install and maintain ICT equipment as well as other information systems to complement effective and efficient information delivery. Inadequate funding, low IT knowledge of library staff and erratic power supply contributed to the under usage of library software in effect, it rendered the Software being underutilized. Consequently, the massive investment made by polytechnic libraries to create intensified awareness, acceptance, adoption and management of open access resources may be given little or no attention at all in the university libraries. This may make these polytechnic libraries to rely on the traditional print materials that are expensive, difficult to share and in some cases outdated even before they are being published and this may greatly affect polytechnic students. The wide spread of ignorance among lecturers may restrict the adoption of open access as well as connectivity; government may also want to limit what users can see and censorship barriers.  It is against this background that the study attempt to investigate the adoption of open access for learning and research by library user using University of Ilorin Library as a case study.</w:t>
      </w:r>
    </w:p>
    <w:p w14:paraId="3D3E5B36">
      <w:pPr>
        <w:pStyle w:val="12"/>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Objectives of the Study </w:t>
      </w:r>
    </w:p>
    <w:p w14:paraId="1C3E0D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broad objective of this study is to examine the adoption of open access for learning and research by users of university of Ilorin Library. The specific objectives of the study are to: </w:t>
      </w:r>
    </w:p>
    <w:p w14:paraId="139E436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Find out the frequency of usage of open access by the library users for learning and research.</w:t>
      </w:r>
    </w:p>
    <w:p w14:paraId="398D167F">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dentify the types of open access used by the library users for learning and research.</w:t>
      </w:r>
    </w:p>
    <w:p w14:paraId="74A4C992">
      <w:pPr>
        <w:pStyle w:val="12"/>
        <w:numPr>
          <w:ilvl w:val="0"/>
          <w:numId w:val="2"/>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lang w:val="en-US"/>
        </w:rPr>
        <w:t>Access</w:t>
      </w:r>
      <w:r>
        <w:rPr>
          <w:rFonts w:ascii="Times New Roman" w:hAnsi="Times New Roman" w:cs="Times New Roman"/>
          <w:sz w:val="24"/>
          <w:szCs w:val="24"/>
        </w:rPr>
        <w:t xml:space="preserve"> the tools used for open access and adopted by the library user. </w:t>
      </w:r>
    </w:p>
    <w:p w14:paraId="65501ECD">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factors that affects the adoption of open access for learning and research by the library users.</w:t>
      </w:r>
    </w:p>
    <w:p w14:paraId="54277BB9">
      <w:pPr>
        <w:pStyle w:val="12"/>
        <w:numPr>
          <w:ilvl w:val="0"/>
          <w:numId w:val="0"/>
        </w:numPr>
        <w:spacing w:after="0" w:line="480" w:lineRule="auto"/>
        <w:contextualSpacing/>
        <w:jc w:val="both"/>
        <w:rPr>
          <w:rFonts w:ascii="Times New Roman" w:hAnsi="Times New Roman" w:cs="Times New Roman"/>
          <w:sz w:val="24"/>
          <w:szCs w:val="24"/>
        </w:rPr>
      </w:pPr>
    </w:p>
    <w:p w14:paraId="19D6E6C7">
      <w:pPr>
        <w:pStyle w:val="12"/>
        <w:numPr>
          <w:ilvl w:val="0"/>
          <w:numId w:val="0"/>
        </w:numPr>
        <w:spacing w:after="0" w:line="480" w:lineRule="auto"/>
        <w:contextualSpacing/>
        <w:jc w:val="both"/>
        <w:rPr>
          <w:rFonts w:ascii="Times New Roman" w:hAnsi="Times New Roman" w:cs="Times New Roman"/>
          <w:sz w:val="24"/>
          <w:szCs w:val="24"/>
        </w:rPr>
      </w:pPr>
    </w:p>
    <w:p w14:paraId="4DBA7E3B">
      <w:pPr>
        <w:pStyle w:val="12"/>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14:paraId="06897C85">
      <w:pPr>
        <w:pStyle w:val="12"/>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How frequent do the library user use the open access for learning and research?</w:t>
      </w:r>
    </w:p>
    <w:p w14:paraId="637AC10C">
      <w:pPr>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 xml:space="preserve">What are the types of open access that are used by the library user for learning </w:t>
      </w:r>
      <w:r>
        <w:rPr>
          <w:rFonts w:ascii="Times New Roman" w:hAnsi="Times New Roman" w:cs="Times New Roman"/>
          <w:sz w:val="24"/>
          <w:szCs w:val="24"/>
        </w:rPr>
        <w:tab/>
      </w:r>
      <w:r>
        <w:rPr>
          <w:rFonts w:ascii="Times New Roman" w:hAnsi="Times New Roman" w:cs="Times New Roman"/>
          <w:sz w:val="24"/>
          <w:szCs w:val="24"/>
        </w:rPr>
        <w:t>and research?</w:t>
      </w:r>
    </w:p>
    <w:p w14:paraId="774CD52E">
      <w:pPr>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What are the tools used for open access and adopted by the library user?</w:t>
      </w:r>
    </w:p>
    <w:p w14:paraId="599B2E29">
      <w:pPr>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 xml:space="preserve">What are the factors that affect the acceptance and adoption of open access for </w:t>
      </w:r>
      <w:r>
        <w:rPr>
          <w:rFonts w:ascii="Times New Roman" w:hAnsi="Times New Roman" w:cs="Times New Roman"/>
          <w:sz w:val="24"/>
          <w:szCs w:val="24"/>
        </w:rPr>
        <w:tab/>
      </w:r>
      <w:r>
        <w:rPr>
          <w:rFonts w:ascii="Times New Roman" w:hAnsi="Times New Roman" w:cs="Times New Roman"/>
          <w:sz w:val="24"/>
          <w:szCs w:val="24"/>
        </w:rPr>
        <w:t xml:space="preserve">learning and research by the library user? </w:t>
      </w:r>
    </w:p>
    <w:p w14:paraId="3146BCD4">
      <w:pPr>
        <w:pStyle w:val="13"/>
        <w:spacing w:line="480" w:lineRule="auto"/>
        <w:jc w:val="both"/>
        <w:rPr>
          <w:b/>
          <w:color w:val="auto"/>
        </w:rPr>
      </w:pPr>
      <w:r>
        <w:rPr>
          <w:b/>
          <w:color w:val="auto"/>
        </w:rPr>
        <w:t>1.5</w:t>
      </w:r>
      <w:r>
        <w:rPr>
          <w:b/>
          <w:color w:val="auto"/>
        </w:rPr>
        <w:tab/>
      </w:r>
      <w:r>
        <w:rPr>
          <w:b/>
          <w:color w:val="auto"/>
        </w:rPr>
        <w:t>Significance of the Study</w:t>
      </w:r>
      <w:r>
        <w:rPr>
          <w:b/>
          <w:color w:val="auto"/>
        </w:rPr>
        <w:tab/>
      </w:r>
      <w:r>
        <w:rPr>
          <w:b/>
          <w:color w:val="auto"/>
        </w:rPr>
        <w:t xml:space="preserve"> </w:t>
      </w:r>
    </w:p>
    <w:p w14:paraId="19E7F8FD">
      <w:pPr>
        <w:pStyle w:val="13"/>
        <w:spacing w:line="480" w:lineRule="auto"/>
        <w:jc w:val="both"/>
        <w:rPr>
          <w:color w:val="auto"/>
        </w:rPr>
      </w:pPr>
      <w:r>
        <w:rPr>
          <w:color w:val="auto"/>
        </w:rPr>
        <w:t xml:space="preserve">The study of great benefit to management of the </w:t>
      </w:r>
      <w:r>
        <w:rPr>
          <w:rFonts w:hint="default"/>
          <w:color w:val="auto"/>
          <w:lang w:val="en-US"/>
        </w:rPr>
        <w:t xml:space="preserve">university </w:t>
      </w:r>
      <w:r>
        <w:rPr>
          <w:color w:val="auto"/>
        </w:rPr>
        <w:t xml:space="preserve"> libraries, developers of open source software, academicians in the field of Library Management Systems, library users and other researchers. To the management of the polytechnic Libraries, the study provides empirically established contributions of functional features on the performance of their respective libraries. As such, library managers and policy makers sound basis upon which decisions of Open access adoption can be made. To the community of open access developers, the study provides invaluable insights in regard to the performance-critical features of their products. Technical improvements on such products have been simplified by the findings of this study. Software developers will concentrate their efforts and resources on developing more useable products rather than duplicating efforts on market research. </w:t>
      </w:r>
    </w:p>
    <w:p w14:paraId="34E7792D">
      <w:pPr>
        <w:pStyle w:val="13"/>
        <w:spacing w:line="480" w:lineRule="auto"/>
        <w:jc w:val="both"/>
        <w:rPr>
          <w:color w:val="auto"/>
        </w:rPr>
      </w:pPr>
      <w:r>
        <w:rPr>
          <w:color w:val="auto"/>
        </w:rPr>
        <w:t xml:space="preserve">The study has incredible academic significance as it fills the knowledge gap on the contributions of Open access on the performance of polytechnic libraries. It is apparent that most of Management Information Systems studies have been focused on the corporate world. Academic application of such systems such as in academic libraries is yet to be receiving substantial attention. This study therefore calls attention of management scientists to the unexplored pool of knowledge in the library application of Open access. To the library user this study will give them an insight about the various types of open access and their benefit. The study will add to the body of existing knowledge and it will serve as guide to other researchers who are willing and interested to embark on similar study. </w:t>
      </w:r>
    </w:p>
    <w:p w14:paraId="2F2073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 xml:space="preserve">Scope and Limitation of the Study </w:t>
      </w:r>
    </w:p>
    <w:p w14:paraId="0AEA09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scope of the study is on the adoption of open access for learning and research by the library users. The study was conducted in an academic library setting. It evaluated the adoption of open access for teaching and research by library users in Nigeria Nigeria. This study focused primarily on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and its limited to the library users of University </w:t>
      </w:r>
      <w:r>
        <w:rPr>
          <w:rFonts w:hint="default" w:ascii="Times New Roman" w:hAnsi="Times New Roman" w:cs="Times New Roman"/>
          <w:sz w:val="24"/>
          <w:szCs w:val="24"/>
          <w:lang w:val="en-US"/>
        </w:rPr>
        <w:t>o</w:t>
      </w:r>
      <w:r>
        <w:rPr>
          <w:rFonts w:ascii="Times New Roman" w:hAnsi="Times New Roman" w:cs="Times New Roman"/>
          <w:sz w:val="24"/>
          <w:szCs w:val="24"/>
        </w:rPr>
        <w:t xml:space="preserve">f Ilorin Library Kwara State. </w:t>
      </w:r>
    </w:p>
    <w:p w14:paraId="4F717BB8">
      <w:pPr>
        <w:pStyle w:val="12"/>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Operational Definition of Terms</w:t>
      </w:r>
    </w:p>
    <w:p w14:paraId="4FA426C6">
      <w:pPr>
        <w:pStyle w:val="12"/>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Adoption:</w:t>
      </w:r>
      <w:r>
        <w:rPr>
          <w:rFonts w:ascii="Times New Roman" w:hAnsi="Times New Roman" w:cs="Times New Roman"/>
          <w:sz w:val="24"/>
          <w:szCs w:val="24"/>
        </w:rPr>
        <w:t xml:space="preserve"> Means Acquiring.</w:t>
      </w:r>
    </w:p>
    <w:p w14:paraId="6770471B">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Open access:</w:t>
      </w:r>
      <w:r>
        <w:rPr>
          <w:rFonts w:ascii="Times New Roman" w:hAnsi="Times New Roman" w:cs="Times New Roman"/>
          <w:sz w:val="24"/>
          <w:szCs w:val="24"/>
          <w:shd w:val="clear" w:color="auto" w:fill="FFFFFF"/>
        </w:rPr>
        <w:t xml:space="preserve"> Means free access to a particular service.</w:t>
      </w:r>
    </w:p>
    <w:p w14:paraId="5964B418">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Research:</w:t>
      </w:r>
      <w:r>
        <w:rPr>
          <w:rFonts w:ascii="Times New Roman" w:hAnsi="Times New Roman" w:cs="Times New Roman"/>
          <w:sz w:val="24"/>
          <w:szCs w:val="24"/>
          <w:shd w:val="clear" w:color="auto" w:fill="FFFFFF"/>
        </w:rPr>
        <w:t xml:space="preserve"> Means getting deep findings of solutions to problem.</w:t>
      </w:r>
    </w:p>
    <w:p w14:paraId="075DDC08">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Learning: </w:t>
      </w:r>
      <w:r>
        <w:rPr>
          <w:rFonts w:ascii="Times New Roman" w:hAnsi="Times New Roman" w:cs="Times New Roman"/>
          <w:sz w:val="24"/>
          <w:szCs w:val="24"/>
          <w:shd w:val="clear" w:color="auto" w:fill="FFFFFF"/>
        </w:rPr>
        <w:t>Means the process of acquiring new knowledge, understanding, behaviours, skills, values or attitudes.</w:t>
      </w:r>
    </w:p>
    <w:p w14:paraId="36CED42E">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Library user(s):</w:t>
      </w:r>
      <w:r>
        <w:rPr>
          <w:rFonts w:ascii="Times New Roman" w:hAnsi="Times New Roman" w:cs="Times New Roman"/>
          <w:sz w:val="24"/>
          <w:szCs w:val="24"/>
          <w:shd w:val="clear" w:color="auto" w:fill="FFFFFF"/>
        </w:rPr>
        <w:t xml:space="preserve"> Means a person or group of people making research in the library.</w:t>
      </w:r>
    </w:p>
    <w:p w14:paraId="5A5223D6">
      <w:pPr>
        <w:spacing w:after="160" w:line="259" w:lineRule="auto"/>
      </w:pPr>
      <w:r>
        <w:br w:type="page"/>
      </w:r>
    </w:p>
    <w:p w14:paraId="17E03C6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079691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1CC0BFD7">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Introduction</w:t>
      </w:r>
    </w:p>
    <w:p w14:paraId="298C6EF4">
      <w:pPr>
        <w:spacing w:after="0" w:line="480" w:lineRule="auto"/>
        <w:ind w:right="26"/>
        <w:jc w:val="both"/>
        <w:rPr>
          <w:rFonts w:ascii="Times New Roman" w:hAnsi="Times New Roman" w:cs="Times New Roman"/>
          <w:sz w:val="24"/>
          <w:szCs w:val="24"/>
        </w:rPr>
      </w:pPr>
      <w:r>
        <w:rPr>
          <w:rFonts w:ascii="Times New Roman" w:hAnsi="Times New Roman" w:cs="Times New Roman"/>
          <w:sz w:val="24"/>
          <w:szCs w:val="24"/>
        </w:rPr>
        <w:t>This chapter deals with literature review and also, issues relating to Adoption of open access for learning and research by library users will be discussed. The researcher will refer to different writers who presented a variation view about the impact of Adoption of open access for learning and research by university of ilorin library users. This chapter covers different aspects, such as:</w:t>
      </w:r>
    </w:p>
    <w:p w14:paraId="0B8943EF">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Conceptual framework</w:t>
      </w:r>
    </w:p>
    <w:p w14:paraId="2BFFF1A1">
      <w:pPr>
        <w:spacing w:after="0" w:line="480" w:lineRule="auto"/>
        <w:ind w:right="26"/>
        <w:jc w:val="both"/>
        <w:rPr>
          <w:rFonts w:ascii="Times New Roman" w:hAnsi="Times New Roman" w:cs="Times New Roman"/>
          <w:b/>
          <w:sz w:val="24"/>
          <w:szCs w:val="24"/>
        </w:rPr>
      </w:pPr>
      <w:r>
        <w:rPr>
          <w:rFonts w:ascii="Times New Roman" w:hAnsi="Times New Roman" w:cs="Times New Roman"/>
          <w:b/>
          <w:bCs/>
          <w:sz w:val="24"/>
          <w:szCs w:val="24"/>
        </w:rPr>
        <w:t>Open access</w:t>
      </w:r>
      <w:r>
        <w:rPr>
          <w:rFonts w:ascii="Times New Roman" w:hAnsi="Times New Roman" w:cs="Times New Roman"/>
          <w:b/>
          <w:sz w:val="24"/>
          <w:szCs w:val="24"/>
        </w:rPr>
        <w:t> (</w:t>
      </w:r>
      <w:r>
        <w:rPr>
          <w:rFonts w:ascii="Times New Roman" w:hAnsi="Times New Roman" w:cs="Times New Roman"/>
          <w:b/>
          <w:bCs/>
          <w:sz w:val="24"/>
          <w:szCs w:val="24"/>
        </w:rPr>
        <w:t>OA</w:t>
      </w:r>
      <w:r>
        <w:rPr>
          <w:rFonts w:ascii="Times New Roman" w:hAnsi="Times New Roman" w:cs="Times New Roman"/>
          <w:b/>
          <w:sz w:val="24"/>
          <w:szCs w:val="24"/>
        </w:rPr>
        <w:t>)</w:t>
      </w:r>
    </w:p>
    <w:p w14:paraId="14E5841C">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Concept of Learning</w:t>
      </w:r>
    </w:p>
    <w:p w14:paraId="4409D8C0">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Adoption of Open Access by Library</w:t>
      </w:r>
    </w:p>
    <w:p w14:paraId="48CD0887">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Frequency usage of Open Access Library</w:t>
      </w:r>
    </w:p>
    <w:p w14:paraId="7CCD0785">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Types of Open Access Library</w:t>
      </w:r>
    </w:p>
    <w:p w14:paraId="60A66968">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Tools for using Open Access Library</w:t>
      </w:r>
    </w:p>
    <w:p w14:paraId="6B26B0CA">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Benefits of Open Access library in Academic Library</w:t>
      </w:r>
    </w:p>
    <w:p w14:paraId="465938CF">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Factors Militating against Open Access Library acceptance</w:t>
      </w:r>
    </w:p>
    <w:p w14:paraId="67E527C0">
      <w:pPr>
        <w:spacing w:after="0" w:line="480" w:lineRule="auto"/>
        <w:ind w:right="26"/>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Summary of Literature Reviewed</w:t>
      </w:r>
    </w:p>
    <w:p w14:paraId="0FD2D170">
      <w:pPr>
        <w:pStyle w:val="8"/>
        <w:spacing w:before="0" w:beforeAutospacing="0" w:after="0" w:afterAutospacing="0" w:line="480" w:lineRule="auto"/>
        <w:jc w:val="both"/>
      </w:pPr>
      <w:r>
        <w:rPr>
          <w:b/>
        </w:rPr>
        <w:t>2.2.1</w:t>
      </w:r>
      <w:r>
        <w:rPr>
          <w:b/>
        </w:rPr>
        <w:tab/>
      </w:r>
      <w:r>
        <w:rPr>
          <w:b/>
          <w:bCs/>
        </w:rPr>
        <w:t>Open access</w:t>
      </w:r>
      <w:r>
        <w:t> (</w:t>
      </w:r>
      <w:r>
        <w:rPr>
          <w:b/>
          <w:bCs/>
        </w:rPr>
        <w:t>OA</w:t>
      </w:r>
      <w:r>
        <w:t>) is a set of principles and practices through which research outputs like journal articles are distributed online, free of cost or other access barriers. In "traditional" scholarly publishing, the publisher owns the rights to the articles in their journals. Individuals looking to read these articles may encounter a pay wall, requiring them to pay a fee for access. Institutions and libraries (including Lane Library) help provide access to such pay walled research by negotiating with the publishers and paying costly subscription fees.</w:t>
      </w:r>
    </w:p>
    <w:p w14:paraId="1A80B742">
      <w:pPr>
        <w:pStyle w:val="8"/>
        <w:spacing w:before="0" w:beforeAutospacing="0" w:after="0" w:afterAutospacing="0" w:line="480" w:lineRule="auto"/>
        <w:jc w:val="both"/>
      </w:pPr>
      <w:r>
        <w:t xml:space="preserve">In contrast, open access ensures that the outputs of the research process can be read and built upon by everyone. </w:t>
      </w:r>
      <w:r>
        <w:rPr>
          <w:bCs/>
          <w:shd w:val="clear" w:color="auto" w:fill="FFFFFF"/>
        </w:rPr>
        <w:t>Open access</w:t>
      </w:r>
      <w:r>
        <w:rPr>
          <w:shd w:val="clear" w:color="auto" w:fill="FFFFFF"/>
        </w:rPr>
        <w:t> (</w:t>
      </w:r>
      <w:r>
        <w:rPr>
          <w:bCs/>
          <w:shd w:val="clear" w:color="auto" w:fill="FFFFFF"/>
        </w:rPr>
        <w:t>OA</w:t>
      </w:r>
      <w:r>
        <w:rPr>
          <w:shd w:val="clear" w:color="auto" w:fill="FFFFFF"/>
        </w:rPr>
        <w:t>) is also a set of principles and a range of practices through which </w:t>
      </w:r>
      <w:r>
        <w:fldChar w:fldCharType="begin"/>
      </w:r>
      <w:r>
        <w:instrText xml:space="preserve"> HYPERLINK "https://en.m.wikipedia.org/wiki/Research" \o "Research" </w:instrText>
      </w:r>
      <w:r>
        <w:fldChar w:fldCharType="separate"/>
      </w:r>
      <w:r>
        <w:rPr>
          <w:rStyle w:val="7"/>
          <w:color w:val="auto"/>
          <w:u w:val="none"/>
          <w:shd w:val="clear" w:color="auto" w:fill="FFFFFF"/>
        </w:rPr>
        <w:t>research</w:t>
      </w:r>
      <w:r>
        <w:rPr>
          <w:rStyle w:val="7"/>
          <w:color w:val="auto"/>
          <w:u w:val="none"/>
          <w:shd w:val="clear" w:color="auto" w:fill="FFFFFF"/>
        </w:rPr>
        <w:fldChar w:fldCharType="end"/>
      </w:r>
      <w:r>
        <w:rPr>
          <w:shd w:val="clear" w:color="auto" w:fill="FFFFFF"/>
        </w:rPr>
        <w:t> outputs are distributed online, free of access charges or other barriers. With open access strictly defined (Khoo, Shaun Yon-Seng (2019)), or </w:t>
      </w:r>
      <w:r>
        <w:fldChar w:fldCharType="begin"/>
      </w:r>
      <w:r>
        <w:instrText xml:space="preserve"> HYPERLINK "https://en.m.wikipedia.org/wiki/Gratis_versus_libre" \o "Gratis versus libre" </w:instrText>
      </w:r>
      <w:r>
        <w:fldChar w:fldCharType="separate"/>
      </w:r>
      <w:r>
        <w:rPr>
          <w:rStyle w:val="7"/>
          <w:color w:val="auto"/>
          <w:u w:val="none"/>
          <w:shd w:val="clear" w:color="auto" w:fill="FFFFFF"/>
        </w:rPr>
        <w:t>libber</w:t>
      </w:r>
      <w:r>
        <w:rPr>
          <w:rStyle w:val="7"/>
          <w:color w:val="auto"/>
          <w:u w:val="none"/>
          <w:shd w:val="clear" w:color="auto" w:fill="FFFFFF"/>
        </w:rPr>
        <w:fldChar w:fldCharType="end"/>
      </w:r>
      <w:r>
        <w:rPr>
          <w:shd w:val="clear" w:color="auto" w:fill="FFFFFF"/>
        </w:rPr>
        <w:t> open access, barriers to copying or reuse are also reduced or removed by applying an </w:t>
      </w:r>
      <w:r>
        <w:fldChar w:fldCharType="begin"/>
      </w:r>
      <w:r>
        <w:instrText xml:space="preserve"> HYPERLINK "https://en.m.wikipedia.org/wiki/Open_license" \o "Open license" </w:instrText>
      </w:r>
      <w:r>
        <w:fldChar w:fldCharType="separate"/>
      </w:r>
      <w:r>
        <w:rPr>
          <w:rStyle w:val="7"/>
          <w:color w:val="auto"/>
          <w:u w:val="none"/>
          <w:shd w:val="clear" w:color="auto" w:fill="FFFFFF"/>
        </w:rPr>
        <w:t>open license</w:t>
      </w:r>
      <w:r>
        <w:rPr>
          <w:rStyle w:val="7"/>
          <w:color w:val="auto"/>
          <w:u w:val="none"/>
          <w:shd w:val="clear" w:color="auto" w:fill="FFFFFF"/>
        </w:rPr>
        <w:fldChar w:fldCharType="end"/>
      </w:r>
      <w:r>
        <w:rPr>
          <w:shd w:val="clear" w:color="auto" w:fill="FFFFFF"/>
        </w:rPr>
        <w:t xml:space="preserve"> for copyright. </w:t>
      </w:r>
      <w:r>
        <w:t>The main focus of the open access movement is "</w:t>
      </w:r>
      <w:r>
        <w:fldChar w:fldCharType="begin"/>
      </w:r>
      <w:r>
        <w:instrText xml:space="preserve"> HYPERLINK "https://en.m.wikipedia.org/wiki/Peer_review" \o "Peer review" </w:instrText>
      </w:r>
      <w:r>
        <w:fldChar w:fldCharType="separate"/>
      </w:r>
      <w:r>
        <w:rPr>
          <w:rStyle w:val="7"/>
          <w:color w:val="auto"/>
          <w:u w:val="none"/>
        </w:rPr>
        <w:t>peer reviewed</w:t>
      </w:r>
      <w:r>
        <w:rPr>
          <w:rStyle w:val="7"/>
          <w:color w:val="auto"/>
          <w:u w:val="none"/>
        </w:rPr>
        <w:fldChar w:fldCharType="end"/>
      </w:r>
      <w:r>
        <w:t> research literature" Historically; this has cantered mainly on print-based </w:t>
      </w:r>
      <w:r>
        <w:fldChar w:fldCharType="begin"/>
      </w:r>
      <w:r>
        <w:instrText xml:space="preserve"> HYPERLINK "https://en.m.wikipedia.org/wiki/Academic_journal" \o "Academic journal" </w:instrText>
      </w:r>
      <w:r>
        <w:fldChar w:fldCharType="separate"/>
      </w:r>
      <w:r>
        <w:rPr>
          <w:rStyle w:val="7"/>
          <w:color w:val="auto"/>
          <w:u w:val="none"/>
        </w:rPr>
        <w:t>academic journals</w:t>
      </w:r>
      <w:r>
        <w:rPr>
          <w:rStyle w:val="7"/>
          <w:color w:val="auto"/>
          <w:u w:val="none"/>
        </w:rPr>
        <w:fldChar w:fldCharType="end"/>
      </w:r>
      <w:r>
        <w:t>. Whereas non-open access journals cover publishing costs through </w:t>
      </w:r>
      <w:r>
        <w:fldChar w:fldCharType="begin"/>
      </w:r>
      <w:r>
        <w:instrText xml:space="preserve"> HYPERLINK "https://en.m.wikipedia.org/wiki/Subscription_business_model" \o "Subscription business model" </w:instrText>
      </w:r>
      <w:r>
        <w:fldChar w:fldCharType="separate"/>
      </w:r>
      <w:r>
        <w:rPr>
          <w:rStyle w:val="7"/>
          <w:color w:val="auto"/>
          <w:u w:val="none"/>
        </w:rPr>
        <w:t>access tolls</w:t>
      </w:r>
      <w:r>
        <w:rPr>
          <w:rStyle w:val="7"/>
          <w:color w:val="auto"/>
          <w:u w:val="none"/>
        </w:rPr>
        <w:fldChar w:fldCharType="end"/>
      </w:r>
      <w:r>
        <w:t> such as subscriptions, site licenses or </w:t>
      </w:r>
      <w:r>
        <w:fldChar w:fldCharType="begin"/>
      </w:r>
      <w:r>
        <w:instrText xml:space="preserve"> HYPERLINK "https://en.m.wikipedia.org/wiki/Pay-per-view" \o "Pay-per-view" </w:instrText>
      </w:r>
      <w:r>
        <w:fldChar w:fldCharType="separate"/>
      </w:r>
      <w:r>
        <w:rPr>
          <w:rStyle w:val="7"/>
          <w:color w:val="auto"/>
          <w:u w:val="none"/>
        </w:rPr>
        <w:t>pay-per-view</w:t>
      </w:r>
      <w:r>
        <w:rPr>
          <w:rStyle w:val="7"/>
          <w:color w:val="auto"/>
          <w:u w:val="none"/>
        </w:rPr>
        <w:fldChar w:fldCharType="end"/>
      </w:r>
      <w:r>
        <w:t> charges, open-access journals are characterized by funding models which do not require the reader to pay to read the journal's contents, relying instead on </w:t>
      </w:r>
      <w:r>
        <w:fldChar w:fldCharType="begin"/>
      </w:r>
      <w:r>
        <w:instrText xml:space="preserve"> HYPERLINK "https://en.m.wikipedia.org/wiki/Author_fees" \o "Author fees" </w:instrText>
      </w:r>
      <w:r>
        <w:fldChar w:fldCharType="separate"/>
      </w:r>
      <w:r>
        <w:rPr>
          <w:rStyle w:val="7"/>
          <w:color w:val="auto"/>
          <w:u w:val="none"/>
        </w:rPr>
        <w:t>author fees</w:t>
      </w:r>
      <w:r>
        <w:rPr>
          <w:rStyle w:val="7"/>
          <w:color w:val="auto"/>
          <w:u w:val="none"/>
        </w:rPr>
        <w:fldChar w:fldCharType="end"/>
      </w:r>
      <w:r>
        <w:t> or on public funding, subsidies and sponsorships. Open access can be applied to all forms of published research output, including </w:t>
      </w:r>
      <w:r>
        <w:fldChar w:fldCharType="begin"/>
      </w:r>
      <w:r>
        <w:instrText xml:space="preserve"> HYPERLINK "https://en.m.wikipedia.org/wiki/Peer-reviewed" \o "Peer-reviewed" </w:instrText>
      </w:r>
      <w:r>
        <w:fldChar w:fldCharType="separate"/>
      </w:r>
      <w:r>
        <w:rPr>
          <w:rStyle w:val="7"/>
          <w:color w:val="auto"/>
          <w:u w:val="none"/>
        </w:rPr>
        <w:t>peer-reviewed</w:t>
      </w:r>
      <w:r>
        <w:rPr>
          <w:rStyle w:val="7"/>
          <w:color w:val="auto"/>
          <w:u w:val="none"/>
        </w:rPr>
        <w:fldChar w:fldCharType="end"/>
      </w:r>
      <w:r>
        <w:t> and non peer-reviewed </w:t>
      </w:r>
      <w:r>
        <w:fldChar w:fldCharType="begin"/>
      </w:r>
      <w:r>
        <w:instrText xml:space="preserve"> HYPERLINK "https://en.m.wikipedia.org/wiki/Academic_journal" \o "Academic journal" </w:instrText>
      </w:r>
      <w:r>
        <w:fldChar w:fldCharType="separate"/>
      </w:r>
      <w:r>
        <w:rPr>
          <w:rStyle w:val="7"/>
          <w:color w:val="auto"/>
          <w:u w:val="none"/>
        </w:rPr>
        <w:t>academic journal</w:t>
      </w:r>
      <w:r>
        <w:rPr>
          <w:rStyle w:val="7"/>
          <w:color w:val="auto"/>
          <w:u w:val="none"/>
        </w:rPr>
        <w:fldChar w:fldCharType="end"/>
      </w:r>
      <w:r>
        <w:t xml:space="preserve"> articles, </w:t>
      </w:r>
      <w:r>
        <w:fldChar w:fldCharType="begin"/>
      </w:r>
      <w:r>
        <w:instrText xml:space="preserve"> HYPERLINK "https://en.m.wikipedia.org/wiki/Conference_papers" \o "Conference papers" </w:instrText>
      </w:r>
      <w:r>
        <w:fldChar w:fldCharType="separate"/>
      </w:r>
      <w:r>
        <w:rPr>
          <w:rStyle w:val="7"/>
          <w:color w:val="auto"/>
          <w:u w:val="none"/>
        </w:rPr>
        <w:t>conference papers</w:t>
      </w:r>
      <w:r>
        <w:rPr>
          <w:rStyle w:val="7"/>
          <w:color w:val="auto"/>
          <w:u w:val="none"/>
        </w:rPr>
        <w:fldChar w:fldCharType="end"/>
      </w:r>
      <w:r>
        <w:t xml:space="preserve">,  book chapters, </w:t>
      </w:r>
      <w:r>
        <w:fldChar w:fldCharType="begin"/>
      </w:r>
      <w:r>
        <w:instrText xml:space="preserve"> HYPERLINK "https://en.m.wikipedia.org/wiki/Monograph" \o "Monograph" </w:instrText>
      </w:r>
      <w:r>
        <w:fldChar w:fldCharType="separate"/>
      </w:r>
      <w:r>
        <w:rPr>
          <w:rStyle w:val="7"/>
          <w:color w:val="auto"/>
          <w:u w:val="none"/>
        </w:rPr>
        <w:t>monographs</w:t>
      </w:r>
      <w:r>
        <w:rPr>
          <w:rStyle w:val="7"/>
          <w:color w:val="auto"/>
          <w:u w:val="none"/>
        </w:rPr>
        <w:fldChar w:fldCharType="end"/>
      </w:r>
      <w:r>
        <w:t>, </w:t>
      </w:r>
      <w:r>
        <w:fldChar w:fldCharType="begin"/>
      </w:r>
      <w:r>
        <w:instrText xml:space="preserve"> HYPERLINK "https://en.m.wikipedia.org/wiki/Research_report" \o "Research report" </w:instrText>
      </w:r>
      <w:r>
        <w:fldChar w:fldCharType="separate"/>
      </w:r>
      <w:r>
        <w:rPr>
          <w:rStyle w:val="7"/>
          <w:color w:val="auto"/>
          <w:u w:val="none"/>
        </w:rPr>
        <w:t>research reports</w:t>
      </w:r>
      <w:r>
        <w:rPr>
          <w:rStyle w:val="7"/>
          <w:color w:val="auto"/>
          <w:u w:val="none"/>
        </w:rPr>
        <w:fldChar w:fldCharType="end"/>
      </w:r>
      <w:r>
        <w:t> and images. Since the revenue of most open access journals is earned from publication fees charged to the authors, OA publishers are motivated to increase their profits by accepting low-quality papers and by not performing thorough </w:t>
      </w:r>
      <w:r>
        <w:fldChar w:fldCharType="begin"/>
      </w:r>
      <w:r>
        <w:instrText xml:space="preserve"> HYPERLINK "https://en.m.wikipedia.org/wiki/Peer_review" \o "Peer review" </w:instrText>
      </w:r>
      <w:r>
        <w:fldChar w:fldCharType="separate"/>
      </w:r>
      <w:r>
        <w:rPr>
          <w:rStyle w:val="7"/>
          <w:color w:val="auto"/>
          <w:u w:val="none"/>
        </w:rPr>
        <w:t>peer review</w:t>
      </w:r>
      <w:r>
        <w:rPr>
          <w:rStyle w:val="7"/>
          <w:color w:val="auto"/>
          <w:u w:val="none"/>
        </w:rPr>
        <w:fldChar w:fldCharType="end"/>
      </w:r>
      <w:r>
        <w:t>. On the other hand, the prices for OA publications in the most prestigious journals have exceeded 5,000 US$, making such publishing model unaffordable to a large number of researchers. This increase in publishing cost has been called the "Open-Access Sequel to Serials Crisis".</w:t>
      </w:r>
    </w:p>
    <w:p w14:paraId="7216CDC5">
      <w:pPr>
        <w:spacing w:after="0" w:line="480" w:lineRule="auto"/>
        <w:ind w:right="26"/>
        <w:jc w:val="both"/>
        <w:rPr>
          <w:rFonts w:ascii="Times New Roman" w:hAnsi="Times New Roman" w:cs="Times New Roman"/>
          <w:b/>
          <w:sz w:val="24"/>
          <w:szCs w:val="24"/>
        </w:rPr>
      </w:pPr>
    </w:p>
    <w:p w14:paraId="1D6301BF">
      <w:pPr>
        <w:spacing w:after="0" w:line="480" w:lineRule="auto"/>
        <w:ind w:right="26"/>
        <w:jc w:val="both"/>
        <w:rPr>
          <w:rFonts w:ascii="Times New Roman" w:hAnsi="Times New Roman" w:cs="Times New Roman"/>
          <w:b/>
          <w:sz w:val="24"/>
          <w:szCs w:val="24"/>
        </w:rPr>
      </w:pPr>
    </w:p>
    <w:p w14:paraId="5AD890CA">
      <w:pPr>
        <w:spacing w:after="0" w:line="480" w:lineRule="auto"/>
        <w:ind w:right="26"/>
        <w:jc w:val="both"/>
        <w:rPr>
          <w:rFonts w:ascii="Times New Roman" w:hAnsi="Times New Roman" w:cs="Times New Roman"/>
          <w:b/>
          <w:sz w:val="24"/>
          <w:szCs w:val="24"/>
        </w:rPr>
      </w:pPr>
    </w:p>
    <w:p w14:paraId="08417301">
      <w:pPr>
        <w:spacing w:after="0" w:line="480" w:lineRule="auto"/>
        <w:ind w:right="26"/>
        <w:jc w:val="both"/>
        <w:rPr>
          <w:rFonts w:ascii="Times New Roman" w:hAnsi="Times New Roman" w:cs="Times New Roman"/>
          <w:b/>
          <w:sz w:val="24"/>
          <w:szCs w:val="24"/>
        </w:rPr>
      </w:pPr>
    </w:p>
    <w:p w14:paraId="7135ACC0">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Concept of Learning</w:t>
      </w:r>
    </w:p>
    <w:p w14:paraId="2CD34FF0">
      <w:pPr>
        <w:spacing w:after="0" w:line="480" w:lineRule="auto"/>
        <w:ind w:right="29"/>
        <w:jc w:val="both"/>
        <w:rPr>
          <w:rFonts w:ascii="Times New Roman" w:hAnsi="Times New Roman" w:cs="Times New Roman"/>
          <w:sz w:val="24"/>
          <w:szCs w:val="24"/>
        </w:rPr>
      </w:pPr>
      <w:r>
        <w:rPr>
          <w:rFonts w:ascii="Times New Roman" w:hAnsi="Times New Roman" w:cs="Times New Roman"/>
          <w:sz w:val="24"/>
          <w:szCs w:val="24"/>
        </w:rPr>
        <w:t>Learning is a permanent change in behavior as a result of experience, and the behavior includes both of the external and internal actions of the individual which are observed and remain unobserved by the outside world. It also includes the different ways in which people understand or experience or conceptualize the world around them Pandey (2018). He conducted experiments on dogs and cats to discover whether they learn their tasks through imitation or observation. He compared the learning curves of cats who were assigned to observe others escaping from a box with those who had never seen the animals getting out of the box. He found no difference in the rate of learning between both of the groups. So, it was revealed that the process of learning depended upon the relationship between stimulus and response. The animal solved the problem not by reflecting and thinking over the action that was performed by them. It was rather done by a totally mechanical development of actions originally formulated by chance. He observed that the greater was the satisfaction or discomfort, the greater would be the strengthening or weakening of the bond. The process of learning is continuous which starts right from the time of birth of an individual and continues till the death. We all are engaged in the learning endeavors in order to develop our adaptive capabilities as per the requirements of the changing environment. For a learning to occur, two things are important (Thorndike, 2018). Conducted learning experiments on animals (rats) and human beings in which he revealed that the law of effect has not as much importance in the learning process as has been emphasized by Thorndike. Watson discovered that once the animal was well trained at running the maze, it did so almost automatically. He explored animals’ sensory abilities: for example their abilities to discriminate between similar stimuli. He rejected the law of effect and all that was important for him was the frequency of occurrence of stimulus-response pairings. Reinforces might cause some responses to occur more often in the presence of particular stimuli, but they did not act directly to originate their learning (Ali 2015). According to Axman (2015), Edward Tolman conducted studies and revealed drawbacks in the law of effect. For example, rats were permitted to explore a maze in which there were three routes/ways of different distance between the starting position and the end. The rats’ behavior revealed that they have got a mental map of the maze when it was blocked. They prefer the routes according to their shortness. He discovered that the animals could use knowledge which they gained in running the maze. This result was developed further by Pandey (2018) who discovered that unexpected decreases in reward quantity caused rats temporarily to run a maze more slowly than normal while unexpected increases caused a temporary elevation in running speed. Skinner (2015) conducted experiments on animals and developed the basic concept of operant conditioning. He claimed that this type of learning was not the result of stimulus-response learning. The basic association in operant conditioning was between the operant response and the reinforce.  The relation to a stimulus is different in the operant behavior, and the most operant responses may be emitted in the absence of what is regarded as a relevant stimulus. The operant behavior is essentially and entirely an emissive phenomenon. Latency and magnitude of response fail as standard/measures because they do not take this into consideration. They are concepts appropriate to the field of the reflex, where the all but invariable control exercised by the eliciting stimulus makes the notion of probability of response trivial. Pavlov (2018), learning process is thoroughly depended on reflexes. It is outcome of a neutral stimulus when it is associated with part of a reflex. He believed that human behavior could be explained entirely in terms of reflexes, stimulus-response associations. There is no p</w:t>
      </w:r>
      <w:r>
        <w:rPr>
          <w:rFonts w:ascii="Times New Roman" w:hAnsi="Times New Roman" w:cs="Times New Roman"/>
          <w:sz w:val="24"/>
          <w:szCs w:val="24"/>
        </w:rPr>
        <w:t>lace for the mental terms like desires, goals, interest, insight etc. At birth, there are a large number of ontogenetic, embryologic responses called reflexes. No reflex is involved in trial and error learning. A reinforcing or punishing event changes the strength of association between a neutral stimulus and an arbitrary response. The response is not the part of a reflex.  Similarly, pairing noxious stimuli with undesirable behaviors can create learned distaste for the target behaviors. For instance, employing the principles of classical conditioning, we can show films that make drunk driving is a totally distasteful activity. Brockett &amp; Roger (2016), learning is a personal act of individual to make full use of his potential. It is a process of self actualization to its maximum level. The basic characteristics of self-actualizing people are: they have tolerance for ambiguity, acceptance of self and others, and peak experiences that lead to personal transformation through new insights. The success of the learning process demands that that the instructional activities must be based on learners’ perceived needs. Without the fulfillment of the basic needs such as food, security, self respect, self esteem and intellectual curiosity, learning will not take place. It is recognized that there are various levels of perceived needs that ranging from felt needs or wants where the highest internal control is possible or externally mandated requirements where little internal control is possible. The human beings are not machines and cannot function in ignoring the basic needs of the individual. Roger (2016), Learning is not memorizing of information, facts and ideas. Its sole purpose is not producing the stored information in the examination. No doubt, it is one of the elements that contribute for the success of the learning process but not a whole</w:t>
      </w:r>
      <w:r>
        <w:rPr>
          <w:rFonts w:ascii="Times New Roman" w:hAnsi="Times New Roman" w:cs="Times New Roman"/>
          <w:b/>
          <w:sz w:val="24"/>
          <w:szCs w:val="24"/>
        </w:rPr>
        <w:t xml:space="preserve">. </w:t>
      </w:r>
      <w:r>
        <w:rPr>
          <w:rFonts w:ascii="Times New Roman" w:hAnsi="Times New Roman" w:cs="Times New Roman"/>
          <w:sz w:val="24"/>
          <w:szCs w:val="24"/>
        </w:rPr>
        <w:t>According to him (Roger 2016), it is an unfulfilled curiosity and urges that moves the learner to bring in everything he can see or hear or read about any type of machine or instrument in order to improve the efficiency and speed of it. It includes discovering, drawing in from the outside, and making that which is drawn in a real part of ME. It is something that has been done by the learner to understand the real world. It aims at information processing instead of information acquisition. Truths are imparted, procedures are only be inculcated, and while inculcation is a gradual and systematic process, imparting is somewhat sudden and of intuitive nature. It makes sense to ask at what moment someone became apprised of a truth, but not to ask at what moment someone acquired a skill. Therefore, it is the responsibility of the educator to work as a facilitator in the teaching learning process and also facilitates for the development of the whole person. Driscoll (2015), learning is a process of continuous change in human performance or performance potential. It must come about as a result of the learner’s experience and interaction with the world around him. According to Vaill (2016), learning is a way of being. It is an ongoing set of attitudes/temperaments and actions by the individual and groups which they employ to keep abreast of the surprising, novel/new, ambiguous, obtrusive and recurring events.</w:t>
      </w:r>
    </w:p>
    <w:p w14:paraId="0F285962">
      <w:pPr>
        <w:spacing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Adoption of Open Access by Libraries</w:t>
      </w:r>
    </w:p>
    <w:p w14:paraId="169E27D2">
      <w:pPr>
        <w:spacing w:line="480" w:lineRule="auto"/>
        <w:jc w:val="both"/>
        <w:rPr>
          <w:rFonts w:ascii="Times New Roman" w:hAnsi="Times New Roman" w:cs="Times New Roman"/>
          <w:b/>
          <w:sz w:val="24"/>
          <w:szCs w:val="24"/>
        </w:rPr>
      </w:pPr>
      <w:r>
        <w:rPr>
          <w:rFonts w:ascii="Times New Roman" w:hAnsi="Times New Roman" w:cs="Times New Roman"/>
          <w:sz w:val="24"/>
          <w:szCs w:val="24"/>
        </w:rPr>
        <w:t>Open access enable institutions to save cost in their provision, access and utilization of their institution resources. They provide the most current results of scientific and scholarly information. They enable users’ access to read, copy, download, print full text of the available articles before them. Open access can be seen as unrestricted visibility, provision and exploitation of external or scholarly publications. Open access movement according to Rossini, (2015) is a reaction to the persistence traditional control-based models of scientific knowledge distribution characterized by high cost subscription journals.  Open access acceptance and adoption in university libraries therefore is an attempt that is characterized by capture and lockdown through digital rights management (DRM), rather than the maximization of distribution of which is their supposed reason for existence. Open access according to Balnaves (2018) is important in leveraging the research output of an organization within the institution (even where copy right restrictions prevent external visibility). Similarly, acknowledging the importance of open access Macklin (2017) opined that “open access is also one solution to problem for university libraries-a problem that affect all of us in academia, whether we are aware of it or not. That problem is the rising price of work published in academic journals”. It is in view of the importance of open access that a good number of information service oriented institutions such as university libraries are speedily accepting and adopting open access scholarly communication. Explaining the need to accept and adopt open access resources in university libraries, Iowa state university (2008) assert that “the current system of scholarly communication is changing. Libraries and their institutions can no longer keep up with the increasing volume and costs of scholarly resources”.  In response to the need for acceptance and adoption of open access publications in libraries, Rao (2020) exposed that: “our knowledge of the world has been improving more and more rapidly with time and is becoming increasingly reliable. The adoption of societies to the knowledge base has become more critical for sustained growth. As every segment of the world today depends on the other, it is critical to bridge the knowledge gap in every possible way”. P.80 The implication of this is that there is a steady improvement in our knowledge of the world and this necessitated the speedy acceptance, adoption and organization of open access to information and knowledge in order to provide, share, and exploit recorded knowledge without any barrier. More so, reliable knowledge brings about sustainable growth and development. Belnaves (2018) declared that “the next decade is also likely to see the increase of open access model for presentation of digital resources, making use of highly functional digital library framework. Indeed, digital libraries are making transition from large institutional repositories to mid-sized and special</w:t>
      </w:r>
    </w:p>
    <w:p w14:paraId="0E903C36">
      <w:pPr>
        <w:spacing w:line="480" w:lineRule="auto"/>
        <w:jc w:val="both"/>
        <w:rPr>
          <w:rFonts w:ascii="Times New Roman" w:hAnsi="Times New Roman" w:cs="Times New Roman"/>
          <w:b/>
          <w:sz w:val="24"/>
          <w:szCs w:val="24"/>
        </w:rPr>
      </w:pPr>
    </w:p>
    <w:p w14:paraId="64B4870A">
      <w:pPr>
        <w:spacing w:line="480" w:lineRule="auto"/>
        <w:jc w:val="both"/>
        <w:rPr>
          <w:rFonts w:ascii="Times New Roman" w:hAnsi="Times New Roman" w:cs="Times New Roman"/>
          <w:b/>
          <w:sz w:val="24"/>
          <w:szCs w:val="24"/>
        </w:rPr>
      </w:pPr>
    </w:p>
    <w:p w14:paraId="532D1908">
      <w:pPr>
        <w:spacing w:line="480" w:lineRule="auto"/>
        <w:jc w:val="both"/>
        <w:rPr>
          <w:rFonts w:ascii="Times New Roman" w:hAnsi="Times New Roman" w:cs="Times New Roman"/>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Frequency of Usage of Open Access</w:t>
      </w:r>
    </w:p>
    <w:p w14:paraId="53196D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scholars report that individual characteristics determine usage of open access usage by faculty, which include professional rank (Kim, 2020; University of California &amp; Greenhouse Associates, 2020), age (Dulle and Minishi-Majanja, 2018), technical skills (Kim, 2020) and number of publications (Swan and Brown, 2015). Indications are that individual traits can be important factors to determine faculty’s OA behavioral intention to use, and actual usage of open access. Over the past years, frequency usage of open access has been a central concern in developed countries with few studies focusing on developing countries. Most studies have been designed at studying the number of factors related to frequency usage of open access and their vital role to scholarly publishing. Therefore, the need to review literature in order to identify the gap and guard against duplication of effort in research is essential. This review also gives the researcher an opportunity to relate the current findings to previous studies. The open access concept is gaining ground but is yet to be widely known among academics and researchers from various scholarly communities and research disciplines. The frequency usage of open access relies on the researcher being well informed of this mode of scholarly publishing. However, users of information gain from open access initiatives without prior knowledge of this mode of scholarly publishing (Fullard, 2017). This is possible when users by accident gain access to both free and subscribed content while searching for information on the Internet (Dulle, 2018). It is essential that prior knowledge of this mode of scholarly publishing is known to users. This situation propels the need by many researchers to address the issue of awareness before determining the frequency usage of open access. Awareness plays a vital role and is one of the pre-requisite conditions for successive frequency usage of open access unless an individual uses it unknowingly. According to Dinev et al. (2015), “awareness raises consciousness and knowledge about a certain technology and its personal and social benefits.” This suggests that awareness is a key determinant of user attitude and behavior towards technology. Similarly, for successful frequency usage of open access in scholarly community, awareness has also been recognized as one of the crucial factors that determine the frequency usage of open access and use of this mode of scholarly communication (Warlick et al., 2016). Utulu and Bolarinwa (2019) investigated the frequency usage of open access of open access initiatives by academics from Universities of Ibadan and Lagos. It was reported that lack of understanding of the open access concept and the inability to identify appropriate open access journals were observed as part of the contributory factors for its low frequency usage of open access.  Emojorho et al. (2021) examined the level of awareness of open access scholarly publication among lecturers at the University of Benin in Nigeria. The findings showed that only 86% of the respondents were aware of open access while only 58% of the respondents were familiar with open access institutional repositories, while 73% lack knowledge of open access journals. Similarly, Obuh and Bozimo (2022) examined awareness and use of open access scholarly publications by 141 lecturers in fourteen universities in southern Nigeria. The researchers reported that there were indications of a fairly high degree of awareness of open access publication among lecturers in universities in the southern part of Nigeria, yet the level of frequency usage of open access is low. The main principle of open access is to maximize access to information in order to promote wide dissemination of knowledge to users. A study carried out by Alemu (2019) examined the role of open access in fostering knowledge sharing and collaboration in Ethiopia. The findings revealed that respondents in the study had very low awareness of the open access concept and this mode of schol</w:t>
      </w:r>
      <w:r>
        <w:rPr>
          <w:rFonts w:ascii="Times New Roman" w:hAnsi="Times New Roman" w:cs="Times New Roman"/>
          <w:sz w:val="24"/>
          <w:szCs w:val="24"/>
        </w:rPr>
        <w:t xml:space="preserve">arly publishing was yet to be practiced in the institutions under study. In addition, Dulle (2018) focused on assessment of the frequency usage of open access of open access in terms of access and dissemination of scholarly information in research activities. The findings showed that 72.1% of researchers compared to 90.5% of policy makers in Tanzania’s public universities were aware of open access. Attitude is an individual’s overall affective reaction to using a system (Venkatesh et al., 2019). Several studies (Chau &amp; Hu, 2021; Louho et al., 2020) have established that individuals’ attitude towards technology had a strong effect on frequency usage of open access and use intention. Chau and Hu (2021) in a study of physicians’ behavioral intent in using computers pointed out that the attitudes towards computers are important for technology acceptance decisions. In the same vein, Obuh (2022) examined researchers’ attitudes towards use of open access publications in order to determine the position of Library and Information Science (LIS) lecturers in southern Nigeria. It was acknowledged that both junior and senior lecturers exhibited high positive attitude towards frequency usage of open access and usage of open access publications. However, this has not translated into actual use of open access. For the successful frequency usage of open access and acceptance of open access the Internet is required, which serves as a platform for open access. The Internet is an instrument used for searching, retrieving, and disseminating information across the globe (Adeogun, 2018). Internet self-efficacy is essential for frequency usage of open access. According to Bandura (2016) the concept of self-efficacy involves peoples’ judgment of their capabilities to organize and execute courses of action required to attain designated types of performances. Internet self-efficacy refers to “what individuals believe they can do with the Internet skills they possess” (Hsu et al., 2004,). In support of this claim, Gbaje (2019) stated that unless researchers demonstrate specific skills for using the Internet in accessing and disseminating research findings, they may not benefit from open access. Dulle and Minishi-Majanja (2018) stressed that Internet self-efficacy influences individual decisions towards frequency usage of open access and usage behaviors. It can be apparently concluded that academic staff in universities need to develop Internet skills for them to embrace and use open access. Members of university management are expected to give adequate support to academics by providing facilitating conditions that will motivate them to frequency usage of open access publishing in their scholarly works. Facilitating conditions relate to the extent to which an individual perceives that an organizational and technical infrastructure exists to support the use of a system (Venkatesh et al., 2019). This factor has been found to impact frequent usage of technology rather than behavioral intention in technology adoption studies (Venkatesh et al., 2019), and open access adoption research (Dulle and Minishi-Majanja, 2018). According to the meta-analysis of findings reported in 43 published studies, facilitating conditions can have significant impacts on both behavioral intention, and usage of technology (Dwivedi et al., 2020). </w:t>
      </w:r>
    </w:p>
    <w:p w14:paraId="35DD9717">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Types of Open Access</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 xml:space="preserve">Repository-based or “Green” open access: </w:t>
      </w:r>
      <w:r>
        <w:rPr>
          <w:rFonts w:ascii="Times New Roman" w:hAnsi="Times New Roman" w:cs="Times New Roman"/>
          <w:sz w:val="24"/>
          <w:szCs w:val="24"/>
        </w:rPr>
        <w:t xml:space="preserve">“Green” open access is the term used when the author accepted version of a published work is deposited into a subject-based repository or an institutional repository. Every university in Australia has a </w:t>
      </w:r>
      <w:r>
        <w:fldChar w:fldCharType="begin"/>
      </w:r>
      <w:r>
        <w:instrText xml:space="preserve"> HYPERLINK "http://aoasg.org.au/open-access-in-action/" \t "_blank" </w:instrText>
      </w:r>
      <w:r>
        <w:fldChar w:fldCharType="separate"/>
      </w:r>
      <w:r>
        <w:rPr>
          <w:rFonts w:ascii="Times New Roman" w:hAnsi="Times New Roman" w:cs="Times New Roman"/>
          <w:sz w:val="24"/>
          <w:szCs w:val="24"/>
        </w:rPr>
        <w:t>repository </w:t>
      </w:r>
      <w:r>
        <w:rPr>
          <w:rFonts w:ascii="Times New Roman" w:hAnsi="Times New Roman" w:cs="Times New Roman"/>
          <w:sz w:val="24"/>
          <w:szCs w:val="24"/>
        </w:rPr>
        <w:fldChar w:fldCharType="end"/>
      </w:r>
      <w:r>
        <w:rPr>
          <w:rFonts w:ascii="Times New Roman" w:hAnsi="Times New Roman" w:cs="Times New Roman"/>
          <w:sz w:val="24"/>
          <w:szCs w:val="24"/>
        </w:rPr>
        <w:t xml:space="preserve">for this purpose. International examples include </w:t>
      </w:r>
      <w:r>
        <w:fldChar w:fldCharType="begin"/>
      </w:r>
      <w:r>
        <w:instrText xml:space="preserve"> HYPERLINK "https://www.ncbi.nlm.nih.gov/pmc/" </w:instrText>
      </w:r>
      <w:r>
        <w:fldChar w:fldCharType="separate"/>
      </w:r>
      <w:r>
        <w:rPr>
          <w:rFonts w:ascii="Times New Roman" w:hAnsi="Times New Roman" w:cs="Times New Roman"/>
          <w:sz w:val="24"/>
          <w:szCs w:val="24"/>
        </w:rPr>
        <w:t>Pub Med Central® (PMC)</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fldChar w:fldCharType="begin"/>
      </w:r>
      <w:r>
        <w:instrText xml:space="preserve"> HYPERLINK "https://europepmc.org/" </w:instrText>
      </w:r>
      <w:r>
        <w:fldChar w:fldCharType="separate"/>
      </w:r>
      <w:r>
        <w:rPr>
          <w:rFonts w:ascii="Times New Roman" w:hAnsi="Times New Roman" w:cs="Times New Roman"/>
          <w:sz w:val="24"/>
          <w:szCs w:val="24"/>
        </w:rPr>
        <w:t>Europe PMC. </w:t>
      </w:r>
      <w:r>
        <w:rPr>
          <w:rFonts w:ascii="Times New Roman" w:hAnsi="Times New Roman" w:cs="Times New Roman"/>
          <w:sz w:val="24"/>
          <w:szCs w:val="24"/>
        </w:rPr>
        <w:fldChar w:fldCharType="end"/>
      </w:r>
      <w:r>
        <w:rPr>
          <w:rFonts w:ascii="Times New Roman" w:hAnsi="Times New Roman" w:cs="Times New Roman"/>
          <w:sz w:val="24"/>
          <w:szCs w:val="24"/>
        </w:rPr>
        <w:t xml:space="preserve"> Articles may have a </w:t>
      </w:r>
      <w:r>
        <w:fldChar w:fldCharType="begin"/>
      </w:r>
      <w:r>
        <w:instrText xml:space="preserve"> HYPERLINK "https://oaaustralasia.org/faqs/" \l "panel-286" </w:instrText>
      </w:r>
      <w:r>
        <w:fldChar w:fldCharType="separate"/>
      </w:r>
      <w:r>
        <w:rPr>
          <w:rFonts w:ascii="Times New Roman" w:hAnsi="Times New Roman" w:cs="Times New Roman"/>
          <w:sz w:val="24"/>
          <w:szCs w:val="24"/>
        </w:rPr>
        <w:t>Creative Commons License</w:t>
      </w:r>
      <w:r>
        <w:rPr>
          <w:rFonts w:ascii="Times New Roman" w:hAnsi="Times New Roman" w:cs="Times New Roman"/>
          <w:sz w:val="24"/>
          <w:szCs w:val="24"/>
        </w:rPr>
        <w:fldChar w:fldCharType="end"/>
      </w:r>
      <w:r>
        <w:rPr>
          <w:rFonts w:ascii="Times New Roman" w:hAnsi="Times New Roman" w:cs="Times New Roman"/>
          <w:sz w:val="24"/>
          <w:szCs w:val="24"/>
        </w:rPr>
        <w:t xml:space="preserve"> applied, which specifies how the article can be used.</w:t>
      </w:r>
    </w:p>
    <w:p w14:paraId="58A6D28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Journal-based  or “Gold” Open Access: </w:t>
      </w:r>
      <w:r>
        <w:rPr>
          <w:rFonts w:ascii="Times New Roman" w:hAnsi="Times New Roman" w:cs="Times New Roman"/>
          <w:sz w:val="24"/>
          <w:szCs w:val="24"/>
        </w:rPr>
        <w:t xml:space="preserve">“Gold” open access refers to publishing in a fully open access scholarly journal, one where the publisher of the journal provides free and immediate online access to the full content of the journal and the final published versions of articles in that journal are fully open access.  Articles have a Creative Commons License applied, which specifies how the article can be used. Business models for this form of open access vary.  In some cases, the publisher charges an article processing charge (APC), which may be paid by the author’s institution or funding body or by an individual researcher. APCs may also be paid as paid of transformative agreements.  A comprehensive list of open access journals is maintained by the </w:t>
      </w:r>
      <w:r>
        <w:fldChar w:fldCharType="begin"/>
      </w:r>
      <w:r>
        <w:instrText xml:space="preserve"> HYPERLINK "https://doaj.org/" </w:instrText>
      </w:r>
      <w:r>
        <w:fldChar w:fldCharType="separate"/>
      </w:r>
      <w:r>
        <w:rPr>
          <w:rFonts w:ascii="Times New Roman" w:hAnsi="Times New Roman" w:cs="Times New Roman"/>
          <w:sz w:val="24"/>
          <w:szCs w:val="24"/>
        </w:rPr>
        <w:t>Directory of Open Access Journals</w:t>
      </w:r>
      <w:r>
        <w:rPr>
          <w:rFonts w:ascii="Times New Roman" w:hAnsi="Times New Roman" w:cs="Times New Roman"/>
          <w:sz w:val="24"/>
          <w:szCs w:val="24"/>
        </w:rPr>
        <w:fldChar w:fldCharType="end"/>
      </w:r>
      <w:r>
        <w:rPr>
          <w:rFonts w:ascii="Times New Roman" w:hAnsi="Times New Roman" w:cs="Times New Roman"/>
          <w:sz w:val="24"/>
          <w:szCs w:val="24"/>
        </w:rPr>
        <w:t>. There is also a </w:t>
      </w:r>
      <w:r>
        <w:fldChar w:fldCharType="begin"/>
      </w:r>
      <w:r>
        <w:instrText xml:space="preserve"> HYPERLINK "https://www.doabooks.org/" </w:instrText>
      </w:r>
      <w:r>
        <w:fldChar w:fldCharType="separate"/>
      </w:r>
      <w:r>
        <w:rPr>
          <w:rFonts w:ascii="Times New Roman" w:hAnsi="Times New Roman" w:cs="Times New Roman"/>
          <w:sz w:val="24"/>
          <w:szCs w:val="24"/>
        </w:rPr>
        <w:t>Directory of Open Access Books</w:t>
      </w:r>
      <w:r>
        <w:rPr>
          <w:rFonts w:ascii="Times New Roman" w:hAnsi="Times New Roman" w:cs="Times New Roman"/>
          <w:sz w:val="24"/>
          <w:szCs w:val="24"/>
        </w:rPr>
        <w:fldChar w:fldCharType="end"/>
      </w:r>
      <w:r>
        <w:rPr>
          <w:rFonts w:ascii="Times New Roman" w:hAnsi="Times New Roman" w:cs="Times New Roman"/>
          <w:sz w:val="24"/>
          <w:szCs w:val="24"/>
        </w:rPr>
        <w:t>.</w:t>
      </w:r>
    </w:p>
    <w:p w14:paraId="21F621D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“Diamond” Open access: </w:t>
      </w:r>
      <w:r>
        <w:rPr>
          <w:rFonts w:ascii="Times New Roman" w:hAnsi="Times New Roman" w:cs="Times New Roman"/>
          <w:sz w:val="24"/>
          <w:szCs w:val="24"/>
        </w:rPr>
        <w:t xml:space="preserve">“Diamond” open access refers to open access journals that are free for readers to access and for authors to publish in. These journals are often community-driven and supported by institutions or by national or regional infrastructure. A </w:t>
      </w:r>
      <w:r>
        <w:fldChar w:fldCharType="begin"/>
      </w:r>
      <w:r>
        <w:instrText xml:space="preserve"> HYPERLINK "https://www.coalition-s.org/diamond-unearthed-shining-light-on-community-driven-open-access-publishing/" </w:instrText>
      </w:r>
      <w:r>
        <w:fldChar w:fldCharType="separate"/>
      </w:r>
      <w:r>
        <w:rPr>
          <w:rFonts w:ascii="Times New Roman" w:hAnsi="Times New Roman" w:cs="Times New Roman"/>
          <w:sz w:val="24"/>
          <w:szCs w:val="24"/>
        </w:rPr>
        <w:t>recent report commissioned by coalition</w:t>
      </w:r>
      <w:r>
        <w:rPr>
          <w:rFonts w:ascii="Times New Roman" w:hAnsi="Times New Roman" w:cs="Times New Roman"/>
          <w:sz w:val="24"/>
          <w:szCs w:val="24"/>
        </w:rPr>
        <w:fldChar w:fldCharType="end"/>
      </w:r>
      <w:r>
        <w:rPr>
          <w:rFonts w:ascii="Times New Roman" w:hAnsi="Times New Roman" w:cs="Times New Roman"/>
          <w:sz w:val="24"/>
          <w:szCs w:val="24"/>
        </w:rPr>
        <w:t xml:space="preserve">  explored the huge global range of Diamond open access journals.</w:t>
      </w:r>
    </w:p>
    <w:p w14:paraId="60CAB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“Hybrid” open access: </w:t>
      </w:r>
      <w:r>
        <w:rPr>
          <w:rFonts w:ascii="Times New Roman" w:hAnsi="Times New Roman" w:cs="Times New Roman"/>
          <w:sz w:val="24"/>
          <w:szCs w:val="24"/>
        </w:rPr>
        <w:t>“Hybrid” open access refers to when an article processing charge is paid for an individual journal article to be made open access in an otherwise subscription journal. This type of open access always has an APC associated with it and these APCs are usually higher than for fully open access journals. Hybrid open access is not supported by any universities in Australia and New Zealand, other than through “read and publish agreements” where universities pay for both access to research and for academics to publish in specific journals.</w:t>
      </w:r>
    </w:p>
    <w:p w14:paraId="2DE6F55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“Bronze” open access: </w:t>
      </w:r>
      <w:r>
        <w:rPr>
          <w:rFonts w:ascii="Times New Roman" w:hAnsi="Times New Roman" w:cs="Times New Roman"/>
          <w:sz w:val="24"/>
          <w:szCs w:val="24"/>
        </w:rPr>
        <w:t>“Bronze” open access refers to a freely available journal article that has no open license (and hence cannot be considered fully open access).</w:t>
      </w:r>
    </w:p>
    <w:p w14:paraId="2C0EA388">
      <w:pPr>
        <w:spacing w:line="48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sz w:val="24"/>
          <w:szCs w:val="24"/>
        </w:rPr>
        <w:t>“Black” open access:</w:t>
      </w:r>
      <w:r>
        <w:rPr>
          <w:rFonts w:ascii="Times New Roman" w:hAnsi="Times New Roman" w:cs="Times New Roman"/>
          <w:sz w:val="24"/>
          <w:szCs w:val="24"/>
        </w:rPr>
        <w:t> “Black” open access refers to illegal open access.</w:t>
      </w:r>
    </w:p>
    <w:p w14:paraId="1EF758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sz w:val="24"/>
          <w:szCs w:val="24"/>
        </w:rPr>
        <w:tab/>
      </w:r>
      <w:r>
        <w:rPr>
          <w:rFonts w:ascii="Times New Roman" w:hAnsi="Times New Roman" w:cs="Times New Roman"/>
          <w:b/>
          <w:sz w:val="24"/>
          <w:szCs w:val="24"/>
        </w:rPr>
        <w:t xml:space="preserve">The tools used for Open Access </w:t>
      </w:r>
    </w:p>
    <w:p w14:paraId="7FD2226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tools are pointers to information obtained in databases and repositories. ‘Lib111 Glossary on Information Technology, Internet and Library Terms’ defines access tools as bibliography, catalog, database, or other information source, which leads us to information on our topic. An access tool helps a researcher, student or librarian gain access to relevant documents located on the web. Some of the Open Access tools as discussed in this paper are: DOAJ, DOAR, ROAR, SHERPA-ROMEO, and SPARC Rossini (2015). The Directory of Open Access Journals (DOAJ) DOAJ: The Directory of Open Access Journals (http://www.doaj.org/) is a website that lists Open Access journals and is maintained by Infrastructure Services for Open Access (IS4OA). Until January 2013, the DOAJ was maintained by Lund University. Sequeira (2019) defines Open Access journals as scientific and scholarly journals that meet high quality standards by exercising peer review or editorial quality control and ‘use a funding model that does not charge readers or their institutions for access.’ The Budapest Open Access Initiative’s definition of Open Access is used to define required rights given to users, for the journal to be included in the DOAJ, as the rights to ‘read, download, copy, distribute, print, search, or link to the full texts of these articles’. Open Access journals are defined by DOAJ as ‘journals that use a funding model that does not charge readers or their institutions for access’ (Wikipedia, 2015). Registry of Open Access Repositories (ROAR) The aim of ROAR is to promote the development of Open Access by providing timely information about the growth and status of repositories throughout the world. Open Access to research maximizes research access and thereby also research impact, making research more productive and effective. ROAR is hosted at the University of Southampton, UK and is made possible by funding from the JISC. ROAR is part of the EPrints.org network. See Figure R for ROAR homepage: (Website: http://roar.eprints.org/) ROAR Services</w:t>
      </w:r>
    </w:p>
    <w:p w14:paraId="269491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Pr>
          <w:rFonts w:ascii="Times New Roman" w:hAnsi="Times New Roman" w:cs="Times New Roman"/>
          <w:b/>
          <w:sz w:val="24"/>
          <w:szCs w:val="24"/>
        </w:rPr>
        <w:t xml:space="preserve">Benefits of using Open Access for Learning and Research </w:t>
      </w:r>
    </w:p>
    <w:p w14:paraId="0536B6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Open Access is beneficial to a many as listed by Jain (2019) which include: teaching staff and students, authors, readers, society, journals and publishers, funding agencies, governments, citizens, libraries, universities and nations. Open Access also accelerates research, enriches education, and shares learning across rich and poor nations (Bhat, 2022). Lind and Williams (2018), asking the question: ‘Why Open Access?’ made the following citation from the Executive Office of the President of the United States: ‘...Wider availability of peer-reviewed publications and scientific data in digital formats will create innovative economic markets for services related to duration, preservation, analysis, and visualization. Policies that mobilize these publications and data for re-use through preservation and broader public access also maximize the impact and accountability of the federal research investment. These policies will accelerate scientific breakthroughs and innovation, promote entrepreneurship, and enhance economic growth and job creation. ’To the author, Open Access is very beneficial not only by making their works visible, but by increasing the authors’ prestige. This in agreement with CASLIN (2019)’s statement that ‘Open Access generates more citations and thus contributes to status and prestige of the author which in turn benefits their career and the granting of their research proposals’. Open access usage can be influenced by academic reward, accessibility, publicity, professional recognition, trustworthiness and preservation. In this study, these extrinsic factors were conceptualized to affect both their intention and usage behavior of open access. Academic reward refers to the degree to which existing reward systems of tenure/ promotion (and even grant making) affect the adoption and usage of open access (Kim, 2020). On one hand, a study at the University of California indicated that faculty may be reluctant to contribute their scholarship to open access avenues due to the perception that the current faculty tenure and promotion evaluation process focuses on measures of print based research productivity (University of California &amp; Greenhouse Associates, 2020). On other hand, other studies in New Zealand (Cullen and Chawner, 2021), USA (Casey, 2021; Kim, 2020) and Norway (Hulela, 2019) have reported differently, where tenure and promotion issues influenced faculty willingness to contribute their outputs to open access avenues. Literature shows that academic reward can either inhibit or influence faculty willingness to contribute their research materials into publicly accessible websites. Professional recognition is the extent to which the visibility of faculty research work would increase by making their research work available through open access scholarly communication. A study of over 3000 authors across Europe reported that greater visibility, and reputation building was one of the key drivers for self-archiving among the authors surveyed (Creaser et al., 2020). The professional recognition factor also influenced academics to self-archive their research materials in other studies (Cullen and Chawner, 2021; Hulela, 2019). Professional recognition also relates to publicity and accessibility factors. On one hand, publicity</w:t>
      </w:r>
      <w:r>
        <w:rPr>
          <w:rFonts w:ascii="Times New Roman" w:hAnsi="Times New Roman" w:cs="Times New Roman"/>
          <w:i/>
          <w:sz w:val="24"/>
          <w:szCs w:val="24"/>
        </w:rPr>
        <w:t xml:space="preserve"> </w:t>
      </w:r>
      <w:r>
        <w:rPr>
          <w:rFonts w:ascii="Times New Roman" w:hAnsi="Times New Roman" w:cs="Times New Roman"/>
          <w:sz w:val="24"/>
          <w:szCs w:val="24"/>
        </w:rPr>
        <w:t>refers to the faculty perception that the wider dissemination of their research work through open access would enhance the readership and citation impact of their work. Wider dissemination of research outputs and increased citation rates were among the reasons that motivated authors/scientists self-archive their research materials in other studies (Creaser et al., 2020; Cullen and Chawner, 2021; Deoghuria and Roy, 2017). Trustworthiness narrates the extent to which faculty perceive the quality and credibility of open access research materials. The perception that open access publications are of low quality compared to traditional publications can inhibit scientists to participate in open access scholarly communication. Several scholars (Creaser et al., 2020; Davis and Connolly, 2017; Dulle and Minishi-Majanja, 2018; Hulela, 2019) reported that faculty feared that low quality of some material in the repository would taint their research. Thus, credibility of OA publications plays a great role in influencing faculty’s decision to use open access. Preservation refers to the extent to which faculty believe their open access materials would be permanently available for use, and preserved to perpetuity. Studies show that the most important reason for faculty’s contribution to open access repositories is the long-term preservation of materials for the future (Hulela, 2019; Kim, 2020; Sawant, 2015). Thus, the capacity of open access media including IR and OA journals to enhance their digital preservation is important in motivating faculty to publish their research as OA.</w:t>
      </w:r>
    </w:p>
    <w:p w14:paraId="5D75BCA7">
      <w:pPr>
        <w:pStyle w:val="3"/>
        <w:spacing w:after="0" w:line="480" w:lineRule="auto"/>
        <w:ind w:left="0" w:firstLine="0"/>
        <w:jc w:val="both"/>
        <w:rPr>
          <w:color w:val="auto"/>
          <w:sz w:val="24"/>
          <w:szCs w:val="24"/>
        </w:rPr>
      </w:pPr>
      <w:r>
        <w:rPr>
          <w:color w:val="auto"/>
          <w:sz w:val="24"/>
          <w:szCs w:val="24"/>
        </w:rPr>
        <w:t>Key Open Access benefits</w:t>
      </w:r>
    </w:p>
    <w:p w14:paraId="1C7A1CEE">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Researchers and their institutions benefit from having the widest possible audience</w:t>
      </w:r>
    </w:p>
    <w:p w14:paraId="31656E2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Researchers provide their articles to publishers for free, because their compensation comes in the form of recognition for their findings. Open Access means more readers, more potential collaborators, more citations for their work, and ultimately more recognition for them and their institution. Open Access means improved access to research for all.</w:t>
      </w:r>
    </w:p>
    <w:p w14:paraId="79A0A40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Research benefits when the latest techniques can be easily used</w:t>
      </w:r>
    </w:p>
    <w:p w14:paraId="3E6953C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years, we have had powerful text and data mining tools that can analyze the entire research literature, uncovering trends and connections that no human reader could. While publishers’ technical and legal barriers currently prevent their widespread use, Open Access empowers anyone to use these tools, which hold the potential of revolutionizing how research is conducted.</w:t>
      </w:r>
    </w:p>
    <w:p w14:paraId="359193A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Breakthroughs often come from unexpected places</w:t>
      </w:r>
    </w:p>
    <w:p w14:paraId="7C3F63D3">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Theory of Relativity was developed by a patent clerk. Open Access expands the number of potential contributors to research from just those at institutions wealthy enough to afford journal subscriptions to anyone with an internet connection.</w:t>
      </w:r>
    </w:p>
    <w:p w14:paraId="54966750">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Funders invest in research to advance human knowledge and ultimately improve lives. </w:t>
      </w:r>
    </w:p>
    <w:p w14:paraId="5460F1B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Open Access increases the return on that investment by ensuring the results of the research they fund can be read and built on and used by anyone, including Industry and Society.</w:t>
      </w:r>
    </w:p>
    <w:p w14:paraId="5365FA7A">
      <w:pPr>
        <w:spacing w:after="0" w:line="48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2</w:t>
      </w:r>
      <w:r>
        <w:rPr>
          <w:rFonts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 xml:space="preserve">Factors that affect the Acceptance and Adoption of Open Access Intrinsic factor: </w:t>
      </w:r>
    </w:p>
    <w:p w14:paraId="323C22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intrinsic factor altruism</w:t>
      </w:r>
      <w:r>
        <w:rPr>
          <w:rFonts w:ascii="Times New Roman" w:hAnsi="Times New Roman" w:cs="Times New Roman"/>
          <w:i/>
          <w:sz w:val="24"/>
          <w:szCs w:val="24"/>
        </w:rPr>
        <w:t xml:space="preserve"> </w:t>
      </w:r>
      <w:r>
        <w:rPr>
          <w:rFonts w:ascii="Times New Roman" w:hAnsi="Times New Roman" w:cs="Times New Roman"/>
          <w:sz w:val="24"/>
          <w:szCs w:val="24"/>
        </w:rPr>
        <w:t>relates to the extent to which faculty believes that enjoyment in helping others would motivate them to adopt and use open access (Kim, 2020). The altruism factor was a dominant factor that influenced self-archiving behavior of faculty in various studies (Abrizah, 2019; Hulela, 2019; Kim, 2020). It is clear that faculty self-archive and publish in open access avenues in order to improve the access of other scholars to their materials. The intrinsic factor was conceptualized to affect both their intention and usage behavior of open access in this study. The effort expectancy factor refers to the degree to which faculty find it easy or difficult to publish or self-archive their research outputs in publicly accessible websites. The effort expectancy construct is significant only during the initial period of adopting and using the system, and it becomes non-significant over periods of extended and sustained usage (Venkatesh et al., 2019). Prior studies have established that effort expectancy strongly affects behavioral intention to use, rather than actual usage of the system (Dulle and Minishi-Majanja, 2018; Venkatesh et al., 2019; Dwivedi et al., 2020).  Therefore, the effort expectancy was conceptualized to affect the researcher’s intention to use open access in this study. While some studies on technology acceptance have found negative effects of effort expectancy factor in predicting behavioral intention (Debuse et al., 2018), other studies  found that effort expectancy factor had positive effects on behavioral intention to adopt open access (Dulle and Minishi Majanja, 2018). Indications are that effort expectancy can either inhibit or increase faculty willingness to contribute their research materials into publicly accessible websites.</w:t>
      </w:r>
    </w:p>
    <w:p w14:paraId="708DAE50">
      <w:pPr>
        <w:spacing w:after="0" w:line="480" w:lineRule="auto"/>
        <w:jc w:val="both"/>
        <w:rPr>
          <w:rFonts w:ascii="Times New Roman" w:hAnsi="Times New Roman" w:eastAsia="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eastAsia="Times New Roman" w:cs="Times New Roman"/>
          <w:b/>
          <w:sz w:val="24"/>
          <w:szCs w:val="24"/>
        </w:rPr>
        <w:t>Summary of Literature Reviewed</w:t>
      </w:r>
    </w:p>
    <w:p w14:paraId="46E801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Open access movement is a reaction to the persistence traditional control-based models of scientific knowledge distribution characterized by high cost subscription journals. Open access acceptance and adoption in university libraries therefore is an attempt that is characterized by capture and lockdown through digital rights management</w:t>
      </w:r>
    </w:p>
    <w:p w14:paraId="2864D0BB">
      <w:pPr>
        <w:pStyle w:val="8"/>
        <w:spacing w:before="0" w:beforeAutospacing="0" w:after="0" w:afterAutospacing="0" w:line="480" w:lineRule="auto"/>
        <w:jc w:val="both"/>
        <w:rPr>
          <w:b/>
        </w:rPr>
      </w:pPr>
      <w:r>
        <w:t>Learning and research are the fundamental part of any tertiary institution. Lecturers are the fore runners of any institution because they teach scholars and engage in research in one way or the other. Open access will help academics have access to current and relevant studies. Through the open access lecturers can build on other previously conducted research studies. Teaching and research are the fundamental part of any university. Lecturers are the fore runners of any institution because they teach scholars and engage in research in one way or the other. Open access will help academics have access to current and relevant studies. Through the open access lecturers can build on other previously conducted research studies. Lecturers create, share and allow their teaching resources not only to be used but able to be amended, improved and transformed</w:t>
      </w:r>
      <w:r>
        <w:rPr>
          <w:b/>
        </w:rPr>
        <w:t>.</w:t>
      </w:r>
    </w:p>
    <w:p w14:paraId="205E73F3">
      <w:pPr>
        <w:pStyle w:val="8"/>
        <w:spacing w:before="0" w:beforeAutospacing="0" w:after="0" w:afterAutospacing="0" w:line="480" w:lineRule="auto"/>
        <w:jc w:val="both"/>
        <w:rPr>
          <w:b/>
        </w:rPr>
      </w:pPr>
    </w:p>
    <w:p w14:paraId="46C4F177">
      <w:pPr>
        <w:spacing w:after="0" w:line="480" w:lineRule="auto"/>
        <w:ind w:right="26"/>
        <w:jc w:val="both"/>
        <w:rPr>
          <w:rFonts w:ascii="Times New Roman" w:hAnsi="Times New Roman" w:eastAsia="Times New Roman" w:cs="Times New Roman"/>
          <w:b/>
          <w:sz w:val="24"/>
          <w:szCs w:val="24"/>
        </w:rPr>
      </w:pPr>
    </w:p>
    <w:p w14:paraId="734C7B62">
      <w:pPr>
        <w:spacing w:after="160" w:line="259" w:lineRule="auto"/>
      </w:pPr>
      <w:r>
        <w:br w:type="page"/>
      </w:r>
    </w:p>
    <w:p w14:paraId="4D2ED515">
      <w:pPr>
        <w:spacing w:after="0" w:line="480" w:lineRule="auto"/>
        <w:jc w:val="center"/>
        <w:rPr>
          <w:rFonts w:ascii="Times New Roman" w:hAnsi="Times New Roman" w:cs="Times New Roman"/>
          <w:sz w:val="24"/>
          <w:szCs w:val="24"/>
        </w:rPr>
      </w:pPr>
      <w:r>
        <w:rPr>
          <w:rFonts w:ascii="Times New Roman" w:hAnsi="Times New Roman" w:eastAsia="Calibri" w:cs="Times New Roman"/>
          <w:b/>
          <w:sz w:val="24"/>
          <w:szCs w:val="24"/>
        </w:rPr>
        <w:t>CHAPTER THREE</w:t>
      </w:r>
    </w:p>
    <w:p w14:paraId="18B1644B">
      <w:pPr>
        <w:spacing w:after="0" w:line="480" w:lineRule="auto"/>
        <w:jc w:val="center"/>
        <w:rPr>
          <w:rFonts w:ascii="Times New Roman" w:hAnsi="Times New Roman" w:cs="Times New Roman"/>
          <w:sz w:val="24"/>
          <w:szCs w:val="24"/>
        </w:rPr>
      </w:pPr>
      <w:r>
        <w:rPr>
          <w:rFonts w:ascii="Times New Roman" w:hAnsi="Times New Roman" w:eastAsia="Calibri" w:cs="Times New Roman"/>
          <w:b/>
          <w:sz w:val="24"/>
          <w:szCs w:val="24"/>
        </w:rPr>
        <w:t>RESEARCH METHODOLOGY</w:t>
      </w:r>
    </w:p>
    <w:p w14:paraId="686146AB">
      <w:pPr>
        <w:spacing w:after="0" w:line="480" w:lineRule="auto"/>
        <w:jc w:val="both"/>
        <w:rPr>
          <w:rFonts w:ascii="Times New Roman" w:hAnsi="Times New Roman" w:cs="Times New Roman"/>
          <w:sz w:val="24"/>
          <w:szCs w:val="24"/>
        </w:rPr>
      </w:pPr>
      <w:r>
        <w:rPr>
          <w:rFonts w:ascii="Times New Roman" w:hAnsi="Times New Roman" w:eastAsia="Calibri" w:cs="Times New Roman"/>
          <w:b/>
          <w:sz w:val="24"/>
          <w:szCs w:val="24"/>
        </w:rPr>
        <w:t>3.1</w:t>
      </w:r>
      <w:r>
        <w:rPr>
          <w:rFonts w:ascii="Times New Roman" w:hAnsi="Times New Roman" w:cs="Times New Roman"/>
          <w:sz w:val="24"/>
          <w:szCs w:val="24"/>
        </w:rPr>
        <w:tab/>
      </w:r>
      <w:r>
        <w:rPr>
          <w:rFonts w:ascii="Times New Roman" w:hAnsi="Times New Roman" w:eastAsia="Calibri" w:cs="Times New Roman"/>
          <w:b/>
          <w:sz w:val="24"/>
          <w:szCs w:val="24"/>
        </w:rPr>
        <w:t>Research Design</w:t>
      </w:r>
    </w:p>
    <w:p w14:paraId="76E0FB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used for this study was descriptive survey. This is because according to Nworgu (2016) descriptive survey is aimed at collecting data on, and describing in a systematic manner, the characteristics, features or facts about a given population. Descriptive survey is more suitable for this research because the consensus of opinions of respondents is expected to provide solution or solutions to the problem under investigation. </w:t>
      </w:r>
      <w:r>
        <w:rPr>
          <w:rFonts w:ascii="Times New Roman" w:hAnsi="Times New Roman" w:eastAsia="Calibri" w:cs="Times New Roman"/>
          <w:sz w:val="24"/>
          <w:szCs w:val="24"/>
        </w:rPr>
        <w:t>The descriptive research method will be used because it focuses on university of Ilorin library to find out the Adoption of open access by library users in the university library. The case study method of investigation will be employed using questionnaire as data collection instruments.</w:t>
      </w:r>
    </w:p>
    <w:p w14:paraId="301DD849">
      <w:pPr>
        <w:spacing w:after="0" w:line="480" w:lineRule="auto"/>
        <w:jc w:val="both"/>
        <w:rPr>
          <w:rFonts w:ascii="Times New Roman" w:hAnsi="Times New Roman" w:cs="Times New Roman"/>
          <w:sz w:val="24"/>
          <w:szCs w:val="24"/>
        </w:rPr>
      </w:pPr>
      <w:r>
        <w:rPr>
          <w:rFonts w:ascii="Times New Roman" w:hAnsi="Times New Roman" w:eastAsia="Calibri" w:cs="Times New Roman"/>
          <w:b/>
          <w:sz w:val="24"/>
          <w:szCs w:val="24"/>
        </w:rPr>
        <w:t>3.2</w:t>
      </w:r>
      <w:r>
        <w:rPr>
          <w:rFonts w:ascii="Times New Roman" w:hAnsi="Times New Roman" w:cs="Times New Roman"/>
          <w:sz w:val="24"/>
          <w:szCs w:val="24"/>
        </w:rPr>
        <w:tab/>
      </w:r>
      <w:r>
        <w:rPr>
          <w:rFonts w:ascii="Times New Roman" w:hAnsi="Times New Roman" w:eastAsia="Calibri" w:cs="Times New Roman"/>
          <w:b/>
          <w:sz w:val="24"/>
          <w:szCs w:val="24"/>
        </w:rPr>
        <w:t>Population of the Study</w:t>
      </w:r>
    </w:p>
    <w:p w14:paraId="03FF4090">
      <w:pPr>
        <w:spacing w:after="0" w:line="480" w:lineRule="auto"/>
        <w:jc w:val="both"/>
        <w:rPr>
          <w:rFonts w:ascii="Times New Roman" w:hAnsi="Times New Roman" w:cs="Times New Roman"/>
          <w:sz w:val="24"/>
          <w:szCs w:val="24"/>
        </w:rPr>
      </w:pPr>
      <w:r>
        <w:rPr>
          <w:rFonts w:ascii="Times New Roman" w:hAnsi="Times New Roman" w:eastAsia="Calibri" w:cs="Times New Roman"/>
          <w:sz w:val="24"/>
          <w:szCs w:val="24"/>
        </w:rPr>
        <w:t>The population is a term used in research to describe a group of people, animals or things from which the researcher intended to draw the study of the research. Population is conceptualized to mean the total number of people under this study. According to the Head of department for Circulation Unit, t</w:t>
      </w:r>
      <w:r>
        <w:rPr>
          <w:rFonts w:ascii="Times New Roman" w:hAnsi="Times New Roman" w:cs="Times New Roman"/>
          <w:sz w:val="24"/>
          <w:szCs w:val="24"/>
        </w:rPr>
        <w:t>he total population of registered library users in 2024 was Six hundred and thirty two (632).</w:t>
      </w:r>
    </w:p>
    <w:p w14:paraId="725C983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r>
      <w:r>
        <w:rPr>
          <w:rFonts w:ascii="Times New Roman" w:hAnsi="Times New Roman" w:cs="Times New Roman"/>
          <w:b/>
          <w:sz w:val="24"/>
          <w:szCs w:val="24"/>
        </w:rPr>
        <w:t>Sample and Sampling Technique</w:t>
      </w:r>
    </w:p>
    <w:p w14:paraId="6547A5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can be described as the number of respondents choosing out of the whole population of a particular study. Sampling can be defined as the process of selecting samples from the study population for the analysis of a phenomenon. Proportional sampling method is used to divide the whole population into sub-population and then a Random sampling method is used in picking from the total population.</w:t>
      </w:r>
    </w:p>
    <w:p w14:paraId="08ADE29C">
      <w:pPr>
        <w:spacing w:after="0" w:line="480" w:lineRule="auto"/>
        <w:ind w:firstLine="720"/>
        <w:jc w:val="both"/>
        <w:rPr>
          <w:rFonts w:ascii="Times New Roman" w:hAnsi="Times New Roman" w:cs="Times New Roman"/>
          <w:sz w:val="24"/>
          <w:szCs w:val="24"/>
        </w:rPr>
      </w:pPr>
    </w:p>
    <w:p w14:paraId="11DB2E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simple random sampling procedure would be adopted to select sample population. </w:t>
      </w:r>
    </w:p>
    <w:p w14:paraId="20A01851">
      <w:pPr>
        <w:spacing w:line="480" w:lineRule="auto"/>
        <w:jc w:val="both"/>
        <w:rPr>
          <w:rFonts w:ascii="Times New Roman" w:hAnsi="Times New Roman" w:cs="Times New Roman"/>
          <w:sz w:val="24"/>
          <w:szCs w:val="24"/>
        </w:rPr>
      </w:pPr>
      <w:r>
        <w:rPr>
          <w:rFonts w:ascii="Times New Roman" w:hAnsi="Times New Roman" w:cs="Times New Roman"/>
          <w:sz w:val="24"/>
          <w:szCs w:val="24"/>
        </w:rPr>
        <w:t>The size of a sample for the study will be derived by using taro Yamane formula:</w:t>
      </w:r>
    </w:p>
    <w:p w14:paraId="38D18FBA">
      <w:pPr>
        <w:spacing w:line="480" w:lineRule="auto"/>
        <w:jc w:val="both"/>
        <w:rPr>
          <w:rFonts w:ascii="Times New Roman" w:hAnsi="Times New Roman" w:cs="Times New Roman"/>
          <w:sz w:val="24"/>
          <w:szCs w:val="24"/>
        </w:rPr>
      </w:pPr>
      <m:oMathPara>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m:t>
              </m:r>
              <m:ctrlPr>
                <w:rPr>
                  <w:rFonts w:ascii="Cambria Math" w:hAnsi="Times New Roman" w:cs="Times New Roman"/>
                  <w:sz w:val="24"/>
                  <w:szCs w:val="24"/>
                </w:rPr>
              </m:ctrlPr>
            </m:num>
            <m:den>
              <m:r>
                <m:rPr>
                  <m:sty m:val="p"/>
                </m:rPr>
                <w:rPr>
                  <w:rFonts w:ascii="Cambria Math" w:hAnsi="Times New Roman" w:cs="Times New Roman"/>
                  <w:sz w:val="24"/>
                  <w:szCs w:val="24"/>
                </w:rPr>
                <m:t>1+N</m:t>
              </m:r>
              <m:d>
                <m:dPr>
                  <m:ctrlPr>
                    <w:rPr>
                      <w:rFonts w:ascii="Cambria Math" w:hAnsi="Times New Roman" w:cs="Times New Roman"/>
                      <w:sz w:val="24"/>
                      <w:szCs w:val="24"/>
                    </w:rPr>
                  </m:ctrlPr>
                </m:dPr>
                <m:e>
                  <m:r>
                    <m:rPr>
                      <m:sty m:val="p"/>
                    </m:rPr>
                    <w:rPr>
                      <w:rFonts w:ascii="Cambria Math" w:hAnsi="Times New Roman" w:cs="Times New Roman"/>
                      <w:sz w:val="24"/>
                      <w:szCs w:val="24"/>
                    </w:rPr>
                    <m:t>e</m:t>
                  </m:r>
                  <m:ctrlPr>
                    <w:rPr>
                      <w:rFonts w:ascii="Cambria Math" w:hAnsi="Times New Roman" w:cs="Times New Roman"/>
                      <w:sz w:val="24"/>
                      <w:szCs w:val="24"/>
                    </w:rPr>
                  </m:ctrlPr>
                </m:e>
              </m:d>
              <m:r>
                <m:rPr>
                  <m:sty m:val="p"/>
                </m:rPr>
                <w:rPr>
                  <w:rFonts w:ascii="Cambria Math" w:hAnsi="Times New Roman" w:cs="Times New Roman"/>
                  <w:sz w:val="24"/>
                  <w:szCs w:val="24"/>
                </w:rPr>
                <m:t xml:space="preserve"> 2</m:t>
              </m:r>
              <m:ctrlPr>
                <w:rPr>
                  <w:rFonts w:ascii="Cambria Math" w:hAnsi="Times New Roman" w:cs="Times New Roman"/>
                  <w:sz w:val="24"/>
                  <w:szCs w:val="24"/>
                </w:rPr>
              </m:ctrlPr>
            </m:den>
          </m:f>
        </m:oMath>
      </m:oMathPara>
    </w:p>
    <w:p w14:paraId="5A83A42A">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Where n = sample size</w:t>
      </w:r>
    </w:p>
    <w:p w14:paraId="073DD80C">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N = Total population </w:t>
      </w:r>
    </w:p>
    <w:p w14:paraId="6A95F057">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E = Level of significance (0.05)</w:t>
      </w:r>
    </w:p>
    <w:p w14:paraId="15322B59">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m:t>
            </m:r>
            <m:ctrlPr>
              <w:rPr>
                <w:rFonts w:ascii="Cambria Math" w:hAnsi="Times New Roman" w:cs="Times New Roman"/>
                <w:sz w:val="24"/>
                <w:szCs w:val="24"/>
              </w:rPr>
            </m:ctrlPr>
          </m:num>
          <m:den>
            <m:r>
              <m:rPr>
                <m:sty m:val="p"/>
              </m:rPr>
              <w:rPr>
                <w:rFonts w:ascii="Cambria Math" w:hAnsi="Times New Roman" w:cs="Times New Roman"/>
                <w:sz w:val="24"/>
                <w:szCs w:val="24"/>
              </w:rPr>
              <m:t>1+N</m:t>
            </m:r>
            <m:d>
              <m:dPr>
                <m:ctrlPr>
                  <w:rPr>
                    <w:rFonts w:ascii="Cambria Math" w:hAnsi="Times New Roman" w:cs="Times New Roman"/>
                    <w:sz w:val="24"/>
                    <w:szCs w:val="24"/>
                  </w:rPr>
                </m:ctrlPr>
              </m:dPr>
              <m:e>
                <m:r>
                  <m:rPr>
                    <m:sty m:val="p"/>
                  </m:rPr>
                  <w:rPr>
                    <w:rFonts w:ascii="Cambria Math" w:hAnsi="Times New Roman" w:cs="Times New Roman"/>
                    <w:sz w:val="24"/>
                    <w:szCs w:val="24"/>
                  </w:rPr>
                  <m:t>e</m:t>
                </m:r>
                <m:ctrlPr>
                  <w:rPr>
                    <w:rFonts w:ascii="Cambria Math" w:hAnsi="Times New Roman" w:cs="Times New Roman"/>
                    <w:sz w:val="24"/>
                    <w:szCs w:val="24"/>
                  </w:rPr>
                </m:ctrlPr>
              </m:e>
            </m:d>
            <m:r>
              <m:rPr>
                <m:sty m:val="p"/>
              </m:rPr>
              <w:rPr>
                <w:rFonts w:ascii="Cambria Math" w:hAnsi="Times New Roman" w:cs="Times New Roman"/>
                <w:sz w:val="24"/>
                <w:szCs w:val="24"/>
              </w:rPr>
              <m:t xml:space="preserve"> 2</m:t>
            </m:r>
            <m:ctrlPr>
              <w:rPr>
                <w:rFonts w:ascii="Cambria Math" w:hAnsi="Times New Roman" w:cs="Times New Roman"/>
                <w:sz w:val="24"/>
                <w:szCs w:val="24"/>
              </w:rPr>
            </m:ctrlPr>
          </m:den>
        </m:f>
      </m:oMath>
    </w:p>
    <w:p w14:paraId="40B5C4D5">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1+632</m:t>
            </m:r>
            <m:d>
              <m:dPr>
                <m:ctrlPr>
                  <w:rPr>
                    <w:rFonts w:ascii="Cambria Math" w:hAnsi="Times New Roman" w:cs="Times New Roman"/>
                    <w:sz w:val="24"/>
                    <w:szCs w:val="24"/>
                  </w:rPr>
                </m:ctrlPr>
              </m:dPr>
              <m:e>
                <m:r>
                  <m:rPr>
                    <m:sty m:val="p"/>
                  </m:rPr>
                  <w:rPr>
                    <w:rFonts w:ascii="Cambria Math" w:hAnsi="Times New Roman" w:cs="Times New Roman"/>
                    <w:sz w:val="24"/>
                    <w:szCs w:val="24"/>
                  </w:rPr>
                  <m:t>e</m:t>
                </m:r>
                <m:ctrlPr>
                  <w:rPr>
                    <w:rFonts w:ascii="Cambria Math" w:hAnsi="Times New Roman" w:cs="Times New Roman"/>
                    <w:sz w:val="24"/>
                    <w:szCs w:val="24"/>
                  </w:rPr>
                </m:ctrlPr>
              </m:e>
            </m:d>
            <m:r>
              <m:rPr>
                <m:sty m:val="p"/>
              </m:rPr>
              <w:rPr>
                <w:rFonts w:ascii="Cambria Math" w:hAnsi="Times New Roman" w:cs="Times New Roman"/>
                <w:sz w:val="24"/>
                <w:szCs w:val="24"/>
              </w:rPr>
              <m:t xml:space="preserve"> 2</m:t>
            </m:r>
            <m:ctrlPr>
              <w:rPr>
                <w:rFonts w:ascii="Cambria Math" w:hAnsi="Times New Roman" w:cs="Times New Roman"/>
                <w:sz w:val="24"/>
                <w:szCs w:val="24"/>
              </w:rPr>
            </m:ctrlPr>
          </m:den>
        </m:f>
      </m:oMath>
    </w:p>
    <w:p w14:paraId="184CEE82">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1+632</m:t>
            </m:r>
            <m:d>
              <m:dPr>
                <m:ctrlPr>
                  <w:rPr>
                    <w:rFonts w:ascii="Cambria Math" w:hAnsi="Times New Roman" w:cs="Times New Roman"/>
                    <w:sz w:val="24"/>
                    <w:szCs w:val="24"/>
                  </w:rPr>
                </m:ctrlPr>
              </m:dPr>
              <m:e>
                <m:r>
                  <m:rPr>
                    <m:sty m:val="p"/>
                  </m:rPr>
                  <w:rPr>
                    <w:rFonts w:ascii="Cambria Math" w:hAnsi="Times New Roman" w:cs="Times New Roman"/>
                    <w:sz w:val="24"/>
                    <w:szCs w:val="24"/>
                  </w:rPr>
                  <m:t>0.0025</m:t>
                </m:r>
                <m:ctrlPr>
                  <w:rPr>
                    <w:rFonts w:ascii="Cambria Math" w:hAnsi="Times New Roman" w:cs="Times New Roman"/>
                    <w:sz w:val="24"/>
                    <w:szCs w:val="24"/>
                  </w:rPr>
                </m:ctrlPr>
              </m:e>
            </m:d>
            <m:ctrlPr>
              <w:rPr>
                <w:rFonts w:ascii="Cambria Math" w:hAnsi="Times New Roman" w:cs="Times New Roman"/>
                <w:sz w:val="24"/>
                <w:szCs w:val="24"/>
              </w:rPr>
            </m:ctrlPr>
          </m:den>
        </m:f>
      </m:oMath>
    </w:p>
    <w:p w14:paraId="5A669D82">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1+1.58</m:t>
            </m:r>
            <m:ctrlPr>
              <w:rPr>
                <w:rFonts w:ascii="Cambria Math" w:hAnsi="Times New Roman" w:cs="Times New Roman"/>
                <w:sz w:val="24"/>
                <w:szCs w:val="24"/>
              </w:rPr>
            </m:ctrlPr>
          </m:den>
        </m:f>
      </m:oMath>
    </w:p>
    <w:p w14:paraId="2DB56B7B">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2.58</m:t>
            </m:r>
            <m:ctrlPr>
              <w:rPr>
                <w:rFonts w:ascii="Cambria Math" w:hAnsi="Times New Roman" w:cs="Times New Roman"/>
                <w:sz w:val="24"/>
                <w:szCs w:val="24"/>
              </w:rPr>
            </m:ctrlPr>
          </m:den>
        </m:f>
      </m:oMath>
      <w:r>
        <w:rPr>
          <w:rFonts w:ascii="Times New Roman" w:hAnsi="Times New Roman" w:cs="Times New Roman"/>
          <w:sz w:val="24"/>
          <w:szCs w:val="24"/>
        </w:rPr>
        <w:t xml:space="preserve">  =     n = 244.9 = 245 </w:t>
      </w:r>
    </w:p>
    <w:p w14:paraId="3E98FFA7">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Therefore, Two hundred and forty five (245) questionnaires will be administered.</w:t>
      </w:r>
    </w:p>
    <w:p w14:paraId="0E946E3B">
      <w:pPr>
        <w:spacing w:after="0" w:line="480" w:lineRule="auto"/>
        <w:jc w:val="both"/>
        <w:rPr>
          <w:rFonts w:ascii="Times New Roman" w:hAnsi="Times New Roman" w:cs="Times New Roman"/>
          <w:sz w:val="24"/>
          <w:szCs w:val="24"/>
        </w:rPr>
      </w:pPr>
      <w:r>
        <w:rPr>
          <w:rFonts w:ascii="Times New Roman" w:hAnsi="Times New Roman" w:eastAsia="Calibri" w:cs="Times New Roman"/>
          <w:b/>
          <w:sz w:val="24"/>
          <w:szCs w:val="24"/>
        </w:rPr>
        <w:t>3.4</w:t>
      </w:r>
      <w:r>
        <w:rPr>
          <w:rFonts w:ascii="Times New Roman" w:hAnsi="Times New Roman" w:cs="Times New Roman"/>
          <w:sz w:val="24"/>
          <w:szCs w:val="24"/>
        </w:rPr>
        <w:tab/>
      </w:r>
      <w:r>
        <w:rPr>
          <w:rFonts w:ascii="Times New Roman" w:hAnsi="Times New Roman" w:eastAsia="Calibri" w:cs="Times New Roman"/>
          <w:b/>
          <w:sz w:val="24"/>
          <w:szCs w:val="24"/>
        </w:rPr>
        <w:t>Instrument for Data Collection</w:t>
      </w:r>
    </w:p>
    <w:p w14:paraId="6F5588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collection means gathering information to address those critical evaluations questions that the researcher has identified earlier in the evaluation process. </w:t>
      </w:r>
      <w:r>
        <w:rPr>
          <w:rFonts w:ascii="Times New Roman" w:hAnsi="Times New Roman" w:eastAsia="Calibri" w:cs="Times New Roman"/>
          <w:sz w:val="24"/>
          <w:szCs w:val="24"/>
        </w:rPr>
        <w:t xml:space="preserve">The method of data collection for this study will be </w:t>
      </w:r>
      <w:r>
        <w:rPr>
          <w:rFonts w:ascii="Times New Roman" w:hAnsi="Times New Roman" w:eastAsia="Calibri" w:cs="Times New Roman"/>
          <w:b/>
          <w:sz w:val="24"/>
          <w:szCs w:val="24"/>
        </w:rPr>
        <w:t>Questionnaire</w:t>
      </w:r>
      <w:r>
        <w:rPr>
          <w:rFonts w:ascii="Times New Roman" w:hAnsi="Times New Roman" w:eastAsia="Calibri" w:cs="Times New Roman"/>
          <w:sz w:val="24"/>
          <w:szCs w:val="24"/>
        </w:rPr>
        <w:t xml:space="preserve">. The questionnaire for this study will be closed ended and open ended questions where essential information will be get from respondents in order to arrive at effective research work. </w:t>
      </w:r>
      <w:r>
        <w:rPr>
          <w:rFonts w:ascii="Times New Roman" w:hAnsi="Times New Roman" w:cs="Times New Roman"/>
          <w:sz w:val="24"/>
          <w:szCs w:val="24"/>
        </w:rPr>
        <w:t>A questionnaire can be described as a set of carefully selected questions whose answers contribute to a specified goal (Bryman 2016). Questionnaires are data collection tools in quantitative and qualitative studies where respondents are expected to answer standardized questions related to the research topic. Questionnaire were chosen because they are relatively cheap and do not require a lot of time from participants (Patten 2016). It is important to encourage their participation by taking up as little time as possible. Another advantage of questionnaires is they are anonymous and encourage the freedom of expression without fear of victimization.</w:t>
      </w:r>
    </w:p>
    <w:p w14:paraId="3F674EFF">
      <w:pPr>
        <w:spacing w:after="0" w:line="480" w:lineRule="auto"/>
        <w:rPr>
          <w:rFonts w:ascii="Times New Roman" w:hAnsi="Times New Roman" w:cs="Times New Roman"/>
          <w:sz w:val="24"/>
          <w:szCs w:val="24"/>
        </w:rPr>
      </w:pPr>
      <w:r>
        <w:rPr>
          <w:rFonts w:ascii="Times New Roman" w:hAnsi="Times New Roman" w:cs="Times New Roman"/>
          <w:sz w:val="24"/>
          <w:szCs w:val="24"/>
        </w:rPr>
        <w:t>The questionnaire consisted of two sections with different subject matters.</w:t>
      </w:r>
    </w:p>
    <w:p w14:paraId="794E63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Section A</w:t>
      </w:r>
      <w:r>
        <w:rPr>
          <w:rFonts w:ascii="Times New Roman" w:hAnsi="Times New Roman" w:cs="Times New Roman"/>
          <w:sz w:val="24"/>
          <w:szCs w:val="24"/>
        </w:rPr>
        <w:t xml:space="preserve"> includes the demographic information of respondent such as; gender, age and marital status. While </w:t>
      </w:r>
      <w:r>
        <w:rPr>
          <w:rFonts w:ascii="Times New Roman" w:hAnsi="Times New Roman" w:cs="Times New Roman"/>
          <w:b/>
          <w:sz w:val="24"/>
          <w:szCs w:val="24"/>
        </w:rPr>
        <w:t>Section B</w:t>
      </w:r>
      <w:r>
        <w:rPr>
          <w:rFonts w:ascii="Times New Roman" w:hAnsi="Times New Roman" w:cs="Times New Roman"/>
          <w:sz w:val="24"/>
          <w:szCs w:val="24"/>
        </w:rPr>
        <w:t xml:space="preserve"> addresses the main reason of the research.</w:t>
      </w:r>
    </w:p>
    <w:p w14:paraId="4F50ECE8">
      <w:pPr>
        <w:spacing w:after="0" w:line="480" w:lineRule="auto"/>
        <w:jc w:val="both"/>
        <w:rPr>
          <w:rFonts w:ascii="Times New Roman" w:hAnsi="Times New Roman" w:cs="Times New Roman"/>
          <w:b/>
          <w:sz w:val="24"/>
          <w:szCs w:val="24"/>
        </w:rPr>
      </w:pPr>
      <w:r>
        <w:rPr>
          <w:rFonts w:ascii="Times New Roman" w:hAnsi="Times New Roman" w:eastAsia="Calibri" w:cs="Times New Roman"/>
          <w:b/>
          <w:sz w:val="24"/>
          <w:szCs w:val="24"/>
        </w:rPr>
        <w:t>3.5</w:t>
      </w:r>
      <w:r>
        <w:rPr>
          <w:rFonts w:ascii="Times New Roman" w:hAnsi="Times New Roman" w:eastAsia="Calibri" w:cs="Times New Roman"/>
          <w:b/>
          <w:sz w:val="24"/>
          <w:szCs w:val="24"/>
        </w:rPr>
        <w:tab/>
      </w:r>
      <w:r>
        <w:rPr>
          <w:rFonts w:ascii="Times New Roman" w:hAnsi="Times New Roman" w:cs="Times New Roman"/>
          <w:b/>
          <w:sz w:val="24"/>
          <w:szCs w:val="24"/>
        </w:rPr>
        <w:t>Reliability and Validity of Research Instrument</w:t>
      </w:r>
    </w:p>
    <w:p w14:paraId="6E9D5CD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Reliability</w:t>
      </w:r>
      <w:r>
        <w:rPr>
          <w:rFonts w:ascii="Times New Roman" w:hAnsi="Times New Roman" w:cs="Times New Roman"/>
          <w:sz w:val="24"/>
          <w:szCs w:val="24"/>
        </w:rPr>
        <w:t xml:space="preserve"> is defined as the accuracy and precision of a measurement procedure. This is also referred to as the consistency of a method of measurement repeated under the same condition will give the same result.</w:t>
      </w:r>
      <w:r>
        <w:rPr>
          <w:rFonts w:ascii="Times New Roman" w:hAnsi="Times New Roman" w:cs="Times New Roman"/>
          <w:b/>
          <w:sz w:val="24"/>
          <w:szCs w:val="24"/>
        </w:rPr>
        <w:t xml:space="preserve"> </w:t>
      </w:r>
      <w:r>
        <w:rPr>
          <w:rFonts w:ascii="Times New Roman" w:hAnsi="Times New Roman" w:cs="Times New Roman"/>
          <w:sz w:val="24"/>
          <w:szCs w:val="24"/>
        </w:rPr>
        <w:t>Reliability is also defined as the extent to which a measure is free of variable error. It is not enough for a researcher to collect information in good faith.</w:t>
      </w:r>
    </w:p>
    <w:p w14:paraId="25FEA4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He must also Make sure that the information rendered by respondents knowledge of the subject matter. In order to test the reliability of the data collected, the pretest and re-test method used.</w:t>
      </w:r>
    </w:p>
    <w:p w14:paraId="284330BE">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Validity </w:t>
      </w:r>
      <w:r>
        <w:rPr>
          <w:rFonts w:ascii="Times New Roman" w:hAnsi="Times New Roman" w:cs="Times New Roman"/>
          <w:sz w:val="24"/>
          <w:szCs w:val="24"/>
        </w:rPr>
        <w:t>is the extent to which a text measures what it intends to measure.</w:t>
      </w:r>
    </w:p>
    <w:p w14:paraId="34B1B993">
      <w:pPr>
        <w:spacing w:after="0" w:line="480" w:lineRule="auto"/>
        <w:jc w:val="both"/>
        <w:rPr>
          <w:rFonts w:ascii="Times New Roman" w:hAnsi="Times New Roman" w:eastAsia="Calibri"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eastAsia="Calibri" w:cs="Times New Roman"/>
          <w:b/>
          <w:sz w:val="24"/>
          <w:szCs w:val="24"/>
        </w:rPr>
        <w:t>Administration of the Instrument</w:t>
      </w:r>
    </w:p>
    <w:p w14:paraId="2128F9F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instruments for this research will be personally administered to the respondents through visitation to the library under study to ensure that everyone in the population is given equal opportunity to be selected.</w:t>
      </w:r>
    </w:p>
    <w:p w14:paraId="25A8D54D">
      <w:pPr>
        <w:spacing w:after="0" w:line="480" w:lineRule="auto"/>
        <w:jc w:val="both"/>
        <w:rPr>
          <w:rFonts w:ascii="Times New Roman" w:hAnsi="Times New Roman" w:eastAsia="Calibri" w:cs="Times New Roman"/>
          <w:sz w:val="24"/>
          <w:szCs w:val="24"/>
        </w:rPr>
      </w:pPr>
    </w:p>
    <w:p w14:paraId="3C0B6AF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3.7</w:t>
      </w:r>
      <w:r>
        <w:rPr>
          <w:rFonts w:ascii="Times New Roman" w:hAnsi="Times New Roman" w:cs="Times New Roman"/>
          <w:sz w:val="24"/>
          <w:szCs w:val="24"/>
        </w:rPr>
        <w:tab/>
      </w:r>
      <w:r>
        <w:rPr>
          <w:rFonts w:ascii="Times New Roman" w:hAnsi="Times New Roman" w:eastAsia="Calibri" w:cs="Times New Roman"/>
          <w:b/>
          <w:sz w:val="24"/>
          <w:szCs w:val="24"/>
        </w:rPr>
        <w:t>Method of Data Analysis</w:t>
      </w:r>
    </w:p>
    <w:p w14:paraId="1D12D8C7">
      <w:pPr>
        <w:spacing w:line="480" w:lineRule="auto"/>
        <w:jc w:val="both"/>
        <w:rPr>
          <w:rFonts w:ascii="Times New Roman" w:hAnsi="Times New Roman" w:cs="Times New Roman"/>
          <w:sz w:val="24"/>
          <w:szCs w:val="24"/>
        </w:rPr>
      </w:pPr>
      <w:r>
        <w:rPr>
          <w:rFonts w:ascii="Times New Roman" w:hAnsi="Times New Roman" w:cs="Times New Roman"/>
          <w:sz w:val="24"/>
          <w:szCs w:val="24"/>
        </w:rPr>
        <w:t>This is the last segment under methodology, here we intends to set out how our collected data will be analysis. Axman, (2015) explains that analysis methods are procedures for manipulating data so that the research questions can be answered, usually by identifying important patterns. In quantitative research which is used in this study, data analysis basically involve the use of statistical procedures. Therefore, the collected data will be presented, analyzed and integrated using table simple percentage.</w:t>
      </w:r>
    </w:p>
    <w:p w14:paraId="394E382C"/>
    <w:p w14:paraId="40DA26A8"/>
    <w:p w14:paraId="49396D35"/>
    <w:p w14:paraId="4131E885"/>
    <w:p w14:paraId="39810CC7"/>
    <w:p w14:paraId="310002D1"/>
    <w:p w14:paraId="5E626C0B"/>
    <w:p w14:paraId="66F7730B"/>
    <w:p w14:paraId="7DF4C065"/>
    <w:p w14:paraId="0ABE9ED5"/>
    <w:p w14:paraId="34EB0FDA"/>
    <w:p w14:paraId="15F8AD2D"/>
    <w:p w14:paraId="2BFA17FA"/>
    <w:p w14:paraId="387E1676"/>
    <w:p w14:paraId="23095575"/>
    <w:p w14:paraId="45559663"/>
    <w:p w14:paraId="16815412"/>
    <w:p w14:paraId="3F8C3C41"/>
    <w:p w14:paraId="1952EDEC"/>
    <w:p w14:paraId="6FC3B1E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4390D8BD">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DATA PRESENTATION, ANALYSIS AND INTERPRETATION</w:t>
      </w:r>
    </w:p>
    <w:p w14:paraId="0C55507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Introduction</w:t>
      </w:r>
    </w:p>
    <w:p w14:paraId="29BF67CC">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covers the analysis and interpretation of the various data collected through the use of questionnaires as per objectives of the study. According to the Head of Circulation Unit , He said that the overall number of</w:t>
      </w:r>
      <w:r>
        <w:rPr>
          <w:rFonts w:hint="default" w:ascii="Times New Roman" w:hAnsi="Times New Roman" w:cs="Times New Roman"/>
          <w:sz w:val="24"/>
          <w:szCs w:val="24"/>
          <w:lang w:val="en-US"/>
        </w:rPr>
        <w:t xml:space="preserve"> university of ilorin </w:t>
      </w:r>
      <w:r>
        <w:rPr>
          <w:rFonts w:ascii="Times New Roman" w:hAnsi="Times New Roman" w:cs="Times New Roman"/>
          <w:sz w:val="24"/>
          <w:szCs w:val="24"/>
        </w:rPr>
        <w:t>Library users registered in 202</w:t>
      </w:r>
      <w:r>
        <w:rPr>
          <w:rFonts w:hint="default" w:ascii="Times New Roman" w:hAnsi="Times New Roman" w:cs="Times New Roman"/>
          <w:sz w:val="24"/>
          <w:szCs w:val="24"/>
          <w:lang w:val="en-US"/>
        </w:rPr>
        <w:t>5</w:t>
      </w:r>
      <w:r>
        <w:rPr>
          <w:rFonts w:ascii="Times New Roman" w:hAnsi="Times New Roman" w:cs="Times New Roman"/>
          <w:sz w:val="24"/>
          <w:szCs w:val="24"/>
        </w:rPr>
        <w:t xml:space="preserve"> were Six hundred and thirty two (632). The sample of 245 Library Users was taken and (245) questionnaires were printed and distributed to the Library Users for the purpose of data collection.</w:t>
      </w:r>
    </w:p>
    <w:p w14:paraId="19AE027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Return Rate</w:t>
      </w:r>
    </w:p>
    <w:p w14:paraId="1A839BAC">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Two hundred and forty five (245) copies of questionnaires were administered to the library staff and all were retrieved which is representing 100% rate.</w:t>
      </w:r>
    </w:p>
    <w:p w14:paraId="6B557D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sz w:val="24"/>
          <w:szCs w:val="24"/>
        </w:rPr>
        <w:t>Analysis of Staff Questionnaire</w:t>
      </w:r>
    </w:p>
    <w:p w14:paraId="0184D2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4.3.1</w:t>
      </w:r>
      <w:r>
        <w:rPr>
          <w:rFonts w:ascii="Times New Roman" w:hAnsi="Times New Roman" w:cs="Times New Roman"/>
          <w:b/>
          <w:sz w:val="24"/>
          <w:szCs w:val="24"/>
        </w:rPr>
        <w:tab/>
      </w:r>
      <w:r>
        <w:rPr>
          <w:rFonts w:ascii="Times New Roman" w:hAnsi="Times New Roman" w:cs="Times New Roman"/>
          <w:b/>
          <w:sz w:val="24"/>
          <w:szCs w:val="24"/>
        </w:rPr>
        <w:t>Gender of Respondents</w:t>
      </w:r>
    </w:p>
    <w:tbl>
      <w:tblPr>
        <w:tblStyle w:val="10"/>
        <w:tblW w:w="0" w:type="auto"/>
        <w:tblInd w:w="6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3"/>
        <w:gridCol w:w="2160"/>
        <w:gridCol w:w="1350"/>
      </w:tblGrid>
      <w:tr w14:paraId="6CAF00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trPr>
        <w:tc>
          <w:tcPr>
            <w:tcW w:w="1013" w:type="dxa"/>
          </w:tcPr>
          <w:p w14:paraId="759E618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Gender</w:t>
            </w:r>
          </w:p>
        </w:tc>
        <w:tc>
          <w:tcPr>
            <w:tcW w:w="2160" w:type="dxa"/>
          </w:tcPr>
          <w:p w14:paraId="7220E6A6">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No. of Respondent</w:t>
            </w:r>
          </w:p>
        </w:tc>
        <w:tc>
          <w:tcPr>
            <w:tcW w:w="1350" w:type="dxa"/>
          </w:tcPr>
          <w:p w14:paraId="42E7F9BD">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w:t>
            </w:r>
          </w:p>
        </w:tc>
      </w:tr>
      <w:tr w14:paraId="44A137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 w:hRule="atLeast"/>
        </w:trPr>
        <w:tc>
          <w:tcPr>
            <w:tcW w:w="1013" w:type="dxa"/>
          </w:tcPr>
          <w:p w14:paraId="057A70D2">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Male</w:t>
            </w:r>
          </w:p>
        </w:tc>
        <w:tc>
          <w:tcPr>
            <w:tcW w:w="2160" w:type="dxa"/>
          </w:tcPr>
          <w:p w14:paraId="60D12CE0">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130</w:t>
            </w:r>
          </w:p>
        </w:tc>
        <w:tc>
          <w:tcPr>
            <w:tcW w:w="1350" w:type="dxa"/>
          </w:tcPr>
          <w:p w14:paraId="50859F83">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p>
        </w:tc>
      </w:tr>
      <w:tr w14:paraId="48833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 w:hRule="atLeast"/>
        </w:trPr>
        <w:tc>
          <w:tcPr>
            <w:tcW w:w="1013" w:type="dxa"/>
          </w:tcPr>
          <w:p w14:paraId="3E2046D4">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Female</w:t>
            </w:r>
          </w:p>
        </w:tc>
        <w:tc>
          <w:tcPr>
            <w:tcW w:w="2160" w:type="dxa"/>
          </w:tcPr>
          <w:p w14:paraId="78E0B744">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115</w:t>
            </w:r>
          </w:p>
        </w:tc>
        <w:tc>
          <w:tcPr>
            <w:tcW w:w="1350" w:type="dxa"/>
          </w:tcPr>
          <w:p w14:paraId="624D52E7">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47%</w:t>
            </w:r>
          </w:p>
        </w:tc>
      </w:tr>
      <w:tr w14:paraId="64D1E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 w:hRule="atLeast"/>
        </w:trPr>
        <w:tc>
          <w:tcPr>
            <w:tcW w:w="1013" w:type="dxa"/>
          </w:tcPr>
          <w:p w14:paraId="7EB73667">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2160" w:type="dxa"/>
          </w:tcPr>
          <w:p w14:paraId="0856D7FD">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350" w:type="dxa"/>
          </w:tcPr>
          <w:p w14:paraId="597C286E">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279587BF">
      <w:pPr>
        <w:spacing w:after="0"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DDB7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gender of the respondents as presented in table 4.3.1 shows that the male library users which are 130 respondents representing (65%) are more than the female library users which are 115 respondents representing (35%).</w:t>
      </w:r>
    </w:p>
    <w:p w14:paraId="7F5E1903">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Table 4.3.2:</w:t>
      </w:r>
      <w:r>
        <w:rPr>
          <w:rFonts w:ascii="Times New Roman" w:hAnsi="Times New Roman" w:cs="Times New Roman"/>
          <w:b/>
          <w:sz w:val="24"/>
          <w:szCs w:val="24"/>
        </w:rPr>
        <w:tab/>
      </w:r>
      <w:r>
        <w:rPr>
          <w:rFonts w:ascii="Times New Roman" w:hAnsi="Times New Roman" w:cs="Times New Roman"/>
          <w:b/>
          <w:sz w:val="24"/>
          <w:szCs w:val="24"/>
        </w:rPr>
        <w:t>Age Group</w:t>
      </w:r>
    </w:p>
    <w:tbl>
      <w:tblPr>
        <w:tblStyle w:val="10"/>
        <w:tblW w:w="0" w:type="auto"/>
        <w:tblInd w:w="7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90"/>
        <w:gridCol w:w="1980"/>
        <w:gridCol w:w="1980"/>
      </w:tblGrid>
      <w:tr w14:paraId="67A01A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19FBAC5C">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Age </w:t>
            </w:r>
          </w:p>
        </w:tc>
        <w:tc>
          <w:tcPr>
            <w:tcW w:w="1980" w:type="dxa"/>
          </w:tcPr>
          <w:p w14:paraId="1D8593E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980" w:type="dxa"/>
          </w:tcPr>
          <w:p w14:paraId="0C2DF8E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 (%)</w:t>
            </w:r>
          </w:p>
        </w:tc>
      </w:tr>
      <w:tr w14:paraId="79827A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1AFB87C8">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18-23</w:t>
            </w:r>
          </w:p>
        </w:tc>
        <w:tc>
          <w:tcPr>
            <w:tcW w:w="1980" w:type="dxa"/>
          </w:tcPr>
          <w:p w14:paraId="79C6CCDB">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160</w:t>
            </w:r>
          </w:p>
        </w:tc>
        <w:tc>
          <w:tcPr>
            <w:tcW w:w="1980" w:type="dxa"/>
          </w:tcPr>
          <w:p w14:paraId="6D5464F3">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65%</w:t>
            </w:r>
          </w:p>
        </w:tc>
      </w:tr>
      <w:tr w14:paraId="1CD531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696F5A99">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24-29</w:t>
            </w:r>
          </w:p>
        </w:tc>
        <w:tc>
          <w:tcPr>
            <w:tcW w:w="1980" w:type="dxa"/>
          </w:tcPr>
          <w:p w14:paraId="458A160F">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80</w:t>
            </w:r>
          </w:p>
        </w:tc>
        <w:tc>
          <w:tcPr>
            <w:tcW w:w="1980" w:type="dxa"/>
          </w:tcPr>
          <w:p w14:paraId="1BF91133">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33%</w:t>
            </w:r>
          </w:p>
        </w:tc>
      </w:tr>
      <w:tr w14:paraId="546FD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1C5A5BCF">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30 and above</w:t>
            </w:r>
          </w:p>
        </w:tc>
        <w:tc>
          <w:tcPr>
            <w:tcW w:w="1980" w:type="dxa"/>
          </w:tcPr>
          <w:p w14:paraId="190EE253">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w:t>
            </w:r>
          </w:p>
        </w:tc>
        <w:tc>
          <w:tcPr>
            <w:tcW w:w="1980" w:type="dxa"/>
          </w:tcPr>
          <w:p w14:paraId="4EDA2072">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w:t>
            </w:r>
          </w:p>
        </w:tc>
      </w:tr>
      <w:tr w14:paraId="45357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29B7E184">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1980" w:type="dxa"/>
          </w:tcPr>
          <w:p w14:paraId="092C242B">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980" w:type="dxa"/>
          </w:tcPr>
          <w:p w14:paraId="19F7C7FC">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4091E8BE">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74041CC3">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4.3.2 above, 160 respondents representing (65%) were within the age of 18 – 23 years, 80 respondents representing (33%) were within the age of 26 – 35 years while 5 respondents representing (2%) were within the age of 30 and above.</w:t>
      </w:r>
    </w:p>
    <w:p w14:paraId="4EAA9B1D">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Table 4.4.3:</w:t>
      </w:r>
      <w:r>
        <w:rPr>
          <w:rFonts w:ascii="Times New Roman" w:hAnsi="Times New Roman" w:cs="Times New Roman"/>
          <w:b/>
          <w:sz w:val="24"/>
          <w:szCs w:val="24"/>
        </w:rPr>
        <w:tab/>
      </w:r>
      <w:r>
        <w:rPr>
          <w:rFonts w:ascii="Times New Roman" w:hAnsi="Times New Roman" w:cs="Times New Roman"/>
          <w:b/>
          <w:sz w:val="24"/>
          <w:szCs w:val="24"/>
        </w:rPr>
        <w:t xml:space="preserve">Marital Status  </w:t>
      </w:r>
    </w:p>
    <w:tbl>
      <w:tblPr>
        <w:tblStyle w:val="10"/>
        <w:tblW w:w="0" w:type="auto"/>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1531"/>
        <w:gridCol w:w="1912"/>
      </w:tblGrid>
      <w:tr w14:paraId="21C1F8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632D84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Statements</w:t>
            </w:r>
          </w:p>
        </w:tc>
        <w:tc>
          <w:tcPr>
            <w:tcW w:w="1531" w:type="dxa"/>
          </w:tcPr>
          <w:p w14:paraId="1ACC643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912" w:type="dxa"/>
          </w:tcPr>
          <w:p w14:paraId="4FDF3B2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 (%)</w:t>
            </w:r>
          </w:p>
        </w:tc>
      </w:tr>
      <w:tr w14:paraId="17AE2F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5DF7B1A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Single </w:t>
            </w:r>
          </w:p>
        </w:tc>
        <w:tc>
          <w:tcPr>
            <w:tcW w:w="1531" w:type="dxa"/>
          </w:tcPr>
          <w:p w14:paraId="28E1DF71">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195</w:t>
            </w:r>
          </w:p>
        </w:tc>
        <w:tc>
          <w:tcPr>
            <w:tcW w:w="1912" w:type="dxa"/>
          </w:tcPr>
          <w:p w14:paraId="1FC051B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80%</w:t>
            </w:r>
          </w:p>
        </w:tc>
      </w:tr>
      <w:tr w14:paraId="11ABE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2DF36C5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Married</w:t>
            </w:r>
          </w:p>
        </w:tc>
        <w:tc>
          <w:tcPr>
            <w:tcW w:w="1531" w:type="dxa"/>
          </w:tcPr>
          <w:p w14:paraId="5A361C1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50</w:t>
            </w:r>
          </w:p>
        </w:tc>
        <w:tc>
          <w:tcPr>
            <w:tcW w:w="1912" w:type="dxa"/>
          </w:tcPr>
          <w:p w14:paraId="76DF07F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20%</w:t>
            </w:r>
          </w:p>
        </w:tc>
      </w:tr>
      <w:tr w14:paraId="53777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5232720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Divorce</w:t>
            </w:r>
          </w:p>
        </w:tc>
        <w:tc>
          <w:tcPr>
            <w:tcW w:w="1531" w:type="dxa"/>
          </w:tcPr>
          <w:p w14:paraId="161CA0C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1912" w:type="dxa"/>
          </w:tcPr>
          <w:p w14:paraId="1278651B">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3C5F8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3558B6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Total </w:t>
            </w:r>
          </w:p>
        </w:tc>
        <w:tc>
          <w:tcPr>
            <w:tcW w:w="1531" w:type="dxa"/>
          </w:tcPr>
          <w:p w14:paraId="3E64646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912" w:type="dxa"/>
          </w:tcPr>
          <w:p w14:paraId="17B5FA9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77763033">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43AB0B5C">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table 4.3.3 above, the information shows that 195 respondents representing (80%) are single, 50 respondents representing (20%) are married while no one is divorced.</w:t>
      </w:r>
    </w:p>
    <w:p w14:paraId="2AE1E956">
      <w:pPr>
        <w:spacing w:line="480" w:lineRule="auto"/>
        <w:jc w:val="both"/>
        <w:rPr>
          <w:rFonts w:ascii="Times New Roman" w:hAnsi="Times New Roman" w:cs="Times New Roman"/>
          <w:b/>
          <w:sz w:val="24"/>
          <w:szCs w:val="24"/>
        </w:rPr>
      </w:pPr>
    </w:p>
    <w:p w14:paraId="193D0202">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4.3.4:</w:t>
      </w:r>
      <w:r>
        <w:rPr>
          <w:rFonts w:ascii="Times New Roman" w:hAnsi="Times New Roman" w:cs="Times New Roman"/>
          <w:b/>
          <w:sz w:val="24"/>
          <w:szCs w:val="24"/>
        </w:rPr>
        <w:tab/>
      </w:r>
      <w:r>
        <w:rPr>
          <w:rFonts w:ascii="Times New Roman" w:hAnsi="Times New Roman" w:cs="Times New Roman"/>
          <w:b/>
          <w:sz w:val="24"/>
          <w:szCs w:val="24"/>
        </w:rPr>
        <w:t>Faculty</w:t>
      </w:r>
    </w:p>
    <w:tbl>
      <w:tblPr>
        <w:tblStyle w:val="10"/>
        <w:tblW w:w="0" w:type="auto"/>
        <w:tblInd w:w="5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80"/>
        <w:gridCol w:w="1530"/>
        <w:gridCol w:w="1890"/>
      </w:tblGrid>
      <w:tr w14:paraId="35D74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17132B6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w:t>
            </w:r>
          </w:p>
        </w:tc>
        <w:tc>
          <w:tcPr>
            <w:tcW w:w="1530" w:type="dxa"/>
          </w:tcPr>
          <w:p w14:paraId="2E5EAED7">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890" w:type="dxa"/>
          </w:tcPr>
          <w:p w14:paraId="5633C06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 (%)</w:t>
            </w:r>
          </w:p>
        </w:tc>
      </w:tr>
      <w:tr w14:paraId="1EF15F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6E618FBB">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Engineering</w:t>
            </w:r>
          </w:p>
        </w:tc>
        <w:tc>
          <w:tcPr>
            <w:tcW w:w="1530" w:type="dxa"/>
          </w:tcPr>
          <w:p w14:paraId="74A3754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1890" w:type="dxa"/>
          </w:tcPr>
          <w:p w14:paraId="0DA233A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r>
      <w:tr w14:paraId="16A157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12BAF47C">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ICT</w:t>
            </w:r>
          </w:p>
        </w:tc>
        <w:tc>
          <w:tcPr>
            <w:tcW w:w="1530" w:type="dxa"/>
          </w:tcPr>
          <w:p w14:paraId="7B4D3A0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1890" w:type="dxa"/>
          </w:tcPr>
          <w:p w14:paraId="75D36B6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5F453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28B4085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Applied Science</w:t>
            </w:r>
          </w:p>
        </w:tc>
        <w:tc>
          <w:tcPr>
            <w:tcW w:w="1530" w:type="dxa"/>
          </w:tcPr>
          <w:p w14:paraId="78F1CBD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1890" w:type="dxa"/>
          </w:tcPr>
          <w:p w14:paraId="759F76D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r>
      <w:tr w14:paraId="05D5B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2325C20C">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Law</w:t>
            </w:r>
          </w:p>
        </w:tc>
        <w:tc>
          <w:tcPr>
            <w:tcW w:w="1530" w:type="dxa"/>
          </w:tcPr>
          <w:p w14:paraId="7D735C0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1890" w:type="dxa"/>
          </w:tcPr>
          <w:p w14:paraId="6234DE4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r>
      <w:tr w14:paraId="3D9EEA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3E7037D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Management</w:t>
            </w:r>
          </w:p>
        </w:tc>
        <w:tc>
          <w:tcPr>
            <w:tcW w:w="1530" w:type="dxa"/>
          </w:tcPr>
          <w:p w14:paraId="16A72E6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890" w:type="dxa"/>
          </w:tcPr>
          <w:p w14:paraId="2346735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r>
      <w:tr w14:paraId="28C78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6D72E0B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1530" w:type="dxa"/>
          </w:tcPr>
          <w:p w14:paraId="1031B5A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890" w:type="dxa"/>
          </w:tcPr>
          <w:p w14:paraId="5675FC9F">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01EA3A3B">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3FD81532">
      <w:pPr>
        <w:spacing w:line="360" w:lineRule="auto"/>
        <w:jc w:val="both"/>
        <w:rPr>
          <w:rFonts w:ascii="Times New Roman" w:hAnsi="Times New Roman" w:cs="Times New Roman"/>
          <w:b/>
          <w:sz w:val="24"/>
          <w:szCs w:val="24"/>
        </w:rPr>
      </w:pPr>
      <w:r>
        <w:rPr>
          <w:rFonts w:ascii="Times New Roman" w:hAnsi="Times New Roman" w:cs="Times New Roman"/>
          <w:sz w:val="24"/>
          <w:szCs w:val="24"/>
        </w:rPr>
        <w:t>From the table 4.3.4 above, the information shows that 70 respondents representing (29%) are from the School of Engineering, 80 respondents representing (33%) are from the School of ICT, 40 respondent representing (16%) are from the School of Applied Science, no one is from the School of Law while 55 respondent representing (22%) are from the School of Management. This implies that the students from the faculty of ICT are more that students from other faculties.</w:t>
      </w:r>
    </w:p>
    <w:p w14:paraId="236F1D39">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4.3.5 Research Question 1</w:t>
      </w:r>
      <w:r>
        <w:rPr>
          <w:rFonts w:ascii="Times New Roman" w:hAnsi="Times New Roman" w:cs="Times New Roman"/>
          <w:sz w:val="24"/>
          <w:szCs w:val="24"/>
        </w:rPr>
        <w:t xml:space="preserve">: </w:t>
      </w:r>
      <w:r>
        <w:rPr>
          <w:rFonts w:ascii="Times New Roman" w:hAnsi="Times New Roman" w:cs="Times New Roman"/>
          <w:b/>
          <w:sz w:val="24"/>
          <w:szCs w:val="24"/>
        </w:rPr>
        <w:t>Is Open Access available in the Library?</w:t>
      </w:r>
    </w:p>
    <w:tbl>
      <w:tblPr>
        <w:tblStyle w:val="10"/>
        <w:tblW w:w="0" w:type="auto"/>
        <w:tblInd w:w="8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10"/>
        <w:gridCol w:w="1548"/>
        <w:gridCol w:w="1350"/>
      </w:tblGrid>
      <w:tr w14:paraId="1BD42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69332A7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w:t>
            </w:r>
          </w:p>
        </w:tc>
        <w:tc>
          <w:tcPr>
            <w:tcW w:w="1548" w:type="dxa"/>
          </w:tcPr>
          <w:p w14:paraId="0565C47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350" w:type="dxa"/>
          </w:tcPr>
          <w:p w14:paraId="03318F0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w:t>
            </w:r>
          </w:p>
        </w:tc>
      </w:tr>
      <w:tr w14:paraId="47306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656EAF5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Yes, it is available</w:t>
            </w:r>
          </w:p>
        </w:tc>
        <w:tc>
          <w:tcPr>
            <w:tcW w:w="1548" w:type="dxa"/>
          </w:tcPr>
          <w:p w14:paraId="189B72C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175</w:t>
            </w:r>
          </w:p>
        </w:tc>
        <w:tc>
          <w:tcPr>
            <w:tcW w:w="1350" w:type="dxa"/>
          </w:tcPr>
          <w:p w14:paraId="0BD5C28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71.4%</w:t>
            </w:r>
          </w:p>
        </w:tc>
      </w:tr>
      <w:tr w14:paraId="30255F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3247F90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No, it is not available</w:t>
            </w:r>
          </w:p>
        </w:tc>
        <w:tc>
          <w:tcPr>
            <w:tcW w:w="1548" w:type="dxa"/>
          </w:tcPr>
          <w:p w14:paraId="297F448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1350" w:type="dxa"/>
          </w:tcPr>
          <w:p w14:paraId="2D20255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20.4%</w:t>
            </w:r>
          </w:p>
        </w:tc>
      </w:tr>
      <w:tr w14:paraId="0DA97A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17E258CA">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Am not sure of it</w:t>
            </w:r>
          </w:p>
        </w:tc>
        <w:tc>
          <w:tcPr>
            <w:tcW w:w="1548" w:type="dxa"/>
          </w:tcPr>
          <w:p w14:paraId="64925D8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350" w:type="dxa"/>
          </w:tcPr>
          <w:p w14:paraId="177003E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r>
    </w:tbl>
    <w:p w14:paraId="6151DA6A">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4C04946A">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4.3.5 above, the information shows that 175 respondent representing (71.4%) ticked “Yes, it is available”, 50 respondent representing (20.4%) ticked “No, it is not available” while 20 respondent representing (8.2%) ticked “Am not sure”. This analysis implies that the open access is available in the Library.</w:t>
      </w:r>
    </w:p>
    <w:p w14:paraId="7ACB23C8">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4.3.6 Research Question 2: How often the library users make use of Open access for learning and research?</w:t>
      </w:r>
    </w:p>
    <w:tbl>
      <w:tblPr>
        <w:tblStyle w:val="10"/>
        <w:tblW w:w="9900" w:type="dxa"/>
        <w:tblInd w:w="-5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30"/>
        <w:gridCol w:w="900"/>
        <w:gridCol w:w="810"/>
        <w:gridCol w:w="720"/>
        <w:gridCol w:w="630"/>
        <w:gridCol w:w="720"/>
        <w:gridCol w:w="720"/>
        <w:gridCol w:w="630"/>
        <w:gridCol w:w="810"/>
        <w:gridCol w:w="810"/>
        <w:gridCol w:w="720"/>
      </w:tblGrid>
      <w:tr w14:paraId="31CAF5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2DE645E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w:t>
            </w:r>
          </w:p>
        </w:tc>
        <w:tc>
          <w:tcPr>
            <w:tcW w:w="900" w:type="dxa"/>
          </w:tcPr>
          <w:p w14:paraId="7732A6C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810" w:type="dxa"/>
          </w:tcPr>
          <w:p w14:paraId="170A83B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720" w:type="dxa"/>
          </w:tcPr>
          <w:p w14:paraId="6E4BB95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630" w:type="dxa"/>
          </w:tcPr>
          <w:p w14:paraId="2022C6E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720" w:type="dxa"/>
          </w:tcPr>
          <w:p w14:paraId="425F3D6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720" w:type="dxa"/>
          </w:tcPr>
          <w:p w14:paraId="135A4FB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1D75B12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810" w:type="dxa"/>
          </w:tcPr>
          <w:p w14:paraId="228CB3D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10" w:type="dxa"/>
          </w:tcPr>
          <w:p w14:paraId="01EB041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720" w:type="dxa"/>
          </w:tcPr>
          <w:p w14:paraId="40C2635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78FD66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4A5C372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daily</w:t>
            </w:r>
          </w:p>
        </w:tc>
        <w:tc>
          <w:tcPr>
            <w:tcW w:w="900" w:type="dxa"/>
          </w:tcPr>
          <w:p w14:paraId="2ECF4DD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810" w:type="dxa"/>
          </w:tcPr>
          <w:p w14:paraId="617F1F9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720" w:type="dxa"/>
          </w:tcPr>
          <w:p w14:paraId="33487F5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630" w:type="dxa"/>
          </w:tcPr>
          <w:p w14:paraId="3D9FC78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720" w:type="dxa"/>
          </w:tcPr>
          <w:p w14:paraId="45605F0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720" w:type="dxa"/>
          </w:tcPr>
          <w:p w14:paraId="5A27D78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630" w:type="dxa"/>
          </w:tcPr>
          <w:p w14:paraId="4295037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810" w:type="dxa"/>
          </w:tcPr>
          <w:p w14:paraId="7537FA7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810" w:type="dxa"/>
          </w:tcPr>
          <w:p w14:paraId="59B6240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29D80C8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283AF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700233C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weekly</w:t>
            </w:r>
          </w:p>
        </w:tc>
        <w:tc>
          <w:tcPr>
            <w:tcW w:w="900" w:type="dxa"/>
          </w:tcPr>
          <w:p w14:paraId="27FDD5D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810" w:type="dxa"/>
          </w:tcPr>
          <w:p w14:paraId="6392D45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720" w:type="dxa"/>
          </w:tcPr>
          <w:p w14:paraId="0BC8139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67</w:t>
            </w:r>
          </w:p>
        </w:tc>
        <w:tc>
          <w:tcPr>
            <w:tcW w:w="630" w:type="dxa"/>
          </w:tcPr>
          <w:p w14:paraId="63614C9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720" w:type="dxa"/>
          </w:tcPr>
          <w:p w14:paraId="75EA248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720" w:type="dxa"/>
          </w:tcPr>
          <w:p w14:paraId="185B23D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630" w:type="dxa"/>
          </w:tcPr>
          <w:p w14:paraId="2C6B5C4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10" w:type="dxa"/>
          </w:tcPr>
          <w:p w14:paraId="3246B52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10" w:type="dxa"/>
          </w:tcPr>
          <w:p w14:paraId="26824CE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1F764A3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7DA58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1604506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bi-weekly</w:t>
            </w:r>
          </w:p>
        </w:tc>
        <w:tc>
          <w:tcPr>
            <w:tcW w:w="900" w:type="dxa"/>
          </w:tcPr>
          <w:p w14:paraId="5DBA68D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106</w:t>
            </w:r>
          </w:p>
        </w:tc>
        <w:tc>
          <w:tcPr>
            <w:tcW w:w="810" w:type="dxa"/>
          </w:tcPr>
          <w:p w14:paraId="6F15F8D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20" w:type="dxa"/>
          </w:tcPr>
          <w:p w14:paraId="449B1E0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630" w:type="dxa"/>
          </w:tcPr>
          <w:p w14:paraId="78DF106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720" w:type="dxa"/>
          </w:tcPr>
          <w:p w14:paraId="3EAE4D8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720" w:type="dxa"/>
          </w:tcPr>
          <w:p w14:paraId="4012CD4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630" w:type="dxa"/>
          </w:tcPr>
          <w:p w14:paraId="5EC8672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39</w:t>
            </w:r>
          </w:p>
        </w:tc>
        <w:tc>
          <w:tcPr>
            <w:tcW w:w="810" w:type="dxa"/>
          </w:tcPr>
          <w:p w14:paraId="3A33196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810" w:type="dxa"/>
          </w:tcPr>
          <w:p w14:paraId="4295986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6B24018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1FDC7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0F3A841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monthly</w:t>
            </w:r>
          </w:p>
        </w:tc>
        <w:tc>
          <w:tcPr>
            <w:tcW w:w="900" w:type="dxa"/>
          </w:tcPr>
          <w:p w14:paraId="1DB9F16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83</w:t>
            </w:r>
          </w:p>
        </w:tc>
        <w:tc>
          <w:tcPr>
            <w:tcW w:w="810" w:type="dxa"/>
          </w:tcPr>
          <w:p w14:paraId="209D124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720" w:type="dxa"/>
          </w:tcPr>
          <w:p w14:paraId="6562A72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630" w:type="dxa"/>
          </w:tcPr>
          <w:p w14:paraId="372E30B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720" w:type="dxa"/>
          </w:tcPr>
          <w:p w14:paraId="2F5611C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720" w:type="dxa"/>
          </w:tcPr>
          <w:p w14:paraId="727FDE4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30" w:type="dxa"/>
          </w:tcPr>
          <w:p w14:paraId="37875DE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10" w:type="dxa"/>
          </w:tcPr>
          <w:p w14:paraId="5EFD690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10" w:type="dxa"/>
          </w:tcPr>
          <w:p w14:paraId="2FED471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58973F4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27417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00FF080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occasionally</w:t>
            </w:r>
          </w:p>
        </w:tc>
        <w:tc>
          <w:tcPr>
            <w:tcW w:w="900" w:type="dxa"/>
          </w:tcPr>
          <w:p w14:paraId="2B2BC4F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810" w:type="dxa"/>
          </w:tcPr>
          <w:p w14:paraId="46723EE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720" w:type="dxa"/>
          </w:tcPr>
          <w:p w14:paraId="065D5CD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630" w:type="dxa"/>
          </w:tcPr>
          <w:p w14:paraId="44831E0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720" w:type="dxa"/>
          </w:tcPr>
          <w:p w14:paraId="39AE424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720" w:type="dxa"/>
          </w:tcPr>
          <w:p w14:paraId="61FE2E7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30" w:type="dxa"/>
          </w:tcPr>
          <w:p w14:paraId="4AF947E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810" w:type="dxa"/>
          </w:tcPr>
          <w:p w14:paraId="7123881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810" w:type="dxa"/>
          </w:tcPr>
          <w:p w14:paraId="556BF09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7A42BF8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5FCAD4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7F64B80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Not at all</w:t>
            </w:r>
          </w:p>
        </w:tc>
        <w:tc>
          <w:tcPr>
            <w:tcW w:w="900" w:type="dxa"/>
          </w:tcPr>
          <w:p w14:paraId="7B0C3DE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2EF0A33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5513F77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30" w:type="dxa"/>
          </w:tcPr>
          <w:p w14:paraId="3044851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0F529CD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189728A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30" w:type="dxa"/>
          </w:tcPr>
          <w:p w14:paraId="07899F8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1F46174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6497870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7435966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r>
    </w:tbl>
    <w:p w14:paraId="718D86F3">
      <w:pPr>
        <w:spacing w:line="480" w:lineRule="auto"/>
        <w:jc w:val="both"/>
        <w:rPr>
          <w:rFonts w:hint="default" w:ascii="Times New Roman" w:hAnsi="Times New Roman" w:cs="Times New Roman"/>
          <w:sz w:val="24"/>
          <w:szCs w:val="24"/>
          <w:lang w:val="en-US"/>
        </w:rPr>
      </w:pPr>
      <w:r>
        <w:rPr>
          <w:rFonts w:ascii="Times New Roman" w:hAnsi="Times New Roman" w:cs="Times New Roman"/>
          <w:bCs/>
          <w:sz w:val="24"/>
          <w:szCs w:val="24"/>
        </w:rPr>
        <w:t>S</w:t>
      </w:r>
      <w:r>
        <w:rPr>
          <w:rFonts w:ascii="Times New Roman" w:hAnsi="Times New Roman" w:cs="Times New Roman"/>
          <w:b/>
          <w:bCs/>
          <w:sz w:val="24"/>
          <w:szCs w:val="24"/>
        </w:rPr>
        <w:t>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B0D1E83">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Table 4.3.6 above shows the frequency usage of the open access by library users for learning and research; 61 respondent representing (25%) strongly agreed that most library users use the library daily, 32 respondent representing (13%) agreed and 90 respondent representing (37%) strongly disagreed while 62 respondent representing (25%) disagreed. 82 respondent representing 33% of the respondents strongly agreed that most user use library weekly, 67 respondent representing (27%) agreed, 53 respondent representing (22%) strongly disagreed while 43 respondent representing (18%) disagreed. 106 respondent representing (43%) strongly agreed to bi-weekly usage of library, 58 respondent representing (24%) agreed, 42 respondent representing (17%) strongly disagreed while 39 respondent representing (16%) disagreed. 83 respondent representing (34%) strongly agreed that they use library monthly, 60 respondent representing (24%) agreed, 59 respondent representing (24%) strongly disagreed while 43 respondent representing (18%)% disagreed. 90 respondent representing (37%) strongly agreed to occasionally usage, 62 respondent representing (25%) agreed, 61 respondent representing (25%) strongly disagreed while 32 respondent representing (13%) disagreed. The above analysis implies that the open access is mostly used bi-weekly, and the analysis also shows that the open access is not used daily but occasionally. </w:t>
      </w:r>
    </w:p>
    <w:p w14:paraId="66DD9CE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4.3.7 Research Question 3: What are the types of open access that are used by the library users for learning and research?</w:t>
      </w:r>
    </w:p>
    <w:tbl>
      <w:tblPr>
        <w:tblStyle w:val="10"/>
        <w:tblW w:w="9180" w:type="dxa"/>
        <w:tblInd w:w="3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00"/>
        <w:gridCol w:w="490"/>
        <w:gridCol w:w="752"/>
        <w:gridCol w:w="508"/>
        <w:gridCol w:w="720"/>
        <w:gridCol w:w="450"/>
        <w:gridCol w:w="810"/>
        <w:gridCol w:w="450"/>
        <w:gridCol w:w="810"/>
        <w:gridCol w:w="1080"/>
        <w:gridCol w:w="810"/>
      </w:tblGrid>
      <w:tr w14:paraId="2105F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53DF3721">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490" w:type="dxa"/>
          </w:tcPr>
          <w:p w14:paraId="7117030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752" w:type="dxa"/>
          </w:tcPr>
          <w:p w14:paraId="3E273AE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508" w:type="dxa"/>
          </w:tcPr>
          <w:p w14:paraId="6339A17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720" w:type="dxa"/>
          </w:tcPr>
          <w:p w14:paraId="5B6A5C3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450" w:type="dxa"/>
          </w:tcPr>
          <w:p w14:paraId="0120B24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810" w:type="dxa"/>
          </w:tcPr>
          <w:p w14:paraId="529F53E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450" w:type="dxa"/>
          </w:tcPr>
          <w:p w14:paraId="3AD07C7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810" w:type="dxa"/>
          </w:tcPr>
          <w:p w14:paraId="3FF048B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1080" w:type="dxa"/>
          </w:tcPr>
          <w:p w14:paraId="6A227B5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810" w:type="dxa"/>
          </w:tcPr>
          <w:p w14:paraId="65C3556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131EA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5493526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Repository-based or “Green” open access.</w:t>
            </w:r>
          </w:p>
        </w:tc>
        <w:tc>
          <w:tcPr>
            <w:tcW w:w="490" w:type="dxa"/>
          </w:tcPr>
          <w:p w14:paraId="7DC5CB5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84</w:t>
            </w:r>
          </w:p>
        </w:tc>
        <w:tc>
          <w:tcPr>
            <w:tcW w:w="752" w:type="dxa"/>
          </w:tcPr>
          <w:p w14:paraId="45FE666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508" w:type="dxa"/>
          </w:tcPr>
          <w:p w14:paraId="0558CC8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720" w:type="dxa"/>
          </w:tcPr>
          <w:p w14:paraId="39C0AB1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450" w:type="dxa"/>
          </w:tcPr>
          <w:p w14:paraId="6CFA09D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810" w:type="dxa"/>
          </w:tcPr>
          <w:p w14:paraId="1E701D6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450" w:type="dxa"/>
          </w:tcPr>
          <w:p w14:paraId="5566B32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810" w:type="dxa"/>
          </w:tcPr>
          <w:p w14:paraId="0C04DE3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1080" w:type="dxa"/>
          </w:tcPr>
          <w:p w14:paraId="7402402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18B3106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649184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5C9E85C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Journal-based or “Gold” Open Access</w:t>
            </w:r>
          </w:p>
        </w:tc>
        <w:tc>
          <w:tcPr>
            <w:tcW w:w="490" w:type="dxa"/>
          </w:tcPr>
          <w:p w14:paraId="5D34070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105</w:t>
            </w:r>
          </w:p>
        </w:tc>
        <w:tc>
          <w:tcPr>
            <w:tcW w:w="752" w:type="dxa"/>
          </w:tcPr>
          <w:p w14:paraId="3DAB75D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508" w:type="dxa"/>
          </w:tcPr>
          <w:p w14:paraId="13A1DCB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720" w:type="dxa"/>
          </w:tcPr>
          <w:p w14:paraId="5BD67A6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450" w:type="dxa"/>
          </w:tcPr>
          <w:p w14:paraId="3F54307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810" w:type="dxa"/>
          </w:tcPr>
          <w:p w14:paraId="6566087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450" w:type="dxa"/>
          </w:tcPr>
          <w:p w14:paraId="428B7D2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48</w:t>
            </w:r>
          </w:p>
        </w:tc>
        <w:tc>
          <w:tcPr>
            <w:tcW w:w="810" w:type="dxa"/>
          </w:tcPr>
          <w:p w14:paraId="72A97E2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080" w:type="dxa"/>
          </w:tcPr>
          <w:p w14:paraId="7FF0F45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00490173">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5A82E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trPr>
        <w:tc>
          <w:tcPr>
            <w:tcW w:w="2300" w:type="dxa"/>
          </w:tcPr>
          <w:p w14:paraId="593503F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Diamond Open access. </w:t>
            </w:r>
          </w:p>
        </w:tc>
        <w:tc>
          <w:tcPr>
            <w:tcW w:w="490" w:type="dxa"/>
          </w:tcPr>
          <w:p w14:paraId="4CBE4E6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52" w:type="dxa"/>
          </w:tcPr>
          <w:p w14:paraId="6848A07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508" w:type="dxa"/>
          </w:tcPr>
          <w:p w14:paraId="0BD49B9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6894DC8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450" w:type="dxa"/>
          </w:tcPr>
          <w:p w14:paraId="40DE9B2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738B187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450" w:type="dxa"/>
          </w:tcPr>
          <w:p w14:paraId="4611EBD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5DAC106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1080" w:type="dxa"/>
          </w:tcPr>
          <w:p w14:paraId="541EE764">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10" w:type="dxa"/>
          </w:tcPr>
          <w:p w14:paraId="01B7F72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329B9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481B872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Hybrid open access. </w:t>
            </w:r>
          </w:p>
        </w:tc>
        <w:tc>
          <w:tcPr>
            <w:tcW w:w="490" w:type="dxa"/>
          </w:tcPr>
          <w:p w14:paraId="3F06F62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752" w:type="dxa"/>
          </w:tcPr>
          <w:p w14:paraId="2C55A0C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508" w:type="dxa"/>
          </w:tcPr>
          <w:p w14:paraId="2D93E1E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720" w:type="dxa"/>
          </w:tcPr>
          <w:p w14:paraId="48A0A93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450" w:type="dxa"/>
          </w:tcPr>
          <w:p w14:paraId="6DFAC32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810" w:type="dxa"/>
          </w:tcPr>
          <w:p w14:paraId="6620A71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450" w:type="dxa"/>
          </w:tcPr>
          <w:p w14:paraId="7252CCB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10" w:type="dxa"/>
          </w:tcPr>
          <w:p w14:paraId="7AE11C0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1080" w:type="dxa"/>
          </w:tcPr>
          <w:p w14:paraId="39BB60F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5289867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6DFEE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48C823B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Bronze open access.</w:t>
            </w:r>
          </w:p>
        </w:tc>
        <w:tc>
          <w:tcPr>
            <w:tcW w:w="490" w:type="dxa"/>
          </w:tcPr>
          <w:p w14:paraId="27B54BF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752" w:type="dxa"/>
          </w:tcPr>
          <w:p w14:paraId="7E36DF0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508" w:type="dxa"/>
          </w:tcPr>
          <w:p w14:paraId="1697CA4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65</w:t>
            </w:r>
          </w:p>
        </w:tc>
        <w:tc>
          <w:tcPr>
            <w:tcW w:w="720" w:type="dxa"/>
          </w:tcPr>
          <w:p w14:paraId="26E6A26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450" w:type="dxa"/>
          </w:tcPr>
          <w:p w14:paraId="5AA965E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810" w:type="dxa"/>
          </w:tcPr>
          <w:p w14:paraId="20BEC4B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450" w:type="dxa"/>
          </w:tcPr>
          <w:p w14:paraId="5B0882F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810" w:type="dxa"/>
          </w:tcPr>
          <w:p w14:paraId="0E877B9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080" w:type="dxa"/>
          </w:tcPr>
          <w:p w14:paraId="125548E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0F51D11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52F75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76D80AB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Black open access. </w:t>
            </w:r>
          </w:p>
        </w:tc>
        <w:tc>
          <w:tcPr>
            <w:tcW w:w="490" w:type="dxa"/>
          </w:tcPr>
          <w:p w14:paraId="5E95C5A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752" w:type="dxa"/>
          </w:tcPr>
          <w:p w14:paraId="179B271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508" w:type="dxa"/>
          </w:tcPr>
          <w:p w14:paraId="39C1FCA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720" w:type="dxa"/>
          </w:tcPr>
          <w:p w14:paraId="78D711C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450" w:type="dxa"/>
          </w:tcPr>
          <w:p w14:paraId="2F54791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810" w:type="dxa"/>
          </w:tcPr>
          <w:p w14:paraId="2E85138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450" w:type="dxa"/>
          </w:tcPr>
          <w:p w14:paraId="1150541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810" w:type="dxa"/>
          </w:tcPr>
          <w:p w14:paraId="40B8D30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1080" w:type="dxa"/>
          </w:tcPr>
          <w:p w14:paraId="4F3ECB7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45DFDA4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7D483E95">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B2484D4">
      <w:pPr>
        <w:spacing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Table 4.3.7 above shows the types of open access that are used by the library users for learning and research; 84 respondent representing (34%) strongly agreed to Repository-based or “Green” open access, 82 respondent representing (34%) agreed, 47 respondent representing (19%) strongly disagreed while 32 respondent representing (13%) disagreed. 105 respondent representing (43%) strongly agreed to Journal-based or “Gold” Open Access, 50 respondent representing (20%) agreed, 42 respondent representing (17%) strongly disagreed while 48 respondent representing (20%) disagreed. No records for Diamond Open Access. 60 respondent representing (24%) strongly agreed to “Hybrid” open access, 80 respondent representing (33%) agreed, 62 respondent representing (25%) strongly disagreed while 43 respondent representing (18%) disagreed. 85 respondent representing (35%) strongly agreed to “Bronze” open access, 65 respondent representing (27%) agreed, 45 respondent representing (18%) strongly disagreed while 50 respondent representing (20%) disagreed. 90 respondent representing (37%) strongly agreed to Black Open Access, 62 respondent representing (25%) agreed, 53 respondent representing (22%) strongly disagreed while 40 respondent representing (16%) disagreed. The above analysis shows that the Repository-based or “Green” open access, Journal-based or “Gold” Open Access, Hybrid open access, Bronze open access and Black open access are all available in the library. The analysis also shows that Diamond open access is not available in the library</w:t>
      </w:r>
      <w:r>
        <w:rPr>
          <w:rFonts w:hint="default" w:ascii="Times New Roman" w:hAnsi="Times New Roman" w:cs="Times New Roman"/>
          <w:sz w:val="24"/>
          <w:szCs w:val="24"/>
          <w:lang w:val="en-US"/>
        </w:rPr>
        <w:t>.</w:t>
      </w:r>
    </w:p>
    <w:p w14:paraId="0E06CD03">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Table 4.3.9 Research Question 5:</w:t>
      </w:r>
      <w:r>
        <w:rPr>
          <w:rFonts w:ascii="Times New Roman" w:hAnsi="Times New Roman" w:cs="Times New Roman" w:eastAsiaTheme="minorEastAsia"/>
          <w:b/>
          <w:sz w:val="24"/>
          <w:szCs w:val="24"/>
        </w:rPr>
        <w:t xml:space="preserve"> </w:t>
      </w:r>
      <w:r>
        <w:rPr>
          <w:rFonts w:ascii="Times New Roman" w:hAnsi="Times New Roman" w:cs="Times New Roman"/>
          <w:b/>
          <w:sz w:val="24"/>
          <w:szCs w:val="24"/>
        </w:rPr>
        <w:t>The tools used for open access and adopted by the library users are?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40"/>
        <w:gridCol w:w="720"/>
        <w:gridCol w:w="656"/>
        <w:gridCol w:w="630"/>
        <w:gridCol w:w="656"/>
        <w:gridCol w:w="630"/>
        <w:gridCol w:w="656"/>
        <w:gridCol w:w="630"/>
        <w:gridCol w:w="656"/>
        <w:gridCol w:w="900"/>
        <w:gridCol w:w="814"/>
      </w:tblGrid>
      <w:tr w14:paraId="446DC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59B3ACA7">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720" w:type="dxa"/>
          </w:tcPr>
          <w:p w14:paraId="30429C1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656" w:type="dxa"/>
          </w:tcPr>
          <w:p w14:paraId="7F02D19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53255FFF">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656" w:type="dxa"/>
          </w:tcPr>
          <w:p w14:paraId="7E8E5B5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300FD88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656" w:type="dxa"/>
          </w:tcPr>
          <w:p w14:paraId="4ADA2E7F">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397DAE7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656" w:type="dxa"/>
          </w:tcPr>
          <w:p w14:paraId="0927BAB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900" w:type="dxa"/>
          </w:tcPr>
          <w:p w14:paraId="6772EEA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814" w:type="dxa"/>
          </w:tcPr>
          <w:p w14:paraId="58E418E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0EC32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79925E13">
            <w:pPr>
              <w:spacing w:after="0" w:line="480" w:lineRule="auto"/>
              <w:jc w:val="both"/>
              <w:rPr>
                <w:rFonts w:ascii="Times New Roman" w:hAnsi="Times New Roman" w:eastAsia="Calibri" w:cs="Times New Roman"/>
                <w:b/>
                <w:sz w:val="24"/>
                <w:szCs w:val="24"/>
              </w:rPr>
            </w:pPr>
            <w:r>
              <w:rPr>
                <w:rFonts w:ascii="Times New Roman" w:hAnsi="Times New Roman" w:eastAsia="Times New Roman" w:cs="Times New Roman"/>
                <w:sz w:val="24"/>
                <w:szCs w:val="24"/>
              </w:rPr>
              <w:t>Library users prefer using Directory of Open Access Journals (DOAJ)</w:t>
            </w:r>
          </w:p>
        </w:tc>
        <w:tc>
          <w:tcPr>
            <w:tcW w:w="720" w:type="dxa"/>
          </w:tcPr>
          <w:p w14:paraId="18E1830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656" w:type="dxa"/>
          </w:tcPr>
          <w:p w14:paraId="0145742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30" w:type="dxa"/>
          </w:tcPr>
          <w:p w14:paraId="034FF5A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74</w:t>
            </w:r>
          </w:p>
        </w:tc>
        <w:tc>
          <w:tcPr>
            <w:tcW w:w="656" w:type="dxa"/>
          </w:tcPr>
          <w:p w14:paraId="57C1DD1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630" w:type="dxa"/>
          </w:tcPr>
          <w:p w14:paraId="79E9FAC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56</w:t>
            </w:r>
          </w:p>
        </w:tc>
        <w:tc>
          <w:tcPr>
            <w:tcW w:w="656" w:type="dxa"/>
          </w:tcPr>
          <w:p w14:paraId="07D69C6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630" w:type="dxa"/>
          </w:tcPr>
          <w:p w14:paraId="15A064B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656" w:type="dxa"/>
          </w:tcPr>
          <w:p w14:paraId="28C04C2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900" w:type="dxa"/>
          </w:tcPr>
          <w:p w14:paraId="73CECFD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79550A6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00E32D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4F64805E">
            <w:pPr>
              <w:spacing w:after="0" w:line="48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Library users prefer using Registry of Open Access Repositories (ROAR)</w:t>
            </w:r>
          </w:p>
        </w:tc>
        <w:tc>
          <w:tcPr>
            <w:tcW w:w="720" w:type="dxa"/>
          </w:tcPr>
          <w:p w14:paraId="6CE2F30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656" w:type="dxa"/>
          </w:tcPr>
          <w:p w14:paraId="4EE5538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630" w:type="dxa"/>
          </w:tcPr>
          <w:p w14:paraId="0D43B134">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92</w:t>
            </w:r>
          </w:p>
        </w:tc>
        <w:tc>
          <w:tcPr>
            <w:tcW w:w="656" w:type="dxa"/>
          </w:tcPr>
          <w:p w14:paraId="0C3FA49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630" w:type="dxa"/>
          </w:tcPr>
          <w:p w14:paraId="288CA69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56" w:type="dxa"/>
          </w:tcPr>
          <w:p w14:paraId="3317914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30" w:type="dxa"/>
          </w:tcPr>
          <w:p w14:paraId="1E4077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656" w:type="dxa"/>
          </w:tcPr>
          <w:p w14:paraId="5A68727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900" w:type="dxa"/>
          </w:tcPr>
          <w:p w14:paraId="4F6E03E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432EB10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7D5E1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77FB06CD">
            <w:pPr>
              <w:spacing w:after="0" w:line="48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Library users prefer using Infrastructure Services for Open Access (IS4OA)</w:t>
            </w:r>
          </w:p>
        </w:tc>
        <w:tc>
          <w:tcPr>
            <w:tcW w:w="720" w:type="dxa"/>
          </w:tcPr>
          <w:p w14:paraId="6622920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75</w:t>
            </w:r>
          </w:p>
        </w:tc>
        <w:tc>
          <w:tcPr>
            <w:tcW w:w="656" w:type="dxa"/>
          </w:tcPr>
          <w:p w14:paraId="783C232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w:t>
            </w:r>
          </w:p>
        </w:tc>
        <w:tc>
          <w:tcPr>
            <w:tcW w:w="630" w:type="dxa"/>
          </w:tcPr>
          <w:p w14:paraId="17FCB27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656" w:type="dxa"/>
          </w:tcPr>
          <w:p w14:paraId="2CCEADA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630" w:type="dxa"/>
          </w:tcPr>
          <w:p w14:paraId="2DFCCCE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p>
        </w:tc>
        <w:tc>
          <w:tcPr>
            <w:tcW w:w="656" w:type="dxa"/>
          </w:tcPr>
          <w:p w14:paraId="671261B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630" w:type="dxa"/>
          </w:tcPr>
          <w:p w14:paraId="1434DD0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656" w:type="dxa"/>
          </w:tcPr>
          <w:p w14:paraId="1FDC514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900" w:type="dxa"/>
          </w:tcPr>
          <w:p w14:paraId="27936A6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1F910B1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D4F8A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2145498F">
            <w:pPr>
              <w:spacing w:after="0" w:line="48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Library users prefer using </w:t>
            </w:r>
            <w:r>
              <w:rPr>
                <w:rFonts w:ascii="Times New Roman" w:hAnsi="Times New Roman" w:eastAsia="Calibri" w:cs="Times New Roman"/>
                <w:sz w:val="24"/>
                <w:szCs w:val="24"/>
              </w:rPr>
              <w:t>Directory of open access Book (DOAB)</w:t>
            </w:r>
          </w:p>
        </w:tc>
        <w:tc>
          <w:tcPr>
            <w:tcW w:w="720" w:type="dxa"/>
          </w:tcPr>
          <w:p w14:paraId="1DE681F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79</w:t>
            </w:r>
          </w:p>
        </w:tc>
        <w:tc>
          <w:tcPr>
            <w:tcW w:w="656" w:type="dxa"/>
          </w:tcPr>
          <w:p w14:paraId="558568D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630" w:type="dxa"/>
          </w:tcPr>
          <w:p w14:paraId="6B405FB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656" w:type="dxa"/>
          </w:tcPr>
          <w:p w14:paraId="0A96717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30" w:type="dxa"/>
          </w:tcPr>
          <w:p w14:paraId="58E1799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48</w:t>
            </w:r>
          </w:p>
        </w:tc>
        <w:tc>
          <w:tcPr>
            <w:tcW w:w="656" w:type="dxa"/>
          </w:tcPr>
          <w:p w14:paraId="6600AC1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630" w:type="dxa"/>
          </w:tcPr>
          <w:p w14:paraId="7C4C479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57</w:t>
            </w:r>
          </w:p>
        </w:tc>
        <w:tc>
          <w:tcPr>
            <w:tcW w:w="656" w:type="dxa"/>
          </w:tcPr>
          <w:p w14:paraId="72079EF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900" w:type="dxa"/>
          </w:tcPr>
          <w:p w14:paraId="041D48E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226B0BF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F1E10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28704D00">
            <w:pPr>
              <w:spacing w:after="0" w:line="480" w:lineRule="auto"/>
              <w:jc w:val="both"/>
              <w:rPr>
                <w:rStyle w:val="9"/>
                <w:rFonts w:ascii="Times New Roman" w:hAnsi="Times New Roman" w:eastAsia="Calibri" w:cs="Times New Roman"/>
                <w:b w:val="0"/>
                <w:sz w:val="24"/>
                <w:szCs w:val="24"/>
              </w:rPr>
            </w:pPr>
            <w:r>
              <w:rPr>
                <w:rFonts w:ascii="Times New Roman" w:hAnsi="Times New Roman" w:eastAsia="Times New Roman" w:cs="Times New Roman"/>
                <w:sz w:val="24"/>
                <w:szCs w:val="24"/>
              </w:rPr>
              <w:t xml:space="preserve">Library users prefer using </w:t>
            </w:r>
            <w:r>
              <w:rPr>
                <w:rFonts w:ascii="Times New Roman" w:hAnsi="Times New Roman" w:eastAsia="Times New Roman" w:cs="Times New Roman"/>
                <w:b/>
                <w:sz w:val="24"/>
                <w:szCs w:val="24"/>
              </w:rPr>
              <w:t>O</w:t>
            </w:r>
            <w:r>
              <w:rPr>
                <w:rStyle w:val="9"/>
                <w:rFonts w:ascii="Times New Roman" w:hAnsi="Times New Roman" w:eastAsia="Calibri" w:cs="Times New Roman"/>
                <w:b w:val="0"/>
                <w:sz w:val="24"/>
                <w:szCs w:val="24"/>
              </w:rPr>
              <w:t>pen Access Button (OAB)</w:t>
            </w:r>
          </w:p>
        </w:tc>
        <w:tc>
          <w:tcPr>
            <w:tcW w:w="720" w:type="dxa"/>
          </w:tcPr>
          <w:p w14:paraId="7161221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120</w:t>
            </w:r>
          </w:p>
        </w:tc>
        <w:tc>
          <w:tcPr>
            <w:tcW w:w="656" w:type="dxa"/>
          </w:tcPr>
          <w:p w14:paraId="7C6385E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630" w:type="dxa"/>
          </w:tcPr>
          <w:p w14:paraId="6DFDD55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656" w:type="dxa"/>
          </w:tcPr>
          <w:p w14:paraId="1513A8E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630" w:type="dxa"/>
          </w:tcPr>
          <w:p w14:paraId="02DE9DE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56" w:type="dxa"/>
          </w:tcPr>
          <w:p w14:paraId="035857B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30" w:type="dxa"/>
          </w:tcPr>
          <w:p w14:paraId="55C5ACF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656" w:type="dxa"/>
          </w:tcPr>
          <w:p w14:paraId="6F05586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900" w:type="dxa"/>
          </w:tcPr>
          <w:p w14:paraId="1DB3D7E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2BB74FA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219D1DC8">
      <w:pPr>
        <w:spacing w:line="480" w:lineRule="auto"/>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11B14F11">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Table 4.3.9 above shows that 45 respondent representing (18%) strongly agreed that library users preferred using </w:t>
      </w:r>
      <w:r>
        <w:rPr>
          <w:rFonts w:ascii="Times New Roman" w:hAnsi="Times New Roman" w:eastAsia="Times New Roman" w:cs="Times New Roman"/>
          <w:b/>
          <w:sz w:val="24"/>
          <w:szCs w:val="24"/>
        </w:rPr>
        <w:t>Directory of Open Access Journals (DOAJ)</w:t>
      </w:r>
      <w:r>
        <w:rPr>
          <w:rFonts w:ascii="Times New Roman" w:hAnsi="Times New Roman" w:cs="Times New Roman"/>
          <w:sz w:val="24"/>
          <w:szCs w:val="24"/>
        </w:rPr>
        <w:t xml:space="preserve">, 74 respondent representing (30%) agreed, 56 respondent representing (23%) strongly disagreed while 70 respondent representing (29%) disagreed the statement. 55 respondent representing (22%) strongly agreed that library users preferred using </w:t>
      </w:r>
      <w:r>
        <w:rPr>
          <w:rFonts w:ascii="Times New Roman" w:hAnsi="Times New Roman" w:eastAsia="Times New Roman" w:cs="Times New Roman"/>
          <w:b/>
          <w:sz w:val="24"/>
          <w:szCs w:val="24"/>
        </w:rPr>
        <w:t>Registry of Open Access Repositories (ROAR)</w:t>
      </w:r>
      <w:r>
        <w:rPr>
          <w:rFonts w:ascii="Times New Roman" w:hAnsi="Times New Roman" w:cs="Times New Roman"/>
          <w:sz w:val="24"/>
          <w:szCs w:val="24"/>
        </w:rPr>
        <w:t xml:space="preserve">, 92 respondent representing (38%) agreed, 43 respondent representing (18%) strongly disagreed while 55 respondent representing (22%) disagreed the statement. Also, 75 respondent representing (31%) strongly agreed that library users preferred using </w:t>
      </w:r>
      <w:r>
        <w:rPr>
          <w:rFonts w:ascii="Times New Roman" w:hAnsi="Times New Roman" w:eastAsia="Times New Roman" w:cs="Times New Roman"/>
          <w:b/>
          <w:sz w:val="24"/>
          <w:szCs w:val="24"/>
        </w:rPr>
        <w:t>Infrastructure Services for Open Access (IS4OA)</w:t>
      </w:r>
      <w:r>
        <w:rPr>
          <w:rFonts w:ascii="Times New Roman" w:hAnsi="Times New Roman" w:cs="Times New Roman"/>
          <w:sz w:val="24"/>
          <w:szCs w:val="24"/>
        </w:rPr>
        <w:t xml:space="preserve">, 49 respondent representing (20%) agreed, 36 respondent representing (15%) strongly disagreed while 85 respondent representing (35%) disagreed. Also, 79 respondent representing (32%) strongly agreed that library users preferred </w:t>
      </w:r>
      <w:r>
        <w:rPr>
          <w:rFonts w:ascii="Times New Roman" w:hAnsi="Times New Roman" w:cs="Times New Roman"/>
          <w:b/>
          <w:sz w:val="24"/>
          <w:szCs w:val="24"/>
        </w:rPr>
        <w:t>Directory of open access Book (DOAB)</w:t>
      </w:r>
      <w:r>
        <w:rPr>
          <w:rFonts w:ascii="Times New Roman" w:hAnsi="Times New Roman" w:cs="Times New Roman"/>
          <w:sz w:val="24"/>
          <w:szCs w:val="24"/>
        </w:rPr>
        <w:t xml:space="preserve">, 61 respondent representing (25%) agreed, 48 respondent representing (20%) strongly disagreed while 57 respondent representing (23%) disagreed.  Furthermore, 120 respondent representing (49%) strongly agreed that library users preferred using </w:t>
      </w:r>
      <w:r>
        <w:rPr>
          <w:rStyle w:val="9"/>
          <w:rFonts w:ascii="Times New Roman" w:hAnsi="Times New Roman" w:cs="Times New Roman"/>
          <w:sz w:val="24"/>
          <w:szCs w:val="24"/>
        </w:rPr>
        <w:t>Open Access Button (OAB),</w:t>
      </w:r>
      <w:r>
        <w:rPr>
          <w:rFonts w:ascii="Times New Roman" w:hAnsi="Times New Roman" w:cs="Times New Roman"/>
          <w:sz w:val="24"/>
          <w:szCs w:val="24"/>
        </w:rPr>
        <w:t xml:space="preserve"> 85 respondent representing (35%) agreed,</w:t>
      </w:r>
      <w:r>
        <w:rPr>
          <w:rFonts w:ascii="Times New Roman" w:hAnsi="Times New Roman" w:cs="Times New Roman"/>
          <w:bCs/>
          <w:sz w:val="24"/>
          <w:szCs w:val="24"/>
        </w:rPr>
        <w:t xml:space="preserve"> 0 </w:t>
      </w:r>
      <w:r>
        <w:rPr>
          <w:rFonts w:ascii="Times New Roman" w:hAnsi="Times New Roman" w:cs="Times New Roman"/>
          <w:sz w:val="24"/>
          <w:szCs w:val="24"/>
        </w:rPr>
        <w:t>respondent representing (0%)</w:t>
      </w:r>
      <w:r>
        <w:rPr>
          <w:rFonts w:ascii="Times New Roman" w:hAnsi="Times New Roman" w:cs="Times New Roman"/>
          <w:bCs/>
          <w:sz w:val="24"/>
          <w:szCs w:val="24"/>
        </w:rPr>
        <w:t xml:space="preserve"> strongly disagreed while 40 </w:t>
      </w:r>
      <w:r>
        <w:rPr>
          <w:rFonts w:ascii="Times New Roman" w:hAnsi="Times New Roman" w:cs="Times New Roman"/>
          <w:sz w:val="24"/>
          <w:szCs w:val="24"/>
        </w:rPr>
        <w:t>respondent representing (16%)</w:t>
      </w:r>
      <w:r>
        <w:rPr>
          <w:rFonts w:ascii="Times New Roman" w:hAnsi="Times New Roman" w:cs="Times New Roman"/>
          <w:bCs/>
          <w:sz w:val="24"/>
          <w:szCs w:val="24"/>
        </w:rPr>
        <w:t xml:space="preserve"> disagreed. The above analysis shows that the </w:t>
      </w:r>
      <w:r>
        <w:rPr>
          <w:rFonts w:ascii="Times New Roman" w:hAnsi="Times New Roman" w:eastAsia="Times New Roman" w:cs="Times New Roman"/>
          <w:sz w:val="24"/>
          <w:szCs w:val="24"/>
        </w:rPr>
        <w:t xml:space="preserve">Directory of Open Access Journals (DOAJ), Registry of Open Access Repositories (ROAR), </w:t>
      </w:r>
      <w:r>
        <w:rPr>
          <w:rFonts w:ascii="Times New Roman" w:hAnsi="Times New Roman" w:cs="Times New Roman"/>
          <w:sz w:val="24"/>
          <w:szCs w:val="24"/>
        </w:rPr>
        <w:t xml:space="preserve">Directory of open access Book (DOAB), and </w:t>
      </w:r>
      <w:r>
        <w:rPr>
          <w:rFonts w:ascii="Times New Roman" w:hAnsi="Times New Roman" w:eastAsia="Times New Roman" w:cs="Times New Roman"/>
          <w:b/>
          <w:sz w:val="24"/>
          <w:szCs w:val="24"/>
        </w:rPr>
        <w:t>O</w:t>
      </w:r>
      <w:r>
        <w:rPr>
          <w:rStyle w:val="9"/>
          <w:rFonts w:ascii="Times New Roman" w:hAnsi="Times New Roman" w:cs="Times New Roman"/>
          <w:b w:val="0"/>
          <w:sz w:val="24"/>
          <w:szCs w:val="24"/>
        </w:rPr>
        <w:t xml:space="preserve">pen Access Button (OAB) are used by the library users, while the </w:t>
      </w:r>
      <w:r>
        <w:rPr>
          <w:rFonts w:ascii="Times New Roman" w:hAnsi="Times New Roman" w:eastAsia="Times New Roman" w:cs="Times New Roman"/>
          <w:sz w:val="24"/>
          <w:szCs w:val="24"/>
        </w:rPr>
        <w:t>Infrastructure Services for Open Access (IS4OA) are not used in the library.</w:t>
      </w:r>
    </w:p>
    <w:p w14:paraId="7431CCFF">
      <w:pPr>
        <w:spacing w:after="0" w:line="240" w:lineRule="auto"/>
        <w:jc w:val="both"/>
        <w:rPr>
          <w:rFonts w:ascii="Times New Roman" w:hAnsi="Times New Roman" w:eastAsia="Times New Roman" w:cs="Times New Roman"/>
          <w:sz w:val="24"/>
          <w:szCs w:val="24"/>
        </w:rPr>
      </w:pPr>
    </w:p>
    <w:p w14:paraId="45E807A9">
      <w:pPr>
        <w:spacing w:after="0" w:line="480" w:lineRule="auto"/>
        <w:jc w:val="both"/>
        <w:rPr>
          <w:rFonts w:ascii="Times New Roman" w:hAnsi="Times New Roman" w:cs="Times New Roman"/>
          <w:b/>
          <w:sz w:val="24"/>
          <w:szCs w:val="24"/>
        </w:rPr>
      </w:pPr>
    </w:p>
    <w:p w14:paraId="28D020DB">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Table 4.3.10 Research Question 6: The factors affecting the acceptance and adoption of open access for learning and research by the library users are?</w:t>
      </w:r>
    </w:p>
    <w:tbl>
      <w:tblPr>
        <w:tblStyle w:val="10"/>
        <w:tblW w:w="95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28"/>
        <w:gridCol w:w="611"/>
        <w:gridCol w:w="836"/>
        <w:gridCol w:w="609"/>
        <w:gridCol w:w="836"/>
        <w:gridCol w:w="672"/>
        <w:gridCol w:w="656"/>
        <w:gridCol w:w="670"/>
        <w:gridCol w:w="836"/>
        <w:gridCol w:w="857"/>
        <w:gridCol w:w="729"/>
      </w:tblGrid>
      <w:tr w14:paraId="5164ED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13922D79">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611" w:type="dxa"/>
          </w:tcPr>
          <w:p w14:paraId="165EB12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836" w:type="dxa"/>
          </w:tcPr>
          <w:p w14:paraId="1982E64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09" w:type="dxa"/>
          </w:tcPr>
          <w:p w14:paraId="6394664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836" w:type="dxa"/>
          </w:tcPr>
          <w:p w14:paraId="0F24B40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72" w:type="dxa"/>
          </w:tcPr>
          <w:p w14:paraId="071DC53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656" w:type="dxa"/>
          </w:tcPr>
          <w:p w14:paraId="35EB2D8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70" w:type="dxa"/>
          </w:tcPr>
          <w:p w14:paraId="72A45F07">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836" w:type="dxa"/>
          </w:tcPr>
          <w:p w14:paraId="19EEB6E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57" w:type="dxa"/>
          </w:tcPr>
          <w:p w14:paraId="28C4CDA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729" w:type="dxa"/>
          </w:tcPr>
          <w:p w14:paraId="78517B0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32AD0F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7B76293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Library users do not have a good web design</w:t>
            </w:r>
          </w:p>
        </w:tc>
        <w:tc>
          <w:tcPr>
            <w:tcW w:w="611" w:type="dxa"/>
          </w:tcPr>
          <w:p w14:paraId="13E3221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106</w:t>
            </w:r>
          </w:p>
        </w:tc>
        <w:tc>
          <w:tcPr>
            <w:tcW w:w="836" w:type="dxa"/>
          </w:tcPr>
          <w:p w14:paraId="2A6FAAA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09" w:type="dxa"/>
          </w:tcPr>
          <w:p w14:paraId="0149F5C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836" w:type="dxa"/>
          </w:tcPr>
          <w:p w14:paraId="39A6F7F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72" w:type="dxa"/>
          </w:tcPr>
          <w:p w14:paraId="469EF99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656" w:type="dxa"/>
          </w:tcPr>
          <w:p w14:paraId="41FDE31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670" w:type="dxa"/>
          </w:tcPr>
          <w:p w14:paraId="6B7EB46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39</w:t>
            </w:r>
          </w:p>
        </w:tc>
        <w:tc>
          <w:tcPr>
            <w:tcW w:w="836" w:type="dxa"/>
          </w:tcPr>
          <w:p w14:paraId="58DDB3A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857" w:type="dxa"/>
          </w:tcPr>
          <w:p w14:paraId="5B7E6E7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69FC2C9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4B83A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70B64A6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Library users are lacking printing equipment </w:t>
            </w:r>
          </w:p>
        </w:tc>
        <w:tc>
          <w:tcPr>
            <w:tcW w:w="611" w:type="dxa"/>
          </w:tcPr>
          <w:p w14:paraId="3E619F8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130</w:t>
            </w:r>
          </w:p>
        </w:tc>
        <w:tc>
          <w:tcPr>
            <w:tcW w:w="836" w:type="dxa"/>
          </w:tcPr>
          <w:p w14:paraId="0C4AA25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609" w:type="dxa"/>
          </w:tcPr>
          <w:p w14:paraId="2F0B829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836" w:type="dxa"/>
          </w:tcPr>
          <w:p w14:paraId="58AAFF1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72" w:type="dxa"/>
          </w:tcPr>
          <w:p w14:paraId="25ABDC3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56" w:type="dxa"/>
          </w:tcPr>
          <w:p w14:paraId="77896E4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70" w:type="dxa"/>
          </w:tcPr>
          <w:p w14:paraId="4DF8140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836" w:type="dxa"/>
          </w:tcPr>
          <w:p w14:paraId="5BE15FE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857" w:type="dxa"/>
          </w:tcPr>
          <w:p w14:paraId="3DE9D99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0985867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F9B9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7C80541">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Library users are lacking of online help </w:t>
            </w:r>
          </w:p>
        </w:tc>
        <w:tc>
          <w:tcPr>
            <w:tcW w:w="611" w:type="dxa"/>
          </w:tcPr>
          <w:p w14:paraId="6535C24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28</w:t>
            </w:r>
          </w:p>
        </w:tc>
        <w:tc>
          <w:tcPr>
            <w:tcW w:w="836" w:type="dxa"/>
          </w:tcPr>
          <w:p w14:paraId="7EF45A6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11.4%</w:t>
            </w:r>
          </w:p>
        </w:tc>
        <w:tc>
          <w:tcPr>
            <w:tcW w:w="609" w:type="dxa"/>
          </w:tcPr>
          <w:p w14:paraId="78B6860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52</w:t>
            </w:r>
          </w:p>
        </w:tc>
        <w:tc>
          <w:tcPr>
            <w:tcW w:w="836" w:type="dxa"/>
          </w:tcPr>
          <w:p w14:paraId="413C8C6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21.2%</w:t>
            </w:r>
          </w:p>
        </w:tc>
        <w:tc>
          <w:tcPr>
            <w:tcW w:w="672" w:type="dxa"/>
          </w:tcPr>
          <w:p w14:paraId="32C5284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88</w:t>
            </w:r>
          </w:p>
        </w:tc>
        <w:tc>
          <w:tcPr>
            <w:tcW w:w="656" w:type="dxa"/>
          </w:tcPr>
          <w:p w14:paraId="1BE6E82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p>
        </w:tc>
        <w:tc>
          <w:tcPr>
            <w:tcW w:w="670" w:type="dxa"/>
          </w:tcPr>
          <w:p w14:paraId="2181BAC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77</w:t>
            </w:r>
          </w:p>
        </w:tc>
        <w:tc>
          <w:tcPr>
            <w:tcW w:w="836" w:type="dxa"/>
          </w:tcPr>
          <w:p w14:paraId="11E09E0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31.4%</w:t>
            </w:r>
          </w:p>
        </w:tc>
        <w:tc>
          <w:tcPr>
            <w:tcW w:w="857" w:type="dxa"/>
          </w:tcPr>
          <w:p w14:paraId="367F7E5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2E065B6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370E4B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E1830B9">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description of the library users on legal information sources are inadequate </w:t>
            </w:r>
          </w:p>
        </w:tc>
        <w:tc>
          <w:tcPr>
            <w:tcW w:w="611" w:type="dxa"/>
          </w:tcPr>
          <w:p w14:paraId="79DDF9C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836" w:type="dxa"/>
          </w:tcPr>
          <w:p w14:paraId="06BD8FC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09" w:type="dxa"/>
          </w:tcPr>
          <w:p w14:paraId="3FE7060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836" w:type="dxa"/>
          </w:tcPr>
          <w:p w14:paraId="4C6DBB7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72" w:type="dxa"/>
          </w:tcPr>
          <w:p w14:paraId="31413A1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656" w:type="dxa"/>
          </w:tcPr>
          <w:p w14:paraId="52915C4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70" w:type="dxa"/>
          </w:tcPr>
          <w:p w14:paraId="337EC3E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36" w:type="dxa"/>
          </w:tcPr>
          <w:p w14:paraId="70083EA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57" w:type="dxa"/>
          </w:tcPr>
          <w:p w14:paraId="7551C7C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383533F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7AD8F8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7" w:hRule="atLeast"/>
        </w:trPr>
        <w:tc>
          <w:tcPr>
            <w:tcW w:w="2228" w:type="dxa"/>
          </w:tcPr>
          <w:p w14:paraId="7056FA87">
            <w:pPr>
              <w:autoSpaceDE w:val="0"/>
              <w:autoSpaceDN w:val="0"/>
              <w:adjustRightInd w:val="0"/>
              <w:spacing w:after="0" w:line="480" w:lineRule="auto"/>
              <w:jc w:val="both"/>
              <w:rPr>
                <w:rStyle w:val="9"/>
                <w:rFonts w:ascii="Times New Roman" w:hAnsi="Times New Roman" w:eastAsia="Calibri" w:cs="Times New Roman"/>
                <w:b w:val="0"/>
                <w:bCs w:val="0"/>
                <w:sz w:val="24"/>
                <w:szCs w:val="24"/>
              </w:rPr>
            </w:pPr>
            <w:r>
              <w:rPr>
                <w:rFonts w:ascii="Times New Roman" w:hAnsi="Times New Roman" w:eastAsia="Calibri" w:cs="Times New Roman"/>
                <w:sz w:val="24"/>
                <w:szCs w:val="24"/>
              </w:rPr>
              <w:t>Library users are lacking appropriate arrangement of legal information</w:t>
            </w:r>
          </w:p>
        </w:tc>
        <w:tc>
          <w:tcPr>
            <w:tcW w:w="611" w:type="dxa"/>
          </w:tcPr>
          <w:p w14:paraId="687A125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836" w:type="dxa"/>
          </w:tcPr>
          <w:p w14:paraId="1F2EC97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609" w:type="dxa"/>
          </w:tcPr>
          <w:p w14:paraId="47ED1E3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836" w:type="dxa"/>
          </w:tcPr>
          <w:p w14:paraId="5B1D3C4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672" w:type="dxa"/>
          </w:tcPr>
          <w:p w14:paraId="41C4307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105</w:t>
            </w:r>
          </w:p>
        </w:tc>
        <w:tc>
          <w:tcPr>
            <w:tcW w:w="656" w:type="dxa"/>
          </w:tcPr>
          <w:p w14:paraId="3FB31DD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70" w:type="dxa"/>
          </w:tcPr>
          <w:p w14:paraId="1B4AB95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836" w:type="dxa"/>
          </w:tcPr>
          <w:p w14:paraId="3AD4849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857" w:type="dxa"/>
          </w:tcPr>
          <w:p w14:paraId="3096AFE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42F8D03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047C3F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F2607E2">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Too many login are required from the library users</w:t>
            </w:r>
          </w:p>
        </w:tc>
        <w:tc>
          <w:tcPr>
            <w:tcW w:w="611" w:type="dxa"/>
          </w:tcPr>
          <w:p w14:paraId="79CCFDC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125</w:t>
            </w:r>
          </w:p>
        </w:tc>
        <w:tc>
          <w:tcPr>
            <w:tcW w:w="836" w:type="dxa"/>
          </w:tcPr>
          <w:p w14:paraId="7D094A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51%</w:t>
            </w:r>
          </w:p>
        </w:tc>
        <w:tc>
          <w:tcPr>
            <w:tcW w:w="609" w:type="dxa"/>
          </w:tcPr>
          <w:p w14:paraId="6D54982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120</w:t>
            </w:r>
          </w:p>
        </w:tc>
        <w:tc>
          <w:tcPr>
            <w:tcW w:w="836" w:type="dxa"/>
          </w:tcPr>
          <w:p w14:paraId="55CAB4E4">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672" w:type="dxa"/>
          </w:tcPr>
          <w:p w14:paraId="72470FF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56" w:type="dxa"/>
          </w:tcPr>
          <w:p w14:paraId="5110157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70" w:type="dxa"/>
          </w:tcPr>
          <w:p w14:paraId="4C04C13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36" w:type="dxa"/>
          </w:tcPr>
          <w:p w14:paraId="2B6904C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57" w:type="dxa"/>
          </w:tcPr>
          <w:p w14:paraId="571E140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4A745CB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07BF8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E622E27">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Access instructions are not clear for the library users</w:t>
            </w:r>
          </w:p>
        </w:tc>
        <w:tc>
          <w:tcPr>
            <w:tcW w:w="611" w:type="dxa"/>
          </w:tcPr>
          <w:p w14:paraId="0CDE1794">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836" w:type="dxa"/>
          </w:tcPr>
          <w:p w14:paraId="0658E72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609" w:type="dxa"/>
          </w:tcPr>
          <w:p w14:paraId="6CE60B8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836" w:type="dxa"/>
          </w:tcPr>
          <w:p w14:paraId="284DCEA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672" w:type="dxa"/>
          </w:tcPr>
          <w:p w14:paraId="4C845B1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656" w:type="dxa"/>
          </w:tcPr>
          <w:p w14:paraId="4647E1A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70" w:type="dxa"/>
          </w:tcPr>
          <w:p w14:paraId="6D29649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120</w:t>
            </w:r>
          </w:p>
        </w:tc>
        <w:tc>
          <w:tcPr>
            <w:tcW w:w="836" w:type="dxa"/>
          </w:tcPr>
          <w:p w14:paraId="275E64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857" w:type="dxa"/>
          </w:tcPr>
          <w:p w14:paraId="210F80B0">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12E96B5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55AE5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02A84A34">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Library users are lacking of expertise in using database</w:t>
            </w:r>
          </w:p>
        </w:tc>
        <w:tc>
          <w:tcPr>
            <w:tcW w:w="611" w:type="dxa"/>
          </w:tcPr>
          <w:p w14:paraId="5998A33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836" w:type="dxa"/>
          </w:tcPr>
          <w:p w14:paraId="01C125D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09" w:type="dxa"/>
          </w:tcPr>
          <w:p w14:paraId="33CFF3C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74</w:t>
            </w:r>
          </w:p>
        </w:tc>
        <w:tc>
          <w:tcPr>
            <w:tcW w:w="836" w:type="dxa"/>
          </w:tcPr>
          <w:p w14:paraId="027B071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672" w:type="dxa"/>
          </w:tcPr>
          <w:p w14:paraId="7C972F3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56</w:t>
            </w:r>
          </w:p>
        </w:tc>
        <w:tc>
          <w:tcPr>
            <w:tcW w:w="656" w:type="dxa"/>
          </w:tcPr>
          <w:p w14:paraId="02FA6DF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670" w:type="dxa"/>
          </w:tcPr>
          <w:p w14:paraId="6DB40FF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836" w:type="dxa"/>
          </w:tcPr>
          <w:p w14:paraId="20C2C02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857" w:type="dxa"/>
          </w:tcPr>
          <w:p w14:paraId="3945FEE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06BE2D1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1FBD66E8">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6867FDF">
      <w:pPr>
        <w:spacing w:line="360" w:lineRule="auto"/>
        <w:jc w:val="both"/>
        <w:rPr>
          <w:rFonts w:ascii="Times New Roman" w:hAnsi="Times New Roman" w:cs="Times New Roman"/>
          <w:b/>
          <w:sz w:val="24"/>
          <w:szCs w:val="24"/>
        </w:rPr>
      </w:pPr>
      <w:r>
        <w:rPr>
          <w:rFonts w:ascii="Times New Roman" w:hAnsi="Times New Roman" w:cs="Times New Roman"/>
          <w:sz w:val="24"/>
          <w:szCs w:val="24"/>
        </w:rPr>
        <w:t>Table 4.3.10 above shows the factors that affect the acceptance and adoption of open access for learning and research by the library users; 106 respondent representing (43%) strongly agreed to Poor website design, 58 respondent representing (24%) agreed, 42 respondent representing (17%) strongly disagreed while 39 respondent representing (16%) disagreed. 130 respondent representing (53%) strongly agreed to Lack of print equipment, 60 respondent representing (24%) agreed, 43 respondent representing (18%) strongly disagreed while 12 respondent representing (5%) disagreed. 28 respondent representing (11.4%) strongly agreed to lack of online help, 52 respondent representing (21.2%) agreed, 88 respondent representing (36%) strongly disagreed while 77 respondent representing (31.4%) disagreed. 60 respondent representing (24%) strongly agreed and 80 respondent representing (33%) agreed to inadequate description on legal information sources, 62 respondent representing (25%) strongly disagreed and 43 respondent representing (18%) disagreed. 34 respondent representing (14%) strongly agreed and 47 respondent representing (19%) agreed to lack of appropriate arrangement of legal information, 105 respondent representing (43%) strongly disagreed while 59 respondent representing (24%) disagreed the statements. 125 respondent representing (51%) strongly agreed to too many login required, 120 respondent representing (49%) agreed, while 0 respondent representing (0%) strongly disagreed and disagreed. 25 respondent representing (10%) strongly agreed to Access instructions are not clear, 20 respondent representing (8%) agreed, 80 respondent representing (33%) strongly disagreed and 120 respondent representing (29%) disagreed. 45 respondent representing (18%) strongly agreed to Lack of expertise in using the database, 74 respondent representing (30%) agreed, 56 respondent representing (23%) strongly disagreed and 70 respondent representing (29%) disagreed. The above analysis shows some of the factors  that affect the acceptance and adoption of open access for learning and research by the library users, which include: Library users do not have a good web design, lack of printing equipment, Inadequate sources of legal information, lack of appropriate arrangement of legal information, too many login are required from the library users, access instructions are not clear for the library users and lack of expertise in using database.</w:t>
      </w:r>
    </w:p>
    <w:p w14:paraId="1A520F1C">
      <w:pPr>
        <w:spacing w:line="480" w:lineRule="auto"/>
        <w:jc w:val="both"/>
        <w:rPr>
          <w:rFonts w:ascii="Times New Roman" w:hAnsi="Times New Roman" w:cs="Times New Roman"/>
          <w:b/>
          <w:bCs w:val="0"/>
          <w:sz w:val="24"/>
          <w:szCs w:val="24"/>
        </w:rPr>
      </w:pPr>
      <w:r>
        <w:rPr>
          <w:rFonts w:ascii="Times New Roman" w:hAnsi="Times New Roman" w:cs="Times New Roman"/>
          <w:b/>
          <w:bCs w:val="0"/>
          <w:sz w:val="24"/>
          <w:szCs w:val="24"/>
        </w:rPr>
        <w:t xml:space="preserve">Table 4.3.11 Solutions to The Factors Affecting The Acceptance And Adoption Of Open Access For Learning And Research </w:t>
      </w:r>
    </w:p>
    <w:tbl>
      <w:tblPr>
        <w:tblStyle w:val="10"/>
        <w:tblW w:w="9113" w:type="dxa"/>
        <w:tblInd w:w="-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
        <w:gridCol w:w="2231"/>
        <w:gridCol w:w="6"/>
        <w:gridCol w:w="602"/>
        <w:gridCol w:w="795"/>
        <w:gridCol w:w="618"/>
        <w:gridCol w:w="706"/>
        <w:gridCol w:w="618"/>
        <w:gridCol w:w="706"/>
        <w:gridCol w:w="530"/>
        <w:gridCol w:w="706"/>
        <w:gridCol w:w="883"/>
        <w:gridCol w:w="706"/>
      </w:tblGrid>
      <w:tr w14:paraId="18645C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6" w:type="dxa"/>
          <w:trHeight w:val="534" w:hRule="atLeast"/>
        </w:trPr>
        <w:tc>
          <w:tcPr>
            <w:tcW w:w="2237" w:type="dxa"/>
            <w:gridSpan w:val="2"/>
          </w:tcPr>
          <w:p w14:paraId="6C5930CD">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602" w:type="dxa"/>
          </w:tcPr>
          <w:p w14:paraId="5565D18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795" w:type="dxa"/>
          </w:tcPr>
          <w:p w14:paraId="28F204C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18" w:type="dxa"/>
          </w:tcPr>
          <w:p w14:paraId="29EDC44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706" w:type="dxa"/>
          </w:tcPr>
          <w:p w14:paraId="585D1CB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18" w:type="dxa"/>
          </w:tcPr>
          <w:p w14:paraId="5B4F8D8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706" w:type="dxa"/>
          </w:tcPr>
          <w:p w14:paraId="3B3A2DEB">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530" w:type="dxa"/>
          </w:tcPr>
          <w:p w14:paraId="2722030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706" w:type="dxa"/>
          </w:tcPr>
          <w:p w14:paraId="32CAF39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83" w:type="dxa"/>
          </w:tcPr>
          <w:p w14:paraId="0358294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706" w:type="dxa"/>
          </w:tcPr>
          <w:p w14:paraId="4E18CDB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232420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8" w:hRule="atLeast"/>
        </w:trPr>
        <w:tc>
          <w:tcPr>
            <w:tcW w:w="2237" w:type="dxa"/>
            <w:gridSpan w:val="2"/>
          </w:tcPr>
          <w:p w14:paraId="05235ECC">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Library users should be provided with adequate open access information resources. </w:t>
            </w:r>
          </w:p>
        </w:tc>
        <w:tc>
          <w:tcPr>
            <w:tcW w:w="608" w:type="dxa"/>
            <w:gridSpan w:val="2"/>
          </w:tcPr>
          <w:p w14:paraId="4643DE8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795" w:type="dxa"/>
          </w:tcPr>
          <w:p w14:paraId="2D1295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618" w:type="dxa"/>
          </w:tcPr>
          <w:p w14:paraId="504E3C0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706" w:type="dxa"/>
          </w:tcPr>
          <w:p w14:paraId="037D8C4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618" w:type="dxa"/>
          </w:tcPr>
          <w:p w14:paraId="4CAC370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105</w:t>
            </w:r>
          </w:p>
        </w:tc>
        <w:tc>
          <w:tcPr>
            <w:tcW w:w="706" w:type="dxa"/>
          </w:tcPr>
          <w:p w14:paraId="3044462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530" w:type="dxa"/>
          </w:tcPr>
          <w:p w14:paraId="7A53881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706" w:type="dxa"/>
          </w:tcPr>
          <w:p w14:paraId="30A7EEE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883" w:type="dxa"/>
          </w:tcPr>
          <w:p w14:paraId="07EAEE3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7558CAF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22A42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62" w:hRule="atLeast"/>
        </w:trPr>
        <w:tc>
          <w:tcPr>
            <w:tcW w:w="2237" w:type="dxa"/>
            <w:gridSpan w:val="2"/>
          </w:tcPr>
          <w:p w14:paraId="3B47475B">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More open access resources tools should be accepted, adopted and maintained in the library.</w:t>
            </w:r>
          </w:p>
        </w:tc>
        <w:tc>
          <w:tcPr>
            <w:tcW w:w="608" w:type="dxa"/>
            <w:gridSpan w:val="2"/>
          </w:tcPr>
          <w:p w14:paraId="261C5B1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795" w:type="dxa"/>
          </w:tcPr>
          <w:p w14:paraId="1C8E00C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618" w:type="dxa"/>
          </w:tcPr>
          <w:p w14:paraId="0C99AC7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92</w:t>
            </w:r>
          </w:p>
        </w:tc>
        <w:tc>
          <w:tcPr>
            <w:tcW w:w="706" w:type="dxa"/>
          </w:tcPr>
          <w:p w14:paraId="204DC36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618" w:type="dxa"/>
          </w:tcPr>
          <w:p w14:paraId="3EF14BC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06" w:type="dxa"/>
          </w:tcPr>
          <w:p w14:paraId="22E2108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530" w:type="dxa"/>
          </w:tcPr>
          <w:p w14:paraId="183885D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706" w:type="dxa"/>
          </w:tcPr>
          <w:p w14:paraId="7E73CAB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883" w:type="dxa"/>
          </w:tcPr>
          <w:p w14:paraId="65A78EB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70A96A5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9C20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3" w:hRule="atLeast"/>
        </w:trPr>
        <w:tc>
          <w:tcPr>
            <w:tcW w:w="2237" w:type="dxa"/>
            <w:gridSpan w:val="2"/>
          </w:tcPr>
          <w:p w14:paraId="6F8C41F3">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library should properly adopt Information and Communication Technology (ICT) in order to manage open access information resources. </w:t>
            </w:r>
          </w:p>
        </w:tc>
        <w:tc>
          <w:tcPr>
            <w:tcW w:w="608" w:type="dxa"/>
            <w:gridSpan w:val="2"/>
          </w:tcPr>
          <w:p w14:paraId="46E5D6F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795" w:type="dxa"/>
          </w:tcPr>
          <w:p w14:paraId="446EAF4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18" w:type="dxa"/>
          </w:tcPr>
          <w:p w14:paraId="7C0E5A5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706" w:type="dxa"/>
          </w:tcPr>
          <w:p w14:paraId="004438C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18" w:type="dxa"/>
          </w:tcPr>
          <w:p w14:paraId="0489DC5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706" w:type="dxa"/>
          </w:tcPr>
          <w:p w14:paraId="0BFC59C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30" w:type="dxa"/>
          </w:tcPr>
          <w:p w14:paraId="5E8A291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06" w:type="dxa"/>
          </w:tcPr>
          <w:p w14:paraId="73E6C7F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83" w:type="dxa"/>
          </w:tcPr>
          <w:p w14:paraId="0B6CA02A">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644D730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6CA6C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8" w:hRule="atLeast"/>
        </w:trPr>
        <w:tc>
          <w:tcPr>
            <w:tcW w:w="2237" w:type="dxa"/>
            <w:gridSpan w:val="2"/>
          </w:tcPr>
          <w:p w14:paraId="721E9DE0">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Adequate funds should often be released tirelessly to libraries for library internet projects.</w:t>
            </w:r>
          </w:p>
        </w:tc>
        <w:tc>
          <w:tcPr>
            <w:tcW w:w="608" w:type="dxa"/>
            <w:gridSpan w:val="2"/>
          </w:tcPr>
          <w:p w14:paraId="172B986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795" w:type="dxa"/>
          </w:tcPr>
          <w:p w14:paraId="0B81B3F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618" w:type="dxa"/>
          </w:tcPr>
          <w:p w14:paraId="32D1D2D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706" w:type="dxa"/>
          </w:tcPr>
          <w:p w14:paraId="40EF5A7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18" w:type="dxa"/>
          </w:tcPr>
          <w:p w14:paraId="6BBB76B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706" w:type="dxa"/>
          </w:tcPr>
          <w:p w14:paraId="1DFC8A1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30" w:type="dxa"/>
          </w:tcPr>
          <w:p w14:paraId="1C75782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706" w:type="dxa"/>
          </w:tcPr>
          <w:p w14:paraId="3C51E3F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883" w:type="dxa"/>
          </w:tcPr>
          <w:p w14:paraId="30FF1F9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6476FCC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916D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8" w:hRule="atLeast"/>
        </w:trPr>
        <w:tc>
          <w:tcPr>
            <w:tcW w:w="2237" w:type="dxa"/>
            <w:gridSpan w:val="2"/>
          </w:tcPr>
          <w:p w14:paraId="7E94D9F4">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Functional computers should be made available by the library for the library users. </w:t>
            </w:r>
          </w:p>
        </w:tc>
        <w:tc>
          <w:tcPr>
            <w:tcW w:w="608" w:type="dxa"/>
            <w:gridSpan w:val="2"/>
          </w:tcPr>
          <w:p w14:paraId="256F716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84</w:t>
            </w:r>
          </w:p>
        </w:tc>
        <w:tc>
          <w:tcPr>
            <w:tcW w:w="795" w:type="dxa"/>
          </w:tcPr>
          <w:p w14:paraId="5FDD277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618" w:type="dxa"/>
          </w:tcPr>
          <w:p w14:paraId="3C331B3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706" w:type="dxa"/>
          </w:tcPr>
          <w:p w14:paraId="17CC876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618" w:type="dxa"/>
          </w:tcPr>
          <w:p w14:paraId="35AF7E2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706" w:type="dxa"/>
          </w:tcPr>
          <w:p w14:paraId="5A70DA9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530" w:type="dxa"/>
          </w:tcPr>
          <w:p w14:paraId="38D803F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706" w:type="dxa"/>
          </w:tcPr>
          <w:p w14:paraId="4B30027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883" w:type="dxa"/>
          </w:tcPr>
          <w:p w14:paraId="2F4451E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10AE2A6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A832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7" w:hRule="atLeast"/>
        </w:trPr>
        <w:tc>
          <w:tcPr>
            <w:tcW w:w="2237" w:type="dxa"/>
            <w:gridSpan w:val="2"/>
          </w:tcPr>
          <w:p w14:paraId="191574EA">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2"/>
                <w:szCs w:val="22"/>
              </w:rPr>
              <w:t>Library should ensure that internet facilities and services are made available for open access information resources.</w:t>
            </w:r>
          </w:p>
        </w:tc>
        <w:tc>
          <w:tcPr>
            <w:tcW w:w="608" w:type="dxa"/>
            <w:gridSpan w:val="2"/>
          </w:tcPr>
          <w:p w14:paraId="565A5AE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795" w:type="dxa"/>
          </w:tcPr>
          <w:p w14:paraId="024B78F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18" w:type="dxa"/>
          </w:tcPr>
          <w:p w14:paraId="512C552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67</w:t>
            </w:r>
          </w:p>
        </w:tc>
        <w:tc>
          <w:tcPr>
            <w:tcW w:w="706" w:type="dxa"/>
          </w:tcPr>
          <w:p w14:paraId="4E88582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618" w:type="dxa"/>
          </w:tcPr>
          <w:p w14:paraId="677CA8E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706" w:type="dxa"/>
          </w:tcPr>
          <w:p w14:paraId="3882541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530" w:type="dxa"/>
          </w:tcPr>
          <w:p w14:paraId="1AD93D4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06" w:type="dxa"/>
          </w:tcPr>
          <w:p w14:paraId="581575E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83" w:type="dxa"/>
          </w:tcPr>
          <w:p w14:paraId="27E549A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460A152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044ACF3F">
      <w:pPr>
        <w:spacing w:line="480" w:lineRule="auto"/>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190F753B">
      <w:pPr>
        <w:spacing w:line="360" w:lineRule="auto"/>
        <w:jc w:val="both"/>
        <w:rPr>
          <w:rFonts w:ascii="Times New Roman" w:hAnsi="Times New Roman" w:cs="Times New Roman"/>
          <w:sz w:val="24"/>
          <w:szCs w:val="24"/>
        </w:rPr>
      </w:pPr>
      <w:r>
        <w:rPr>
          <w:rFonts w:ascii="Times New Roman" w:hAnsi="Times New Roman" w:cs="Times New Roman"/>
          <w:sz w:val="24"/>
          <w:szCs w:val="24"/>
        </w:rPr>
        <w:t>Table 4.3.11 above shows the solutions to the factors affecting the acceptance and adoption of open access for learning and research by the library users; 34 respondent representing (14%) strongly agreed that library users should be provided with adequate open access information resources, 47 respondent representing (19%) agreed, 105 respondent representing (43%) strongly disagreed while 59 respondent representing (24%) disagreed. 55 respondent representing (22%) strongly agreed that more open access resources tools should be accepted, adopted and maintained in the library, 92 respondent representing (38%) agreed, 43 respondent representing (18%) strongly disagreed while 55 respondent representing (22%) disagreed. 60 respondent representing (24%) strongly agreed that the library should properly adopt ICT in order to manage open access resources, 80 respondent representing (33%) agreed, 62 respondent representing (25%) strongly disagreed while 43 respondent representing (18%) disagreed. 90 respondent representing (37%) strongly agreed and 62 respondent representing (25%) agreed that adequate funds should often release tirelessly for library internet projects, 61 respondent representing (25%) strongly disagreed and 32 respondent representing (13%) disagreed. 84 respondent representing (34%) strongly agreed and 82 respondent representing (34%) agreed functioning computers should be made available for the library users, 47 respondent representing (19%) strongly disagreed while 32 respondent representing (13%) disagreed the statements. 82 respondent representing (33%) strongly agreed that library should ensure that internet facilities and services are made available for open access information resources, 120 respondent representing (49%) agreed, while 53 respondent representing (22%) strongly disagreed and 43 respondent representing (18%) disagreed. This analysis implies that library users should be provided with adequate open access information resources, more open access resources tools should be accepted, adopted and maintained in the library, adequate funds should often be released tirelessly to libraries for library internet projects, library should ensure that internet facilities and services are made available for open access information resources, and functional computers should be made available by the library for the library users, these measures among other are some of the solutions to the factors affecting the acceptance and adoption of open access for learning and research.</w:t>
      </w:r>
    </w:p>
    <w:p w14:paraId="2C32F0E2">
      <w:pPr>
        <w:spacing w:after="5" w:line="480" w:lineRule="auto"/>
        <w:ind w:right="37"/>
        <w:jc w:val="both"/>
        <w:rPr>
          <w:rFonts w:ascii="Times New Roman" w:hAnsi="Times New Roman" w:cs="Times New Roman"/>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 xml:space="preserve">Discussion of Findings </w:t>
      </w:r>
    </w:p>
    <w:p w14:paraId="539E27ED">
      <w:pPr>
        <w:spacing w:after="0" w:line="480" w:lineRule="auto"/>
        <w:ind w:right="51"/>
        <w:jc w:val="both"/>
        <w:rPr>
          <w:rFonts w:ascii="Times New Roman" w:hAnsi="Times New Roman" w:cs="Times New Roman"/>
          <w:sz w:val="24"/>
          <w:szCs w:val="24"/>
        </w:rPr>
      </w:pPr>
      <w:r>
        <w:rPr>
          <w:rFonts w:ascii="Times New Roman" w:hAnsi="Times New Roman" w:cs="Times New Roman"/>
          <w:sz w:val="24"/>
          <w:szCs w:val="24"/>
        </w:rPr>
        <w:t xml:space="preserve">Result showed that </w:t>
      </w:r>
      <w:r>
        <w:rPr>
          <w:rFonts w:hint="default" w:ascii="Times New Roman" w:hAnsi="Times New Roman" w:cs="Times New Roman"/>
          <w:sz w:val="24"/>
          <w:szCs w:val="24"/>
          <w:lang w:val="en-US"/>
        </w:rPr>
        <w:t>University of ilorin library</w:t>
      </w:r>
      <w:r>
        <w:rPr>
          <w:rFonts w:ascii="Times New Roman" w:hAnsi="Times New Roman" w:cs="Times New Roman"/>
          <w:sz w:val="24"/>
          <w:szCs w:val="24"/>
        </w:rPr>
        <w:t xml:space="preserve">, Kwara State accept and adopted open access information resources such as Repository bases pr green open access, journal based or gold open access, diamond open access, hybrid open access, bronze open access, black open access This is in line with Brockett &amp; Roger (2016). That identified various types of open access resources as institutional repository. Finding of the study revealed that the major tool for open access adoption in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is the computer. Others include internet facilities and services, Directory of Open Access Journals (DOAJ), </w:t>
      </w:r>
      <w:r>
        <w:rPr>
          <w:rFonts w:ascii="Times New Roman" w:hAnsi="Times New Roman" w:eastAsia="Times New Roman" w:cs="Times New Roman"/>
          <w:sz w:val="24"/>
          <w:szCs w:val="24"/>
        </w:rPr>
        <w:t>Registry of Open Access Repositories (ROAR)</w:t>
      </w:r>
      <w:r>
        <w:rPr>
          <w:rFonts w:ascii="Times New Roman" w:hAnsi="Times New Roman" w:cs="Times New Roman"/>
          <w:sz w:val="24"/>
          <w:szCs w:val="24"/>
        </w:rPr>
        <w:t xml:space="preserve"> </w:t>
      </w:r>
      <w:r>
        <w:rPr>
          <w:rFonts w:ascii="Times New Roman" w:hAnsi="Times New Roman" w:eastAsia="Times New Roman" w:cs="Times New Roman"/>
          <w:sz w:val="24"/>
          <w:szCs w:val="24"/>
        </w:rPr>
        <w:t>and Infrastructure Services for Open Access (IS4OA) .etc</w:t>
      </w:r>
      <w:r>
        <w:rPr>
          <w:rFonts w:ascii="Times New Roman" w:hAnsi="Times New Roman" w:cs="Times New Roman"/>
          <w:sz w:val="24"/>
          <w:szCs w:val="24"/>
        </w:rPr>
        <w:t xml:space="preserve">. Open source institutional repository software, open journal systems, open harvester systems, and e-book reading technology. This agreed with (Wikipedia, 2022) that identified open access information resources tools as open source institutional repository software, open journal systems and open harvester systems. The study revealed that there are many factors that affect adoption of open access for learning and research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which include: poor website design, lack of print provision, lack of online help, poor description of legal information, too many login requires, lack of open source institutional repository software, inadequate knowledge about ICT / open access adoption by library, lack of Open harvester systems as well as lack of open access awareness and it benefits. This in line with (Kim, 2020) who opined that hardware concern is the main issue for library and information managers to accept and adopt open access resources in libraries.</w:t>
      </w:r>
    </w:p>
    <w:p w14:paraId="392CC938">
      <w:pPr>
        <w:spacing w:after="0" w:line="48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The results revealed that the major strategy for enhancing adoption of open access for learning and research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is that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should adopt ICT in order to enable them manage open access resources. This is followed by releasing of more funds to Federal polytechnic library for library ICT (internet) projects, provision of functional computers by the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provision of adequate internet facilities and services by the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initiation of open journal systems by the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for the purpose of open access as well as provision and adoption of open source institutional repository software for the purpose of open access by the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This is in line with (Blixrud, 2022) who suggested that libraries should play an important role in effectively managing and preserving the open access resources so as to adopt to the information needs of not only today’s society but also to the future understanding of the past. This in collaboration with (Blixrud 2022) who maintained that libraries need to focus more on providing services based on open access resources along with their library and information services. </w:t>
      </w:r>
    </w:p>
    <w:p w14:paraId="5708C896">
      <w:pPr>
        <w:spacing w:after="0" w:line="480" w:lineRule="auto"/>
        <w:ind w:right="38"/>
        <w:jc w:val="both"/>
        <w:rPr>
          <w:rFonts w:ascii="Times New Roman" w:hAnsi="Times New Roman" w:cs="Times New Roman"/>
          <w:sz w:val="24"/>
          <w:szCs w:val="24"/>
        </w:rPr>
      </w:pPr>
    </w:p>
    <w:p w14:paraId="7F77EF8E">
      <w:pPr>
        <w:spacing w:after="0" w:line="480" w:lineRule="auto"/>
        <w:ind w:right="38"/>
        <w:jc w:val="both"/>
        <w:rPr>
          <w:rFonts w:ascii="Times New Roman" w:hAnsi="Times New Roman" w:cs="Times New Roman"/>
          <w:sz w:val="24"/>
          <w:szCs w:val="24"/>
        </w:rPr>
      </w:pPr>
    </w:p>
    <w:p w14:paraId="22E7EFBC">
      <w:pPr>
        <w:spacing w:after="0" w:line="480" w:lineRule="auto"/>
        <w:ind w:right="38"/>
        <w:jc w:val="both"/>
        <w:rPr>
          <w:rFonts w:ascii="Times New Roman" w:hAnsi="Times New Roman" w:cs="Times New Roman"/>
          <w:sz w:val="24"/>
          <w:szCs w:val="24"/>
        </w:rPr>
      </w:pPr>
    </w:p>
    <w:p w14:paraId="131692B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45F5825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OF FINDINGS, CONCLUSION AND RECOMMENDATIONS</w:t>
      </w:r>
    </w:p>
    <w:p w14:paraId="63C3FAF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1AF55657">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chapter is basically designed to state the summary of the findings of this research conclusion and give necessary recommendation. This subsection provides some briefs of the main findings of the research. In essence, highlight of the study’s important findings include the following.</w:t>
      </w:r>
    </w:p>
    <w:p w14:paraId="59A003B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 of Findings</w:t>
      </w:r>
    </w:p>
    <w:p w14:paraId="597AA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access can be seen as unrestricted visibility, provision and exploitation of external or scholarly publications. Open access movement is a reaction to the persistence traditional control-based models of scientific knowledge distribution characterized by high cost subscription journals. Generally with all learning there is an element within use of wishing to remember and understand why something happens and to do it better next time and Teaching on the other hand is a set of events, outside the learners which are designed to support internal process of learning. They need to be fully aware of the existence and usefulness of open access information resources in order to accept and adopt it for use by users of the libraries. In order to meet the information needs of the academic community, polytechnic libraries acquire not only print information resources which are sometimes keep under closed access but also acquire and provide access to open access resources which have limitless access. They gather information resources from time to time from different institutions related to their academic programs and such institutions websites, blogs, archives, repositories, publications e.g. books and journals et cetera are accessed as open access resources. This means that open access resources exists in different forms or types. </w:t>
      </w:r>
    </w:p>
    <w:p w14:paraId="2EBB4E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open access concept is gaining ground but is yet to be widely known among academics and researchers from various scholarly communities and research disciplines. The frequency usage of open access relies on the researcher being well informed of this mode of scholarly publishing. However, users of information gain from open access initiatives without prior knowledge of this mode of scholarly publishing. This is possible when users by accident gain access to both free and subscribed content while searching for information on the Internet It is essential that prior knowledge of this mode of scholarly publishing is known to users.</w:t>
      </w:r>
    </w:p>
    <w:p w14:paraId="2BD7B1A0">
      <w:pPr>
        <w:pStyle w:val="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5.3</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Conclusion  </w:t>
      </w:r>
    </w:p>
    <w:p w14:paraId="55E52B5C">
      <w:pPr>
        <w:spacing w:line="48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Open access information resources are vital tool of solving not only financial problems in libraries in general and </w:t>
      </w:r>
      <w:r>
        <w:rPr>
          <w:rFonts w:hint="default" w:ascii="Times New Roman" w:hAnsi="Times New Roman" w:cs="Times New Roman"/>
          <w:sz w:val="24"/>
          <w:szCs w:val="24"/>
          <w:lang w:val="en-US"/>
        </w:rPr>
        <w:t>federal university</w:t>
      </w:r>
      <w:r>
        <w:rPr>
          <w:rFonts w:ascii="Times New Roman" w:hAnsi="Times New Roman" w:cs="Times New Roman"/>
          <w:sz w:val="24"/>
          <w:szCs w:val="24"/>
        </w:rPr>
        <w:t xml:space="preserve"> library in particular but also enable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to keep pace with information explosion or changing trends in libraries. It is in this regards that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accepted and adopted open access information resources policy such as institutional repository, open journals, subject repository, e-books, personal websites, email list services, forums, and videos of lectures, government documents and audios with tools such as computers among others. However, findings of this study show that inadequate internet facilities and services, lack of functional computers, lack of ICT maintenance culture are among major factors that affect acceptance and adoption of open access for learning and research by library user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The bottom line is adequate funding and maintenance of virtual libraries goes a long way in ensuring availability of open access information resources which are essential for easy access to knowledge. </w:t>
      </w:r>
    </w:p>
    <w:p w14:paraId="28893056">
      <w:pPr>
        <w:spacing w:line="480" w:lineRule="auto"/>
        <w:ind w:right="37"/>
        <w:jc w:val="both"/>
        <w:rPr>
          <w:rFonts w:ascii="Times New Roman" w:hAnsi="Times New Roman" w:cs="Times New Roman"/>
          <w:sz w:val="24"/>
          <w:szCs w:val="24"/>
        </w:rPr>
      </w:pPr>
    </w:p>
    <w:p w14:paraId="1A02C78F">
      <w:pPr>
        <w:spacing w:line="480" w:lineRule="auto"/>
        <w:ind w:right="37"/>
        <w:jc w:val="both"/>
        <w:rPr>
          <w:rFonts w:ascii="Times New Roman" w:hAnsi="Times New Roman" w:cs="Times New Roman"/>
          <w:sz w:val="24"/>
          <w:szCs w:val="24"/>
        </w:rPr>
      </w:pPr>
    </w:p>
    <w:p w14:paraId="313C7FDB">
      <w:pPr>
        <w:spacing w:after="0" w:line="480" w:lineRule="auto"/>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 xml:space="preserve"> Recommendations </w:t>
      </w:r>
    </w:p>
    <w:p w14:paraId="04E7A8C6">
      <w:pPr>
        <w:spacing w:line="480" w:lineRule="auto"/>
        <w:ind w:left="-5" w:right="37" w:firstLine="365"/>
        <w:rPr>
          <w:rFonts w:ascii="Times New Roman" w:hAnsi="Times New Roman" w:cs="Times New Roman"/>
          <w:sz w:val="24"/>
          <w:szCs w:val="24"/>
        </w:rPr>
      </w:pPr>
      <w:r>
        <w:rPr>
          <w:rFonts w:ascii="Times New Roman" w:hAnsi="Times New Roman" w:cs="Times New Roman"/>
          <w:sz w:val="24"/>
          <w:szCs w:val="24"/>
        </w:rPr>
        <w:t>These are the suggested recommendation for the study.</w:t>
      </w:r>
    </w:p>
    <w:p w14:paraId="31B64F65">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should ensure that users are provided with adequate open access information resources. This is because there is need for access and use of information materials in all formats and adoption of open access information resources could incite users to quickly access and utilize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resources to a high extent. </w:t>
      </w:r>
    </w:p>
    <w:p w14:paraId="2A1C1E48">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More open access resources tools should be accepted, adopted and maintained in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libraries </w:t>
      </w:r>
    </w:p>
    <w:p w14:paraId="01BAEC79">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libraries should properly adopt Information and Communication Technology (ICT) in order to manage open access information resources </w:t>
      </w:r>
    </w:p>
    <w:p w14:paraId="56B8922D">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Adequate funds should often be released tirelessly to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for library internet projects </w:t>
      </w:r>
    </w:p>
    <w:p w14:paraId="689C633A">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Functional computers should be made available by the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and same be maintained  consistently </w:t>
      </w:r>
    </w:p>
    <w:p w14:paraId="0928B8A1">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should ensure that internet facilities and services are made available for open access information resources.</w:t>
      </w:r>
    </w:p>
    <w:p w14:paraId="1E145DA7">
      <w:pPr>
        <w:spacing w:after="5" w:line="480" w:lineRule="auto"/>
        <w:ind w:right="37"/>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Pr>
          <w:rFonts w:ascii="Times New Roman" w:hAnsi="Times New Roman" w:cs="Times New Roman"/>
          <w:b/>
          <w:sz w:val="24"/>
          <w:szCs w:val="24"/>
        </w:rPr>
        <w:t>Areas for Further Studies</w:t>
      </w:r>
    </w:p>
    <w:p w14:paraId="0621A1F1">
      <w:pPr>
        <w:spacing w:after="5" w:line="480" w:lineRule="auto"/>
        <w:ind w:right="37"/>
        <w:jc w:val="both"/>
        <w:rPr>
          <w:rFonts w:ascii="Times New Roman" w:hAnsi="Times New Roman" w:cs="Times New Roman"/>
          <w:b/>
          <w:sz w:val="24"/>
          <w:szCs w:val="24"/>
        </w:rPr>
      </w:pPr>
      <w:r>
        <w:rPr>
          <w:rFonts w:ascii="Times New Roman" w:hAnsi="Times New Roman" w:cs="Times New Roman"/>
          <w:sz w:val="24"/>
          <w:szCs w:val="24"/>
        </w:rPr>
        <w:t>Further studies can be conducted on the following suggested Topic:</w:t>
      </w:r>
      <w:r>
        <w:rPr>
          <w:rFonts w:ascii="Times New Roman" w:hAnsi="Times New Roman" w:cs="Times New Roman"/>
          <w:b/>
          <w:sz w:val="24"/>
          <w:szCs w:val="24"/>
        </w:rPr>
        <w:t xml:space="preserve"> </w:t>
      </w:r>
    </w:p>
    <w:p w14:paraId="0C2948A6">
      <w:pPr>
        <w:spacing w:after="5" w:line="480" w:lineRule="auto"/>
        <w:ind w:right="37"/>
        <w:jc w:val="both"/>
        <w:rPr>
          <w:rFonts w:ascii="Times New Roman" w:hAnsi="Times New Roman" w:cs="Times New Roman"/>
          <w:sz w:val="24"/>
          <w:szCs w:val="24"/>
        </w:rPr>
      </w:pPr>
      <w:r>
        <w:rPr>
          <w:rFonts w:ascii="Times New Roman" w:hAnsi="Times New Roman" w:cs="Times New Roman"/>
          <w:sz w:val="24"/>
          <w:szCs w:val="24"/>
        </w:rPr>
        <w:t>1. Provision for Open Access equipment for libraries and their users</w:t>
      </w:r>
    </w:p>
    <w:p w14:paraId="69ED2245">
      <w:pPr>
        <w:spacing w:after="5" w:line="480" w:lineRule="auto"/>
        <w:ind w:right="37"/>
        <w:jc w:val="both"/>
        <w:rPr>
          <w:rFonts w:ascii="Times New Roman" w:hAnsi="Times New Roman" w:cs="Times New Roman"/>
          <w:sz w:val="24"/>
          <w:szCs w:val="24"/>
        </w:rPr>
      </w:pPr>
      <w:r>
        <w:rPr>
          <w:rFonts w:ascii="Times New Roman" w:hAnsi="Times New Roman" w:cs="Times New Roman"/>
          <w:sz w:val="24"/>
          <w:szCs w:val="24"/>
        </w:rPr>
        <w:t>2. Adoption of open access for teaching and research by students in Academic Libraries</w:t>
      </w:r>
    </w:p>
    <w:p w14:paraId="68A35930">
      <w:pPr>
        <w:spacing w:after="5" w:line="480" w:lineRule="auto"/>
        <w:ind w:right="37"/>
        <w:jc w:val="both"/>
        <w:rPr>
          <w:rFonts w:ascii="Times New Roman" w:hAnsi="Times New Roman" w:cs="Times New Roman"/>
          <w:sz w:val="24"/>
          <w:szCs w:val="24"/>
        </w:rPr>
      </w:pPr>
      <w:r>
        <w:rPr>
          <w:rFonts w:ascii="Times New Roman" w:hAnsi="Times New Roman" w:cs="Times New Roman"/>
          <w:sz w:val="24"/>
          <w:szCs w:val="24"/>
        </w:rPr>
        <w:t>3. Utilization of open access resources for Academic productivity by academic libraries in Nigeria</w:t>
      </w:r>
    </w:p>
    <w:p w14:paraId="6AC3A064">
      <w:pPr>
        <w:pStyle w:val="2"/>
        <w:spacing w:line="480" w:lineRule="auto"/>
        <w:jc w:val="center"/>
        <w:rPr>
          <w:rFonts w:ascii="Times New Roman" w:hAnsi="Times New Roman" w:cs="Times New Roman"/>
          <w:color w:val="auto"/>
          <w:sz w:val="23"/>
          <w:szCs w:val="23"/>
        </w:rPr>
      </w:pPr>
      <w:r>
        <w:rPr>
          <w:rFonts w:ascii="Times New Roman" w:hAnsi="Times New Roman" w:cs="Times New Roman"/>
          <w:color w:val="auto"/>
          <w:sz w:val="23"/>
          <w:szCs w:val="23"/>
        </w:rPr>
        <w:t>BILBLIOGRAPHY</w:t>
      </w:r>
    </w:p>
    <w:p w14:paraId="203B37A5">
      <w:pPr>
        <w:spacing w:after="0" w:line="480" w:lineRule="auto"/>
        <w:ind w:left="720" w:right="52" w:hanging="720"/>
        <w:jc w:val="both"/>
        <w:rPr>
          <w:rFonts w:ascii="Times New Roman" w:hAnsi="Times New Roman" w:cs="Times New Roman"/>
          <w:i/>
          <w:sz w:val="23"/>
          <w:szCs w:val="23"/>
        </w:rPr>
      </w:pPr>
      <w:r>
        <w:rPr>
          <w:rFonts w:ascii="Times New Roman" w:hAnsi="Times New Roman" w:cs="Times New Roman"/>
          <w:sz w:val="23"/>
          <w:szCs w:val="23"/>
        </w:rPr>
        <w:t>Abrizah, F., (2019</w:t>
      </w:r>
      <w:r>
        <w:rPr>
          <w:rFonts w:ascii="Times New Roman" w:hAnsi="Times New Roman" w:cs="Times New Roman"/>
          <w:i/>
          <w:sz w:val="23"/>
          <w:szCs w:val="23"/>
        </w:rPr>
        <w:t xml:space="preserve">) </w:t>
      </w:r>
      <w:r>
        <w:rPr>
          <w:rFonts w:ascii="Times New Roman" w:hAnsi="Times New Roman" w:cs="Times New Roman"/>
          <w:sz w:val="23"/>
          <w:szCs w:val="23"/>
        </w:rPr>
        <w:t>Strategies for opening up content: Laying the groundwork for an open system of scholarship. Research Library Issues: A Bimonthly Report from ARL, CNI, and SPARC.</w:t>
      </w:r>
      <w:r>
        <w:rPr>
          <w:rFonts w:ascii="Times New Roman" w:hAnsi="Times New Roman" w:cs="Times New Roman"/>
          <w:i/>
          <w:sz w:val="23"/>
          <w:szCs w:val="23"/>
        </w:rPr>
        <w:t xml:space="preserve"> Retrieved from </w:t>
      </w:r>
      <w:r>
        <w:fldChar w:fldCharType="begin"/>
      </w:r>
      <w:r>
        <w:instrText xml:space="preserve"> HYPERLINK "http://www.arl.org/resources" </w:instrText>
      </w:r>
      <w:r>
        <w:fldChar w:fldCharType="separate"/>
      </w:r>
      <w:r>
        <w:rPr>
          <w:rStyle w:val="7"/>
          <w:i/>
          <w:color w:val="auto"/>
          <w:sz w:val="23"/>
          <w:szCs w:val="23"/>
          <w:u w:val="none"/>
        </w:rPr>
        <w:t>http://www.arl.org/resources</w:t>
      </w:r>
      <w:r>
        <w:rPr>
          <w:rStyle w:val="7"/>
          <w:i/>
          <w:color w:val="auto"/>
          <w:sz w:val="23"/>
          <w:szCs w:val="23"/>
          <w:u w:val="none"/>
        </w:rPr>
        <w:fldChar w:fldCharType="end"/>
      </w:r>
      <w:r>
        <w:rPr>
          <w:rFonts w:ascii="Times New Roman" w:hAnsi="Times New Roman" w:cs="Times New Roman"/>
          <w:i/>
          <w:sz w:val="23"/>
          <w:szCs w:val="23"/>
        </w:rPr>
        <w:t xml:space="preserve"> /pubs/rli/archive/rli269.shtml. 269, 1–4.</w:t>
      </w:r>
    </w:p>
    <w:p w14:paraId="0B95AAA4">
      <w:pPr>
        <w:autoSpaceDE w:val="0"/>
        <w:autoSpaceDN w:val="0"/>
        <w:adjustRightInd w:val="0"/>
        <w:spacing w:after="0" w:line="480" w:lineRule="auto"/>
        <w:ind w:left="720" w:hanging="720"/>
        <w:jc w:val="both"/>
        <w:rPr>
          <w:rFonts w:ascii="Times New Roman" w:hAnsi="Times New Roman" w:eastAsia="Times New Roman" w:cs="Times New Roman"/>
          <w:i/>
          <w:sz w:val="23"/>
          <w:szCs w:val="23"/>
        </w:rPr>
      </w:pPr>
      <w:r>
        <w:rPr>
          <w:rFonts w:ascii="Times New Roman" w:hAnsi="Times New Roman" w:cs="Times New Roman"/>
          <w:sz w:val="23"/>
          <w:szCs w:val="23"/>
        </w:rPr>
        <w:t>Adeogun, A.O, (2018)</w:t>
      </w:r>
      <w:r>
        <w:rPr>
          <w:rFonts w:ascii="Times New Roman" w:hAnsi="Times New Roman" w:eastAsia="Times New Roman" w:cs="Times New Roman"/>
          <w:i/>
          <w:sz w:val="23"/>
          <w:szCs w:val="23"/>
        </w:rPr>
        <w:t xml:space="preserve">. </w:t>
      </w:r>
      <w:r>
        <w:rPr>
          <w:rFonts w:ascii="Times New Roman" w:hAnsi="Times New Roman" w:eastAsia="Times New Roman" w:cs="Times New Roman"/>
          <w:sz w:val="23"/>
          <w:szCs w:val="23"/>
        </w:rPr>
        <w:t xml:space="preserve">What is Open Access? Retrieved from </w:t>
      </w:r>
      <w:r>
        <w:fldChar w:fldCharType="begin"/>
      </w:r>
      <w:r>
        <w:instrText xml:space="preserve"> HYPERLINK "http://www.digital-scholarship.com/cwb/WhatIsOA.pdf" </w:instrText>
      </w:r>
      <w:r>
        <w:fldChar w:fldCharType="separate"/>
      </w:r>
      <w:r>
        <w:rPr>
          <w:rStyle w:val="7"/>
          <w:rFonts w:eastAsia="Times New Roman"/>
          <w:color w:val="auto"/>
          <w:sz w:val="23"/>
          <w:szCs w:val="23"/>
          <w:u w:val="none"/>
        </w:rPr>
        <w:t>http://www.digital-scholarship.com/cwb/WhatIsOA.pdf</w:t>
      </w:r>
      <w:r>
        <w:rPr>
          <w:rStyle w:val="7"/>
          <w:rFonts w:eastAsia="Times New Roman"/>
          <w:color w:val="auto"/>
          <w:sz w:val="23"/>
          <w:szCs w:val="23"/>
          <w:u w:val="none"/>
        </w:rPr>
        <w:fldChar w:fldCharType="end"/>
      </w:r>
      <w:r>
        <w:rPr>
          <w:rFonts w:ascii="Times New Roman" w:hAnsi="Times New Roman" w:eastAsia="Times New Roman" w:cs="Times New Roman"/>
          <w:sz w:val="23"/>
          <w:szCs w:val="23"/>
        </w:rPr>
        <w:t xml:space="preserve"> Bhat, M. H. (2017). Open Access repositories: a review.</w:t>
      </w:r>
      <w:r>
        <w:rPr>
          <w:rFonts w:ascii="Times New Roman" w:hAnsi="Times New Roman" w:eastAsia="Times New Roman" w:cs="Times New Roman"/>
          <w:i/>
          <w:sz w:val="23"/>
          <w:szCs w:val="23"/>
        </w:rPr>
        <w:t xml:space="preserve"> Library Philosophy and Practice. Retrieved from </w:t>
      </w:r>
      <w:r>
        <w:fldChar w:fldCharType="begin"/>
      </w:r>
      <w:r>
        <w:instrText xml:space="preserve"> HYPERLINK "http://unllib.unl.edu/LPP/hanief2.htm" </w:instrText>
      </w:r>
      <w:r>
        <w:fldChar w:fldCharType="separate"/>
      </w:r>
      <w:r>
        <w:rPr>
          <w:rStyle w:val="7"/>
          <w:rFonts w:eastAsia="Times New Roman"/>
          <w:i/>
          <w:color w:val="auto"/>
          <w:sz w:val="23"/>
          <w:szCs w:val="23"/>
          <w:u w:val="none"/>
        </w:rPr>
        <w:t>http://unllib.unl.edu/LPP/hanief2.htm</w:t>
      </w:r>
      <w:r>
        <w:rPr>
          <w:rStyle w:val="7"/>
          <w:rFonts w:eastAsia="Times New Roman"/>
          <w:i/>
          <w:color w:val="auto"/>
          <w:sz w:val="23"/>
          <w:szCs w:val="23"/>
          <w:u w:val="none"/>
        </w:rPr>
        <w:fldChar w:fldCharType="end"/>
      </w:r>
    </w:p>
    <w:p w14:paraId="21626352">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Akintunde, (2016)</w:t>
      </w:r>
      <w:r>
        <w:rPr>
          <w:rFonts w:ascii="Times New Roman" w:hAnsi="Times New Roman" w:cs="Times New Roman"/>
          <w:i/>
          <w:sz w:val="23"/>
          <w:szCs w:val="23"/>
        </w:rPr>
        <w:t xml:space="preserve">. </w:t>
      </w:r>
      <w:r>
        <w:rPr>
          <w:rFonts w:ascii="Times New Roman" w:hAnsi="Times New Roman" w:cs="Times New Roman"/>
          <w:sz w:val="23"/>
          <w:szCs w:val="23"/>
        </w:rPr>
        <w:t>The open access initiative: a new paradigm for scholarly communication.</w:t>
      </w:r>
      <w:r>
        <w:rPr>
          <w:rFonts w:ascii="Times New Roman" w:hAnsi="Times New Roman" w:cs="Times New Roman"/>
          <w:i/>
          <w:sz w:val="23"/>
          <w:szCs w:val="23"/>
        </w:rPr>
        <w:t xml:space="preserve"> Information technology and libraries, 24(4):157-162.  </w:t>
      </w:r>
    </w:p>
    <w:p w14:paraId="235C27BA">
      <w:pPr>
        <w:spacing w:after="0" w:line="480" w:lineRule="auto"/>
        <w:ind w:left="720" w:right="21" w:hanging="720"/>
        <w:jc w:val="both"/>
        <w:rPr>
          <w:rFonts w:ascii="Times New Roman" w:hAnsi="Times New Roman" w:cs="Times New Roman"/>
          <w:i/>
          <w:sz w:val="23"/>
          <w:szCs w:val="23"/>
        </w:rPr>
      </w:pPr>
      <w:r>
        <w:rPr>
          <w:rFonts w:ascii="Times New Roman" w:hAnsi="Times New Roman" w:cs="Times New Roman"/>
          <w:sz w:val="23"/>
          <w:szCs w:val="23"/>
        </w:rPr>
        <w:t>Alemu (2019),</w:t>
      </w:r>
      <w:r>
        <w:rPr>
          <w:rFonts w:ascii="Times New Roman" w:hAnsi="Times New Roman" w:cs="Times New Roman"/>
          <w:i/>
          <w:sz w:val="23"/>
          <w:szCs w:val="23"/>
        </w:rPr>
        <w:t xml:space="preserve"> </w:t>
      </w:r>
      <w:r>
        <w:rPr>
          <w:rFonts w:ascii="Times New Roman" w:hAnsi="Times New Roman" w:cs="Times New Roman"/>
          <w:sz w:val="23"/>
          <w:szCs w:val="23"/>
        </w:rPr>
        <w:t>Growing Up Digital: How the Web Changes Work, Education, and the Ways People Learn</w:t>
      </w:r>
      <w:r>
        <w:rPr>
          <w:rFonts w:ascii="Times New Roman" w:hAnsi="Times New Roman" w:cs="Times New Roman"/>
          <w:i/>
          <w:sz w:val="23"/>
          <w:szCs w:val="23"/>
        </w:rPr>
        <w:t xml:space="preserve">. United States Distance Learning Association.  </w:t>
      </w:r>
    </w:p>
    <w:p w14:paraId="2087B2A3">
      <w:pPr>
        <w:autoSpaceDE w:val="0"/>
        <w:autoSpaceDN w:val="0"/>
        <w:adjustRightInd w:val="0"/>
        <w:spacing w:after="0" w:line="480" w:lineRule="auto"/>
        <w:ind w:left="720" w:hanging="720"/>
        <w:jc w:val="both"/>
        <w:rPr>
          <w:rFonts w:ascii="Times New Roman" w:hAnsi="Times New Roman" w:eastAsia="Times New Roman" w:cs="Times New Roman"/>
          <w:i/>
          <w:sz w:val="23"/>
          <w:szCs w:val="23"/>
        </w:rPr>
      </w:pPr>
      <w:r>
        <w:rPr>
          <w:rFonts w:ascii="Times New Roman" w:hAnsi="Times New Roman" w:cs="Times New Roman"/>
          <w:sz w:val="23"/>
          <w:szCs w:val="23"/>
        </w:rPr>
        <w:t xml:space="preserve">Ali J.B, (2015). </w:t>
      </w:r>
      <w:r>
        <w:rPr>
          <w:rFonts w:ascii="Times New Roman" w:hAnsi="Times New Roman" w:cs="Times New Roman"/>
          <w:i/>
          <w:sz w:val="23"/>
          <w:szCs w:val="23"/>
        </w:rPr>
        <w:t xml:space="preserve"> </w:t>
      </w:r>
      <w:r>
        <w:rPr>
          <w:rFonts w:ascii="Times New Roman" w:hAnsi="Times New Roman" w:eastAsia="Times New Roman" w:cs="Times New Roman"/>
          <w:sz w:val="23"/>
          <w:szCs w:val="23"/>
        </w:rPr>
        <w:t>Open Access and Libraries</w:t>
      </w:r>
      <w:r>
        <w:rPr>
          <w:rFonts w:ascii="Times New Roman" w:hAnsi="Times New Roman" w:eastAsia="Times New Roman" w:cs="Times New Roman"/>
          <w:i/>
          <w:sz w:val="23"/>
          <w:szCs w:val="23"/>
        </w:rPr>
        <w:t>. Collection Management 32, (3/4), 351-383.</w:t>
      </w:r>
    </w:p>
    <w:p w14:paraId="550B6906">
      <w:pPr>
        <w:pStyle w:val="13"/>
        <w:spacing w:line="480" w:lineRule="auto"/>
        <w:ind w:left="720" w:hanging="720"/>
        <w:jc w:val="both"/>
        <w:rPr>
          <w:i/>
          <w:color w:val="auto"/>
          <w:sz w:val="23"/>
          <w:szCs w:val="23"/>
        </w:rPr>
      </w:pPr>
      <w:r>
        <w:rPr>
          <w:color w:val="auto"/>
          <w:sz w:val="23"/>
          <w:szCs w:val="23"/>
        </w:rPr>
        <w:t>Anyangwe</w:t>
      </w:r>
      <w:r>
        <w:rPr>
          <w:i/>
          <w:color w:val="auto"/>
          <w:sz w:val="23"/>
          <w:szCs w:val="23"/>
        </w:rPr>
        <w:t xml:space="preserve">, </w:t>
      </w:r>
      <w:r>
        <w:rPr>
          <w:color w:val="auto"/>
          <w:sz w:val="23"/>
          <w:szCs w:val="23"/>
        </w:rPr>
        <w:t>E</w:t>
      </w:r>
      <w:r>
        <w:rPr>
          <w:i/>
          <w:color w:val="auto"/>
          <w:sz w:val="23"/>
          <w:szCs w:val="23"/>
        </w:rPr>
        <w:t xml:space="preserve">. </w:t>
      </w:r>
      <w:r>
        <w:rPr>
          <w:color w:val="auto"/>
          <w:sz w:val="23"/>
          <w:szCs w:val="23"/>
        </w:rPr>
        <w:t>(2017)</w:t>
      </w:r>
      <w:r>
        <w:rPr>
          <w:i/>
          <w:color w:val="auto"/>
          <w:sz w:val="23"/>
          <w:szCs w:val="23"/>
        </w:rPr>
        <w:t xml:space="preserve">. </w:t>
      </w:r>
      <w:r>
        <w:rPr>
          <w:color w:val="auto"/>
          <w:sz w:val="23"/>
          <w:szCs w:val="23"/>
        </w:rPr>
        <w:t>Exploring Open Access in Higher Education</w:t>
      </w:r>
      <w:r>
        <w:rPr>
          <w:i/>
          <w:color w:val="auto"/>
          <w:sz w:val="23"/>
          <w:szCs w:val="23"/>
        </w:rPr>
        <w:t xml:space="preserve">: The Guardian Newspaper. Available at [2]. </w:t>
      </w:r>
      <w:r>
        <w:fldChar w:fldCharType="begin"/>
      </w:r>
      <w:r>
        <w:instrText xml:space="preserve"> HYPERLINK "http://www.theguardian.com/higher-education-" </w:instrText>
      </w:r>
      <w:r>
        <w:fldChar w:fldCharType="separate"/>
      </w:r>
      <w:r>
        <w:rPr>
          <w:rStyle w:val="7"/>
          <w:i/>
          <w:color w:val="auto"/>
          <w:sz w:val="23"/>
          <w:szCs w:val="23"/>
          <w:u w:val="none"/>
        </w:rPr>
        <w:t>www.theguardian.com/higher-education-</w:t>
      </w:r>
      <w:r>
        <w:rPr>
          <w:rStyle w:val="7"/>
          <w:i/>
          <w:color w:val="auto"/>
          <w:sz w:val="23"/>
          <w:szCs w:val="23"/>
          <w:u w:val="none"/>
        </w:rPr>
        <w:fldChar w:fldCharType="end"/>
      </w:r>
      <w:r>
        <w:rPr>
          <w:i/>
          <w:color w:val="auto"/>
          <w:sz w:val="23"/>
          <w:szCs w:val="23"/>
        </w:rPr>
        <w:t xml:space="preserve">network/blog201/oct/25/open-access-higher- education network . </w:t>
      </w:r>
    </w:p>
    <w:p w14:paraId="433CF9BA">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Axman  (2015). Self-direction in Learning: Perspectives on theory, research, and practice</w:t>
      </w:r>
      <w:r>
        <w:rPr>
          <w:rFonts w:ascii="Times New Roman" w:hAnsi="Times New Roman" w:cs="Times New Roman"/>
          <w:i/>
          <w:sz w:val="23"/>
          <w:szCs w:val="23"/>
        </w:rPr>
        <w:t xml:space="preserve">. New York: Routledge.  </w:t>
      </w:r>
    </w:p>
    <w:p w14:paraId="11805489">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Balnaves, E. (2018).</w:t>
      </w:r>
      <w:r>
        <w:rPr>
          <w:rFonts w:ascii="Times New Roman" w:hAnsi="Times New Roman" w:cs="Times New Roman"/>
          <w:i/>
          <w:sz w:val="23"/>
          <w:szCs w:val="23"/>
        </w:rPr>
        <w:t xml:space="preserve">  </w:t>
      </w:r>
      <w:r>
        <w:rPr>
          <w:rFonts w:ascii="Times New Roman" w:hAnsi="Times New Roman" w:cs="Times New Roman"/>
          <w:sz w:val="23"/>
          <w:szCs w:val="23"/>
        </w:rPr>
        <w:t xml:space="preserve">Open access Information Resources for Users </w:t>
      </w:r>
      <w:r>
        <w:rPr>
          <w:rFonts w:ascii="Times New Roman" w:hAnsi="Times New Roman" w:cs="Times New Roman"/>
          <w:i/>
          <w:sz w:val="23"/>
          <w:szCs w:val="23"/>
        </w:rPr>
        <w:t>Electronic Age Librarianship.  New Delhi: Ane Books Pvt. Ltd, 1-14.</w:t>
      </w:r>
    </w:p>
    <w:p w14:paraId="0FDC18C9">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Bandura (2016). Supporting and enhancing scholarship in the digital age: the role of open access institutional repositories.</w:t>
      </w:r>
      <w:r>
        <w:rPr>
          <w:rFonts w:ascii="Times New Roman" w:hAnsi="Times New Roman" w:cs="Times New Roman"/>
          <w:i/>
          <w:sz w:val="23"/>
          <w:szCs w:val="23"/>
        </w:rPr>
        <w:t xml:space="preserve"> Canadian Journal of Communication, 29: 277-300.  Available: </w:t>
      </w:r>
      <w:r>
        <w:fldChar w:fldCharType="begin"/>
      </w:r>
      <w:r>
        <w:instrText xml:space="preserve"> HYPERLINK "http://eprints.rclis.org/archive/00002590" </w:instrText>
      </w:r>
      <w:r>
        <w:fldChar w:fldCharType="separate"/>
      </w:r>
      <w:r>
        <w:rPr>
          <w:rStyle w:val="7"/>
          <w:i/>
          <w:color w:val="auto"/>
          <w:sz w:val="23"/>
          <w:szCs w:val="23"/>
          <w:u w:val="none"/>
        </w:rPr>
        <w:t>http://eprints.rclis.org/archive/000</w:t>
      </w:r>
      <w:r>
        <w:rPr>
          <w:rStyle w:val="7"/>
          <w:i/>
          <w:color w:val="auto"/>
          <w:sz w:val="23"/>
          <w:szCs w:val="23"/>
          <w:u w:val="none"/>
        </w:rPr>
        <w:fldChar w:fldCharType="end"/>
      </w:r>
      <w:r>
        <w:fldChar w:fldCharType="begin"/>
      </w:r>
      <w:r>
        <w:instrText xml:space="preserve"> HYPERLINK "http://eprints.rclis.org/archive/00002590" </w:instrText>
      </w:r>
      <w:r>
        <w:fldChar w:fldCharType="separate"/>
      </w:r>
      <w:r>
        <w:rPr>
          <w:rStyle w:val="7"/>
          <w:i/>
          <w:color w:val="auto"/>
          <w:sz w:val="23"/>
          <w:szCs w:val="23"/>
          <w:u w:val="none"/>
        </w:rPr>
        <w:t>02590</w:t>
      </w:r>
      <w:r>
        <w:rPr>
          <w:rStyle w:val="7"/>
          <w:i/>
          <w:color w:val="auto"/>
          <w:sz w:val="23"/>
          <w:szCs w:val="23"/>
          <w:u w:val="none"/>
        </w:rPr>
        <w:fldChar w:fldCharType="end"/>
      </w:r>
      <w:r>
        <w:fldChar w:fldCharType="begin"/>
      </w:r>
      <w:r>
        <w:instrText xml:space="preserve"> HYPERLINK "http://eprints.rclis.org/archive/00002590" </w:instrText>
      </w:r>
      <w:r>
        <w:fldChar w:fldCharType="separate"/>
      </w:r>
      <w:r>
        <w:rPr>
          <w:rStyle w:val="7"/>
          <w:i/>
          <w:color w:val="auto"/>
          <w:sz w:val="23"/>
          <w:szCs w:val="23"/>
          <w:u w:val="none"/>
        </w:rPr>
        <w:t xml:space="preserve"> </w:t>
      </w:r>
      <w:r>
        <w:rPr>
          <w:rStyle w:val="7"/>
          <w:i/>
          <w:color w:val="auto"/>
          <w:sz w:val="23"/>
          <w:szCs w:val="23"/>
          <w:u w:val="none"/>
        </w:rPr>
        <w:fldChar w:fldCharType="end"/>
      </w:r>
      <w:r>
        <w:rPr>
          <w:rFonts w:ascii="Times New Roman" w:hAnsi="Times New Roman" w:cs="Times New Roman"/>
          <w:i/>
          <w:sz w:val="23"/>
          <w:szCs w:val="23"/>
        </w:rPr>
        <w:t xml:space="preserve">  </w:t>
      </w:r>
    </w:p>
    <w:p w14:paraId="4A9E75C6">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Bhat, (2022)</w:t>
      </w:r>
      <w:r>
        <w:rPr>
          <w:rFonts w:ascii="Times New Roman" w:hAnsi="Times New Roman" w:cs="Times New Roman"/>
          <w:i/>
          <w:sz w:val="23"/>
          <w:szCs w:val="23"/>
        </w:rPr>
        <w:t xml:space="preserve">. </w:t>
      </w:r>
      <w:r>
        <w:rPr>
          <w:rFonts w:ascii="Times New Roman" w:hAnsi="Times New Roman" w:cs="Times New Roman"/>
          <w:sz w:val="23"/>
          <w:szCs w:val="23"/>
        </w:rPr>
        <w:t>The integrated library vision-the open source/open access model. In: Swain, D. K. (ed.)</w:t>
      </w:r>
      <w:r>
        <w:rPr>
          <w:rFonts w:ascii="Times New Roman" w:hAnsi="Times New Roman" w:cs="Times New Roman"/>
          <w:i/>
          <w:sz w:val="23"/>
          <w:szCs w:val="23"/>
        </w:rPr>
        <w:t xml:space="preserve">. Electronic Age Librarianship (1-14). New Delhi: Ane Books Pvt. Ltd </w:t>
      </w:r>
    </w:p>
    <w:p w14:paraId="2B879EB5">
      <w:pPr>
        <w:spacing w:after="0" w:line="480" w:lineRule="auto"/>
        <w:ind w:left="720" w:right="52" w:hanging="720"/>
        <w:jc w:val="both"/>
        <w:rPr>
          <w:rFonts w:ascii="Times New Roman" w:hAnsi="Times New Roman" w:cs="Times New Roman"/>
          <w:i/>
          <w:sz w:val="23"/>
          <w:szCs w:val="23"/>
        </w:rPr>
      </w:pPr>
      <w:r>
        <w:rPr>
          <w:rFonts w:ascii="Times New Roman" w:hAnsi="Times New Roman" w:cs="Times New Roman"/>
          <w:sz w:val="23"/>
          <w:szCs w:val="23"/>
        </w:rPr>
        <w:t>Bird, C. (2019)</w:t>
      </w:r>
      <w:r>
        <w:rPr>
          <w:rFonts w:ascii="Times New Roman" w:hAnsi="Times New Roman" w:cs="Times New Roman"/>
          <w:i/>
          <w:sz w:val="23"/>
          <w:szCs w:val="23"/>
        </w:rPr>
        <w:t xml:space="preserve">. </w:t>
      </w:r>
      <w:r>
        <w:rPr>
          <w:rFonts w:ascii="Times New Roman" w:hAnsi="Times New Roman" w:cs="Times New Roman"/>
          <w:sz w:val="23"/>
          <w:szCs w:val="23"/>
        </w:rPr>
        <w:t>Continued adventures in open access: 2009 perspective. Learned Publishing</w:t>
      </w:r>
      <w:r>
        <w:rPr>
          <w:rFonts w:ascii="Times New Roman" w:hAnsi="Times New Roman" w:cs="Times New Roman"/>
          <w:i/>
          <w:sz w:val="23"/>
          <w:szCs w:val="23"/>
        </w:rPr>
        <w:t>, 23(2</w:t>
      </w:r>
      <w:r>
        <w:rPr>
          <w:rFonts w:ascii="Times New Roman" w:hAnsi="Times New Roman" w:cs="Times New Roman"/>
          <w:sz w:val="23"/>
          <w:szCs w:val="23"/>
        </w:rPr>
        <w:t>), 107–116.</w:t>
      </w:r>
      <w:r>
        <w:rPr>
          <w:rFonts w:ascii="Times New Roman" w:hAnsi="Times New Roman" w:cs="Times New Roman"/>
          <w:i/>
          <w:sz w:val="23"/>
          <w:szCs w:val="23"/>
        </w:rPr>
        <w:t xml:space="preserve"> </w:t>
      </w:r>
    </w:p>
    <w:p w14:paraId="6A2AB0D6">
      <w:pPr>
        <w:spacing w:after="0" w:line="480" w:lineRule="auto"/>
        <w:ind w:left="720" w:right="52" w:hanging="720"/>
        <w:jc w:val="both"/>
        <w:rPr>
          <w:rFonts w:ascii="Times New Roman" w:hAnsi="Times New Roman" w:cs="Times New Roman"/>
          <w:i/>
          <w:sz w:val="23"/>
          <w:szCs w:val="23"/>
        </w:rPr>
      </w:pPr>
      <w:r>
        <w:rPr>
          <w:rFonts w:ascii="Times New Roman" w:hAnsi="Times New Roman" w:cs="Times New Roman"/>
          <w:sz w:val="23"/>
          <w:szCs w:val="23"/>
        </w:rPr>
        <w:t>Blixrud, J. C. (2022).</w:t>
      </w:r>
      <w:r>
        <w:rPr>
          <w:rFonts w:ascii="Times New Roman" w:hAnsi="Times New Roman" w:cs="Times New Roman"/>
          <w:i/>
          <w:sz w:val="23"/>
          <w:szCs w:val="23"/>
        </w:rPr>
        <w:t xml:space="preserve"> </w:t>
      </w:r>
      <w:r>
        <w:rPr>
          <w:rFonts w:ascii="Times New Roman" w:hAnsi="Times New Roman" w:cs="Times New Roman"/>
          <w:sz w:val="23"/>
          <w:szCs w:val="23"/>
        </w:rPr>
        <w:t>Strategies for opening up content: Laying the groundwork for an open system of scholarship</w:t>
      </w:r>
      <w:r>
        <w:rPr>
          <w:rFonts w:ascii="Times New Roman" w:hAnsi="Times New Roman" w:cs="Times New Roman"/>
          <w:i/>
          <w:sz w:val="23"/>
          <w:szCs w:val="23"/>
        </w:rPr>
        <w:t xml:space="preserve">. Research Library Issues:269, 1–4. Retrieved from http://www.arl.org/resources/pubs/rli/archive/rli269.shtml. </w:t>
      </w:r>
    </w:p>
    <w:p w14:paraId="568127B8">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(Björk &amp; Paetau, (2021)</w:t>
      </w:r>
      <w:r>
        <w:rPr>
          <w:rFonts w:ascii="Times New Roman" w:hAnsi="Times New Roman" w:cs="Times New Roman"/>
          <w:i/>
          <w:sz w:val="23"/>
          <w:szCs w:val="23"/>
        </w:rPr>
        <w:t xml:space="preserve"> </w:t>
      </w:r>
      <w:r>
        <w:rPr>
          <w:rFonts w:ascii="Times New Roman" w:hAnsi="Times New Roman" w:cs="Times New Roman"/>
          <w:sz w:val="23"/>
          <w:szCs w:val="23"/>
        </w:rPr>
        <w:t>Participation in the global knowledge commons: challenges and opportunities for research dissemination in developing countries.</w:t>
      </w:r>
      <w:r>
        <w:rPr>
          <w:rFonts w:ascii="Times New Roman" w:hAnsi="Times New Roman" w:cs="Times New Roman"/>
          <w:i/>
          <w:sz w:val="23"/>
          <w:szCs w:val="23"/>
        </w:rPr>
        <w:t xml:space="preserve"> New Library World, 106 </w:t>
      </w:r>
      <w:r>
        <w:rPr>
          <w:rFonts w:ascii="Times New Roman" w:hAnsi="Times New Roman" w:cs="Times New Roman"/>
          <w:sz w:val="23"/>
          <w:szCs w:val="23"/>
        </w:rPr>
        <w:t xml:space="preserve">(1210/1211): 141-163. </w:t>
      </w:r>
    </w:p>
    <w:p w14:paraId="07801C43">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 xml:space="preserve">Brockett &amp; Roger (2016), Self-direction in Learning: Perspectives on theory, research, and practice. </w:t>
      </w:r>
      <w:r>
        <w:rPr>
          <w:rFonts w:ascii="Times New Roman" w:hAnsi="Times New Roman" w:cs="Times New Roman"/>
          <w:i/>
          <w:sz w:val="23"/>
          <w:szCs w:val="23"/>
        </w:rPr>
        <w:t xml:space="preserve">New York: Routledge.  </w:t>
      </w:r>
    </w:p>
    <w:p w14:paraId="6F471F12">
      <w:pPr>
        <w:spacing w:after="0" w:line="480" w:lineRule="auto"/>
        <w:ind w:left="720" w:hanging="720"/>
        <w:jc w:val="both"/>
        <w:rPr>
          <w:rFonts w:ascii="Times New Roman" w:hAnsi="Times New Roman" w:eastAsia="Times New Roman" w:cs="Times New Roman"/>
          <w:i/>
          <w:sz w:val="23"/>
          <w:szCs w:val="23"/>
        </w:rPr>
      </w:pPr>
      <w:r>
        <w:rPr>
          <w:rFonts w:ascii="Times New Roman" w:hAnsi="Times New Roman" w:eastAsia="Times New Roman" w:cs="Times New Roman"/>
          <w:sz w:val="23"/>
          <w:szCs w:val="23"/>
        </w:rPr>
        <w:t>Caslin. V.O (2019</w:t>
      </w:r>
      <w:r>
        <w:rPr>
          <w:rFonts w:ascii="Times New Roman" w:hAnsi="Times New Roman" w:eastAsia="Times New Roman" w:cs="Times New Roman"/>
          <w:i/>
          <w:sz w:val="23"/>
          <w:szCs w:val="23"/>
        </w:rPr>
        <w:t xml:space="preserve">). </w:t>
      </w:r>
      <w:r>
        <w:rPr>
          <w:rFonts w:ascii="Times New Roman" w:hAnsi="Times New Roman" w:eastAsia="Times New Roman" w:cs="Times New Roman"/>
          <w:sz w:val="23"/>
          <w:szCs w:val="23"/>
        </w:rPr>
        <w:t xml:space="preserve">Institutional Online Repositories and Open Access </w:t>
      </w:r>
      <w:r>
        <w:rPr>
          <w:rFonts w:ascii="Times New Roman" w:hAnsi="Times New Roman" w:eastAsia="Times New Roman" w:cs="Times New Roman"/>
          <w:i/>
          <w:sz w:val="23"/>
          <w:szCs w:val="23"/>
        </w:rPr>
        <w:t>.16</w:t>
      </w:r>
      <w:r>
        <w:rPr>
          <w:rFonts w:ascii="Times New Roman" w:hAnsi="Times New Roman" w:eastAsia="Times New Roman" w:cs="Times New Roman"/>
          <w:i/>
          <w:sz w:val="23"/>
          <w:szCs w:val="23"/>
          <w:vertAlign w:val="superscript"/>
        </w:rPr>
        <w:t>th</w:t>
      </w:r>
      <w:r>
        <w:rPr>
          <w:rFonts w:ascii="Times New Roman" w:hAnsi="Times New Roman" w:eastAsia="Times New Roman" w:cs="Times New Roman"/>
          <w:i/>
          <w:sz w:val="23"/>
          <w:szCs w:val="23"/>
        </w:rPr>
        <w:t xml:space="preserve"> International Seminar Tepla Monastery, Czech Republic, 7-11 June 2019. </w:t>
      </w:r>
    </w:p>
    <w:p w14:paraId="66F62557">
      <w:pPr>
        <w:spacing w:after="0" w:line="480" w:lineRule="auto"/>
        <w:ind w:left="720" w:hanging="720"/>
        <w:jc w:val="both"/>
        <w:rPr>
          <w:rFonts w:ascii="Times New Roman" w:hAnsi="Times New Roman" w:cs="Times New Roman"/>
          <w:sz w:val="23"/>
          <w:szCs w:val="23"/>
        </w:rPr>
      </w:pPr>
      <w:r>
        <w:rPr>
          <w:rFonts w:ascii="Times New Roman" w:hAnsi="Times New Roman" w:cs="Times New Roman"/>
          <w:sz w:val="23"/>
          <w:szCs w:val="23"/>
        </w:rPr>
        <w:t>Chau and Hu (2021). Reforming scholarly publishing and knowledge communication: from the advent of the scholarly journal to the challenges of open access.</w:t>
      </w:r>
      <w:r>
        <w:rPr>
          <w:rFonts w:ascii="Times New Roman" w:hAnsi="Times New Roman" w:cs="Times New Roman"/>
          <w:i/>
          <w:sz w:val="23"/>
          <w:szCs w:val="23"/>
        </w:rPr>
        <w:t xml:space="preserve"> Online information </w:t>
      </w:r>
      <w:r>
        <w:rPr>
          <w:rFonts w:ascii="Times New Roman" w:hAnsi="Times New Roman" w:cs="Times New Roman"/>
          <w:sz w:val="23"/>
          <w:szCs w:val="23"/>
        </w:rPr>
        <w:t xml:space="preserve">review, 29(4): 349-364. </w:t>
      </w:r>
    </w:p>
    <w:p w14:paraId="76FD8CF8">
      <w:pPr>
        <w:spacing w:after="0" w:line="480" w:lineRule="auto"/>
        <w:ind w:left="720" w:right="30" w:hanging="720"/>
        <w:jc w:val="both"/>
        <w:rPr>
          <w:rFonts w:ascii="Times New Roman" w:hAnsi="Times New Roman" w:cs="Times New Roman"/>
          <w:i/>
          <w:sz w:val="23"/>
          <w:szCs w:val="23"/>
        </w:rPr>
      </w:pPr>
      <w:r>
        <w:rPr>
          <w:rFonts w:ascii="Times New Roman" w:hAnsi="Times New Roman" w:cs="Times New Roman"/>
          <w:sz w:val="23"/>
          <w:szCs w:val="23"/>
        </w:rPr>
        <w:t>Chantavaridou, E. (2019)</w:t>
      </w:r>
      <w:r>
        <w:rPr>
          <w:rFonts w:ascii="Times New Roman" w:hAnsi="Times New Roman" w:cs="Times New Roman"/>
          <w:i/>
          <w:sz w:val="23"/>
          <w:szCs w:val="23"/>
        </w:rPr>
        <w:t>.</w:t>
      </w:r>
      <w:r>
        <w:rPr>
          <w:rFonts w:ascii="Times New Roman" w:hAnsi="Times New Roman" w:cs="Times New Roman"/>
          <w:sz w:val="23"/>
          <w:szCs w:val="23"/>
        </w:rPr>
        <w:t xml:space="preserve"> Contributions of open access to higher education in Europe and vice versa.</w:t>
      </w:r>
      <w:r>
        <w:rPr>
          <w:rFonts w:ascii="Times New Roman" w:hAnsi="Times New Roman" w:cs="Times New Roman"/>
          <w:i/>
          <w:sz w:val="23"/>
          <w:szCs w:val="23"/>
        </w:rPr>
        <w:t xml:space="preserve"> OCLC Systems &amp; Services, 25(3), 167–174. Retrieved from http://www.emeraldinsight.com/journals.htm?articleid=</w:t>
      </w:r>
      <w:r>
        <w:rPr>
          <w:rFonts w:ascii="Times New Roman" w:hAnsi="Times New Roman" w:cs="Times New Roman"/>
          <w:sz w:val="23"/>
          <w:szCs w:val="23"/>
        </w:rPr>
        <w:t>1810664</w:t>
      </w:r>
      <w:r>
        <w:rPr>
          <w:rFonts w:ascii="Times New Roman" w:hAnsi="Times New Roman" w:cs="Times New Roman"/>
          <w:i/>
          <w:sz w:val="23"/>
          <w:szCs w:val="23"/>
        </w:rPr>
        <w:t xml:space="preserve"> </w:t>
      </w:r>
      <w:r>
        <w:rPr>
          <w:rFonts w:ascii="Times New Roman" w:hAnsi="Times New Roman" w:cs="Times New Roman"/>
          <w:b/>
          <w:i/>
          <w:sz w:val="23"/>
          <w:szCs w:val="23"/>
        </w:rPr>
        <w:t xml:space="preserve"> </w:t>
      </w:r>
    </w:p>
    <w:p w14:paraId="1D067D24">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Covey, 2019; Lercher, 2018; Xia, (2018).</w:t>
      </w:r>
      <w:r>
        <w:rPr>
          <w:rFonts w:ascii="Times New Roman" w:hAnsi="Times New Roman" w:cs="Times New Roman"/>
          <w:i/>
          <w:sz w:val="23"/>
          <w:szCs w:val="23"/>
        </w:rPr>
        <w:t xml:space="preserve"> </w:t>
      </w:r>
      <w:r>
        <w:rPr>
          <w:rFonts w:ascii="Times New Roman" w:hAnsi="Times New Roman" w:cs="Times New Roman"/>
          <w:sz w:val="23"/>
          <w:szCs w:val="23"/>
        </w:rPr>
        <w:t xml:space="preserve">Participation in the global knowledge commons: challenges and opportunities for research dissemination in developing countries. </w:t>
      </w:r>
      <w:r>
        <w:rPr>
          <w:rFonts w:ascii="Times New Roman" w:hAnsi="Times New Roman" w:cs="Times New Roman"/>
          <w:i/>
          <w:sz w:val="23"/>
          <w:szCs w:val="23"/>
        </w:rPr>
        <w:t xml:space="preserve">New Library World, </w:t>
      </w:r>
      <w:r>
        <w:rPr>
          <w:rFonts w:ascii="Times New Roman" w:hAnsi="Times New Roman" w:cs="Times New Roman"/>
          <w:sz w:val="23"/>
          <w:szCs w:val="23"/>
        </w:rPr>
        <w:t>106 (1210/1211): 141-163</w:t>
      </w:r>
      <w:r>
        <w:rPr>
          <w:rFonts w:ascii="Times New Roman" w:hAnsi="Times New Roman" w:cs="Times New Roman"/>
          <w:i/>
          <w:sz w:val="23"/>
          <w:szCs w:val="23"/>
        </w:rPr>
        <w:t xml:space="preserve">. </w:t>
      </w:r>
    </w:p>
    <w:p w14:paraId="2CAC8F1F">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Cullen and Chawner, (2021).</w:t>
      </w:r>
      <w:r>
        <w:rPr>
          <w:rFonts w:ascii="Times New Roman" w:hAnsi="Times New Roman" w:cs="Times New Roman"/>
          <w:i/>
          <w:sz w:val="23"/>
          <w:szCs w:val="23"/>
        </w:rPr>
        <w:t xml:space="preserve"> </w:t>
      </w:r>
      <w:r>
        <w:rPr>
          <w:rFonts w:ascii="Times New Roman" w:hAnsi="Times New Roman" w:cs="Times New Roman"/>
          <w:sz w:val="23"/>
          <w:szCs w:val="23"/>
        </w:rPr>
        <w:t xml:space="preserve">User acceptance of computer technology: A comparison of two theoretical models. </w:t>
      </w:r>
      <w:r>
        <w:rPr>
          <w:rFonts w:ascii="Times New Roman" w:hAnsi="Times New Roman" w:cs="Times New Roman"/>
          <w:i/>
          <w:sz w:val="23"/>
          <w:szCs w:val="23"/>
        </w:rPr>
        <w:t xml:space="preserve">Management Science 35, 982–1003, doi:10.1287/mnsc.35.8.982 </w:t>
      </w:r>
    </w:p>
    <w:p w14:paraId="0902A1A9">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Davis, F. D. (2017)</w:t>
      </w:r>
      <w:r>
        <w:rPr>
          <w:rFonts w:ascii="Times New Roman" w:hAnsi="Times New Roman" w:cs="Times New Roman"/>
          <w:i/>
          <w:sz w:val="23"/>
          <w:szCs w:val="23"/>
        </w:rPr>
        <w:t xml:space="preserve">. </w:t>
      </w:r>
      <w:r>
        <w:rPr>
          <w:rFonts w:ascii="Times New Roman" w:hAnsi="Times New Roman" w:cs="Times New Roman"/>
          <w:sz w:val="23"/>
          <w:szCs w:val="23"/>
        </w:rPr>
        <w:t>Perceived usefulness, perceived ease of use, and user acceptance of information technology.</w:t>
      </w:r>
      <w:r>
        <w:rPr>
          <w:rFonts w:ascii="Times New Roman" w:hAnsi="Times New Roman" w:cs="Times New Roman"/>
          <w:i/>
          <w:sz w:val="23"/>
          <w:szCs w:val="23"/>
        </w:rPr>
        <w:t xml:space="preserve"> MIS Quarterly, 13(3), 319–340, doi:10.2307/249008 </w:t>
      </w:r>
    </w:p>
    <w:p w14:paraId="3CCFD071">
      <w:pPr>
        <w:spacing w:after="0" w:line="480" w:lineRule="auto"/>
        <w:ind w:left="720" w:right="31" w:hanging="720"/>
        <w:jc w:val="both"/>
        <w:rPr>
          <w:rFonts w:ascii="Times New Roman" w:hAnsi="Times New Roman" w:cs="Times New Roman"/>
          <w:i/>
          <w:sz w:val="23"/>
          <w:szCs w:val="23"/>
        </w:rPr>
      </w:pPr>
      <w:r>
        <w:rPr>
          <w:rFonts w:ascii="Times New Roman" w:hAnsi="Times New Roman" w:cs="Times New Roman"/>
          <w:sz w:val="23"/>
          <w:szCs w:val="23"/>
        </w:rPr>
        <w:t>Driscoll, M</w:t>
      </w:r>
      <w:r>
        <w:rPr>
          <w:rFonts w:ascii="Times New Roman" w:hAnsi="Times New Roman" w:cs="Times New Roman"/>
          <w:i/>
          <w:sz w:val="23"/>
          <w:szCs w:val="23"/>
        </w:rPr>
        <w:t xml:space="preserve">. (2015). Psychology of Learning for Instruction. Needham Heights, MA, Allyn &amp; Bacon. </w:t>
      </w:r>
    </w:p>
    <w:p w14:paraId="0C82A6BE">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Dulle, F. W. (2018)</w:t>
      </w:r>
      <w:r>
        <w:rPr>
          <w:rFonts w:ascii="Times New Roman" w:hAnsi="Times New Roman" w:cs="Times New Roman"/>
          <w:i/>
          <w:sz w:val="23"/>
          <w:szCs w:val="23"/>
        </w:rPr>
        <w:t xml:space="preserve">. </w:t>
      </w:r>
      <w:r>
        <w:rPr>
          <w:rFonts w:ascii="Times New Roman" w:hAnsi="Times New Roman" w:cs="Times New Roman"/>
          <w:sz w:val="23"/>
          <w:szCs w:val="23"/>
        </w:rPr>
        <w:t>An analysis of open access scholarly communication in Tanzanian public universities.</w:t>
      </w:r>
      <w:r>
        <w:rPr>
          <w:rFonts w:ascii="Times New Roman" w:hAnsi="Times New Roman" w:cs="Times New Roman"/>
          <w:i/>
          <w:sz w:val="23"/>
          <w:szCs w:val="23"/>
        </w:rPr>
        <w:t xml:space="preserve"> Unpublished PhD Thesis, University of Natal (Accessed ) </w:t>
      </w:r>
    </w:p>
    <w:p w14:paraId="08B6BC4B">
      <w:pPr>
        <w:spacing w:after="0" w:line="480" w:lineRule="auto"/>
        <w:ind w:left="720" w:hanging="720"/>
        <w:jc w:val="both"/>
        <w:rPr>
          <w:rFonts w:ascii="Times New Roman" w:hAnsi="Times New Roman" w:eastAsia="Times New Roman" w:cs="Times New Roman"/>
          <w:i/>
          <w:sz w:val="23"/>
          <w:szCs w:val="23"/>
        </w:rPr>
      </w:pPr>
      <w:r>
        <w:rPr>
          <w:rFonts w:ascii="Times New Roman" w:hAnsi="Times New Roman" w:cs="Times New Roman"/>
          <w:sz w:val="23"/>
          <w:szCs w:val="23"/>
        </w:rPr>
        <w:t>Dwivedi et al., 2020</w:t>
      </w:r>
      <w:r>
        <w:rPr>
          <w:rFonts w:ascii="Times New Roman" w:hAnsi="Times New Roman" w:cs="Times New Roman"/>
          <w:i/>
          <w:sz w:val="23"/>
          <w:szCs w:val="23"/>
        </w:rPr>
        <w:t>.</w:t>
      </w:r>
      <w:r>
        <w:rPr>
          <w:rFonts w:ascii="Times New Roman" w:hAnsi="Times New Roman" w:cs="Times New Roman"/>
          <w:sz w:val="23"/>
          <w:szCs w:val="23"/>
        </w:rPr>
        <w:t xml:space="preserve"> </w:t>
      </w:r>
      <w:r>
        <w:rPr>
          <w:rFonts w:ascii="Times New Roman" w:hAnsi="Times New Roman" w:eastAsia="Times New Roman" w:cs="Times New Roman"/>
          <w:sz w:val="23"/>
          <w:szCs w:val="23"/>
        </w:rPr>
        <w:t>Digital repositories: Helping universities and colleges. JISC Briefing Paper: Higher Education Sector</w:t>
      </w:r>
      <w:r>
        <w:rPr>
          <w:rFonts w:ascii="Times New Roman" w:hAnsi="Times New Roman" w:eastAsia="Times New Roman" w:cs="Times New Roman"/>
          <w:i/>
          <w:sz w:val="23"/>
          <w:szCs w:val="23"/>
        </w:rPr>
        <w:t xml:space="preserve">. Retrieved from </w:t>
      </w:r>
      <w:r>
        <w:fldChar w:fldCharType="begin"/>
      </w:r>
      <w:r>
        <w:instrText xml:space="preserve"> HYPERLINK "http://ebib.oss.wroc.pl/2015/63/" </w:instrText>
      </w:r>
      <w:r>
        <w:fldChar w:fldCharType="separate"/>
      </w:r>
      <w:r>
        <w:rPr>
          <w:rStyle w:val="7"/>
          <w:rFonts w:eastAsia="Times New Roman"/>
          <w:i/>
          <w:color w:val="auto"/>
          <w:sz w:val="23"/>
          <w:szCs w:val="23"/>
          <w:u w:val="none"/>
        </w:rPr>
        <w:t>http://ebib.oss.wroc.pl/2015/63/</w:t>
      </w:r>
      <w:r>
        <w:rPr>
          <w:rStyle w:val="7"/>
          <w:rFonts w:eastAsia="Times New Roman"/>
          <w:i/>
          <w:color w:val="auto"/>
          <w:sz w:val="23"/>
          <w:szCs w:val="23"/>
          <w:u w:val="none"/>
        </w:rPr>
        <w:fldChar w:fldCharType="end"/>
      </w:r>
      <w:r>
        <w:rPr>
          <w:rFonts w:ascii="Times New Roman" w:hAnsi="Times New Roman" w:eastAsia="Times New Roman" w:cs="Times New Roman"/>
          <w:i/>
          <w:sz w:val="23"/>
          <w:szCs w:val="23"/>
        </w:rPr>
        <w:t xml:space="preserve"> bjork.php</w:t>
      </w:r>
    </w:p>
    <w:p w14:paraId="3F103279">
      <w:pPr>
        <w:spacing w:after="0" w:line="480" w:lineRule="auto"/>
        <w:ind w:left="720" w:right="31" w:hanging="720"/>
        <w:jc w:val="both"/>
        <w:rPr>
          <w:rFonts w:ascii="Times New Roman" w:hAnsi="Times New Roman" w:cs="Times New Roman"/>
          <w:i/>
          <w:sz w:val="23"/>
          <w:szCs w:val="23"/>
        </w:rPr>
      </w:pPr>
      <w:r>
        <w:rPr>
          <w:rFonts w:ascii="Times New Roman" w:hAnsi="Times New Roman" w:cs="Times New Roman"/>
          <w:sz w:val="23"/>
          <w:szCs w:val="23"/>
        </w:rPr>
        <w:t>Emojorho et al. (2021).</w:t>
      </w:r>
      <w:r>
        <w:rPr>
          <w:rFonts w:ascii="Times New Roman" w:hAnsi="Times New Roman" w:cs="Times New Roman"/>
          <w:i/>
          <w:sz w:val="23"/>
          <w:szCs w:val="23"/>
        </w:rPr>
        <w:t xml:space="preserve"> </w:t>
      </w:r>
      <w:r>
        <w:rPr>
          <w:rFonts w:ascii="Times New Roman" w:hAnsi="Times New Roman" w:cs="Times New Roman"/>
          <w:sz w:val="23"/>
          <w:szCs w:val="23"/>
        </w:rPr>
        <w:t>Learning and Instruction: Theory into Practice – 5</w:t>
      </w:r>
      <w:r>
        <w:rPr>
          <w:rFonts w:ascii="Times New Roman" w:hAnsi="Times New Roman" w:cs="Times New Roman"/>
          <w:sz w:val="23"/>
          <w:szCs w:val="23"/>
          <w:vertAlign w:val="superscript"/>
        </w:rPr>
        <w:t>th</w:t>
      </w:r>
      <w:r>
        <w:rPr>
          <w:rFonts w:ascii="Times New Roman" w:hAnsi="Times New Roman" w:cs="Times New Roman"/>
          <w:sz w:val="23"/>
          <w:szCs w:val="23"/>
        </w:rPr>
        <w:t xml:space="preserve"> Edition, Upper Saddle River, NJ, Pearson Education Malabar, FL: Krieger.</w:t>
      </w:r>
      <w:r>
        <w:rPr>
          <w:rFonts w:ascii="Times New Roman" w:hAnsi="Times New Roman" w:cs="Times New Roman"/>
          <w:i/>
          <w:sz w:val="23"/>
          <w:szCs w:val="23"/>
        </w:rPr>
        <w:t xml:space="preserve">  </w:t>
      </w:r>
    </w:p>
    <w:p w14:paraId="6081C203">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Fullard, A. (2017</w:t>
      </w:r>
      <w:r>
        <w:rPr>
          <w:rFonts w:ascii="Times New Roman" w:hAnsi="Times New Roman" w:cs="Times New Roman"/>
          <w:i/>
          <w:sz w:val="23"/>
          <w:szCs w:val="23"/>
        </w:rPr>
        <w:t>)</w:t>
      </w:r>
      <w:r>
        <w:rPr>
          <w:rFonts w:ascii="Times New Roman" w:hAnsi="Times New Roman" w:cs="Times New Roman"/>
          <w:sz w:val="23"/>
          <w:szCs w:val="23"/>
        </w:rPr>
        <w:t>South African response to open access publishing: a survey of the research community</w:t>
      </w:r>
      <w:r>
        <w:rPr>
          <w:rFonts w:ascii="Times New Roman" w:hAnsi="Times New Roman" w:cs="Times New Roman"/>
          <w:i/>
          <w:sz w:val="23"/>
          <w:szCs w:val="23"/>
        </w:rPr>
        <w:t xml:space="preserve">. South African Journal of library &amp; Information Science, </w:t>
      </w:r>
    </w:p>
    <w:p w14:paraId="6EE642C4">
      <w:pPr>
        <w:spacing w:after="0" w:line="480" w:lineRule="auto"/>
        <w:ind w:left="720" w:hanging="720"/>
        <w:jc w:val="both"/>
        <w:rPr>
          <w:rFonts w:ascii="Times New Roman" w:hAnsi="Times New Roman" w:eastAsia="Times New Roman" w:cs="Times New Roman"/>
          <w:i/>
          <w:sz w:val="23"/>
          <w:szCs w:val="23"/>
        </w:rPr>
      </w:pPr>
      <w:r>
        <w:rPr>
          <w:rFonts w:ascii="Times New Roman" w:hAnsi="Times New Roman" w:eastAsia="Times New Roman" w:cs="Times New Roman"/>
          <w:sz w:val="23"/>
          <w:szCs w:val="23"/>
        </w:rPr>
        <w:t>Greenhouse associate, (2020</w:t>
      </w:r>
      <w:r>
        <w:rPr>
          <w:rFonts w:ascii="Times New Roman" w:hAnsi="Times New Roman" w:eastAsia="Times New Roman" w:cs="Times New Roman"/>
          <w:i/>
          <w:sz w:val="23"/>
          <w:szCs w:val="23"/>
        </w:rPr>
        <w:t xml:space="preserve">) </w:t>
      </w:r>
      <w:r>
        <w:rPr>
          <w:rFonts w:ascii="Times New Roman" w:hAnsi="Times New Roman" w:cs="Times New Roman"/>
          <w:sz w:val="23"/>
          <w:szCs w:val="23"/>
        </w:rPr>
        <w:t>The crises in scholarly communication: origin of the crises in scholarly communication.</w:t>
      </w:r>
      <w:r>
        <w:rPr>
          <w:rFonts w:ascii="Times New Roman" w:hAnsi="Times New Roman" w:cs="Times New Roman"/>
          <w:i/>
          <w:sz w:val="23"/>
          <w:szCs w:val="23"/>
        </w:rPr>
        <w:t xml:space="preserve"> Accessed on Sunday 10</w:t>
      </w:r>
      <w:r>
        <w:rPr>
          <w:rFonts w:ascii="Times New Roman" w:hAnsi="Times New Roman" w:cs="Times New Roman"/>
          <w:i/>
          <w:sz w:val="23"/>
          <w:szCs w:val="23"/>
          <w:vertAlign w:val="superscript"/>
        </w:rPr>
        <w:t>th</w:t>
      </w:r>
      <w:r>
        <w:rPr>
          <w:rFonts w:ascii="Times New Roman" w:hAnsi="Times New Roman" w:cs="Times New Roman"/>
          <w:i/>
          <w:sz w:val="23"/>
          <w:szCs w:val="23"/>
        </w:rPr>
        <w:t xml:space="preserve"> August, 2014 on http://guides.main.library.emory.edu/OA</w:t>
      </w:r>
    </w:p>
    <w:p w14:paraId="6CD4F436">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 xml:space="preserve">Macklin, L. (2017). </w:t>
      </w:r>
      <w:r>
        <w:rPr>
          <w:rFonts w:ascii="Times New Roman" w:hAnsi="Times New Roman" w:cs="Times New Roman"/>
          <w:iCs/>
          <w:sz w:val="23"/>
          <w:szCs w:val="23"/>
        </w:rPr>
        <w:t xml:space="preserve">Why is open access important to everyone in the academy? </w:t>
      </w:r>
      <w:r>
        <w:rPr>
          <w:rFonts w:ascii="Times New Roman" w:hAnsi="Times New Roman" w:cs="Times New Roman"/>
          <w:i/>
          <w:sz w:val="23"/>
          <w:szCs w:val="23"/>
        </w:rPr>
        <w:t>Accessed on10th August, 2014 on http://guides.main.library.emory.edu/OA</w:t>
      </w:r>
    </w:p>
    <w:p w14:paraId="40B528F2">
      <w:pPr>
        <w:autoSpaceDE w:val="0"/>
        <w:autoSpaceDN w:val="0"/>
        <w:adjustRightInd w:val="0"/>
        <w:spacing w:after="0" w:line="480" w:lineRule="auto"/>
        <w:jc w:val="both"/>
        <w:rPr>
          <w:rFonts w:ascii="Times New Roman" w:hAnsi="Times New Roman" w:cs="Times New Roman"/>
          <w:sz w:val="23"/>
          <w:szCs w:val="23"/>
        </w:rPr>
      </w:pPr>
      <w:r>
        <w:rPr>
          <w:rFonts w:ascii="Times New Roman" w:hAnsi="Times New Roman" w:cs="Times New Roman"/>
          <w:i/>
          <w:sz w:val="23"/>
          <w:szCs w:val="23"/>
        </w:rPr>
        <w:t>Nguyen, T. (2018)</w:t>
      </w:r>
      <w:r>
        <w:rPr>
          <w:rFonts w:ascii="Times New Roman" w:hAnsi="Times New Roman" w:cs="Times New Roman"/>
          <w:sz w:val="23"/>
          <w:szCs w:val="23"/>
        </w:rPr>
        <w:t xml:space="preserve"> How Research Produces Knowledge. In J. M. Peters, P. Jarvis, &amp; </w:t>
      </w:r>
    </w:p>
    <w:p w14:paraId="15795DB4">
      <w:pPr>
        <w:spacing w:after="0" w:line="480" w:lineRule="auto"/>
        <w:ind w:left="720"/>
        <w:jc w:val="both"/>
        <w:rPr>
          <w:rFonts w:ascii="Times New Roman" w:hAnsi="Times New Roman" w:cs="Times New Roman"/>
          <w:i/>
          <w:sz w:val="23"/>
          <w:szCs w:val="23"/>
        </w:rPr>
      </w:pPr>
      <w:r>
        <w:rPr>
          <w:rFonts w:ascii="Times New Roman" w:hAnsi="Times New Roman" w:cs="Times New Roman"/>
          <w:sz w:val="23"/>
          <w:szCs w:val="23"/>
        </w:rPr>
        <w:t xml:space="preserve">Associates, Adult education: Evolution and achievements in a developing field of study. </w:t>
      </w:r>
      <w:r>
        <w:rPr>
          <w:rFonts w:ascii="Times New Roman" w:hAnsi="Times New Roman" w:cs="Times New Roman"/>
          <w:i/>
          <w:sz w:val="23"/>
          <w:szCs w:val="23"/>
        </w:rPr>
        <w:t>San Francisco: Jossey-Bass.</w:t>
      </w:r>
    </w:p>
    <w:p w14:paraId="660A5304">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Obuh B. and Bozimo C. (2022).</w:t>
      </w:r>
      <w:r>
        <w:rPr>
          <w:rFonts w:ascii="Times New Roman" w:hAnsi="Times New Roman" w:cs="Times New Roman"/>
          <w:sz w:val="23"/>
          <w:szCs w:val="23"/>
        </w:rPr>
        <w:t xml:space="preserve"> Models of Learning - tools for teaching</w:t>
      </w:r>
      <w:r>
        <w:rPr>
          <w:rFonts w:ascii="Times New Roman" w:hAnsi="Times New Roman" w:cs="Times New Roman"/>
          <w:i/>
          <w:sz w:val="23"/>
          <w:szCs w:val="23"/>
        </w:rPr>
        <w:t xml:space="preserve">. Buckingham: Open University Press.  </w:t>
      </w:r>
    </w:p>
    <w:p w14:paraId="72609B57">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Pandey C.R (2018)  .</w:t>
      </w:r>
      <w:r>
        <w:rPr>
          <w:rFonts w:ascii="Times New Roman" w:hAnsi="Times New Roman" w:cs="Times New Roman"/>
          <w:sz w:val="23"/>
          <w:szCs w:val="23"/>
        </w:rPr>
        <w:t xml:space="preserve"> Freedom to learn.</w:t>
      </w:r>
      <w:r>
        <w:rPr>
          <w:rFonts w:ascii="Times New Roman" w:hAnsi="Times New Roman" w:cs="Times New Roman"/>
          <w:i/>
          <w:sz w:val="23"/>
          <w:szCs w:val="23"/>
        </w:rPr>
        <w:t xml:space="preserve"> Columbus, OH: Merrill.  </w:t>
      </w:r>
    </w:p>
    <w:p w14:paraId="4DFB1309">
      <w:pPr>
        <w:autoSpaceDE w:val="0"/>
        <w:autoSpaceDN w:val="0"/>
        <w:adjustRightInd w:val="0"/>
        <w:spacing w:after="0" w:line="480" w:lineRule="auto"/>
        <w:ind w:left="720" w:hanging="720"/>
        <w:jc w:val="both"/>
        <w:rPr>
          <w:rFonts w:ascii="Times New Roman" w:hAnsi="Times New Roman" w:cs="Times New Roman"/>
          <w:sz w:val="23"/>
          <w:szCs w:val="23"/>
        </w:rPr>
      </w:pPr>
      <w:r>
        <w:rPr>
          <w:rFonts w:ascii="Times New Roman" w:hAnsi="Times New Roman" w:cs="Times New Roman"/>
          <w:i/>
          <w:sz w:val="23"/>
          <w:szCs w:val="23"/>
        </w:rPr>
        <w:t xml:space="preserve">Pavlov D. S. (2018). </w:t>
      </w:r>
      <w:r>
        <w:rPr>
          <w:rFonts w:ascii="Times New Roman" w:hAnsi="Times New Roman" w:cs="Times New Roman"/>
          <w:sz w:val="23"/>
          <w:szCs w:val="23"/>
        </w:rPr>
        <w:t xml:space="preserve">Advanced Educational Psychology. New Delhi, India. </w:t>
      </w:r>
    </w:p>
    <w:p w14:paraId="7E399E31">
      <w:pPr>
        <w:spacing w:after="0" w:line="480" w:lineRule="auto"/>
        <w:ind w:left="720"/>
        <w:jc w:val="both"/>
        <w:rPr>
          <w:rFonts w:ascii="Times New Roman" w:hAnsi="Times New Roman" w:eastAsia="Times New Roman" w:cs="Times New Roman"/>
          <w:i/>
          <w:sz w:val="23"/>
          <w:szCs w:val="23"/>
        </w:rPr>
      </w:pPr>
      <w:r>
        <w:rPr>
          <w:rFonts w:ascii="Times New Roman" w:hAnsi="Times New Roman" w:eastAsia="Times New Roman" w:cs="Times New Roman"/>
          <w:sz w:val="23"/>
          <w:szCs w:val="23"/>
        </w:rPr>
        <w:t>Philosophy and Practice.</w:t>
      </w:r>
      <w:r>
        <w:rPr>
          <w:rFonts w:ascii="Times New Roman" w:hAnsi="Times New Roman" w:eastAsia="Times New Roman" w:cs="Times New Roman"/>
          <w:i/>
          <w:sz w:val="23"/>
          <w:szCs w:val="23"/>
        </w:rPr>
        <w:t xml:space="preserve"> Retrieved from http://www.webpages.uidaho.edu/~mbolin/</w:t>
      </w:r>
    </w:p>
    <w:p w14:paraId="2E8D8E3E">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i/>
          <w:sz w:val="23"/>
          <w:szCs w:val="23"/>
        </w:rPr>
        <w:t xml:space="preserve">Rao, P. V. (2020). </w:t>
      </w:r>
      <w:r>
        <w:rPr>
          <w:rFonts w:ascii="Times New Roman" w:hAnsi="Times New Roman" w:cs="Times New Roman"/>
          <w:sz w:val="23"/>
          <w:szCs w:val="23"/>
        </w:rPr>
        <w:t>Organizing and accessing open success resources. In: Swain, D. K. (ed.). Electronic Age Librarianship</w:t>
      </w:r>
      <w:r>
        <w:rPr>
          <w:rFonts w:ascii="Times New Roman" w:hAnsi="Times New Roman" w:cs="Times New Roman"/>
          <w:i/>
          <w:sz w:val="23"/>
          <w:szCs w:val="23"/>
        </w:rPr>
        <w:t xml:space="preserve"> New Delhi: Ane Books Pvt. Ltd,(81-89). </w:t>
      </w:r>
    </w:p>
    <w:p w14:paraId="6994A2D9">
      <w:pPr>
        <w:pStyle w:val="13"/>
        <w:spacing w:line="480" w:lineRule="auto"/>
        <w:ind w:left="720" w:hanging="720"/>
        <w:jc w:val="both"/>
        <w:rPr>
          <w:i/>
          <w:color w:val="auto"/>
          <w:sz w:val="23"/>
          <w:szCs w:val="23"/>
        </w:rPr>
      </w:pPr>
      <w:r>
        <w:rPr>
          <w:i/>
          <w:color w:val="auto"/>
          <w:sz w:val="23"/>
          <w:szCs w:val="23"/>
        </w:rPr>
        <w:t xml:space="preserve">Rossini, C. (2015). </w:t>
      </w:r>
      <w:r>
        <w:rPr>
          <w:color w:val="auto"/>
          <w:sz w:val="23"/>
          <w:szCs w:val="23"/>
        </w:rPr>
        <w:t>Budapest Open Access Initiative Launches NewRecommendations for the Next 10 Years of Open Access</w:t>
      </w:r>
      <w:r>
        <w:rPr>
          <w:i/>
          <w:color w:val="auto"/>
          <w:sz w:val="23"/>
          <w:szCs w:val="23"/>
        </w:rPr>
        <w:t>. Accessed on wwweff.org/deeplinks/2012/09/BOAI-</w:t>
      </w:r>
    </w:p>
    <w:p w14:paraId="7F966F9C">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Sequeira  (2019).</w:t>
      </w:r>
      <w:r>
        <w:rPr>
          <w:rFonts w:ascii="Times New Roman" w:hAnsi="Times New Roman" w:cs="Times New Roman"/>
          <w:sz w:val="23"/>
          <w:szCs w:val="23"/>
        </w:rPr>
        <w:t xml:space="preserve"> How Research Produces Knowledge. In J. M. Peters, P. Jarvis, &amp; Associates, Adult education: Evolution and achievements in a developing field of study.</w:t>
      </w:r>
      <w:r>
        <w:rPr>
          <w:rFonts w:ascii="Times New Roman" w:hAnsi="Times New Roman" w:cs="Times New Roman"/>
          <w:i/>
          <w:sz w:val="23"/>
          <w:szCs w:val="23"/>
        </w:rPr>
        <w:t xml:space="preserve"> San Francisco: Jossey-Bass.  </w:t>
      </w:r>
    </w:p>
    <w:p w14:paraId="6EF52E92">
      <w:pPr>
        <w:spacing w:after="0" w:line="480" w:lineRule="auto"/>
        <w:ind w:left="720" w:right="31" w:hanging="720"/>
        <w:jc w:val="both"/>
        <w:rPr>
          <w:rFonts w:ascii="Times New Roman" w:hAnsi="Times New Roman" w:cs="Times New Roman"/>
          <w:i/>
          <w:sz w:val="23"/>
          <w:szCs w:val="23"/>
        </w:rPr>
      </w:pPr>
      <w:r>
        <w:rPr>
          <w:rFonts w:ascii="Times New Roman" w:hAnsi="Times New Roman" w:cs="Times New Roman"/>
          <w:i/>
          <w:sz w:val="23"/>
          <w:szCs w:val="23"/>
        </w:rPr>
        <w:t xml:space="preserve">Skinner, B. F. (2015). </w:t>
      </w:r>
      <w:r>
        <w:rPr>
          <w:rFonts w:ascii="Times New Roman" w:hAnsi="Times New Roman" w:cs="Times New Roman"/>
          <w:sz w:val="23"/>
          <w:szCs w:val="23"/>
        </w:rPr>
        <w:t>The Science of Learning and the Art of Teaching.</w:t>
      </w:r>
      <w:r>
        <w:rPr>
          <w:rFonts w:ascii="Times New Roman" w:hAnsi="Times New Roman" w:cs="Times New Roman"/>
          <w:i/>
          <w:sz w:val="23"/>
          <w:szCs w:val="23"/>
        </w:rPr>
        <w:t xml:space="preserve"> Harvard Educational Review, 24(2), 86-97.  </w:t>
      </w:r>
    </w:p>
    <w:p w14:paraId="152F09EE">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 xml:space="preserve">Swan J. V and Brown, (2015). </w:t>
      </w:r>
      <w:r>
        <w:rPr>
          <w:rFonts w:ascii="Times New Roman" w:hAnsi="Times New Roman" w:cs="Times New Roman"/>
          <w:sz w:val="23"/>
          <w:szCs w:val="23"/>
        </w:rPr>
        <w:t>Models of Learning - tools for teaching.</w:t>
      </w:r>
      <w:r>
        <w:rPr>
          <w:rFonts w:ascii="Times New Roman" w:hAnsi="Times New Roman" w:cs="Times New Roman"/>
          <w:i/>
          <w:sz w:val="23"/>
          <w:szCs w:val="23"/>
        </w:rPr>
        <w:t xml:space="preserve"> Buckingham: Open University Press.  </w:t>
      </w:r>
    </w:p>
    <w:p w14:paraId="364C1642">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Thorndike (2018), Educ</w:t>
      </w:r>
      <w:r>
        <w:rPr>
          <w:rFonts w:ascii="Times New Roman" w:hAnsi="Times New Roman" w:cs="Times New Roman"/>
          <w:sz w:val="23"/>
          <w:szCs w:val="23"/>
        </w:rPr>
        <w:t>ational Psychology: A cognitive view.</w:t>
      </w:r>
      <w:r>
        <w:rPr>
          <w:rFonts w:ascii="Times New Roman" w:hAnsi="Times New Roman" w:cs="Times New Roman"/>
          <w:i/>
          <w:sz w:val="23"/>
          <w:szCs w:val="23"/>
        </w:rPr>
        <w:t xml:space="preserve"> New York: Holt, Rinehart &amp; Winston.   University of Stellenbosch.  Available:</w:t>
      </w:r>
      <w:r>
        <w:fldChar w:fldCharType="begin"/>
      </w:r>
      <w:r>
        <w:instrText xml:space="preserve"> HYPERLINK "http://www.jenniferdebeer.net/research/DeBeerJenniferThesisMPhil2004.pdf" </w:instrText>
      </w:r>
      <w:r>
        <w:fldChar w:fldCharType="separate"/>
      </w:r>
      <w:r>
        <w:rPr>
          <w:rStyle w:val="7"/>
          <w:i/>
          <w:color w:val="auto"/>
          <w:sz w:val="23"/>
          <w:szCs w:val="23"/>
          <w:u w:val="none"/>
        </w:rPr>
        <w:t xml:space="preserve"> </w:t>
      </w:r>
      <w:r>
        <w:rPr>
          <w:rStyle w:val="7"/>
          <w:i/>
          <w:color w:val="auto"/>
          <w:sz w:val="23"/>
          <w:szCs w:val="23"/>
          <w:u w:val="none"/>
        </w:rPr>
        <w:fldChar w:fldCharType="end"/>
      </w:r>
      <w:r>
        <w:fldChar w:fldCharType="begin"/>
      </w:r>
      <w:r>
        <w:instrText xml:space="preserve"> HYPERLINK </w:instrText>
      </w:r>
      <w:r>
        <w:fldChar w:fldCharType="separate"/>
      </w:r>
      <w:r>
        <w:rPr>
          <w:rStyle w:val="7"/>
          <w:i/>
          <w:color w:val="auto"/>
          <w:sz w:val="23"/>
          <w:szCs w:val="23"/>
          <w:u w:val="none"/>
        </w:rPr>
        <w:t xml:space="preserve">http://www.jenniferdebeer. net/research/DeBeerJen </w:t>
      </w:r>
      <w:r>
        <w:rPr>
          <w:rStyle w:val="7"/>
          <w:i/>
          <w:color w:val="auto"/>
          <w:sz w:val="23"/>
          <w:szCs w:val="23"/>
          <w:u w:val="none"/>
        </w:rPr>
        <w:fldChar w:fldCharType="end"/>
      </w:r>
      <w:r>
        <w:fldChar w:fldCharType="begin"/>
      </w:r>
      <w:r>
        <w:instrText xml:space="preserve"> HYPERLINK "http://www.jenniferdebeer.net/research/DeBeerJenniferThesisMPhil2004.pdf" </w:instrText>
      </w:r>
      <w:r>
        <w:fldChar w:fldCharType="separate"/>
      </w:r>
      <w:r>
        <w:rPr>
          <w:rStyle w:val="7"/>
          <w:i/>
          <w:color w:val="auto"/>
          <w:sz w:val="23"/>
          <w:szCs w:val="23"/>
          <w:u w:val="none"/>
        </w:rPr>
        <w:t>niferThesisMPhil2004.pdf</w:t>
      </w:r>
      <w:r>
        <w:rPr>
          <w:rStyle w:val="7"/>
          <w:i/>
          <w:color w:val="auto"/>
          <w:sz w:val="23"/>
          <w:szCs w:val="23"/>
          <w:u w:val="none"/>
        </w:rPr>
        <w:fldChar w:fldCharType="end"/>
      </w:r>
      <w:r>
        <w:fldChar w:fldCharType="begin"/>
      </w:r>
      <w:r>
        <w:instrText xml:space="preserve"> HYPERLINK "http://www.jenniferdebeer.net/research/DeBeerJenniferThesisMPhil2004.pdf" </w:instrText>
      </w:r>
      <w:r>
        <w:fldChar w:fldCharType="separate"/>
      </w:r>
      <w:r>
        <w:rPr>
          <w:rStyle w:val="7"/>
          <w:i/>
          <w:color w:val="auto"/>
          <w:sz w:val="23"/>
          <w:szCs w:val="23"/>
          <w:u w:val="none"/>
        </w:rPr>
        <w:t xml:space="preserve"> </w:t>
      </w:r>
      <w:r>
        <w:rPr>
          <w:rStyle w:val="7"/>
          <w:i/>
          <w:color w:val="auto"/>
          <w:sz w:val="23"/>
          <w:szCs w:val="23"/>
          <w:u w:val="none"/>
        </w:rPr>
        <w:fldChar w:fldCharType="end"/>
      </w:r>
      <w:r>
        <w:rPr>
          <w:rFonts w:ascii="Times New Roman" w:hAnsi="Times New Roman" w:cs="Times New Roman"/>
          <w:i/>
          <w:sz w:val="23"/>
          <w:szCs w:val="23"/>
        </w:rPr>
        <w:t xml:space="preserve">(Accessed). </w:t>
      </w:r>
    </w:p>
    <w:p w14:paraId="6AE3964D">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Utulu P. V and Bolarinwa O, S (2019)</w:t>
      </w:r>
      <w:r>
        <w:rPr>
          <w:rFonts w:ascii="Times New Roman" w:hAnsi="Times New Roman" w:cs="Times New Roman"/>
          <w:sz w:val="23"/>
          <w:szCs w:val="23"/>
        </w:rPr>
        <w:t>. How Research Produces Knowledge. In J. M. Peters, P. Jarvis, &amp; Associates, Adult education: Evolution and achievements in a developing field of study.</w:t>
      </w:r>
      <w:r>
        <w:rPr>
          <w:rFonts w:ascii="Times New Roman" w:hAnsi="Times New Roman" w:cs="Times New Roman"/>
          <w:i/>
          <w:sz w:val="23"/>
          <w:szCs w:val="23"/>
        </w:rPr>
        <w:t xml:space="preserve"> San Francisco: Jossey-Bass.</w:t>
      </w:r>
    </w:p>
    <w:p w14:paraId="0102A860">
      <w:pPr>
        <w:autoSpaceDE w:val="0"/>
        <w:autoSpaceDN w:val="0"/>
        <w:adjustRightInd w:val="0"/>
        <w:spacing w:after="0" w:line="480" w:lineRule="auto"/>
        <w:ind w:left="720" w:hanging="720"/>
        <w:jc w:val="both"/>
        <w:rPr>
          <w:i/>
          <w:sz w:val="23"/>
          <w:szCs w:val="23"/>
        </w:rPr>
      </w:pPr>
      <w:r>
        <w:rPr>
          <w:rFonts w:ascii="Times New Roman" w:hAnsi="Times New Roman" w:cs="Times New Roman"/>
          <w:i/>
          <w:sz w:val="23"/>
          <w:szCs w:val="23"/>
        </w:rPr>
        <w:t xml:space="preserve">Vaill, M.O, (2016), </w:t>
      </w:r>
      <w:r>
        <w:rPr>
          <w:i/>
          <w:sz w:val="23"/>
          <w:szCs w:val="23"/>
        </w:rPr>
        <w:t xml:space="preserve"> Retrieved from </w:t>
      </w:r>
      <w:r>
        <w:fldChar w:fldCharType="begin"/>
      </w:r>
      <w:r>
        <w:instrText xml:space="preserve"> HYPERLINK "http://eprints.rclis.org/22633/1/%20MainLBC.pdf" </w:instrText>
      </w:r>
      <w:r>
        <w:fldChar w:fldCharType="separate"/>
      </w:r>
      <w:r>
        <w:rPr>
          <w:rStyle w:val="7"/>
          <w:i/>
          <w:color w:val="auto"/>
          <w:sz w:val="23"/>
          <w:szCs w:val="23"/>
          <w:u w:val="none"/>
        </w:rPr>
        <w:t>http://eprints.rclis.org/22633/1/ MainLBC.pdf</w:t>
      </w:r>
      <w:r>
        <w:rPr>
          <w:rStyle w:val="7"/>
          <w:i/>
          <w:color w:val="auto"/>
          <w:sz w:val="23"/>
          <w:szCs w:val="23"/>
          <w:u w:val="none"/>
        </w:rPr>
        <w:fldChar w:fldCharType="end"/>
      </w:r>
    </w:p>
    <w:p w14:paraId="48723A36">
      <w:pPr>
        <w:spacing w:after="0" w:line="480" w:lineRule="auto"/>
        <w:ind w:left="720" w:hanging="720"/>
        <w:jc w:val="both"/>
        <w:rPr>
          <w:rFonts w:ascii="Times New Roman" w:hAnsi="Times New Roman" w:cs="Times New Roman"/>
          <w:sz w:val="23"/>
          <w:szCs w:val="23"/>
        </w:rPr>
      </w:pPr>
      <w:r>
        <w:rPr>
          <w:rFonts w:ascii="Times New Roman" w:hAnsi="Times New Roman" w:eastAsia="Times New Roman" w:cs="Times New Roman"/>
          <w:i/>
          <w:sz w:val="23"/>
          <w:szCs w:val="23"/>
        </w:rPr>
        <w:t>(Wikipedia, 2022)..</w:t>
      </w:r>
      <w:r>
        <w:rPr>
          <w:rFonts w:ascii="Times New Roman" w:hAnsi="Times New Roman" w:eastAsia="Times New Roman" w:cs="Times New Roman"/>
          <w:sz w:val="23"/>
          <w:szCs w:val="23"/>
        </w:rPr>
        <w:t xml:space="preserve"> </w:t>
      </w:r>
      <w:r>
        <w:rPr>
          <w:rFonts w:ascii="Times New Roman" w:hAnsi="Times New Roman" w:cs="Times New Roman"/>
          <w:sz w:val="23"/>
          <w:szCs w:val="23"/>
        </w:rPr>
        <w:t>Learning and Instruction: Theory into Practice – 3</w:t>
      </w:r>
      <w:r>
        <w:rPr>
          <w:rFonts w:ascii="Times New Roman" w:hAnsi="Times New Roman" w:cs="Times New Roman"/>
          <w:sz w:val="23"/>
          <w:szCs w:val="23"/>
          <w:vertAlign w:val="superscript"/>
        </w:rPr>
        <w:t>RD</w:t>
      </w:r>
      <w:r>
        <w:rPr>
          <w:rFonts w:ascii="Times New Roman" w:hAnsi="Times New Roman" w:cs="Times New Roman"/>
          <w:sz w:val="23"/>
          <w:szCs w:val="23"/>
        </w:rPr>
        <w:t xml:space="preserve">  Edition, Upper </w:t>
      </w:r>
    </w:p>
    <w:p w14:paraId="2C590EA8">
      <w:pPr>
        <w:spacing w:after="0" w:line="480" w:lineRule="auto"/>
        <w:ind w:left="720"/>
        <w:jc w:val="both"/>
        <w:rPr>
          <w:rFonts w:ascii="Times New Roman" w:hAnsi="Times New Roman" w:cs="Times New Roman"/>
          <w:i/>
          <w:sz w:val="23"/>
          <w:szCs w:val="23"/>
        </w:rPr>
      </w:pPr>
      <w:r>
        <w:rPr>
          <w:rFonts w:ascii="Times New Roman" w:hAnsi="Times New Roman" w:cs="Times New Roman"/>
          <w:i/>
          <w:sz w:val="23"/>
          <w:szCs w:val="23"/>
        </w:rPr>
        <w:t>Available:</w:t>
      </w:r>
      <w:r>
        <w:fldChar w:fldCharType="begin"/>
      </w:r>
      <w:r>
        <w:instrText xml:space="preserve"> HYPERLINK "http://eprints.rclis.org/archive/0001o749/01/SAJLIS73(1)04.pdf" </w:instrText>
      </w:r>
      <w:r>
        <w:fldChar w:fldCharType="separate"/>
      </w:r>
      <w:r>
        <w:rPr>
          <w:rStyle w:val="7"/>
          <w:i/>
          <w:color w:val="auto"/>
          <w:sz w:val="23"/>
          <w:szCs w:val="23"/>
          <w:u w:val="none"/>
        </w:rPr>
        <w:t>http://eprints.rclis.org/archive/0001o749/01/SAJLIS73(1)04.pdf</w:t>
      </w:r>
      <w:r>
        <w:rPr>
          <w:rStyle w:val="7"/>
          <w:i/>
          <w:color w:val="auto"/>
          <w:sz w:val="23"/>
          <w:szCs w:val="23"/>
          <w:u w:val="none"/>
        </w:rPr>
        <w:fldChar w:fldCharType="end"/>
      </w:r>
      <w:r>
        <w:fldChar w:fldCharType="begin"/>
      </w:r>
      <w:r>
        <w:instrText xml:space="preserve"> HYPERLINK "http://eprints.rclis.org/archive/0001o749/01/SAJLIS_73(1)04.pdf" </w:instrText>
      </w:r>
      <w:r>
        <w:fldChar w:fldCharType="separate"/>
      </w:r>
      <w:r>
        <w:rPr>
          <w:rStyle w:val="7"/>
          <w:i/>
          <w:color w:val="auto"/>
          <w:sz w:val="23"/>
          <w:szCs w:val="23"/>
          <w:u w:val="none"/>
        </w:rPr>
        <w:t xml:space="preserve"> </w:t>
      </w:r>
      <w:r>
        <w:rPr>
          <w:rStyle w:val="7"/>
          <w:i/>
          <w:color w:val="auto"/>
          <w:sz w:val="23"/>
          <w:szCs w:val="23"/>
          <w:u w:val="none"/>
        </w:rPr>
        <w:fldChar w:fldCharType="end"/>
      </w:r>
      <w:r>
        <w:rPr>
          <w:rFonts w:ascii="Times New Roman" w:hAnsi="Times New Roman" w:cs="Times New Roman"/>
          <w:i/>
          <w:sz w:val="23"/>
          <w:szCs w:val="23"/>
        </w:rPr>
        <w:t xml:space="preserve">(Accessed). </w:t>
      </w:r>
      <w:r>
        <w:rPr>
          <w:rFonts w:ascii="Times New Roman" w:hAnsi="Times New Roman" w:cs="Times New Roman"/>
          <w:sz w:val="23"/>
          <w:szCs w:val="23"/>
        </w:rPr>
        <w:t>73(1).</w:t>
      </w:r>
    </w:p>
    <w:p w14:paraId="5F4F85A5">
      <w:pPr>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Xia M.E et al., 2018. .</w:t>
      </w:r>
      <w:r>
        <w:rPr>
          <w:rFonts w:ascii="Times New Roman" w:hAnsi="Times New Roman" w:cs="Times New Roman"/>
          <w:sz w:val="23"/>
          <w:szCs w:val="23"/>
        </w:rPr>
        <w:t xml:space="preserve"> Learning and Instruction: Theory into Practice – 5</w:t>
      </w:r>
      <w:r>
        <w:rPr>
          <w:rFonts w:ascii="Times New Roman" w:hAnsi="Times New Roman" w:cs="Times New Roman"/>
          <w:sz w:val="23"/>
          <w:szCs w:val="23"/>
          <w:vertAlign w:val="superscript"/>
        </w:rPr>
        <w:t>th</w:t>
      </w:r>
      <w:r>
        <w:rPr>
          <w:rFonts w:ascii="Times New Roman" w:hAnsi="Times New Roman" w:cs="Times New Roman"/>
          <w:sz w:val="23"/>
          <w:szCs w:val="23"/>
        </w:rPr>
        <w:t xml:space="preserve"> Edition, Upper 73(1).</w:t>
      </w:r>
      <w:r>
        <w:rPr>
          <w:rFonts w:ascii="Times New Roman" w:hAnsi="Times New Roman" w:cs="Times New Roman"/>
          <w:i/>
          <w:sz w:val="23"/>
          <w:szCs w:val="23"/>
        </w:rPr>
        <w:t xml:space="preserve"> Available:</w:t>
      </w:r>
      <w:r>
        <w:fldChar w:fldCharType="begin"/>
      </w:r>
      <w:r>
        <w:instrText xml:space="preserve"> HYPERLINK "http://eprints.rclis.org/archive/0001o749/01/SAJLIS_73(1)04.pdf" </w:instrText>
      </w:r>
      <w:r>
        <w:fldChar w:fldCharType="separate"/>
      </w:r>
      <w:r>
        <w:rPr>
          <w:rStyle w:val="7"/>
          <w:i/>
          <w:color w:val="auto"/>
          <w:sz w:val="23"/>
          <w:szCs w:val="23"/>
          <w:u w:val="none"/>
        </w:rPr>
        <w:t xml:space="preserve"> </w:t>
      </w:r>
      <w:r>
        <w:rPr>
          <w:rStyle w:val="7"/>
          <w:i/>
          <w:color w:val="auto"/>
          <w:sz w:val="23"/>
          <w:szCs w:val="23"/>
          <w:u w:val="none"/>
        </w:rPr>
        <w:fldChar w:fldCharType="end"/>
      </w:r>
      <w:r>
        <w:fldChar w:fldCharType="begin"/>
      </w:r>
      <w:r>
        <w:instrText xml:space="preserve"> HYPERLINK "http://eprints.rclis.org/archive/0001o749/01/%20SAJLIS73(1)04.pdf" </w:instrText>
      </w:r>
      <w:r>
        <w:fldChar w:fldCharType="separate"/>
      </w:r>
      <w:r>
        <w:rPr>
          <w:rStyle w:val="7"/>
          <w:i/>
          <w:color w:val="auto"/>
          <w:sz w:val="23"/>
          <w:szCs w:val="23"/>
          <w:u w:val="none"/>
        </w:rPr>
        <w:t>http://eprints.rclis.org/archive/0001o749/01/ SAJLIS73(1)04.pdf</w:t>
      </w:r>
      <w:r>
        <w:rPr>
          <w:rStyle w:val="7"/>
          <w:i/>
          <w:color w:val="auto"/>
          <w:sz w:val="23"/>
          <w:szCs w:val="23"/>
          <w:u w:val="none"/>
        </w:rPr>
        <w:fldChar w:fldCharType="end"/>
      </w:r>
      <w:r>
        <w:rPr>
          <w:rFonts w:ascii="Times New Roman" w:hAnsi="Times New Roman" w:cs="Times New Roman"/>
          <w:i/>
          <w:sz w:val="23"/>
          <w:szCs w:val="23"/>
        </w:rPr>
        <w:t xml:space="preserve"> (Accessed). </w:t>
      </w:r>
    </w:p>
    <w:p w14:paraId="76F26179"/>
    <w:sectPr>
      <w:footerReference r:id="rId7"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CB73E">
    <w:pPr>
      <w:pStyle w:val="6"/>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539"/>
                            <w:docPartObj>
                              <w:docPartGallery w:val="autotext"/>
                            </w:docPartObj>
                          </w:sdtPr>
                          <w:sdtContent>
                            <w:p w14:paraId="0E1CB921">
                              <w:pPr>
                                <w:pStyle w:val="6"/>
                                <w:jc w:val="center"/>
                              </w:pPr>
                              <w:r>
                                <w:fldChar w:fldCharType="begin"/>
                              </w:r>
                              <w:r>
                                <w:instrText xml:space="preserve"> PAGE   \* MERGEFORMAT </w:instrText>
                              </w:r>
                              <w:r>
                                <w:fldChar w:fldCharType="separate"/>
                              </w:r>
                              <w:r>
                                <w:t>76</w:t>
                              </w:r>
                              <w:r>
                                <w:fldChar w:fldCharType="end"/>
                              </w:r>
                            </w:p>
                          </w:sdtContent>
                        </w:sdt>
                        <w:p w14:paraId="5F9034C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71539"/>
                      <w:docPartObj>
                        <w:docPartGallery w:val="autotext"/>
                      </w:docPartObj>
                    </w:sdtPr>
                    <w:sdtContent>
                      <w:p w14:paraId="0E1CB921">
                        <w:pPr>
                          <w:pStyle w:val="6"/>
                          <w:jc w:val="center"/>
                        </w:pPr>
                        <w:r>
                          <w:fldChar w:fldCharType="begin"/>
                        </w:r>
                        <w:r>
                          <w:instrText xml:space="preserve"> PAGE   \* MERGEFORMAT </w:instrText>
                        </w:r>
                        <w:r>
                          <w:fldChar w:fldCharType="separate"/>
                        </w:r>
                        <w:r>
                          <w:t>76</w:t>
                        </w:r>
                        <w:r>
                          <w:fldChar w:fldCharType="end"/>
                        </w:r>
                      </w:p>
                    </w:sdtContent>
                  </w:sdt>
                  <w:p w14:paraId="5F9034CD"/>
                </w:txbxContent>
              </v:textbox>
            </v:shape>
          </w:pict>
        </mc:Fallback>
      </mc:AlternateContent>
    </w:r>
  </w:p>
  <w:p w14:paraId="186DF5A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9C70">
    <w:pPr>
      <w:pStyle w:val="6"/>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32"/>
                            <w:docPartObj>
                              <w:docPartGallery w:val="autotext"/>
                            </w:docPartObj>
                          </w:sdtPr>
                          <w:sdtContent>
                            <w:p w14:paraId="08226519">
                              <w:pPr>
                                <w:pStyle w:val="6"/>
                                <w:jc w:val="center"/>
                              </w:pPr>
                              <w:r>
                                <w:fldChar w:fldCharType="begin"/>
                              </w:r>
                              <w:r>
                                <w:instrText xml:space="preserve"> PAGE   \* MERGEFORMAT </w:instrText>
                              </w:r>
                              <w:r>
                                <w:fldChar w:fldCharType="separate"/>
                              </w:r>
                              <w:r>
                                <w:t>1</w:t>
                              </w:r>
                              <w:r>
                                <w:fldChar w:fldCharType="end"/>
                              </w:r>
                            </w:p>
                          </w:sdtContent>
                        </w:sdt>
                        <w:p w14:paraId="7508A48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67432"/>
                      <w:docPartObj>
                        <w:docPartGallery w:val="autotext"/>
                      </w:docPartObj>
                    </w:sdtPr>
                    <w:sdtContent>
                      <w:p w14:paraId="08226519">
                        <w:pPr>
                          <w:pStyle w:val="6"/>
                          <w:jc w:val="center"/>
                        </w:pPr>
                        <w:r>
                          <w:fldChar w:fldCharType="begin"/>
                        </w:r>
                        <w:r>
                          <w:instrText xml:space="preserve"> PAGE   \* MERGEFORMAT </w:instrText>
                        </w:r>
                        <w:r>
                          <w:fldChar w:fldCharType="separate"/>
                        </w:r>
                        <w:r>
                          <w:t>1</w:t>
                        </w:r>
                        <w:r>
                          <w:fldChar w:fldCharType="end"/>
                        </w:r>
                      </w:p>
                    </w:sdtContent>
                  </w:sdt>
                  <w:p w14:paraId="7508A488"/>
                </w:txbxContent>
              </v:textbox>
            </v:shape>
          </w:pict>
        </mc:Fallback>
      </mc:AlternateContent>
    </w:r>
  </w:p>
  <w:p w14:paraId="430DADF5">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B14B">
    <w:pPr>
      <w:pStyle w:val="6"/>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58"/>
                            <w:docPartObj>
                              <w:docPartGallery w:val="autotext"/>
                            </w:docPartObj>
                          </w:sdtPr>
                          <w:sdtContent>
                            <w:p w14:paraId="4D1B28AA">
                              <w:pPr>
                                <w:pStyle w:val="6"/>
                                <w:jc w:val="center"/>
                              </w:pPr>
                              <w:r>
                                <w:fldChar w:fldCharType="begin"/>
                              </w:r>
                              <w:r>
                                <w:instrText xml:space="preserve"> PAGE   \* MERGEFORMAT </w:instrText>
                              </w:r>
                              <w:r>
                                <w:fldChar w:fldCharType="separate"/>
                              </w:r>
                              <w:r>
                                <w:t>76</w:t>
                              </w:r>
                              <w:r>
                                <w:fldChar w:fldCharType="end"/>
                              </w:r>
                            </w:p>
                          </w:sdtContent>
                        </w:sdt>
                        <w:p w14:paraId="23BEDC0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61458"/>
                      <w:docPartObj>
                        <w:docPartGallery w:val="autotext"/>
                      </w:docPartObj>
                    </w:sdtPr>
                    <w:sdtContent>
                      <w:p w14:paraId="4D1B28AA">
                        <w:pPr>
                          <w:pStyle w:val="6"/>
                          <w:jc w:val="center"/>
                        </w:pPr>
                        <w:r>
                          <w:fldChar w:fldCharType="begin"/>
                        </w:r>
                        <w:r>
                          <w:instrText xml:space="preserve"> PAGE   \* MERGEFORMAT </w:instrText>
                        </w:r>
                        <w:r>
                          <w:fldChar w:fldCharType="separate"/>
                        </w:r>
                        <w:r>
                          <w:t>76</w:t>
                        </w:r>
                        <w:r>
                          <w:fldChar w:fldCharType="end"/>
                        </w:r>
                      </w:p>
                    </w:sdtContent>
                  </w:sdt>
                  <w:p w14:paraId="23BEDC0A"/>
                </w:txbxContent>
              </v:textbox>
            </v:shape>
          </w:pict>
        </mc:Fallback>
      </mc:AlternateContent>
    </w:r>
  </w:p>
  <w:p w14:paraId="378F279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112E9"/>
    <w:multiLevelType w:val="multilevel"/>
    <w:tmpl w:val="249112E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2BAE658D"/>
    <w:multiLevelType w:val="multilevel"/>
    <w:tmpl w:val="2BAE658D"/>
    <w:lvl w:ilvl="0" w:tentative="0">
      <w:start w:val="1"/>
      <w:numFmt w:val="decimal"/>
      <w:lvlText w:val="%1."/>
      <w:lvlJc w:val="left"/>
      <w:pPr>
        <w:ind w:left="771" w:firstLine="0"/>
      </w:pPr>
      <w:rPr>
        <w:rFonts w:ascii="Times New Roman" w:hAnsi="Times New Roman" w:eastAsia="Times New Roman" w:cs="Times New Roman"/>
        <w:b w:val="0"/>
        <w:i w:val="0"/>
        <w:strike w:val="0"/>
        <w:dstrike w:val="0"/>
        <w:color w:val="000000"/>
        <w:sz w:val="20"/>
        <w:szCs w:val="20"/>
        <w:u w:val="none" w:color="000000"/>
        <w:vertAlign w:val="baseline"/>
      </w:rPr>
    </w:lvl>
    <w:lvl w:ilvl="1" w:tentative="0">
      <w:start w:val="1"/>
      <w:numFmt w:val="lowerLetter"/>
      <w:lvlText w:val="%2"/>
      <w:lvlJc w:val="left"/>
      <w:pPr>
        <w:ind w:left="1440" w:firstLine="0"/>
      </w:pPr>
      <w:rPr>
        <w:rFonts w:ascii="Times New Roman" w:hAnsi="Times New Roman" w:eastAsia="Times New Roman" w:cs="Times New Roman"/>
        <w:b w:val="0"/>
        <w:i w:val="0"/>
        <w:strike w:val="0"/>
        <w:dstrike w:val="0"/>
        <w:color w:val="000000"/>
        <w:sz w:val="20"/>
        <w:szCs w:val="20"/>
        <w:u w:val="none" w:color="000000"/>
        <w:vertAlign w:val="baseline"/>
      </w:rPr>
    </w:lvl>
    <w:lvl w:ilvl="2" w:tentative="0">
      <w:start w:val="1"/>
      <w:numFmt w:val="lowerRoman"/>
      <w:lvlText w:val="%3"/>
      <w:lvlJc w:val="left"/>
      <w:pPr>
        <w:ind w:left="2160" w:firstLine="0"/>
      </w:pPr>
      <w:rPr>
        <w:rFonts w:ascii="Times New Roman" w:hAnsi="Times New Roman" w:eastAsia="Times New Roman" w:cs="Times New Roman"/>
        <w:b w:val="0"/>
        <w:i w:val="0"/>
        <w:strike w:val="0"/>
        <w:dstrike w:val="0"/>
        <w:color w:val="000000"/>
        <w:sz w:val="20"/>
        <w:szCs w:val="20"/>
        <w:u w:val="none" w:color="000000"/>
        <w:vertAlign w:val="baseline"/>
      </w:rPr>
    </w:lvl>
    <w:lvl w:ilvl="3" w:tentative="0">
      <w:start w:val="1"/>
      <w:numFmt w:val="decimal"/>
      <w:lvlText w:val="%4"/>
      <w:lvlJc w:val="left"/>
      <w:pPr>
        <w:ind w:left="2880" w:firstLine="0"/>
      </w:pPr>
      <w:rPr>
        <w:rFonts w:ascii="Times New Roman" w:hAnsi="Times New Roman" w:eastAsia="Times New Roman" w:cs="Times New Roman"/>
        <w:b w:val="0"/>
        <w:i w:val="0"/>
        <w:strike w:val="0"/>
        <w:dstrike w:val="0"/>
        <w:color w:val="000000"/>
        <w:sz w:val="20"/>
        <w:szCs w:val="20"/>
        <w:u w:val="none" w:color="000000"/>
        <w:vertAlign w:val="baseline"/>
      </w:rPr>
    </w:lvl>
    <w:lvl w:ilvl="4" w:tentative="0">
      <w:start w:val="1"/>
      <w:numFmt w:val="lowerLetter"/>
      <w:lvlText w:val="%5"/>
      <w:lvlJc w:val="left"/>
      <w:pPr>
        <w:ind w:left="3600" w:firstLine="0"/>
      </w:pPr>
      <w:rPr>
        <w:rFonts w:ascii="Times New Roman" w:hAnsi="Times New Roman" w:eastAsia="Times New Roman" w:cs="Times New Roman"/>
        <w:b w:val="0"/>
        <w:i w:val="0"/>
        <w:strike w:val="0"/>
        <w:dstrike w:val="0"/>
        <w:color w:val="000000"/>
        <w:sz w:val="20"/>
        <w:szCs w:val="20"/>
        <w:u w:val="none" w:color="000000"/>
        <w:vertAlign w:val="baseline"/>
      </w:rPr>
    </w:lvl>
    <w:lvl w:ilvl="5" w:tentative="0">
      <w:start w:val="1"/>
      <w:numFmt w:val="lowerRoman"/>
      <w:lvlText w:val="%6"/>
      <w:lvlJc w:val="left"/>
      <w:pPr>
        <w:ind w:left="4320" w:firstLine="0"/>
      </w:pPr>
      <w:rPr>
        <w:rFonts w:ascii="Times New Roman" w:hAnsi="Times New Roman" w:eastAsia="Times New Roman" w:cs="Times New Roman"/>
        <w:b w:val="0"/>
        <w:i w:val="0"/>
        <w:strike w:val="0"/>
        <w:dstrike w:val="0"/>
        <w:color w:val="000000"/>
        <w:sz w:val="20"/>
        <w:szCs w:val="20"/>
        <w:u w:val="none" w:color="000000"/>
        <w:vertAlign w:val="baseline"/>
      </w:rPr>
    </w:lvl>
    <w:lvl w:ilvl="6" w:tentative="0">
      <w:start w:val="1"/>
      <w:numFmt w:val="decimal"/>
      <w:lvlText w:val="%7"/>
      <w:lvlJc w:val="left"/>
      <w:pPr>
        <w:ind w:left="5040" w:firstLine="0"/>
      </w:pPr>
      <w:rPr>
        <w:rFonts w:ascii="Times New Roman" w:hAnsi="Times New Roman" w:eastAsia="Times New Roman" w:cs="Times New Roman"/>
        <w:b w:val="0"/>
        <w:i w:val="0"/>
        <w:strike w:val="0"/>
        <w:dstrike w:val="0"/>
        <w:color w:val="000000"/>
        <w:sz w:val="20"/>
        <w:szCs w:val="20"/>
        <w:u w:val="none" w:color="000000"/>
        <w:vertAlign w:val="baseline"/>
      </w:rPr>
    </w:lvl>
    <w:lvl w:ilvl="7" w:tentative="0">
      <w:start w:val="1"/>
      <w:numFmt w:val="lowerLetter"/>
      <w:lvlText w:val="%8"/>
      <w:lvlJc w:val="left"/>
      <w:pPr>
        <w:ind w:left="5760" w:firstLine="0"/>
      </w:pPr>
      <w:rPr>
        <w:rFonts w:ascii="Times New Roman" w:hAnsi="Times New Roman" w:eastAsia="Times New Roman" w:cs="Times New Roman"/>
        <w:b w:val="0"/>
        <w:i w:val="0"/>
        <w:strike w:val="0"/>
        <w:dstrike w:val="0"/>
        <w:color w:val="000000"/>
        <w:sz w:val="20"/>
        <w:szCs w:val="20"/>
        <w:u w:val="none" w:color="000000"/>
        <w:vertAlign w:val="baseline"/>
      </w:rPr>
    </w:lvl>
    <w:lvl w:ilvl="8" w:tentative="0">
      <w:start w:val="1"/>
      <w:numFmt w:val="lowerRoman"/>
      <w:lvlText w:val="%9"/>
      <w:lvlJc w:val="left"/>
      <w:pPr>
        <w:ind w:left="6480" w:firstLine="0"/>
      </w:pPr>
      <w:rPr>
        <w:rFonts w:ascii="Times New Roman" w:hAnsi="Times New Roman" w:eastAsia="Times New Roman" w:cs="Times New Roman"/>
        <w:b w:val="0"/>
        <w:i w:val="0"/>
        <w:strike w:val="0"/>
        <w:dstrike w:val="0"/>
        <w:color w:val="000000"/>
        <w:sz w:val="20"/>
        <w:szCs w:val="20"/>
        <w:u w:val="none" w:color="000000"/>
        <w:vertAlign w:val="baseline"/>
      </w:rPr>
    </w:lvl>
  </w:abstractNum>
  <w:abstractNum w:abstractNumId="2">
    <w:nsid w:val="4203340B"/>
    <w:multiLevelType w:val="multilevel"/>
    <w:tmpl w:val="4203340B"/>
    <w:lvl w:ilvl="0" w:tentative="0">
      <w:start w:val="2"/>
      <w:numFmt w:val="lowerRoman"/>
      <w:lvlText w:val="%1."/>
      <w:lvlJc w:val="left"/>
      <w:pPr>
        <w:ind w:left="810" w:hanging="720"/>
      </w:pPr>
      <w:rPr>
        <w:rFonts w:hint="default"/>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3">
    <w:nsid w:val="50CA0C37"/>
    <w:multiLevelType w:val="multilevel"/>
    <w:tmpl w:val="50CA0C37"/>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D872DCB"/>
    <w:multiLevelType w:val="multilevel"/>
    <w:tmpl w:val="6D872DCB"/>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72D10A18"/>
    <w:multiLevelType w:val="multilevel"/>
    <w:tmpl w:val="72D10A18"/>
    <w:lvl w:ilvl="0" w:tentative="0">
      <w:start w:val="1"/>
      <w:numFmt w:val="lowerRoman"/>
      <w:lvlText w:val="%1."/>
      <w:lvlJc w:val="righ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6">
    <w:nsid w:val="78E542E1"/>
    <w:multiLevelType w:val="multilevel"/>
    <w:tmpl w:val="78E542E1"/>
    <w:lvl w:ilvl="0" w:tentative="0">
      <w:start w:val="1"/>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DA"/>
    <w:rsid w:val="000C5890"/>
    <w:rsid w:val="0019415C"/>
    <w:rsid w:val="00433526"/>
    <w:rsid w:val="00444DE2"/>
    <w:rsid w:val="004527DA"/>
    <w:rsid w:val="00587F9A"/>
    <w:rsid w:val="00693A1F"/>
    <w:rsid w:val="00D32AD6"/>
    <w:rsid w:val="00DC0477"/>
    <w:rsid w:val="00DD7E00"/>
    <w:rsid w:val="015A60C5"/>
    <w:rsid w:val="02053BC7"/>
    <w:rsid w:val="04AF3F3E"/>
    <w:rsid w:val="05E43F68"/>
    <w:rsid w:val="07AA4BA0"/>
    <w:rsid w:val="07DB536F"/>
    <w:rsid w:val="08221747"/>
    <w:rsid w:val="09721F8E"/>
    <w:rsid w:val="097D5DA0"/>
    <w:rsid w:val="0A1B1122"/>
    <w:rsid w:val="0A8B5655"/>
    <w:rsid w:val="0B044923"/>
    <w:rsid w:val="0C464F2F"/>
    <w:rsid w:val="0D257E20"/>
    <w:rsid w:val="11621092"/>
    <w:rsid w:val="125D1429"/>
    <w:rsid w:val="125D2363"/>
    <w:rsid w:val="13864617"/>
    <w:rsid w:val="13D42198"/>
    <w:rsid w:val="13EC2C41"/>
    <w:rsid w:val="180C2802"/>
    <w:rsid w:val="1A755EDD"/>
    <w:rsid w:val="2085546A"/>
    <w:rsid w:val="221435F7"/>
    <w:rsid w:val="23635E1F"/>
    <w:rsid w:val="243D2FDA"/>
    <w:rsid w:val="27983C83"/>
    <w:rsid w:val="27B81FB9"/>
    <w:rsid w:val="28420898"/>
    <w:rsid w:val="286E187F"/>
    <w:rsid w:val="29560760"/>
    <w:rsid w:val="29AF01E9"/>
    <w:rsid w:val="2C971B37"/>
    <w:rsid w:val="2CAD4D78"/>
    <w:rsid w:val="2E2831C7"/>
    <w:rsid w:val="31971BEA"/>
    <w:rsid w:val="3332180B"/>
    <w:rsid w:val="376C67FD"/>
    <w:rsid w:val="385F3DB0"/>
    <w:rsid w:val="38AB7897"/>
    <w:rsid w:val="39E2013E"/>
    <w:rsid w:val="3D5173DF"/>
    <w:rsid w:val="417D09B6"/>
    <w:rsid w:val="4216717B"/>
    <w:rsid w:val="426C1DC2"/>
    <w:rsid w:val="44551C28"/>
    <w:rsid w:val="49C339E4"/>
    <w:rsid w:val="4AB42F1C"/>
    <w:rsid w:val="4DAA5C11"/>
    <w:rsid w:val="4E8F5AAA"/>
    <w:rsid w:val="4ED571E4"/>
    <w:rsid w:val="4F051F32"/>
    <w:rsid w:val="4F8F56D8"/>
    <w:rsid w:val="531150BD"/>
    <w:rsid w:val="53C23AF9"/>
    <w:rsid w:val="54922ECD"/>
    <w:rsid w:val="5545175C"/>
    <w:rsid w:val="5A802C08"/>
    <w:rsid w:val="5C950E9B"/>
    <w:rsid w:val="5F684CC6"/>
    <w:rsid w:val="5FDF50C0"/>
    <w:rsid w:val="62DD013F"/>
    <w:rsid w:val="641414C0"/>
    <w:rsid w:val="644D709C"/>
    <w:rsid w:val="673D4AD2"/>
    <w:rsid w:val="676F59BF"/>
    <w:rsid w:val="67E7151E"/>
    <w:rsid w:val="6AD846D7"/>
    <w:rsid w:val="6CEB0440"/>
    <w:rsid w:val="6F7B3739"/>
    <w:rsid w:val="70AB4FC9"/>
    <w:rsid w:val="729F1A9A"/>
    <w:rsid w:val="733F3BA1"/>
    <w:rsid w:val="74C936A8"/>
    <w:rsid w:val="751E0BB4"/>
    <w:rsid w:val="755C10A8"/>
    <w:rsid w:val="76D336D6"/>
    <w:rsid w:val="77CE2CAE"/>
    <w:rsid w:val="79C9375B"/>
    <w:rsid w:val="7BF42DEB"/>
    <w:rsid w:val="7E921135"/>
    <w:rsid w:val="7E9520BA"/>
    <w:rsid w:val="7FA0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lang w:val="en-GB"/>
    </w:rPr>
  </w:style>
  <w:style w:type="paragraph" w:styleId="3">
    <w:name w:val="heading 2"/>
    <w:next w:val="1"/>
    <w:unhideWhenUsed/>
    <w:qFormat/>
    <w:uiPriority w:val="9"/>
    <w:pPr>
      <w:keepNext/>
      <w:keepLines/>
      <w:spacing w:after="71" w:line="256" w:lineRule="auto"/>
      <w:ind w:left="715" w:hanging="10"/>
      <w:outlineLvl w:val="1"/>
    </w:pPr>
    <w:rPr>
      <w:rFonts w:ascii="Times New Roman" w:hAnsi="Times New Roman" w:eastAsia="Times New Roman" w:cs="Times New Roman"/>
      <w:b/>
      <w:color w:val="221F1F"/>
      <w:sz w:val="20"/>
      <w:szCs w:val="22"/>
      <w:lang w:val="en-US"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unhideWhenUsed/>
    <w:qFormat/>
    <w:uiPriority w:val="99"/>
    <w:pPr>
      <w:tabs>
        <w:tab w:val="center" w:pos="4680"/>
        <w:tab w:val="right" w:pos="9360"/>
      </w:tabs>
      <w:spacing w:after="0" w:line="240" w:lineRule="auto"/>
    </w:pPr>
  </w:style>
  <w:style w:type="character" w:styleId="7">
    <w:name w:val="Hyperlink"/>
    <w:basedOn w:val="4"/>
    <w:unhideWhenUsed/>
    <w:qFormat/>
    <w:uiPriority w:val="99"/>
    <w:rPr>
      <w:color w:val="0563C1" w:themeColor="hyperlink"/>
      <w:u w:val="single"/>
      <w14:textFill>
        <w14:solidFill>
          <w14:schemeClr w14:val="hlink"/>
        </w14:solidFill>
      </w14:textFill>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4"/>
    <w:qFormat/>
    <w:uiPriority w:val="22"/>
    <w:rPr>
      <w:b/>
      <w:bCs/>
    </w:rPr>
  </w:style>
  <w:style w:type="table" w:styleId="10">
    <w:name w:val="Table Grid"/>
    <w:basedOn w:val="5"/>
    <w:qFormat/>
    <w:uiPriority w:val="59"/>
    <w:pPr>
      <w:spacing w:after="0" w:line="240" w:lineRule="auto"/>
    </w:pPr>
    <w:rPr>
      <w:rFonts w:ascii="Calibri" w:hAnsi="Calibri" w:eastAsia="Calibri" w:cs="SimSu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fontstyle01"/>
    <w:basedOn w:val="4"/>
    <w:qFormat/>
    <w:uiPriority w:val="0"/>
    <w:rPr>
      <w:rFonts w:hint="default" w:ascii="Times New Roman" w:hAnsi="Times New Roman" w:cs="Times New Roman"/>
      <w:color w:val="000000"/>
      <w:sz w:val="24"/>
      <w:szCs w:val="24"/>
    </w:rPr>
  </w:style>
  <w:style w:type="paragraph" w:styleId="12">
    <w:name w:val="List Paragraph"/>
    <w:basedOn w:val="1"/>
    <w:qFormat/>
    <w:uiPriority w:val="34"/>
    <w:pPr>
      <w:ind w:left="720"/>
      <w:contextualSpacing/>
    </w:pPr>
    <w:rPr>
      <w:lang w:val="en-GB"/>
    </w:rPr>
  </w:style>
  <w:style w:type="paragraph" w:customStyle="1" w:styleId="13">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GB" w:eastAsia="en-US" w:bidi="ar-SA"/>
      <w14:ligatures w14:val="none"/>
    </w:rPr>
  </w:style>
  <w:style w:type="paragraph" w:styleId="14">
    <w:name w:val="No Spacing"/>
    <w:qFormat/>
    <w:uiPriority w:val="1"/>
    <w:pPr>
      <w:spacing w:after="0" w:line="240" w:lineRule="auto"/>
    </w:pPr>
    <w:rPr>
      <w:rFonts w:asciiTheme="minorHAnsi" w:hAnsiTheme="minorHAnsi" w:eastAsiaTheme="minorHAnsi" w:cstheme="minorBidi"/>
      <w:kern w:val="0"/>
      <w:sz w:val="22"/>
      <w:szCs w:val="22"/>
      <w:lang w:val="en-GB"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2564</Words>
  <Characters>13974</Characters>
  <Lines>225</Lines>
  <Paragraphs>94</Paragraphs>
  <TotalTime>0</TotalTime>
  <ScaleCrop>false</ScaleCrop>
  <LinksUpToDate>false</LinksUpToDate>
  <CharactersWithSpaces>16444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2025-01-13T14:46:00Z</dcterms:created>
  <dc:creator>HP</dc:creator>
  <cp:lastModifiedBy>WPS_1617172529</cp:lastModifiedBy>
  <dcterms:modified xsi:type="dcterms:W3CDTF">2025-06-30T15:47:54Z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e273c72a-ffd6-43ed-8f33-bfc9f982d01c</vt:lpwstr>
  </property>
  <property fmtid="{D5CDD505-2E9C-101B-9397-08002B2CF9AE}" pid="3" name="KSOProductBuildVer">
    <vt:lpwstr>1033-12.2.0.21546</vt:lpwstr>
  </property>
  <property fmtid="{D5CDD505-2E9C-101B-9397-08002B2CF9AE}" pid="4" name="ICV">
    <vt:lpwstr>58F33DE01C834314AA51BF347DBD5344_12</vt:lpwstr>
  </property>
</Properties>
</file>