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3CF702">
      <w:pPr>
        <w:jc w:val="center"/>
        <w:rPr>
          <w:rStyle w:val="11"/>
          <w:b/>
          <w:sz w:val="28"/>
          <w:szCs w:val="28"/>
        </w:rPr>
      </w:pPr>
      <w:r>
        <w:rPr>
          <w:rStyle w:val="11"/>
          <w:b/>
          <w:sz w:val="28"/>
          <w:szCs w:val="28"/>
        </w:rPr>
        <w:t xml:space="preserve">ADOPTION OF OPEN ACCESS (AO) FOR LEARNING AND RESEARCH </w:t>
      </w:r>
      <w:r>
        <w:rPr>
          <w:rStyle w:val="11"/>
          <w:rFonts w:hint="default"/>
          <w:b/>
          <w:sz w:val="28"/>
          <w:szCs w:val="28"/>
          <w:lang w:val="en-US"/>
        </w:rPr>
        <w:t xml:space="preserve">AMONG </w:t>
      </w:r>
      <w:r>
        <w:rPr>
          <w:rStyle w:val="11"/>
          <w:b/>
          <w:sz w:val="28"/>
          <w:szCs w:val="28"/>
        </w:rPr>
        <w:t>USERS OF UNIVERSITY OF ILORIN LIBRARY</w:t>
      </w:r>
    </w:p>
    <w:p w14:paraId="17950591">
      <w:pPr>
        <w:jc w:val="center"/>
        <w:rPr>
          <w:rStyle w:val="11"/>
          <w:b/>
          <w:sz w:val="28"/>
          <w:szCs w:val="28"/>
        </w:rPr>
      </w:pPr>
    </w:p>
    <w:p w14:paraId="06A6D554">
      <w:pPr>
        <w:spacing w:line="360" w:lineRule="auto"/>
        <w:ind w:left="3600" w:leftChars="0" w:firstLine="720" w:firstLineChars="0"/>
        <w:jc w:val="both"/>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BY</w:t>
      </w:r>
    </w:p>
    <w:p w14:paraId="4B62DBE7">
      <w:pPr>
        <w:spacing w:line="24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ADEBAYO, RUFUS OLAMILEKAN</w:t>
      </w:r>
    </w:p>
    <w:p w14:paraId="4642255D">
      <w:pPr>
        <w:spacing w:line="24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rPr>
        <w:t>ND/22/LIS/</w:t>
      </w:r>
      <w:r>
        <w:rPr>
          <w:rFonts w:hint="default" w:ascii="Times New Roman" w:hAnsi="Times New Roman" w:cs="Times New Roman"/>
          <w:b/>
          <w:bCs w:val="0"/>
          <w:sz w:val="24"/>
          <w:szCs w:val="24"/>
          <w:lang w:val="en-US"/>
        </w:rPr>
        <w:t>F</w:t>
      </w:r>
      <w:r>
        <w:rPr>
          <w:rFonts w:hint="default" w:ascii="Times New Roman" w:hAnsi="Times New Roman" w:cs="Times New Roman"/>
          <w:b/>
          <w:bCs w:val="0"/>
          <w:sz w:val="24"/>
          <w:szCs w:val="24"/>
        </w:rPr>
        <w:t>T/</w:t>
      </w:r>
      <w:r>
        <w:rPr>
          <w:rFonts w:hint="default" w:ascii="Times New Roman" w:hAnsi="Times New Roman" w:cs="Times New Roman"/>
          <w:b/>
          <w:bCs w:val="0"/>
          <w:sz w:val="24"/>
          <w:szCs w:val="24"/>
          <w:lang w:val="en-US"/>
        </w:rPr>
        <w:t>0024</w:t>
      </w:r>
    </w:p>
    <w:p w14:paraId="30A8B523">
      <w:pPr>
        <w:spacing w:line="360" w:lineRule="auto"/>
        <w:jc w:val="both"/>
        <w:rPr>
          <w:rFonts w:hint="default" w:ascii="Times New Roman" w:hAnsi="Times New Roman" w:cs="Times New Roman"/>
          <w:b/>
          <w:bCs w:val="0"/>
          <w:sz w:val="24"/>
          <w:szCs w:val="24"/>
        </w:rPr>
      </w:pPr>
    </w:p>
    <w:p w14:paraId="381B801F">
      <w:pPr>
        <w:spacing w:line="360" w:lineRule="auto"/>
        <w:jc w:val="both"/>
        <w:rPr>
          <w:rFonts w:hint="default" w:ascii="Times New Roman" w:hAnsi="Times New Roman" w:cs="Times New Roman"/>
          <w:b/>
          <w:bCs w:val="0"/>
          <w:sz w:val="24"/>
          <w:szCs w:val="24"/>
        </w:rPr>
      </w:pPr>
    </w:p>
    <w:p w14:paraId="76F50175">
      <w:pPr>
        <w:spacing w:line="360" w:lineRule="auto"/>
        <w:jc w:val="both"/>
        <w:rPr>
          <w:rFonts w:hint="default" w:ascii="Times New Roman" w:hAnsi="Times New Roman" w:cs="Times New Roman"/>
          <w:b/>
          <w:bCs w:val="0"/>
          <w:sz w:val="24"/>
          <w:szCs w:val="24"/>
        </w:rPr>
      </w:pPr>
    </w:p>
    <w:p w14:paraId="4709A54E">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SUBMITTED TO THE </w:t>
      </w:r>
    </w:p>
    <w:p w14:paraId="7790D97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DEPARTMENT OF </w:t>
      </w:r>
      <w:r>
        <w:rPr>
          <w:rFonts w:hint="default" w:ascii="Times New Roman" w:hAnsi="Times New Roman" w:cs="Times New Roman"/>
          <w:b/>
          <w:bCs w:val="0"/>
          <w:sz w:val="24"/>
          <w:szCs w:val="24"/>
          <w:lang w:val="en-US"/>
        </w:rPr>
        <w:t>LIBRARY AND INFORMATION SCIENCE, INSTITUTE OF INFORMATION COMMUNICATION TECHNOLOGY</w:t>
      </w:r>
      <w:r>
        <w:rPr>
          <w:rFonts w:hint="default" w:ascii="Times New Roman" w:hAnsi="Times New Roman" w:cs="Times New Roman"/>
          <w:b/>
          <w:bCs w:val="0"/>
          <w:sz w:val="24"/>
          <w:szCs w:val="24"/>
        </w:rPr>
        <w:t>, KWARA STATE POLYTECHNIC, ILORIN KWARA STATE</w:t>
      </w:r>
    </w:p>
    <w:p w14:paraId="253F61B2">
      <w:pPr>
        <w:spacing w:line="360" w:lineRule="auto"/>
        <w:jc w:val="both"/>
        <w:rPr>
          <w:rFonts w:hint="default" w:ascii="Times New Roman" w:hAnsi="Times New Roman" w:cs="Times New Roman"/>
          <w:b/>
          <w:bCs w:val="0"/>
          <w:sz w:val="24"/>
          <w:szCs w:val="24"/>
        </w:rPr>
      </w:pPr>
    </w:p>
    <w:p w14:paraId="03B845CE">
      <w:pPr>
        <w:spacing w:line="360" w:lineRule="auto"/>
        <w:jc w:val="center"/>
        <w:rPr>
          <w:rFonts w:hint="default" w:ascii="Times New Roman" w:hAnsi="Times New Roman" w:cs="Times New Roman"/>
          <w:b/>
          <w:bCs w:val="0"/>
          <w:sz w:val="24"/>
          <w:szCs w:val="24"/>
        </w:rPr>
      </w:pPr>
    </w:p>
    <w:p w14:paraId="7CF069EA">
      <w:pPr>
        <w:spacing w:line="36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rPr>
        <w:t xml:space="preserve">IN PARTIAL </w:t>
      </w:r>
      <w:r>
        <w:rPr>
          <w:rFonts w:hint="default" w:ascii="Times New Roman" w:hAnsi="Times New Roman" w:cs="Times New Roman"/>
          <w:b/>
          <w:bCs w:val="0"/>
          <w:sz w:val="24"/>
          <w:szCs w:val="24"/>
          <w:lang w:val="en-US"/>
        </w:rPr>
        <w:t>FULFILLMENT</w:t>
      </w:r>
      <w:r>
        <w:rPr>
          <w:rFonts w:hint="default" w:ascii="Times New Roman" w:hAnsi="Times New Roman" w:cs="Times New Roman"/>
          <w:b/>
          <w:bCs w:val="0"/>
          <w:sz w:val="24"/>
          <w:szCs w:val="24"/>
        </w:rPr>
        <w:t xml:space="preserve"> OF THE REQUIREMENTS FOR THE AWARD OF NATIONAL DIPLOMA (ND) IN </w:t>
      </w:r>
      <w:r>
        <w:rPr>
          <w:rFonts w:hint="default" w:ascii="Times New Roman" w:hAnsi="Times New Roman" w:cs="Times New Roman"/>
          <w:b/>
          <w:bCs w:val="0"/>
          <w:sz w:val="24"/>
          <w:szCs w:val="24"/>
          <w:lang w:val="en-US"/>
        </w:rPr>
        <w:t>LIBRARY AND INFORMATION SCIENCE</w:t>
      </w:r>
    </w:p>
    <w:p w14:paraId="485BF0FF">
      <w:pPr>
        <w:spacing w:line="360" w:lineRule="auto"/>
        <w:jc w:val="both"/>
        <w:rPr>
          <w:rFonts w:hint="default" w:ascii="Times New Roman" w:hAnsi="Times New Roman" w:cs="Times New Roman"/>
          <w:b/>
          <w:bCs w:val="0"/>
          <w:i/>
          <w:sz w:val="24"/>
          <w:szCs w:val="24"/>
        </w:rPr>
      </w:pPr>
    </w:p>
    <w:p w14:paraId="584E6FCE">
      <w:pPr>
        <w:spacing w:line="360" w:lineRule="auto"/>
        <w:jc w:val="both"/>
        <w:rPr>
          <w:rFonts w:hint="default" w:ascii="Times New Roman" w:hAnsi="Times New Roman" w:cs="Times New Roman"/>
          <w:b/>
          <w:bCs w:val="0"/>
          <w:i/>
          <w:sz w:val="24"/>
          <w:szCs w:val="24"/>
          <w:lang w:val="en-US"/>
        </w:rPr>
      </w:pPr>
    </w:p>
    <w:p w14:paraId="5B804745">
      <w:pPr>
        <w:spacing w:line="360" w:lineRule="auto"/>
        <w:jc w:val="both"/>
        <w:rPr>
          <w:rFonts w:hint="default" w:ascii="Times New Roman" w:hAnsi="Times New Roman" w:cs="Times New Roman"/>
          <w:b/>
          <w:bCs w:val="0"/>
          <w:i/>
          <w:sz w:val="24"/>
          <w:szCs w:val="24"/>
          <w:lang w:val="en-US"/>
        </w:rPr>
      </w:pPr>
    </w:p>
    <w:p w14:paraId="1CDE06D7">
      <w:pPr>
        <w:spacing w:line="360" w:lineRule="auto"/>
        <w:jc w:val="both"/>
        <w:rPr>
          <w:rFonts w:hint="default" w:ascii="Times New Roman" w:hAnsi="Times New Roman" w:cs="Times New Roman"/>
          <w:b/>
          <w:bCs w:val="0"/>
          <w:i/>
          <w:sz w:val="24"/>
          <w:szCs w:val="24"/>
          <w:lang w:val="en-US"/>
        </w:rPr>
      </w:pPr>
    </w:p>
    <w:p w14:paraId="08F872C1">
      <w:pPr>
        <w:spacing w:line="360" w:lineRule="auto"/>
        <w:jc w:val="both"/>
        <w:rPr>
          <w:rFonts w:hint="default" w:ascii="Times New Roman" w:hAnsi="Times New Roman" w:cs="Times New Roman"/>
          <w:b/>
          <w:bCs w:val="0"/>
          <w:i/>
          <w:sz w:val="24"/>
          <w:szCs w:val="24"/>
          <w:lang w:val="en-US"/>
        </w:rPr>
      </w:pPr>
    </w:p>
    <w:p w14:paraId="003070EF">
      <w:pPr>
        <w:spacing w:line="360" w:lineRule="auto"/>
        <w:ind w:left="5760" w:leftChars="0" w:firstLine="720"/>
        <w:jc w:val="center"/>
        <w:rPr>
          <w:rFonts w:hint="default" w:ascii="Times New Roman" w:hAnsi="Times New Roman" w:cs="Times New Roman"/>
          <w:b/>
          <w:bCs w:val="0"/>
          <w:sz w:val="24"/>
          <w:szCs w:val="24"/>
          <w:lang w:val="en-US"/>
        </w:rPr>
      </w:pPr>
      <w:r>
        <w:rPr>
          <w:rFonts w:hint="default" w:ascii="Times New Roman" w:hAnsi="Times New Roman" w:cs="Times New Roman"/>
          <w:b/>
          <w:bCs w:val="0"/>
          <w:i/>
          <w:sz w:val="24"/>
          <w:szCs w:val="24"/>
        </w:rPr>
        <w:t>JU</w:t>
      </w:r>
      <w:r>
        <w:rPr>
          <w:rFonts w:hint="default" w:ascii="Times New Roman" w:hAnsi="Times New Roman" w:cs="Times New Roman"/>
          <w:b/>
          <w:bCs w:val="0"/>
          <w:i/>
          <w:sz w:val="24"/>
          <w:szCs w:val="24"/>
          <w:lang w:val="en-US"/>
        </w:rPr>
        <w:t>NE</w:t>
      </w:r>
      <w:r>
        <w:rPr>
          <w:rFonts w:hint="default" w:ascii="Times New Roman" w:hAnsi="Times New Roman" w:cs="Times New Roman"/>
          <w:b/>
          <w:bCs w:val="0"/>
          <w:i/>
          <w:sz w:val="24"/>
          <w:szCs w:val="24"/>
        </w:rPr>
        <w:t>, 202</w:t>
      </w:r>
      <w:r>
        <w:rPr>
          <w:rFonts w:hint="default" w:ascii="Times New Roman" w:hAnsi="Times New Roman" w:cs="Times New Roman"/>
          <w:b/>
          <w:bCs w:val="0"/>
          <w:i/>
          <w:sz w:val="24"/>
          <w:szCs w:val="24"/>
          <w:lang w:val="en-US"/>
        </w:rPr>
        <w:t>5</w:t>
      </w:r>
    </w:p>
    <w:p w14:paraId="5192318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CERTIFICATION</w:t>
      </w:r>
    </w:p>
    <w:p w14:paraId="3088629F">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This research work has been read and approved as meeting the requirement of the department of </w:t>
      </w:r>
      <w:r>
        <w:rPr>
          <w:rFonts w:hint="default" w:cs="Times New Roman"/>
          <w:b w:val="0"/>
          <w:bCs/>
          <w:sz w:val="24"/>
          <w:szCs w:val="24"/>
          <w:lang w:val="en-US"/>
        </w:rPr>
        <w:t>Library and Information Science</w:t>
      </w:r>
      <w:r>
        <w:rPr>
          <w:rFonts w:hint="default" w:ascii="Times New Roman" w:hAnsi="Times New Roman" w:cs="Times New Roman"/>
          <w:b w:val="0"/>
          <w:bCs/>
          <w:sz w:val="24"/>
          <w:szCs w:val="24"/>
        </w:rPr>
        <w:t>,</w:t>
      </w:r>
      <w:r>
        <w:rPr>
          <w:rFonts w:hint="default" w:cs="Times New Roman"/>
          <w:b w:val="0"/>
          <w:bCs/>
          <w:sz w:val="24"/>
          <w:szCs w:val="24"/>
          <w:lang w:val="en-US"/>
        </w:rPr>
        <w:t xml:space="preserve"> Institute of Information Communication Technology,</w:t>
      </w:r>
      <w:r>
        <w:rPr>
          <w:rFonts w:hint="default" w:ascii="Times New Roman" w:hAnsi="Times New Roman" w:cs="Times New Roman"/>
          <w:b w:val="0"/>
          <w:bCs/>
          <w:sz w:val="24"/>
          <w:szCs w:val="24"/>
        </w:rPr>
        <w:t xml:space="preserve"> </w:t>
      </w:r>
      <w:r>
        <w:rPr>
          <w:rFonts w:hint="default" w:cs="Times New Roman"/>
          <w:b w:val="0"/>
          <w:bCs/>
          <w:sz w:val="24"/>
          <w:szCs w:val="24"/>
          <w:lang w:val="en-US"/>
        </w:rPr>
        <w:t>K</w:t>
      </w:r>
      <w:r>
        <w:rPr>
          <w:rFonts w:hint="default" w:ascii="Times New Roman" w:hAnsi="Times New Roman" w:cs="Times New Roman"/>
          <w:b w:val="0"/>
          <w:bCs/>
          <w:sz w:val="24"/>
          <w:szCs w:val="24"/>
        </w:rPr>
        <w:t xml:space="preserve">wara </w:t>
      </w:r>
      <w:r>
        <w:rPr>
          <w:rFonts w:hint="default" w:cs="Times New Roman"/>
          <w:b w:val="0"/>
          <w:bCs/>
          <w:sz w:val="24"/>
          <w:szCs w:val="24"/>
          <w:lang w:val="en-US"/>
        </w:rPr>
        <w:t>S</w:t>
      </w:r>
      <w:r>
        <w:rPr>
          <w:rFonts w:hint="default" w:ascii="Times New Roman" w:hAnsi="Times New Roman" w:cs="Times New Roman"/>
          <w:b w:val="0"/>
          <w:bCs/>
          <w:sz w:val="24"/>
          <w:szCs w:val="24"/>
        </w:rPr>
        <w:t xml:space="preserve">tate </w:t>
      </w:r>
      <w:r>
        <w:rPr>
          <w:rFonts w:hint="default" w:cs="Times New Roman"/>
          <w:b w:val="0"/>
          <w:bCs/>
          <w:sz w:val="24"/>
          <w:szCs w:val="24"/>
          <w:lang w:val="en-US"/>
        </w:rPr>
        <w:t>P</w:t>
      </w:r>
      <w:r>
        <w:rPr>
          <w:rFonts w:hint="default" w:ascii="Times New Roman" w:hAnsi="Times New Roman" w:cs="Times New Roman"/>
          <w:b w:val="0"/>
          <w:bCs/>
          <w:sz w:val="24"/>
          <w:szCs w:val="24"/>
        </w:rPr>
        <w:t xml:space="preserve">olytechnic, </w:t>
      </w:r>
      <w:r>
        <w:rPr>
          <w:rFonts w:hint="default" w:cs="Times New Roman"/>
          <w:b w:val="0"/>
          <w:bCs/>
          <w:sz w:val="24"/>
          <w:szCs w:val="24"/>
          <w:lang w:val="en-US"/>
        </w:rPr>
        <w:t>I</w:t>
      </w:r>
      <w:r>
        <w:rPr>
          <w:rFonts w:hint="default" w:ascii="Times New Roman" w:hAnsi="Times New Roman" w:cs="Times New Roman"/>
          <w:b w:val="0"/>
          <w:bCs/>
          <w:sz w:val="24"/>
          <w:szCs w:val="24"/>
        </w:rPr>
        <w:t xml:space="preserve">lorin. In partial fulfillment for the award of </w:t>
      </w:r>
      <w:r>
        <w:rPr>
          <w:rFonts w:hint="default" w:cs="Times New Roman"/>
          <w:b w:val="0"/>
          <w:bCs/>
          <w:sz w:val="24"/>
          <w:szCs w:val="24"/>
          <w:lang w:val="en-US"/>
        </w:rPr>
        <w:t>N</w:t>
      </w:r>
      <w:r>
        <w:rPr>
          <w:rFonts w:hint="default" w:ascii="Times New Roman" w:hAnsi="Times New Roman" w:cs="Times New Roman"/>
          <w:b w:val="0"/>
          <w:bCs/>
          <w:sz w:val="24"/>
          <w:szCs w:val="24"/>
        </w:rPr>
        <w:t xml:space="preserve">ational </w:t>
      </w:r>
      <w:r>
        <w:rPr>
          <w:rFonts w:hint="default" w:cs="Times New Roman"/>
          <w:b w:val="0"/>
          <w:bCs/>
          <w:sz w:val="24"/>
          <w:szCs w:val="24"/>
          <w:lang w:val="en-US"/>
        </w:rPr>
        <w:t>D</w:t>
      </w:r>
      <w:r>
        <w:rPr>
          <w:rFonts w:hint="default" w:ascii="Times New Roman" w:hAnsi="Times New Roman" w:cs="Times New Roman"/>
          <w:b w:val="0"/>
          <w:bCs/>
          <w:sz w:val="24"/>
          <w:szCs w:val="24"/>
        </w:rPr>
        <w:t>iploma (</w:t>
      </w:r>
      <w:r>
        <w:rPr>
          <w:rFonts w:hint="default" w:cs="Times New Roman"/>
          <w:b w:val="0"/>
          <w:bCs/>
          <w:sz w:val="24"/>
          <w:szCs w:val="24"/>
          <w:lang w:val="en-US"/>
        </w:rPr>
        <w:t>ND</w:t>
      </w:r>
      <w:r>
        <w:rPr>
          <w:rFonts w:hint="default" w:ascii="Times New Roman" w:hAnsi="Times New Roman" w:cs="Times New Roman"/>
          <w:b w:val="0"/>
          <w:bCs/>
          <w:sz w:val="24"/>
          <w:szCs w:val="24"/>
        </w:rPr>
        <w:t xml:space="preserve">) in </w:t>
      </w:r>
      <w:r>
        <w:rPr>
          <w:rFonts w:hint="default" w:cs="Times New Roman"/>
          <w:b w:val="0"/>
          <w:bCs/>
          <w:sz w:val="24"/>
          <w:szCs w:val="24"/>
          <w:lang w:val="en-US"/>
        </w:rPr>
        <w:t>Library and Information Science.</w:t>
      </w:r>
      <w:r>
        <w:rPr>
          <w:rFonts w:hint="default" w:ascii="Times New Roman" w:hAnsi="Times New Roman" w:cs="Times New Roman"/>
          <w:b w:val="0"/>
          <w:bCs/>
          <w:sz w:val="24"/>
          <w:szCs w:val="24"/>
        </w:rPr>
        <w:t xml:space="preserve"> </w:t>
      </w:r>
    </w:p>
    <w:p w14:paraId="0AA86E48">
      <w:pPr>
        <w:spacing w:line="360" w:lineRule="auto"/>
        <w:rPr>
          <w:rFonts w:hint="default" w:ascii="Times New Roman" w:hAnsi="Times New Roman" w:cs="Times New Roman"/>
          <w:b w:val="0"/>
          <w:bCs/>
          <w:sz w:val="24"/>
          <w:szCs w:val="24"/>
        </w:rPr>
      </w:pPr>
    </w:p>
    <w:p w14:paraId="2FE128E5">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5B03BC38">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ascii="Times New Roman" w:hAnsi="Times New Roman" w:cs="Times New Roman"/>
          <w:b/>
          <w:bCs w:val="0"/>
          <w:sz w:val="24"/>
          <w:szCs w:val="24"/>
          <w:lang w:val="en-US"/>
        </w:rPr>
        <w:t>Idris A.O</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ascii="Times New Roman" w:hAnsi="Times New Roman" w:cs="Times New Roman"/>
          <w:b/>
          <w:bCs w:val="0"/>
          <w:sz w:val="24"/>
          <w:szCs w:val="24"/>
        </w:rPr>
        <w:t xml:space="preserve">Date </w:t>
      </w:r>
    </w:p>
    <w:p w14:paraId="6EA5454A">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(Project Supervisor)</w:t>
      </w:r>
    </w:p>
    <w:p w14:paraId="631D223F">
      <w:pPr>
        <w:spacing w:line="360" w:lineRule="auto"/>
        <w:rPr>
          <w:rFonts w:hint="default" w:ascii="Times New Roman" w:hAnsi="Times New Roman" w:cs="Times New Roman"/>
          <w:b w:val="0"/>
          <w:bCs/>
          <w:sz w:val="24"/>
          <w:szCs w:val="24"/>
        </w:rPr>
      </w:pPr>
    </w:p>
    <w:p w14:paraId="5CAC8CB1">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BEC4559">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cs="Times New Roman"/>
          <w:b/>
          <w:bCs w:val="0"/>
          <w:sz w:val="24"/>
          <w:szCs w:val="24"/>
          <w:lang w:val="en-US"/>
        </w:rPr>
        <w:t>Sulyman S.A</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 xml:space="preserve">Date </w:t>
      </w:r>
    </w:p>
    <w:p w14:paraId="650CD43F">
      <w:pPr>
        <w:spacing w:line="360" w:lineRule="auto"/>
        <w:rPr>
          <w:rFonts w:hint="default" w:ascii="Times New Roman" w:hAnsi="Times New Roman" w:cs="Times New Roman"/>
          <w:b w:val="0"/>
          <w:bCs/>
          <w:sz w:val="24"/>
          <w:szCs w:val="24"/>
        </w:rPr>
      </w:pPr>
      <w:r>
        <w:rPr>
          <w:rFonts w:hint="default" w:ascii="Times New Roman" w:hAnsi="Times New Roman" w:cs="Times New Roman"/>
          <w:b/>
          <w:bCs w:val="0"/>
          <w:sz w:val="24"/>
          <w:szCs w:val="24"/>
        </w:rPr>
        <w:t xml:space="preserve">(Project </w:t>
      </w:r>
      <w:r>
        <w:rPr>
          <w:rFonts w:hint="default" w:cs="Times New Roman"/>
          <w:b/>
          <w:bCs w:val="0"/>
          <w:sz w:val="24"/>
          <w:szCs w:val="24"/>
          <w:lang w:val="en-US"/>
        </w:rPr>
        <w:t>Coodinator</w:t>
      </w:r>
      <w:r>
        <w:rPr>
          <w:rFonts w:hint="default" w:ascii="Times New Roman" w:hAnsi="Times New Roman" w:cs="Times New Roman"/>
          <w:b/>
          <w:bCs w:val="0"/>
          <w:sz w:val="24"/>
          <w:szCs w:val="24"/>
        </w:rPr>
        <w:t>)</w:t>
      </w:r>
    </w:p>
    <w:p w14:paraId="5013AAF6">
      <w:pPr>
        <w:spacing w:line="360" w:lineRule="auto"/>
        <w:rPr>
          <w:rFonts w:hint="default" w:ascii="Times New Roman" w:hAnsi="Times New Roman" w:cs="Times New Roman"/>
          <w:b w:val="0"/>
          <w:bCs/>
          <w:sz w:val="24"/>
          <w:szCs w:val="24"/>
        </w:rPr>
      </w:pPr>
    </w:p>
    <w:p w14:paraId="5EEF6319">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7586CFE4">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(Head Of Department)</w:t>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Date</w:t>
      </w:r>
    </w:p>
    <w:p w14:paraId="36081E3B">
      <w:pPr>
        <w:spacing w:line="360" w:lineRule="auto"/>
        <w:rPr>
          <w:rFonts w:hint="default" w:ascii="Times New Roman" w:hAnsi="Times New Roman" w:cs="Times New Roman"/>
          <w:b w:val="0"/>
          <w:bCs/>
          <w:sz w:val="24"/>
          <w:szCs w:val="24"/>
        </w:rPr>
      </w:pPr>
    </w:p>
    <w:p w14:paraId="231F2277">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22856F7">
      <w:pPr>
        <w:spacing w:line="360" w:lineRule="auto"/>
        <w:rPr>
          <w:rFonts w:hint="default" w:ascii="Times New Roman" w:hAnsi="Times New Roman" w:cs="Times New Roman"/>
          <w:b/>
          <w:bCs w:val="0"/>
          <w:sz w:val="24"/>
          <w:szCs w:val="24"/>
        </w:rPr>
      </w:pPr>
      <w:bookmarkStart w:id="0" w:name="_GoBack"/>
      <w:r>
        <w:rPr>
          <w:rFonts w:hint="default" w:ascii="Times New Roman" w:hAnsi="Times New Roman" w:cs="Times New Roman"/>
          <w:b/>
          <w:bCs w:val="0"/>
          <w:sz w:val="24"/>
          <w:szCs w:val="24"/>
        </w:rPr>
        <w:t>(</w:t>
      </w:r>
      <w:r>
        <w:rPr>
          <w:rFonts w:hint="default" w:ascii="Times New Roman" w:hAnsi="Times New Roman" w:cs="Times New Roman"/>
          <w:b/>
          <w:bCs w:val="0"/>
          <w:sz w:val="24"/>
          <w:szCs w:val="24"/>
          <w:lang w:val="en-US"/>
        </w:rPr>
        <w:t>External Examiner)</w:t>
      </w:r>
      <w:r>
        <w:rPr>
          <w:rFonts w:hint="default" w:ascii="Times New Roman" w:hAnsi="Times New Roman" w:cs="Times New Roman"/>
          <w:b/>
          <w:bCs w:val="0"/>
          <w:sz w:val="24"/>
          <w:szCs w:val="24"/>
          <w:lang w:val="en-US"/>
        </w:rPr>
        <w:tab/>
      </w:r>
      <w:bookmarkEnd w:id="0"/>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Date</w:t>
      </w:r>
    </w:p>
    <w:p w14:paraId="01948DE1">
      <w:pPr>
        <w:spacing w:line="360" w:lineRule="auto"/>
        <w:rPr>
          <w:rFonts w:hint="default" w:ascii="Times New Roman" w:hAnsi="Times New Roman" w:cs="Times New Roman"/>
          <w:b w:val="0"/>
          <w:bCs/>
          <w:i/>
          <w:sz w:val="24"/>
          <w:szCs w:val="24"/>
        </w:rPr>
      </w:pPr>
    </w:p>
    <w:p w14:paraId="2DD78372">
      <w:pPr>
        <w:spacing w:line="360" w:lineRule="auto"/>
        <w:jc w:val="both"/>
        <w:rPr>
          <w:rFonts w:hint="default" w:ascii="Times New Roman" w:hAnsi="Times New Roman" w:cs="Times New Roman"/>
          <w:b/>
          <w:bCs w:val="0"/>
          <w:sz w:val="24"/>
          <w:szCs w:val="24"/>
        </w:rPr>
      </w:pPr>
    </w:p>
    <w:p w14:paraId="7A755BAC">
      <w:pPr>
        <w:spacing w:line="360" w:lineRule="auto"/>
        <w:jc w:val="both"/>
        <w:rPr>
          <w:rFonts w:hint="default" w:ascii="Times New Roman" w:hAnsi="Times New Roman" w:cs="Times New Roman"/>
          <w:b/>
          <w:bCs w:val="0"/>
          <w:sz w:val="24"/>
          <w:szCs w:val="24"/>
        </w:rPr>
      </w:pPr>
    </w:p>
    <w:p w14:paraId="731A15EC">
      <w:pPr>
        <w:spacing w:line="360" w:lineRule="auto"/>
        <w:jc w:val="both"/>
        <w:rPr>
          <w:rFonts w:hint="default" w:ascii="Times New Roman" w:hAnsi="Times New Roman" w:cs="Times New Roman"/>
          <w:b/>
          <w:bCs w:val="0"/>
          <w:sz w:val="24"/>
          <w:szCs w:val="24"/>
        </w:rPr>
      </w:pPr>
    </w:p>
    <w:p w14:paraId="62850F75">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DEDICATION</w:t>
      </w:r>
    </w:p>
    <w:p w14:paraId="788FDDA6">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I dedicate this project to </w:t>
      </w:r>
      <w:r>
        <w:rPr>
          <w:rFonts w:hint="default" w:cs="Times New Roman"/>
          <w:b w:val="0"/>
          <w:bCs/>
          <w:sz w:val="24"/>
          <w:szCs w:val="24"/>
          <w:lang w:val="en-US"/>
        </w:rPr>
        <w:t>A</w:t>
      </w:r>
      <w:r>
        <w:rPr>
          <w:rFonts w:hint="default" w:ascii="Times New Roman" w:hAnsi="Times New Roman" w:cs="Times New Roman"/>
          <w:b w:val="0"/>
          <w:bCs/>
          <w:sz w:val="24"/>
          <w:szCs w:val="24"/>
        </w:rPr>
        <w:t>lmighty</w:t>
      </w:r>
      <w:r>
        <w:rPr>
          <w:rFonts w:hint="default" w:cs="Times New Roman"/>
          <w:b w:val="0"/>
          <w:bCs/>
          <w:sz w:val="24"/>
          <w:szCs w:val="24"/>
          <w:lang w:val="en-US"/>
        </w:rPr>
        <w:t xml:space="preserve"> Allah</w:t>
      </w:r>
      <w:r>
        <w:rPr>
          <w:rFonts w:hint="default" w:ascii="Times New Roman" w:hAnsi="Times New Roman" w:cs="Times New Roman"/>
          <w:b w:val="0"/>
          <w:bCs/>
          <w:sz w:val="24"/>
          <w:szCs w:val="24"/>
        </w:rPr>
        <w:t xml:space="preserve"> the creator of heaven and earth who has made this project a successful one and also for sparing my life all through.</w:t>
      </w:r>
    </w:p>
    <w:p w14:paraId="24F71E06">
      <w:pPr>
        <w:spacing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ab/>
      </w:r>
    </w:p>
    <w:p w14:paraId="069B6865">
      <w:pPr>
        <w:spacing w:line="360" w:lineRule="auto"/>
        <w:jc w:val="both"/>
        <w:rPr>
          <w:rFonts w:hint="default" w:ascii="Times New Roman" w:hAnsi="Times New Roman" w:cs="Times New Roman"/>
          <w:b w:val="0"/>
          <w:bCs/>
          <w:sz w:val="24"/>
          <w:szCs w:val="24"/>
        </w:rPr>
      </w:pPr>
    </w:p>
    <w:p w14:paraId="1A39B4A8">
      <w:pPr>
        <w:spacing w:line="360" w:lineRule="auto"/>
        <w:jc w:val="both"/>
        <w:rPr>
          <w:rFonts w:hint="default" w:ascii="Times New Roman" w:hAnsi="Times New Roman" w:cs="Times New Roman"/>
          <w:b w:val="0"/>
          <w:bCs/>
          <w:sz w:val="24"/>
          <w:szCs w:val="24"/>
        </w:rPr>
      </w:pPr>
    </w:p>
    <w:p w14:paraId="7F807FBD">
      <w:pPr>
        <w:spacing w:line="360" w:lineRule="auto"/>
        <w:jc w:val="both"/>
        <w:rPr>
          <w:rFonts w:hint="default" w:ascii="Times New Roman" w:hAnsi="Times New Roman" w:cs="Times New Roman"/>
          <w:b w:val="0"/>
          <w:bCs/>
          <w:sz w:val="24"/>
          <w:szCs w:val="24"/>
        </w:rPr>
      </w:pPr>
    </w:p>
    <w:p w14:paraId="143FEB13">
      <w:pPr>
        <w:spacing w:line="360" w:lineRule="auto"/>
        <w:jc w:val="both"/>
        <w:rPr>
          <w:rFonts w:hint="default" w:ascii="Times New Roman" w:hAnsi="Times New Roman" w:cs="Times New Roman"/>
          <w:b w:val="0"/>
          <w:bCs/>
          <w:sz w:val="24"/>
          <w:szCs w:val="24"/>
        </w:rPr>
      </w:pPr>
    </w:p>
    <w:p w14:paraId="1EB74108">
      <w:pPr>
        <w:spacing w:line="360" w:lineRule="auto"/>
        <w:jc w:val="both"/>
        <w:rPr>
          <w:rFonts w:hint="default" w:ascii="Times New Roman" w:hAnsi="Times New Roman" w:cs="Times New Roman"/>
          <w:b w:val="0"/>
          <w:bCs/>
          <w:sz w:val="24"/>
          <w:szCs w:val="24"/>
        </w:rPr>
      </w:pPr>
    </w:p>
    <w:p w14:paraId="208DC2CB">
      <w:pPr>
        <w:spacing w:line="360" w:lineRule="auto"/>
        <w:jc w:val="both"/>
        <w:rPr>
          <w:rFonts w:hint="default" w:ascii="Times New Roman" w:hAnsi="Times New Roman" w:cs="Times New Roman"/>
          <w:b w:val="0"/>
          <w:bCs/>
          <w:sz w:val="24"/>
          <w:szCs w:val="24"/>
        </w:rPr>
      </w:pPr>
    </w:p>
    <w:p w14:paraId="2A208048">
      <w:pPr>
        <w:spacing w:line="360" w:lineRule="auto"/>
        <w:jc w:val="both"/>
        <w:rPr>
          <w:rFonts w:hint="default" w:ascii="Times New Roman" w:hAnsi="Times New Roman" w:cs="Times New Roman"/>
          <w:b w:val="0"/>
          <w:bCs/>
          <w:sz w:val="24"/>
          <w:szCs w:val="24"/>
        </w:rPr>
      </w:pPr>
    </w:p>
    <w:p w14:paraId="1905005B">
      <w:pPr>
        <w:spacing w:line="360" w:lineRule="auto"/>
        <w:jc w:val="both"/>
        <w:rPr>
          <w:rFonts w:hint="default" w:ascii="Times New Roman" w:hAnsi="Times New Roman" w:cs="Times New Roman"/>
          <w:b w:val="0"/>
          <w:bCs/>
          <w:sz w:val="24"/>
          <w:szCs w:val="24"/>
        </w:rPr>
      </w:pPr>
    </w:p>
    <w:p w14:paraId="1F1D877D">
      <w:pPr>
        <w:spacing w:line="360" w:lineRule="auto"/>
        <w:jc w:val="both"/>
        <w:rPr>
          <w:rFonts w:hint="default" w:ascii="Times New Roman" w:hAnsi="Times New Roman" w:cs="Times New Roman"/>
          <w:b w:val="0"/>
          <w:bCs/>
          <w:sz w:val="24"/>
          <w:szCs w:val="24"/>
        </w:rPr>
      </w:pPr>
    </w:p>
    <w:p w14:paraId="021C6B70">
      <w:pPr>
        <w:spacing w:line="360" w:lineRule="auto"/>
        <w:jc w:val="both"/>
        <w:rPr>
          <w:rFonts w:hint="default" w:ascii="Times New Roman" w:hAnsi="Times New Roman" w:cs="Times New Roman"/>
          <w:b w:val="0"/>
          <w:bCs/>
          <w:sz w:val="24"/>
          <w:szCs w:val="24"/>
        </w:rPr>
      </w:pPr>
    </w:p>
    <w:p w14:paraId="7EA7DCE6">
      <w:pPr>
        <w:spacing w:line="360" w:lineRule="auto"/>
        <w:jc w:val="both"/>
        <w:rPr>
          <w:rFonts w:hint="default" w:ascii="Times New Roman" w:hAnsi="Times New Roman" w:cs="Times New Roman"/>
          <w:b w:val="0"/>
          <w:bCs/>
          <w:sz w:val="24"/>
          <w:szCs w:val="24"/>
        </w:rPr>
      </w:pPr>
    </w:p>
    <w:p w14:paraId="6C03C505">
      <w:pPr>
        <w:spacing w:line="360" w:lineRule="auto"/>
        <w:jc w:val="both"/>
        <w:rPr>
          <w:rFonts w:hint="default" w:ascii="Times New Roman" w:hAnsi="Times New Roman" w:cs="Times New Roman"/>
          <w:b w:val="0"/>
          <w:bCs/>
          <w:sz w:val="24"/>
          <w:szCs w:val="24"/>
        </w:rPr>
      </w:pPr>
    </w:p>
    <w:p w14:paraId="7EEBEF63">
      <w:pPr>
        <w:spacing w:line="360" w:lineRule="auto"/>
        <w:jc w:val="both"/>
        <w:rPr>
          <w:rFonts w:hint="default" w:ascii="Times New Roman" w:hAnsi="Times New Roman" w:cs="Times New Roman"/>
          <w:b w:val="0"/>
          <w:bCs/>
          <w:sz w:val="24"/>
          <w:szCs w:val="24"/>
        </w:rPr>
      </w:pPr>
    </w:p>
    <w:p w14:paraId="59D81F19">
      <w:pPr>
        <w:spacing w:line="360" w:lineRule="auto"/>
        <w:jc w:val="both"/>
        <w:rPr>
          <w:rFonts w:hint="default" w:ascii="Times New Roman" w:hAnsi="Times New Roman" w:cs="Times New Roman"/>
          <w:b w:val="0"/>
          <w:bCs/>
          <w:sz w:val="24"/>
          <w:szCs w:val="24"/>
        </w:rPr>
      </w:pPr>
    </w:p>
    <w:p w14:paraId="68BF30F3">
      <w:pPr>
        <w:spacing w:line="360" w:lineRule="auto"/>
        <w:jc w:val="both"/>
        <w:rPr>
          <w:rFonts w:hint="default" w:ascii="Times New Roman" w:hAnsi="Times New Roman" w:cs="Times New Roman"/>
          <w:b w:val="0"/>
          <w:bCs/>
          <w:sz w:val="24"/>
          <w:szCs w:val="24"/>
        </w:rPr>
      </w:pPr>
    </w:p>
    <w:p w14:paraId="2A68C8E6">
      <w:pPr>
        <w:spacing w:line="360" w:lineRule="auto"/>
        <w:jc w:val="both"/>
        <w:rPr>
          <w:rFonts w:hint="default" w:ascii="Times New Roman" w:hAnsi="Times New Roman" w:cs="Times New Roman"/>
          <w:b w:val="0"/>
          <w:bCs/>
          <w:sz w:val="24"/>
          <w:szCs w:val="24"/>
        </w:rPr>
      </w:pPr>
    </w:p>
    <w:p w14:paraId="592A94F0">
      <w:pPr>
        <w:spacing w:line="360" w:lineRule="auto"/>
        <w:jc w:val="both"/>
        <w:rPr>
          <w:rFonts w:hint="default" w:ascii="Times New Roman" w:hAnsi="Times New Roman" w:cs="Times New Roman"/>
          <w:b w:val="0"/>
          <w:bCs/>
          <w:sz w:val="24"/>
          <w:szCs w:val="24"/>
        </w:rPr>
      </w:pPr>
    </w:p>
    <w:p w14:paraId="4ABE2797">
      <w:pPr>
        <w:spacing w:line="360" w:lineRule="auto"/>
        <w:jc w:val="both"/>
        <w:rPr>
          <w:rFonts w:hint="default" w:ascii="Times New Roman" w:hAnsi="Times New Roman" w:cs="Times New Roman"/>
          <w:b w:val="0"/>
          <w:bCs/>
          <w:sz w:val="24"/>
          <w:szCs w:val="24"/>
        </w:rPr>
      </w:pPr>
    </w:p>
    <w:p w14:paraId="66CA520F">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ACKNOWLEDGEMENTS</w:t>
      </w:r>
    </w:p>
    <w:p w14:paraId="55167B31">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All thanks goes to </w:t>
      </w:r>
      <w:r>
        <w:rPr>
          <w:rFonts w:hint="default" w:cs="Times New Roman"/>
          <w:b w:val="0"/>
          <w:bCs/>
          <w:sz w:val="24"/>
          <w:szCs w:val="24"/>
          <w:lang w:val="en-US"/>
        </w:rPr>
        <w:t>A</w:t>
      </w:r>
      <w:r>
        <w:rPr>
          <w:rFonts w:hint="default" w:ascii="Times New Roman" w:hAnsi="Times New Roman" w:cs="Times New Roman"/>
          <w:b w:val="0"/>
          <w:bCs/>
          <w:sz w:val="24"/>
          <w:szCs w:val="24"/>
        </w:rPr>
        <w:t xml:space="preserve">lmighty </w:t>
      </w:r>
      <w:r>
        <w:rPr>
          <w:rFonts w:hint="default" w:ascii="Times New Roman" w:hAnsi="Times New Roman" w:cs="Times New Roman"/>
          <w:b w:val="0"/>
          <w:bCs/>
          <w:sz w:val="24"/>
          <w:szCs w:val="24"/>
          <w:lang w:val="en-US"/>
        </w:rPr>
        <w:t>Allah</w:t>
      </w:r>
      <w:r>
        <w:rPr>
          <w:rFonts w:hint="default" w:cs="Times New Roman"/>
          <w:b w:val="0"/>
          <w:bCs/>
          <w:sz w:val="24"/>
          <w:szCs w:val="24"/>
          <w:lang w:val="en-US"/>
        </w:rPr>
        <w:t xml:space="preserve"> </w:t>
      </w:r>
      <w:r>
        <w:rPr>
          <w:rFonts w:hint="default" w:ascii="Times New Roman" w:hAnsi="Times New Roman" w:cs="Times New Roman"/>
          <w:b w:val="0"/>
          <w:bCs/>
          <w:sz w:val="24"/>
          <w:szCs w:val="24"/>
        </w:rPr>
        <w:t>for giving me the grace and privilege to see these days.</w:t>
      </w:r>
    </w:p>
    <w:p w14:paraId="28158997">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Also my gratitude goes to my lovely and wonderful supervisor in person of </w:t>
      </w:r>
      <w:r>
        <w:rPr>
          <w:rFonts w:hint="default" w:ascii="Times New Roman" w:hAnsi="Times New Roman" w:cs="Times New Roman"/>
          <w:b/>
          <w:bCs w:val="0"/>
          <w:sz w:val="24"/>
          <w:szCs w:val="24"/>
        </w:rPr>
        <w:t>Mr</w:t>
      </w:r>
      <w:r>
        <w:rPr>
          <w:rFonts w:hint="default" w:ascii="Times New Roman" w:hAnsi="Times New Roman" w:cs="Times New Roman"/>
          <w:b/>
          <w:bCs w:val="0"/>
          <w:sz w:val="24"/>
          <w:szCs w:val="24"/>
          <w:lang w:val="en-US"/>
        </w:rPr>
        <w:t>. Idris A.O</w:t>
      </w:r>
      <w:r>
        <w:rPr>
          <w:rFonts w:hint="default" w:ascii="Times New Roman" w:hAnsi="Times New Roman" w:cs="Times New Roman"/>
          <w:b w:val="0"/>
          <w:bCs/>
          <w:sz w:val="24"/>
          <w:szCs w:val="24"/>
        </w:rPr>
        <w:t xml:space="preserve"> for directing me and making this project a successful one, may </w:t>
      </w:r>
      <w:r>
        <w:rPr>
          <w:rFonts w:hint="default" w:cs="Times New Roman"/>
          <w:b w:val="0"/>
          <w:bCs/>
          <w:sz w:val="24"/>
          <w:szCs w:val="24"/>
          <w:lang w:val="en-US"/>
        </w:rPr>
        <w:t>Al</w:t>
      </w:r>
      <w:r>
        <w:rPr>
          <w:rFonts w:hint="default" w:ascii="Times New Roman" w:hAnsi="Times New Roman" w:cs="Times New Roman"/>
          <w:b w:val="0"/>
          <w:bCs/>
          <w:sz w:val="24"/>
          <w:szCs w:val="24"/>
        </w:rPr>
        <w:t xml:space="preserve">mighty </w:t>
      </w:r>
      <w:r>
        <w:rPr>
          <w:rFonts w:hint="default" w:cs="Times New Roman"/>
          <w:b w:val="0"/>
          <w:bCs/>
          <w:sz w:val="24"/>
          <w:szCs w:val="24"/>
          <w:lang w:val="en-US"/>
        </w:rPr>
        <w:t>Allah</w:t>
      </w:r>
      <w:r>
        <w:rPr>
          <w:rFonts w:hint="default" w:ascii="Times New Roman" w:hAnsi="Times New Roman" w:cs="Times New Roman"/>
          <w:b w:val="0"/>
          <w:bCs/>
          <w:sz w:val="24"/>
          <w:szCs w:val="24"/>
        </w:rPr>
        <w:t xml:space="preserve"> continue to bless you sir. </w:t>
      </w:r>
    </w:p>
    <w:p w14:paraId="11E8EE34">
      <w:pPr>
        <w:spacing w:after="240"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sz w:val="24"/>
          <w:szCs w:val="24"/>
          <w:lang w:val="en-US"/>
        </w:rPr>
        <w:t>Also i</w:t>
      </w:r>
      <w:r>
        <w:rPr>
          <w:rFonts w:ascii="Times New Roman" w:hAnsi="Times New Roman" w:cs="Times New Roman"/>
          <w:sz w:val="24"/>
          <w:szCs w:val="24"/>
        </w:rPr>
        <w:t xml:space="preserve"> sincerely, heartedly and indebted to my beloved brothers and caring parent</w:t>
      </w:r>
      <w:r>
        <w:rPr>
          <w:rFonts w:hint="default" w:ascii="Times New Roman" w:hAnsi="Times New Roman" w:cs="Times New Roman"/>
          <w:sz w:val="24"/>
          <w:szCs w:val="24"/>
          <w:lang w:val="en-US"/>
        </w:rPr>
        <w:t>, Mr and Mrs Adebayo</w:t>
      </w:r>
      <w:r>
        <w:rPr>
          <w:rFonts w:ascii="Times New Roman" w:hAnsi="Times New Roman" w:cs="Times New Roman"/>
          <w:sz w:val="24"/>
          <w:szCs w:val="24"/>
        </w:rPr>
        <w:t xml:space="preserve"> for their financially support from my childhood, May Almighty Allah will sustain you to reap the fruit of your labour</w:t>
      </w:r>
      <w:r>
        <w:rPr>
          <w:rFonts w:hint="default" w:ascii="Times New Roman" w:hAnsi="Times New Roman" w:cs="Times New Roman"/>
          <w:b w:val="0"/>
          <w:bCs/>
          <w:sz w:val="24"/>
          <w:szCs w:val="24"/>
          <w:lang w:val="en-US"/>
        </w:rPr>
        <w:t>, may Almighty Allah Bless them.</w:t>
      </w:r>
    </w:p>
    <w:p w14:paraId="6A729CFE">
      <w:pPr>
        <w:spacing w:line="360" w:lineRule="auto"/>
        <w:jc w:val="both"/>
        <w:rPr>
          <w:rFonts w:hint="default" w:ascii="Times New Roman" w:hAnsi="Times New Roman" w:cs="Times New Roman"/>
        </w:rPr>
      </w:pPr>
      <w:r>
        <w:rPr>
          <w:rFonts w:hint="default"/>
          <w:b w:val="0"/>
          <w:bCs/>
          <w:sz w:val="24"/>
          <w:szCs w:val="24"/>
          <w:lang w:val="en-US"/>
        </w:rPr>
        <w:tab/>
      </w:r>
      <w:r>
        <w:rPr>
          <w:rFonts w:hint="default" w:ascii="Times New Roman" w:hAnsi="Times New Roman" w:cs="Times New Roman"/>
          <w:b w:val="0"/>
          <w:bCs/>
          <w:sz w:val="24"/>
          <w:szCs w:val="24"/>
          <w:lang w:val="en-US"/>
        </w:rPr>
        <w:t>Also, all thanks to my colleagues who support me during the project may Allah answer all your prayers, how can I forget the person that help me edit and print the project in person of Mr Habeeb, may Allah reward you.</w:t>
      </w:r>
    </w:p>
    <w:p w14:paraId="68FD938F">
      <w:pPr>
        <w:jc w:val="both"/>
        <w:rPr>
          <w:rFonts w:ascii="Times New Roman" w:hAnsi="Times New Roman" w:cs="Times New Roman"/>
          <w:b/>
          <w:color w:val="000000"/>
          <w:sz w:val="28"/>
          <w:szCs w:val="28"/>
        </w:rPr>
      </w:pPr>
    </w:p>
    <w:p w14:paraId="3B0D4430">
      <w:pPr>
        <w:spacing w:line="480" w:lineRule="auto"/>
        <w:jc w:val="center"/>
        <w:rPr>
          <w:rFonts w:ascii="Times New Roman" w:hAnsi="Times New Roman" w:eastAsia="Times New Roman" w:cs="Times New Roman"/>
          <w:b/>
          <w:sz w:val="24"/>
          <w:szCs w:val="24"/>
        </w:rPr>
      </w:pPr>
      <w:r>
        <w:br w:type="page"/>
      </w:r>
      <w:r>
        <w:rPr>
          <w:rFonts w:hint="default" w:ascii="Times New Roman" w:hAnsi="Times New Roman" w:cs="Times New Roman"/>
          <w:b/>
          <w:bCs/>
          <w:sz w:val="28"/>
          <w:szCs w:val="28"/>
          <w:lang w:val="en-US"/>
        </w:rPr>
        <w:t xml:space="preserve">TABLE OF </w:t>
      </w:r>
      <w:r>
        <w:rPr>
          <w:rFonts w:hint="default" w:ascii="Times New Roman" w:hAnsi="Times New Roman" w:eastAsia="Times New Roman" w:cs="Times New Roman"/>
          <w:b/>
          <w:bCs/>
          <w:sz w:val="28"/>
          <w:szCs w:val="28"/>
        </w:rPr>
        <w:t>CONTENTS</w:t>
      </w:r>
    </w:p>
    <w:p w14:paraId="7093E396">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Title Page</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i</w:t>
      </w:r>
    </w:p>
    <w:p w14:paraId="685255B6">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Certification</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ii</w:t>
      </w:r>
    </w:p>
    <w:p w14:paraId="25E2AA1C">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Dedication</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iii</w:t>
      </w:r>
    </w:p>
    <w:p w14:paraId="42E52506">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Acknowledgement</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iv</w:t>
      </w:r>
    </w:p>
    <w:p w14:paraId="247D3BFD">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List of Tables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v</w:t>
      </w:r>
    </w:p>
    <w:p w14:paraId="47A577D8">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Abbreviations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vi</w:t>
      </w:r>
    </w:p>
    <w:p w14:paraId="310CC930">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Abstract</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vii</w:t>
      </w:r>
    </w:p>
    <w:p w14:paraId="15C2D540">
      <w:pPr>
        <w:spacing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Contents</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viii</w:t>
      </w:r>
    </w:p>
    <w:p w14:paraId="410264BD">
      <w:pPr>
        <w:spacing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CHAPTER ONE: Introduction</w:t>
      </w:r>
    </w:p>
    <w:p w14:paraId="31E30AFA">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 xml:space="preserve">Background to the Study </w:t>
      </w:r>
      <w:r>
        <w:rPr>
          <w:rFonts w:hint="default" w:ascii="Times New Roman" w:hAnsi="Times New Roman" w:cs="Times New Roman"/>
          <w:sz w:val="24"/>
          <w:szCs w:val="24"/>
          <w:lang w:val="en-US"/>
        </w:rPr>
        <w:t>……………………………………………………3</w:t>
      </w:r>
    </w:p>
    <w:p w14:paraId="2617F973">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Statement of the Problem</w:t>
      </w:r>
      <w:r>
        <w:rPr>
          <w:rFonts w:hint="default" w:ascii="Times New Roman" w:hAnsi="Times New Roman" w:cs="Times New Roman"/>
          <w:sz w:val="24"/>
          <w:szCs w:val="24"/>
          <w:lang w:val="en-US"/>
        </w:rPr>
        <w:t>…………………………………………………….3</w:t>
      </w:r>
    </w:p>
    <w:p w14:paraId="529DE717">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1.3</w:t>
      </w:r>
      <w:r>
        <w:rPr>
          <w:rFonts w:ascii="Times New Roman" w:hAnsi="Times New Roman" w:cs="Times New Roman"/>
          <w:sz w:val="24"/>
          <w:szCs w:val="24"/>
        </w:rPr>
        <w:tab/>
      </w:r>
      <w:r>
        <w:rPr>
          <w:rFonts w:ascii="Times New Roman" w:hAnsi="Times New Roman" w:cs="Times New Roman"/>
          <w:sz w:val="24"/>
          <w:szCs w:val="24"/>
        </w:rPr>
        <w:t>Objectives of the Study</w:t>
      </w:r>
      <w:r>
        <w:rPr>
          <w:rFonts w:hint="default" w:ascii="Times New Roman" w:hAnsi="Times New Roman" w:cs="Times New Roman"/>
          <w:sz w:val="24"/>
          <w:szCs w:val="24"/>
          <w:lang w:val="en-US"/>
        </w:rPr>
        <w:t>……………………………………………………….4</w:t>
      </w:r>
    </w:p>
    <w:p w14:paraId="539AC587">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1.4</w:t>
      </w:r>
      <w:r>
        <w:rPr>
          <w:rFonts w:ascii="Times New Roman" w:hAnsi="Times New Roman" w:cs="Times New Roman"/>
          <w:sz w:val="24"/>
          <w:szCs w:val="24"/>
        </w:rPr>
        <w:tab/>
      </w:r>
      <w:r>
        <w:rPr>
          <w:rFonts w:ascii="Times New Roman" w:hAnsi="Times New Roman" w:cs="Times New Roman"/>
          <w:sz w:val="24"/>
          <w:szCs w:val="24"/>
        </w:rPr>
        <w:t>Research Question</w:t>
      </w:r>
      <w:r>
        <w:rPr>
          <w:rFonts w:hint="default" w:ascii="Times New Roman" w:hAnsi="Times New Roman" w:cs="Times New Roman"/>
          <w:sz w:val="24"/>
          <w:szCs w:val="24"/>
          <w:lang w:val="en-US"/>
        </w:rPr>
        <w:t>…………………………………………………………….5</w:t>
      </w:r>
    </w:p>
    <w:p w14:paraId="49E5B5FB">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sz w:val="24"/>
          <w:szCs w:val="24"/>
        </w:rPr>
        <w:t>Significance of the Study</w:t>
      </w:r>
      <w:r>
        <w:rPr>
          <w:rFonts w:hint="default" w:ascii="Times New Roman" w:hAnsi="Times New Roman" w:cs="Times New Roman"/>
          <w:sz w:val="24"/>
          <w:szCs w:val="24"/>
          <w:lang w:val="en-US"/>
        </w:rPr>
        <w:t>………………………………………………………5</w:t>
      </w:r>
    </w:p>
    <w:p w14:paraId="0B17BACA">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1.6</w:t>
      </w:r>
      <w:r>
        <w:rPr>
          <w:rFonts w:ascii="Times New Roman" w:hAnsi="Times New Roman" w:cs="Times New Roman"/>
          <w:sz w:val="24"/>
          <w:szCs w:val="24"/>
        </w:rPr>
        <w:tab/>
      </w:r>
      <w:r>
        <w:rPr>
          <w:rFonts w:ascii="Times New Roman" w:hAnsi="Times New Roman" w:cs="Times New Roman"/>
          <w:sz w:val="24"/>
          <w:szCs w:val="24"/>
        </w:rPr>
        <w:t>Scope and Limitation of the Study</w:t>
      </w:r>
      <w:r>
        <w:rPr>
          <w:rFonts w:hint="default" w:ascii="Times New Roman" w:hAnsi="Times New Roman" w:cs="Times New Roman"/>
          <w:sz w:val="24"/>
          <w:szCs w:val="24"/>
          <w:lang w:val="en-US"/>
        </w:rPr>
        <w:t>……………………………………………..6</w:t>
      </w:r>
    </w:p>
    <w:p w14:paraId="01D85E07">
      <w:pPr>
        <w:spacing w:after="0" w:line="360" w:lineRule="auto"/>
        <w:jc w:val="both"/>
        <w:rPr>
          <w:rFonts w:hint="default" w:ascii="Times New Roman" w:hAnsi="Times New Roman" w:cs="Times New Roman"/>
          <w:b/>
          <w:sz w:val="24"/>
          <w:szCs w:val="24"/>
          <w:lang w:val="en-US"/>
        </w:rPr>
      </w:pPr>
      <w:r>
        <w:rPr>
          <w:rFonts w:ascii="Times New Roman" w:hAnsi="Times New Roman" w:cs="Times New Roman"/>
          <w:sz w:val="24"/>
          <w:szCs w:val="24"/>
        </w:rPr>
        <w:t>1.7</w:t>
      </w:r>
      <w:r>
        <w:rPr>
          <w:rFonts w:ascii="Times New Roman" w:hAnsi="Times New Roman" w:cs="Times New Roman"/>
          <w:sz w:val="24"/>
          <w:szCs w:val="24"/>
        </w:rPr>
        <w:tab/>
      </w:r>
      <w:r>
        <w:rPr>
          <w:rFonts w:ascii="Times New Roman" w:hAnsi="Times New Roman" w:cs="Times New Roman"/>
          <w:sz w:val="24"/>
          <w:szCs w:val="24"/>
        </w:rPr>
        <w:t>Operational Definition of Terms</w:t>
      </w:r>
      <w:r>
        <w:rPr>
          <w:rFonts w:hint="default" w:ascii="Times New Roman" w:hAnsi="Times New Roman" w:cs="Times New Roman"/>
          <w:sz w:val="24"/>
          <w:szCs w:val="24"/>
          <w:lang w:val="en-US"/>
        </w:rPr>
        <w:t>………………………………………………..6</w:t>
      </w:r>
    </w:p>
    <w:p w14:paraId="47A656FC">
      <w:pPr>
        <w:spacing w:after="0" w:line="240" w:lineRule="auto"/>
        <w:rPr>
          <w:rFonts w:ascii="Times New Roman" w:hAnsi="Times New Roman" w:cs="Times New Roman"/>
          <w:b/>
          <w:sz w:val="24"/>
          <w:szCs w:val="24"/>
        </w:rPr>
      </w:pPr>
      <w:r>
        <w:rPr>
          <w:rFonts w:ascii="Times New Roman" w:hAnsi="Times New Roman" w:cs="Times New Roman"/>
          <w:b/>
          <w:sz w:val="24"/>
          <w:szCs w:val="24"/>
        </w:rPr>
        <w:t>CHAPTER TWO: REVIEW OF RELATED LITERATURE</w:t>
      </w:r>
    </w:p>
    <w:p w14:paraId="45B5FCCB">
      <w:pPr>
        <w:spacing w:after="0" w:line="360" w:lineRule="auto"/>
        <w:ind w:right="26"/>
        <w:jc w:val="both"/>
        <w:rPr>
          <w:rFonts w:hint="default" w:ascii="Times New Roman" w:hAnsi="Times New Roman" w:cs="Times New Roman"/>
          <w:sz w:val="24"/>
          <w:szCs w:val="24"/>
          <w:lang w:val="en-US"/>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sz w:val="24"/>
          <w:szCs w:val="24"/>
        </w:rPr>
        <w:t>Introduction</w:t>
      </w:r>
      <w:r>
        <w:rPr>
          <w:rFonts w:hint="default" w:ascii="Times New Roman" w:hAnsi="Times New Roman" w:cs="Times New Roman"/>
          <w:sz w:val="24"/>
          <w:szCs w:val="24"/>
          <w:lang w:val="en-US"/>
        </w:rPr>
        <w:t>……………………………………………………………………..7</w:t>
      </w:r>
    </w:p>
    <w:p w14:paraId="60210DB8">
      <w:pPr>
        <w:spacing w:after="0" w:line="360" w:lineRule="auto"/>
        <w:ind w:right="26"/>
        <w:jc w:val="both"/>
        <w:rPr>
          <w:rFonts w:hint="default" w:ascii="Times New Roman" w:hAnsi="Times New Roman" w:cs="Times New Roman"/>
          <w:sz w:val="24"/>
          <w:szCs w:val="24"/>
          <w:lang w:val="en-US"/>
        </w:rPr>
      </w:pPr>
      <w:r>
        <w:rPr>
          <w:rFonts w:ascii="Times New Roman" w:hAnsi="Times New Roman" w:cs="Times New Roman"/>
          <w:sz w:val="24"/>
          <w:szCs w:val="24"/>
        </w:rPr>
        <w:t>2.2</w:t>
      </w:r>
      <w:r>
        <w:rPr>
          <w:rFonts w:ascii="Times New Roman" w:hAnsi="Times New Roman" w:cs="Times New Roman"/>
          <w:sz w:val="24"/>
          <w:szCs w:val="24"/>
        </w:rPr>
        <w:tab/>
      </w:r>
      <w:r>
        <w:rPr>
          <w:rFonts w:ascii="Times New Roman" w:hAnsi="Times New Roman" w:cs="Times New Roman"/>
          <w:sz w:val="24"/>
          <w:szCs w:val="24"/>
        </w:rPr>
        <w:t>Conceptual Framework</w:t>
      </w:r>
      <w:r>
        <w:rPr>
          <w:rFonts w:hint="default" w:ascii="Times New Roman" w:hAnsi="Times New Roman" w:cs="Times New Roman"/>
          <w:sz w:val="24"/>
          <w:szCs w:val="24"/>
          <w:lang w:val="en-US"/>
        </w:rPr>
        <w:t>………………………………………………………….7</w:t>
      </w:r>
    </w:p>
    <w:p w14:paraId="5318A839">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2.2.1</w:t>
      </w:r>
      <w:r>
        <w:rPr>
          <w:rFonts w:ascii="Times New Roman" w:hAnsi="Times New Roman" w:cs="Times New Roman"/>
          <w:sz w:val="24"/>
          <w:szCs w:val="24"/>
        </w:rPr>
        <w:tab/>
      </w:r>
      <w:r>
        <w:rPr>
          <w:rFonts w:ascii="Times New Roman" w:hAnsi="Times New Roman" w:cs="Times New Roman"/>
          <w:bCs/>
          <w:sz w:val="24"/>
          <w:szCs w:val="24"/>
        </w:rPr>
        <w:t>Open access</w:t>
      </w:r>
      <w:r>
        <w:rPr>
          <w:rFonts w:ascii="Times New Roman" w:hAnsi="Times New Roman" w:cs="Times New Roman"/>
          <w:sz w:val="24"/>
          <w:szCs w:val="24"/>
        </w:rPr>
        <w:t> </w:t>
      </w:r>
      <w:r>
        <w:rPr>
          <w:rFonts w:hint="default" w:ascii="Times New Roman" w:hAnsi="Times New Roman" w:cs="Times New Roman"/>
          <w:sz w:val="24"/>
          <w:szCs w:val="24"/>
          <w:lang w:val="en-US"/>
        </w:rPr>
        <w:t>………………………………………………………………………7</w:t>
      </w:r>
    </w:p>
    <w:p w14:paraId="0C8ADA1E">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2.2.2</w:t>
      </w:r>
      <w:r>
        <w:rPr>
          <w:rFonts w:ascii="Times New Roman" w:hAnsi="Times New Roman" w:cs="Times New Roman"/>
          <w:sz w:val="24"/>
          <w:szCs w:val="24"/>
        </w:rPr>
        <w:tab/>
      </w:r>
      <w:r>
        <w:rPr>
          <w:rFonts w:ascii="Times New Roman" w:hAnsi="Times New Roman" w:cs="Times New Roman"/>
          <w:sz w:val="24"/>
          <w:szCs w:val="24"/>
        </w:rPr>
        <w:t>Adoption of Open Access by Libraries</w:t>
      </w:r>
      <w:r>
        <w:rPr>
          <w:rFonts w:hint="default" w:ascii="Times New Roman" w:hAnsi="Times New Roman" w:cs="Times New Roman"/>
          <w:sz w:val="24"/>
          <w:szCs w:val="24"/>
          <w:lang w:val="en-US"/>
        </w:rPr>
        <w:t>…………………………………………12</w:t>
      </w:r>
    </w:p>
    <w:p w14:paraId="4D0BF645">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2.2.3</w:t>
      </w:r>
      <w:r>
        <w:rPr>
          <w:rFonts w:ascii="Times New Roman" w:hAnsi="Times New Roman" w:cs="Times New Roman"/>
          <w:sz w:val="24"/>
          <w:szCs w:val="24"/>
        </w:rPr>
        <w:tab/>
      </w:r>
      <w:r>
        <w:rPr>
          <w:rFonts w:ascii="Times New Roman" w:hAnsi="Times New Roman" w:cs="Times New Roman"/>
          <w:sz w:val="24"/>
          <w:szCs w:val="24"/>
        </w:rPr>
        <w:t>Frequency of Usage of Open Access</w:t>
      </w:r>
      <w:r>
        <w:rPr>
          <w:rFonts w:hint="default" w:ascii="Times New Roman" w:hAnsi="Times New Roman" w:cs="Times New Roman"/>
          <w:sz w:val="24"/>
          <w:szCs w:val="24"/>
          <w:lang w:val="en-US"/>
        </w:rPr>
        <w:t>……………………………………………14</w:t>
      </w:r>
    </w:p>
    <w:p w14:paraId="7ED04E86">
      <w:pPr>
        <w:spacing w:line="240" w:lineRule="auto"/>
        <w:jc w:val="both"/>
        <w:rPr>
          <w:rFonts w:hint="default" w:ascii="Times New Roman" w:hAnsi="Times New Roman" w:cs="Times New Roman"/>
          <w:sz w:val="24"/>
          <w:szCs w:val="24"/>
          <w:lang w:val="en-US"/>
        </w:rPr>
      </w:pPr>
      <w:r>
        <w:rPr>
          <w:rFonts w:ascii="Times New Roman" w:hAnsi="Times New Roman" w:cs="Times New Roman"/>
          <w:sz w:val="24"/>
          <w:szCs w:val="24"/>
        </w:rPr>
        <w:t>2.2.4</w:t>
      </w:r>
      <w:r>
        <w:rPr>
          <w:rFonts w:ascii="Times New Roman" w:hAnsi="Times New Roman" w:cs="Times New Roman"/>
          <w:sz w:val="24"/>
          <w:szCs w:val="24"/>
        </w:rPr>
        <w:tab/>
      </w:r>
      <w:r>
        <w:rPr>
          <w:rFonts w:ascii="Times New Roman" w:hAnsi="Times New Roman" w:cs="Times New Roman"/>
          <w:sz w:val="24"/>
          <w:szCs w:val="24"/>
        </w:rPr>
        <w:t>Types of Open Access</w:t>
      </w:r>
      <w:r>
        <w:rPr>
          <w:rFonts w:hint="default" w:ascii="Times New Roman" w:hAnsi="Times New Roman" w:cs="Times New Roman"/>
          <w:sz w:val="24"/>
          <w:szCs w:val="24"/>
          <w:lang w:val="en-US"/>
        </w:rPr>
        <w:t>…………………………………………………………17</w:t>
      </w:r>
    </w:p>
    <w:p w14:paraId="65CB2C84">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2.2.5</w:t>
      </w:r>
      <w:r>
        <w:rPr>
          <w:rFonts w:ascii="Times New Roman" w:hAnsi="Times New Roman" w:cs="Times New Roman"/>
          <w:sz w:val="24"/>
          <w:szCs w:val="24"/>
        </w:rPr>
        <w:tab/>
      </w:r>
      <w:r>
        <w:rPr>
          <w:rFonts w:ascii="Times New Roman" w:hAnsi="Times New Roman" w:cs="Times New Roman"/>
          <w:sz w:val="24"/>
          <w:szCs w:val="24"/>
        </w:rPr>
        <w:t xml:space="preserve">The tools used for Open Access </w:t>
      </w:r>
      <w:r>
        <w:rPr>
          <w:rFonts w:hint="default" w:ascii="Times New Roman" w:hAnsi="Times New Roman" w:cs="Times New Roman"/>
          <w:sz w:val="24"/>
          <w:szCs w:val="24"/>
          <w:lang w:val="en-US"/>
        </w:rPr>
        <w:t>………………………………………………..18</w:t>
      </w:r>
    </w:p>
    <w:p w14:paraId="7B4317F4">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2.2.6</w:t>
      </w:r>
      <w:r>
        <w:rPr>
          <w:rFonts w:ascii="Times New Roman" w:hAnsi="Times New Roman" w:cs="Times New Roman"/>
          <w:sz w:val="24"/>
          <w:szCs w:val="24"/>
        </w:rPr>
        <w:tab/>
      </w:r>
      <w:r>
        <w:rPr>
          <w:rFonts w:ascii="Times New Roman" w:hAnsi="Times New Roman" w:cs="Times New Roman"/>
          <w:sz w:val="24"/>
          <w:szCs w:val="24"/>
        </w:rPr>
        <w:t xml:space="preserve">Benefits of using Open Access for Learning and Research </w:t>
      </w:r>
      <w:r>
        <w:rPr>
          <w:rFonts w:hint="default" w:ascii="Times New Roman" w:hAnsi="Times New Roman" w:cs="Times New Roman"/>
          <w:sz w:val="24"/>
          <w:szCs w:val="24"/>
          <w:lang w:val="en-US"/>
        </w:rPr>
        <w:t>…………………….19</w:t>
      </w:r>
    </w:p>
    <w:p w14:paraId="3F25077D">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2.2.7</w:t>
      </w:r>
      <w:r>
        <w:rPr>
          <w:rFonts w:ascii="Times New Roman" w:hAnsi="Times New Roman" w:cs="Times New Roman"/>
          <w:sz w:val="24"/>
          <w:szCs w:val="24"/>
        </w:rPr>
        <w:tab/>
      </w:r>
      <w:r>
        <w:rPr>
          <w:rFonts w:ascii="Times New Roman" w:hAnsi="Times New Roman" w:cs="Times New Roman"/>
          <w:sz w:val="24"/>
          <w:szCs w:val="24"/>
        </w:rPr>
        <w:t>Factors that affect the Acceptance and Adoption of Open Access</w:t>
      </w:r>
      <w:r>
        <w:rPr>
          <w:rFonts w:hint="default" w:ascii="Times New Roman" w:hAnsi="Times New Roman" w:cs="Times New Roman"/>
          <w:sz w:val="24"/>
          <w:szCs w:val="24"/>
          <w:lang w:val="en-US"/>
        </w:rPr>
        <w:t>…………….22</w:t>
      </w:r>
    </w:p>
    <w:p w14:paraId="521FDCCA">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rPr>
        <w:t>Summary of Literature Reviewed</w:t>
      </w:r>
      <w:r>
        <w:rPr>
          <w:rFonts w:hint="default" w:ascii="Times New Roman" w:hAnsi="Times New Roman" w:cs="Times New Roman"/>
          <w:sz w:val="24"/>
          <w:szCs w:val="24"/>
          <w:lang w:val="en-US"/>
        </w:rPr>
        <w:t>………………………………………………23</w:t>
      </w:r>
    </w:p>
    <w:p w14:paraId="6CB9FB99">
      <w:pPr>
        <w:spacing w:after="0" w:line="240" w:lineRule="auto"/>
        <w:jc w:val="both"/>
        <w:rPr>
          <w:rFonts w:ascii="Times New Roman" w:hAnsi="Times New Roman" w:cs="Times New Roman"/>
          <w:b/>
          <w:sz w:val="24"/>
          <w:szCs w:val="24"/>
        </w:rPr>
      </w:pPr>
    </w:p>
    <w:p w14:paraId="44FA2687">
      <w:pPr>
        <w:spacing w:after="0" w:line="240" w:lineRule="auto"/>
        <w:jc w:val="both"/>
        <w:rPr>
          <w:rFonts w:ascii="Times New Roman" w:hAnsi="Times New Roman" w:cs="Times New Roman"/>
          <w:b/>
          <w:sz w:val="24"/>
          <w:szCs w:val="24"/>
        </w:rPr>
      </w:pPr>
    </w:p>
    <w:p w14:paraId="375E18A1">
      <w:pPr>
        <w:spacing w:after="0" w:line="240" w:lineRule="auto"/>
        <w:jc w:val="both"/>
        <w:rPr>
          <w:rFonts w:ascii="Times New Roman" w:hAnsi="Times New Roman" w:cs="Times New Roman"/>
          <w:b/>
          <w:sz w:val="24"/>
          <w:szCs w:val="24"/>
        </w:rPr>
      </w:pPr>
    </w:p>
    <w:p w14:paraId="1239BFA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THREE: </w:t>
      </w:r>
      <w:r>
        <w:rPr>
          <w:rFonts w:ascii="Times New Roman" w:hAnsi="Times New Roman" w:eastAsia="Calibri" w:cs="Times New Roman"/>
          <w:b/>
          <w:sz w:val="24"/>
          <w:szCs w:val="24"/>
        </w:rPr>
        <w:t>RESEARCH METHODOLOGY</w:t>
      </w:r>
    </w:p>
    <w:p w14:paraId="6EED9AA8">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3.1</w:t>
      </w:r>
      <w:r>
        <w:rPr>
          <w:rFonts w:ascii="Times New Roman" w:hAnsi="Times New Roman" w:cs="Times New Roman"/>
          <w:sz w:val="24"/>
          <w:szCs w:val="24"/>
        </w:rPr>
        <w:tab/>
      </w:r>
      <w:r>
        <w:rPr>
          <w:rFonts w:ascii="Times New Roman" w:hAnsi="Times New Roman" w:cs="Times New Roman"/>
          <w:sz w:val="24"/>
          <w:szCs w:val="24"/>
        </w:rPr>
        <w:t>Research Design</w:t>
      </w:r>
      <w:r>
        <w:rPr>
          <w:rFonts w:hint="default" w:ascii="Times New Roman" w:hAnsi="Times New Roman" w:cs="Times New Roman"/>
          <w:sz w:val="24"/>
          <w:szCs w:val="24"/>
          <w:lang w:val="en-US"/>
        </w:rPr>
        <w:t>…………………………………………………………….25</w:t>
      </w:r>
    </w:p>
    <w:p w14:paraId="3993A892">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3.2</w:t>
      </w:r>
      <w:r>
        <w:rPr>
          <w:rFonts w:ascii="Times New Roman" w:hAnsi="Times New Roman" w:cs="Times New Roman"/>
          <w:sz w:val="24"/>
          <w:szCs w:val="24"/>
        </w:rPr>
        <w:tab/>
      </w:r>
      <w:r>
        <w:rPr>
          <w:rFonts w:ascii="Times New Roman" w:hAnsi="Times New Roman" w:cs="Times New Roman"/>
          <w:sz w:val="24"/>
          <w:szCs w:val="24"/>
        </w:rPr>
        <w:t>Population of the Study</w:t>
      </w:r>
      <w:r>
        <w:rPr>
          <w:rFonts w:hint="default" w:ascii="Times New Roman" w:hAnsi="Times New Roman" w:cs="Times New Roman"/>
          <w:sz w:val="24"/>
          <w:szCs w:val="24"/>
          <w:lang w:val="en-US"/>
        </w:rPr>
        <w:t>………………………………………………………25</w:t>
      </w:r>
    </w:p>
    <w:p w14:paraId="5F058CFE">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3.3</w:t>
      </w:r>
      <w:r>
        <w:rPr>
          <w:rFonts w:ascii="Times New Roman" w:hAnsi="Times New Roman" w:cs="Times New Roman"/>
          <w:sz w:val="24"/>
          <w:szCs w:val="24"/>
        </w:rPr>
        <w:tab/>
      </w:r>
      <w:r>
        <w:rPr>
          <w:rFonts w:ascii="Times New Roman" w:hAnsi="Times New Roman" w:cs="Times New Roman"/>
          <w:sz w:val="24"/>
          <w:szCs w:val="24"/>
        </w:rPr>
        <w:t>Sample and Sampling Techniques</w:t>
      </w:r>
      <w:r>
        <w:rPr>
          <w:rFonts w:hint="default" w:ascii="Times New Roman" w:hAnsi="Times New Roman" w:cs="Times New Roman"/>
          <w:sz w:val="24"/>
          <w:szCs w:val="24"/>
          <w:lang w:val="en-US"/>
        </w:rPr>
        <w:t>……………………………………………25</w:t>
      </w:r>
    </w:p>
    <w:p w14:paraId="26F3C997">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3.4</w:t>
      </w:r>
      <w:r>
        <w:rPr>
          <w:rFonts w:ascii="Times New Roman" w:hAnsi="Times New Roman" w:cs="Times New Roman"/>
          <w:sz w:val="24"/>
          <w:szCs w:val="24"/>
        </w:rPr>
        <w:tab/>
      </w:r>
      <w:r>
        <w:rPr>
          <w:rFonts w:ascii="Times New Roman" w:hAnsi="Times New Roman" w:cs="Times New Roman"/>
          <w:sz w:val="24"/>
          <w:szCs w:val="24"/>
        </w:rPr>
        <w:t>Instrument for Data Collection</w:t>
      </w:r>
      <w:r>
        <w:rPr>
          <w:rFonts w:hint="default" w:ascii="Times New Roman" w:hAnsi="Times New Roman" w:cs="Times New Roman"/>
          <w:sz w:val="24"/>
          <w:szCs w:val="24"/>
          <w:lang w:val="en-US"/>
        </w:rPr>
        <w:t>……………………………………………….26</w:t>
      </w:r>
    </w:p>
    <w:p w14:paraId="71E42239">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3.5</w:t>
      </w:r>
      <w:r>
        <w:rPr>
          <w:rFonts w:ascii="Times New Roman" w:hAnsi="Times New Roman" w:cs="Times New Roman"/>
          <w:sz w:val="24"/>
          <w:szCs w:val="24"/>
        </w:rPr>
        <w:tab/>
      </w:r>
      <w:r>
        <w:rPr>
          <w:rFonts w:ascii="Times New Roman" w:hAnsi="Times New Roman" w:cs="Times New Roman"/>
          <w:sz w:val="24"/>
          <w:szCs w:val="24"/>
        </w:rPr>
        <w:t>Reliability and Validity of Research Instrument</w:t>
      </w:r>
      <w:r>
        <w:rPr>
          <w:rFonts w:hint="default" w:ascii="Times New Roman" w:hAnsi="Times New Roman" w:cs="Times New Roman"/>
          <w:sz w:val="24"/>
          <w:szCs w:val="24"/>
          <w:lang w:val="en-US"/>
        </w:rPr>
        <w:t>………………………………27</w:t>
      </w:r>
    </w:p>
    <w:p w14:paraId="2F436508">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3.6</w:t>
      </w:r>
      <w:r>
        <w:rPr>
          <w:rFonts w:ascii="Times New Roman" w:hAnsi="Times New Roman" w:cs="Times New Roman"/>
          <w:sz w:val="24"/>
          <w:szCs w:val="24"/>
        </w:rPr>
        <w:tab/>
      </w:r>
      <w:r>
        <w:rPr>
          <w:rFonts w:ascii="Times New Roman" w:hAnsi="Times New Roman" w:cs="Times New Roman"/>
          <w:sz w:val="24"/>
          <w:szCs w:val="24"/>
        </w:rPr>
        <w:t>Administration of the Instrument</w:t>
      </w:r>
      <w:r>
        <w:rPr>
          <w:rFonts w:hint="default" w:ascii="Times New Roman" w:hAnsi="Times New Roman" w:cs="Times New Roman"/>
          <w:sz w:val="24"/>
          <w:szCs w:val="24"/>
          <w:lang w:val="en-US"/>
        </w:rPr>
        <w:t>………………………………………………27</w:t>
      </w:r>
    </w:p>
    <w:p w14:paraId="369E183B">
      <w:pPr>
        <w:spacing w:after="0" w:line="360" w:lineRule="auto"/>
        <w:jc w:val="both"/>
        <w:rPr>
          <w:rFonts w:hint="default" w:ascii="Times New Roman" w:hAnsi="Times New Roman" w:cs="Times New Roman"/>
          <w:b/>
          <w:sz w:val="24"/>
          <w:szCs w:val="24"/>
          <w:lang w:val="en-US"/>
        </w:rPr>
      </w:pPr>
      <w:r>
        <w:rPr>
          <w:rFonts w:ascii="Times New Roman" w:hAnsi="Times New Roman" w:cs="Times New Roman"/>
          <w:sz w:val="24"/>
          <w:szCs w:val="24"/>
        </w:rPr>
        <w:t>3.7</w:t>
      </w:r>
      <w:r>
        <w:rPr>
          <w:rFonts w:ascii="Times New Roman" w:hAnsi="Times New Roman" w:cs="Times New Roman"/>
          <w:sz w:val="24"/>
          <w:szCs w:val="24"/>
        </w:rPr>
        <w:tab/>
      </w:r>
      <w:r>
        <w:rPr>
          <w:rFonts w:ascii="Times New Roman" w:hAnsi="Times New Roman" w:cs="Times New Roman"/>
          <w:sz w:val="24"/>
          <w:szCs w:val="24"/>
        </w:rPr>
        <w:t>Method of Data Analysis</w:t>
      </w:r>
      <w:r>
        <w:rPr>
          <w:rFonts w:hint="default" w:ascii="Times New Roman" w:hAnsi="Times New Roman" w:cs="Times New Roman"/>
          <w:sz w:val="24"/>
          <w:szCs w:val="24"/>
          <w:lang w:val="en-US"/>
        </w:rPr>
        <w:t>……………………………………………………….28</w:t>
      </w:r>
    </w:p>
    <w:p w14:paraId="1EF5BA33">
      <w:pPr>
        <w:spacing w:after="0" w:line="240" w:lineRule="auto"/>
        <w:rPr>
          <w:rFonts w:ascii="Times New Roman" w:hAnsi="Times New Roman" w:cs="Times New Roman"/>
          <w:sz w:val="24"/>
          <w:szCs w:val="24"/>
        </w:rPr>
      </w:pPr>
      <w:r>
        <w:rPr>
          <w:rFonts w:ascii="Times New Roman" w:hAnsi="Times New Roman" w:cs="Times New Roman"/>
          <w:b/>
          <w:sz w:val="24"/>
          <w:szCs w:val="24"/>
        </w:rPr>
        <w:t>CHAPTER FOUR: DATA PRESENTATION, ANALYSIS AND INTERPRETATION</w:t>
      </w:r>
    </w:p>
    <w:p w14:paraId="43C06763">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4.1</w:t>
      </w:r>
      <w:r>
        <w:rPr>
          <w:rFonts w:ascii="Times New Roman" w:hAnsi="Times New Roman" w:cs="Times New Roman"/>
          <w:sz w:val="24"/>
          <w:szCs w:val="24"/>
        </w:rPr>
        <w:tab/>
      </w:r>
      <w:r>
        <w:rPr>
          <w:rFonts w:ascii="Times New Roman" w:hAnsi="Times New Roman" w:cs="Times New Roman"/>
          <w:sz w:val="24"/>
          <w:szCs w:val="24"/>
        </w:rPr>
        <w:t>Introduction</w:t>
      </w:r>
      <w:r>
        <w:rPr>
          <w:rFonts w:hint="default" w:ascii="Times New Roman" w:hAnsi="Times New Roman" w:cs="Times New Roman"/>
          <w:sz w:val="24"/>
          <w:szCs w:val="24"/>
          <w:lang w:val="en-US"/>
        </w:rPr>
        <w:t>……………………………………………………………………29</w:t>
      </w:r>
    </w:p>
    <w:p w14:paraId="476EF769">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4.2</w:t>
      </w:r>
      <w:r>
        <w:rPr>
          <w:rFonts w:ascii="Times New Roman" w:hAnsi="Times New Roman" w:cs="Times New Roman"/>
          <w:sz w:val="24"/>
          <w:szCs w:val="24"/>
        </w:rPr>
        <w:tab/>
      </w:r>
      <w:r>
        <w:rPr>
          <w:rFonts w:ascii="Times New Roman" w:hAnsi="Times New Roman" w:cs="Times New Roman"/>
          <w:sz w:val="24"/>
          <w:szCs w:val="24"/>
        </w:rPr>
        <w:t>Return Rate</w:t>
      </w:r>
      <w:r>
        <w:rPr>
          <w:rFonts w:hint="default" w:ascii="Times New Roman" w:hAnsi="Times New Roman" w:cs="Times New Roman"/>
          <w:sz w:val="24"/>
          <w:szCs w:val="24"/>
          <w:lang w:val="en-US"/>
        </w:rPr>
        <w:t>…………………………………………………………………….29</w:t>
      </w:r>
    </w:p>
    <w:p w14:paraId="32C7EA31">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4.3</w:t>
      </w:r>
      <w:r>
        <w:rPr>
          <w:rFonts w:ascii="Times New Roman" w:hAnsi="Times New Roman" w:cs="Times New Roman"/>
          <w:sz w:val="24"/>
          <w:szCs w:val="24"/>
        </w:rPr>
        <w:tab/>
      </w:r>
      <w:r>
        <w:rPr>
          <w:rFonts w:ascii="Times New Roman" w:hAnsi="Times New Roman" w:cs="Times New Roman"/>
          <w:sz w:val="24"/>
          <w:szCs w:val="24"/>
        </w:rPr>
        <w:t>Analysis of Staff Questionnaire</w:t>
      </w:r>
      <w:r>
        <w:rPr>
          <w:rFonts w:hint="default" w:ascii="Times New Roman" w:hAnsi="Times New Roman" w:cs="Times New Roman"/>
          <w:sz w:val="24"/>
          <w:szCs w:val="24"/>
          <w:lang w:val="en-US"/>
        </w:rPr>
        <w:t>………………………………………………..29</w:t>
      </w:r>
    </w:p>
    <w:p w14:paraId="7E1CE920">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4.4</w:t>
      </w:r>
      <w:r>
        <w:rPr>
          <w:rFonts w:ascii="Times New Roman" w:hAnsi="Times New Roman" w:cs="Times New Roman"/>
          <w:sz w:val="24"/>
          <w:szCs w:val="24"/>
        </w:rPr>
        <w:tab/>
      </w:r>
      <w:r>
        <w:rPr>
          <w:rFonts w:ascii="Times New Roman" w:hAnsi="Times New Roman" w:cs="Times New Roman"/>
          <w:sz w:val="24"/>
          <w:szCs w:val="24"/>
        </w:rPr>
        <w:t>Answering Research Questions</w:t>
      </w:r>
      <w:r>
        <w:rPr>
          <w:rFonts w:hint="default" w:ascii="Times New Roman" w:hAnsi="Times New Roman" w:cs="Times New Roman"/>
          <w:sz w:val="24"/>
          <w:szCs w:val="24"/>
          <w:lang w:val="en-US"/>
        </w:rPr>
        <w:t>…………………………………………………30</w:t>
      </w:r>
    </w:p>
    <w:p w14:paraId="64E7DEBA">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4.5</w:t>
      </w:r>
      <w:r>
        <w:rPr>
          <w:rFonts w:ascii="Times New Roman" w:hAnsi="Times New Roman" w:cs="Times New Roman"/>
          <w:sz w:val="24"/>
          <w:szCs w:val="24"/>
        </w:rPr>
        <w:tab/>
      </w:r>
      <w:r>
        <w:rPr>
          <w:rFonts w:ascii="Times New Roman" w:hAnsi="Times New Roman" w:cs="Times New Roman"/>
          <w:sz w:val="24"/>
          <w:szCs w:val="24"/>
        </w:rPr>
        <w:t>Discussion of Findings</w:t>
      </w:r>
      <w:r>
        <w:rPr>
          <w:rFonts w:hint="default" w:ascii="Times New Roman" w:hAnsi="Times New Roman" w:cs="Times New Roman"/>
          <w:sz w:val="24"/>
          <w:szCs w:val="24"/>
          <w:lang w:val="en-US"/>
        </w:rPr>
        <w:t>………………………………………………………….41</w:t>
      </w:r>
    </w:p>
    <w:p w14:paraId="5243332F">
      <w:pPr>
        <w:spacing w:after="0" w:line="240" w:lineRule="auto"/>
        <w:rPr>
          <w:rFonts w:ascii="Times New Roman" w:hAnsi="Times New Roman" w:cs="Times New Roman"/>
          <w:b/>
          <w:sz w:val="24"/>
          <w:szCs w:val="24"/>
        </w:rPr>
      </w:pPr>
      <w:r>
        <w:rPr>
          <w:rFonts w:ascii="Times New Roman" w:hAnsi="Times New Roman" w:cs="Times New Roman"/>
          <w:b/>
          <w:sz w:val="24"/>
          <w:szCs w:val="24"/>
        </w:rPr>
        <w:t>CHAPTER FIVE: SUMMARY OF FINDINGS, CONCLUSION AND RECOMMENDATIONS</w:t>
      </w:r>
    </w:p>
    <w:p w14:paraId="7DDCA027">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5.1</w:t>
      </w:r>
      <w:r>
        <w:rPr>
          <w:rFonts w:ascii="Times New Roman" w:hAnsi="Times New Roman" w:cs="Times New Roman"/>
          <w:sz w:val="24"/>
          <w:szCs w:val="24"/>
        </w:rPr>
        <w:tab/>
      </w:r>
      <w:r>
        <w:rPr>
          <w:rFonts w:ascii="Times New Roman" w:hAnsi="Times New Roman" w:cs="Times New Roman"/>
          <w:sz w:val="24"/>
          <w:szCs w:val="24"/>
        </w:rPr>
        <w:t>Introductions</w:t>
      </w:r>
      <w:r>
        <w:rPr>
          <w:rFonts w:hint="default" w:ascii="Times New Roman" w:hAnsi="Times New Roman" w:cs="Times New Roman"/>
          <w:sz w:val="24"/>
          <w:szCs w:val="24"/>
          <w:lang w:val="en-US"/>
        </w:rPr>
        <w:t>……………………………………………………………………43</w:t>
      </w:r>
    </w:p>
    <w:p w14:paraId="07C1C2BA">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5.2</w:t>
      </w:r>
      <w:r>
        <w:rPr>
          <w:rFonts w:ascii="Times New Roman" w:hAnsi="Times New Roman" w:cs="Times New Roman"/>
          <w:sz w:val="24"/>
          <w:szCs w:val="24"/>
        </w:rPr>
        <w:tab/>
      </w:r>
      <w:r>
        <w:rPr>
          <w:rFonts w:ascii="Times New Roman" w:hAnsi="Times New Roman" w:cs="Times New Roman"/>
          <w:sz w:val="24"/>
          <w:szCs w:val="24"/>
        </w:rPr>
        <w:t>Summary</w:t>
      </w:r>
      <w:r>
        <w:rPr>
          <w:rFonts w:hint="default" w:ascii="Times New Roman" w:hAnsi="Times New Roman" w:cs="Times New Roman"/>
          <w:sz w:val="24"/>
          <w:szCs w:val="24"/>
          <w:lang w:val="en-US"/>
        </w:rPr>
        <w:t>……………………………………………………………………….43</w:t>
      </w:r>
    </w:p>
    <w:p w14:paraId="165A871F">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5.3</w:t>
      </w:r>
      <w:r>
        <w:rPr>
          <w:rFonts w:ascii="Times New Roman" w:hAnsi="Times New Roman" w:cs="Times New Roman"/>
          <w:sz w:val="24"/>
          <w:szCs w:val="24"/>
        </w:rPr>
        <w:tab/>
      </w:r>
      <w:r>
        <w:rPr>
          <w:rFonts w:ascii="Times New Roman" w:hAnsi="Times New Roman" w:cs="Times New Roman"/>
          <w:sz w:val="24"/>
          <w:szCs w:val="24"/>
        </w:rPr>
        <w:t>Conclusion</w:t>
      </w:r>
      <w:r>
        <w:rPr>
          <w:rFonts w:hint="default" w:ascii="Times New Roman" w:hAnsi="Times New Roman" w:cs="Times New Roman"/>
          <w:sz w:val="24"/>
          <w:szCs w:val="24"/>
          <w:lang w:val="en-US"/>
        </w:rPr>
        <w:t>……………………………………………………………………..44</w:t>
      </w:r>
    </w:p>
    <w:p w14:paraId="74638181">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5.4</w:t>
      </w:r>
      <w:r>
        <w:rPr>
          <w:rFonts w:ascii="Times New Roman" w:hAnsi="Times New Roman" w:cs="Times New Roman"/>
          <w:sz w:val="24"/>
          <w:szCs w:val="24"/>
        </w:rPr>
        <w:tab/>
      </w:r>
      <w:r>
        <w:rPr>
          <w:rFonts w:ascii="Times New Roman" w:hAnsi="Times New Roman" w:cs="Times New Roman"/>
          <w:sz w:val="24"/>
          <w:szCs w:val="24"/>
        </w:rPr>
        <w:t>Recommendations</w:t>
      </w:r>
      <w:r>
        <w:rPr>
          <w:rFonts w:hint="default" w:ascii="Times New Roman" w:hAnsi="Times New Roman" w:cs="Times New Roman"/>
          <w:sz w:val="24"/>
          <w:szCs w:val="24"/>
          <w:lang w:val="en-US"/>
        </w:rPr>
        <w:t>………………………………………………………………45</w:t>
      </w:r>
    </w:p>
    <w:p w14:paraId="0B4952BD">
      <w:pPr>
        <w:spacing w:after="0" w:line="360" w:lineRule="auto"/>
        <w:jc w:val="both"/>
        <w:rPr>
          <w:rFonts w:hint="default" w:ascii="Times New Roman" w:hAnsi="Times New Roman" w:cs="Times New Roman"/>
          <w:sz w:val="24"/>
          <w:szCs w:val="24"/>
          <w:lang w:val="en-US"/>
        </w:rPr>
      </w:pPr>
      <w:r>
        <w:rPr>
          <w:rFonts w:ascii="Times New Roman" w:hAnsi="Times New Roman" w:cs="Times New Roman"/>
          <w:sz w:val="24"/>
          <w:szCs w:val="24"/>
        </w:rPr>
        <w:t>5.5</w:t>
      </w:r>
      <w:r>
        <w:rPr>
          <w:rFonts w:ascii="Times New Roman" w:hAnsi="Times New Roman" w:cs="Times New Roman"/>
          <w:sz w:val="24"/>
          <w:szCs w:val="24"/>
        </w:rPr>
        <w:tab/>
      </w:r>
      <w:r>
        <w:rPr>
          <w:rFonts w:ascii="Times New Roman" w:hAnsi="Times New Roman" w:cs="Times New Roman"/>
          <w:sz w:val="24"/>
          <w:szCs w:val="24"/>
        </w:rPr>
        <w:t>Areas for Further Studies</w:t>
      </w:r>
      <w:r>
        <w:rPr>
          <w:rFonts w:hint="default" w:ascii="Times New Roman" w:hAnsi="Times New Roman" w:cs="Times New Roman"/>
          <w:sz w:val="24"/>
          <w:szCs w:val="24"/>
          <w:lang w:val="en-US"/>
        </w:rPr>
        <w:t>……………………………………………………….45</w:t>
      </w:r>
    </w:p>
    <w:p w14:paraId="525AECEA">
      <w:pPr>
        <w:spacing w:after="0" w:line="360" w:lineRule="auto"/>
        <w:ind w:firstLine="720"/>
        <w:jc w:val="both"/>
        <w:rPr>
          <w:rFonts w:hint="default" w:ascii="Times New Roman" w:hAnsi="Times New Roman" w:cs="Times New Roman"/>
          <w:sz w:val="24"/>
          <w:szCs w:val="24"/>
          <w:lang w:val="en-US"/>
        </w:rPr>
      </w:pPr>
      <w:r>
        <w:rPr>
          <w:rFonts w:ascii="Times New Roman" w:hAnsi="Times New Roman" w:cs="Times New Roman"/>
          <w:sz w:val="24"/>
          <w:szCs w:val="24"/>
        </w:rPr>
        <w:t>Bibliography</w:t>
      </w:r>
      <w:r>
        <w:rPr>
          <w:rFonts w:hint="default" w:ascii="Times New Roman" w:hAnsi="Times New Roman" w:cs="Times New Roman"/>
          <w:sz w:val="24"/>
          <w:szCs w:val="24"/>
          <w:lang w:val="en-US"/>
        </w:rPr>
        <w:t>…………………………………………………………………….46</w:t>
      </w:r>
    </w:p>
    <w:p w14:paraId="233E2803">
      <w:pPr>
        <w:spacing w:line="360" w:lineRule="auto"/>
        <w:rPr>
          <w:rFonts w:ascii="Times New Roman" w:hAnsi="Times New Roman" w:cs="Times New Roman"/>
          <w:sz w:val="24"/>
          <w:szCs w:val="24"/>
        </w:rPr>
      </w:pPr>
    </w:p>
    <w:p w14:paraId="2206AD87">
      <w:pPr>
        <w:rPr>
          <w:rFonts w:ascii="Times New Roman" w:hAnsi="Times New Roman" w:cs="Times New Roman"/>
          <w:sz w:val="24"/>
          <w:szCs w:val="24"/>
        </w:rPr>
      </w:pPr>
    </w:p>
    <w:p w14:paraId="6760FBCD">
      <w:pPr>
        <w:rPr>
          <w:rFonts w:ascii="Times New Roman" w:hAnsi="Times New Roman" w:cs="Times New Roman"/>
          <w:sz w:val="24"/>
          <w:szCs w:val="24"/>
        </w:rPr>
      </w:pPr>
    </w:p>
    <w:p w14:paraId="541CC792">
      <w:pPr>
        <w:rPr>
          <w:rFonts w:ascii="Times New Roman" w:hAnsi="Times New Roman" w:cs="Times New Roman"/>
          <w:sz w:val="24"/>
          <w:szCs w:val="24"/>
        </w:rPr>
      </w:pPr>
    </w:p>
    <w:p w14:paraId="34043E49">
      <w:pPr>
        <w:rPr>
          <w:rFonts w:ascii="Times New Roman" w:hAnsi="Times New Roman" w:cs="Times New Roman"/>
          <w:sz w:val="24"/>
          <w:szCs w:val="24"/>
        </w:rPr>
      </w:pPr>
    </w:p>
    <w:p w14:paraId="560A6D0D">
      <w:pPr>
        <w:rPr>
          <w:rFonts w:ascii="Times New Roman" w:hAnsi="Times New Roman" w:cs="Times New Roman"/>
          <w:sz w:val="24"/>
          <w:szCs w:val="24"/>
        </w:rPr>
      </w:pPr>
    </w:p>
    <w:p w14:paraId="7A6BDF8D">
      <w:pPr>
        <w:rPr>
          <w:rFonts w:ascii="Times New Roman" w:hAnsi="Times New Roman" w:cs="Times New Roman"/>
          <w:sz w:val="24"/>
          <w:szCs w:val="24"/>
        </w:rPr>
      </w:pPr>
    </w:p>
    <w:p w14:paraId="22AA571B">
      <w:pPr>
        <w:rPr>
          <w:rFonts w:ascii="Times New Roman" w:hAnsi="Times New Roman" w:cs="Times New Roman"/>
          <w:sz w:val="24"/>
          <w:szCs w:val="24"/>
        </w:rPr>
      </w:pPr>
    </w:p>
    <w:p w14:paraId="76A04CD3">
      <w:pPr>
        <w:rPr>
          <w:rFonts w:ascii="Times New Roman" w:hAnsi="Times New Roman" w:cs="Times New Roman"/>
          <w:sz w:val="24"/>
          <w:szCs w:val="24"/>
        </w:rPr>
      </w:pPr>
    </w:p>
    <w:p w14:paraId="011E5711">
      <w:pPr>
        <w:spacing w:after="0" w:line="480" w:lineRule="auto"/>
        <w:jc w:val="center"/>
        <w:rPr>
          <w:rFonts w:ascii="Times New Roman" w:hAnsi="Times New Roman" w:eastAsia="Times New Roman" w:cs="Times New Roman"/>
          <w:i/>
          <w:sz w:val="28"/>
          <w:szCs w:val="28"/>
        </w:rPr>
      </w:pPr>
      <w:r>
        <w:rPr>
          <w:rFonts w:ascii="Times New Roman" w:hAnsi="Times New Roman" w:eastAsia="Times New Roman" w:cs="Times New Roman"/>
          <w:b/>
          <w:i/>
          <w:sz w:val="28"/>
          <w:szCs w:val="28"/>
        </w:rPr>
        <w:t>Abstract</w:t>
      </w:r>
    </w:p>
    <w:p w14:paraId="120D409E">
      <w:pPr>
        <w:jc w:val="both"/>
        <w:rPr>
          <w:rFonts w:ascii="Times New Roman" w:hAnsi="Times New Roman" w:cs="Times New Roman"/>
          <w:sz w:val="24"/>
          <w:szCs w:val="24"/>
        </w:rPr>
        <w:sectPr>
          <w:footerReference r:id="rId6" w:type="first"/>
          <w:footerReference r:id="rId5" w:type="default"/>
          <w:pgSz w:w="11907" w:h="16839"/>
          <w:pgMar w:top="1440" w:right="1440" w:bottom="1872" w:left="1872" w:header="720" w:footer="1267" w:gutter="0"/>
          <w:pgNumType w:fmt="lowerRoman" w:start="1"/>
          <w:cols w:space="720" w:num="1"/>
          <w:titlePg/>
          <w:docGrid w:linePitch="360" w:charSpace="0"/>
        </w:sectPr>
      </w:pPr>
      <w:r>
        <w:rPr>
          <w:rFonts w:ascii="Times New Roman" w:hAnsi="Times New Roman" w:cs="Times New Roman"/>
          <w:i/>
          <w:sz w:val="24"/>
          <w:szCs w:val="24"/>
        </w:rPr>
        <w:t xml:space="preserve">This project examined the </w:t>
      </w:r>
      <w:r>
        <w:rPr>
          <w:rStyle w:val="11"/>
          <w:i/>
          <w:color w:val="auto"/>
        </w:rPr>
        <w:t xml:space="preserve">Adoption of Open Access for Learning and Research by Library Users in </w:t>
      </w:r>
      <w:r>
        <w:rPr>
          <w:rStyle w:val="11"/>
          <w:rFonts w:hint="default"/>
          <w:i/>
          <w:color w:val="auto"/>
          <w:lang w:val="en-US"/>
        </w:rPr>
        <w:t>university of ilorin</w:t>
      </w:r>
      <w:r>
        <w:rPr>
          <w:rStyle w:val="11"/>
          <w:i/>
          <w:color w:val="auto"/>
        </w:rPr>
        <w:t xml:space="preserve"> library.</w:t>
      </w:r>
      <w:r>
        <w:rPr>
          <w:rFonts w:ascii="Times New Roman" w:hAnsi="Times New Roman" w:cs="Times New Roman"/>
          <w:i/>
          <w:sz w:val="24"/>
          <w:szCs w:val="24"/>
        </w:rPr>
        <w:t xml:space="preserve"> The objectives of the study examined the  frequency of usage of open access by the library users for learning and research at </w:t>
      </w:r>
      <w:r>
        <w:rPr>
          <w:rFonts w:hint="default" w:ascii="Times New Roman" w:hAnsi="Times New Roman" w:cs="Times New Roman"/>
          <w:i/>
          <w:sz w:val="24"/>
          <w:szCs w:val="24"/>
          <w:lang w:val="en-US"/>
        </w:rPr>
        <w:t>university of ilorin</w:t>
      </w:r>
      <w:r>
        <w:rPr>
          <w:rFonts w:ascii="Times New Roman" w:hAnsi="Times New Roman" w:cs="Times New Roman"/>
          <w:i/>
          <w:sz w:val="24"/>
          <w:szCs w:val="24"/>
        </w:rPr>
        <w:t xml:space="preserve"> Library, determine the types of open access that are used by the library users for learning, find out the benefit of using open access for learning and research by the  library users at </w:t>
      </w:r>
      <w:r>
        <w:rPr>
          <w:rFonts w:hint="default" w:ascii="Times New Roman" w:hAnsi="Times New Roman" w:cs="Times New Roman"/>
          <w:i/>
          <w:sz w:val="24"/>
          <w:szCs w:val="24"/>
          <w:lang w:val="en-US"/>
        </w:rPr>
        <w:t>university of ilorin</w:t>
      </w:r>
      <w:r>
        <w:rPr>
          <w:rFonts w:ascii="Times New Roman" w:hAnsi="Times New Roman" w:cs="Times New Roman"/>
          <w:i/>
          <w:sz w:val="24"/>
          <w:szCs w:val="24"/>
        </w:rPr>
        <w:t xml:space="preserve"> Library., examine the tools used for open access and adopted by the library user at </w:t>
      </w:r>
      <w:r>
        <w:rPr>
          <w:rFonts w:hint="default" w:ascii="Times New Roman" w:hAnsi="Times New Roman" w:cs="Times New Roman"/>
          <w:i/>
          <w:sz w:val="24"/>
          <w:szCs w:val="24"/>
          <w:lang w:val="en-US"/>
        </w:rPr>
        <w:t>university of ilorin</w:t>
      </w:r>
      <w:r>
        <w:rPr>
          <w:rFonts w:ascii="Times New Roman" w:hAnsi="Times New Roman" w:cs="Times New Roman"/>
          <w:i/>
          <w:sz w:val="24"/>
          <w:szCs w:val="24"/>
        </w:rPr>
        <w:t xml:space="preserve"> Library and determine factors that affect the acceptance and adoption of open access for learning and research by the library user at </w:t>
      </w:r>
      <w:r>
        <w:rPr>
          <w:rFonts w:hint="default" w:ascii="Times New Roman" w:hAnsi="Times New Roman" w:cs="Times New Roman"/>
          <w:i/>
          <w:sz w:val="24"/>
          <w:szCs w:val="24"/>
          <w:lang w:val="en-US"/>
        </w:rPr>
        <w:t>university of ilorin</w:t>
      </w:r>
      <w:r>
        <w:rPr>
          <w:rFonts w:ascii="Times New Roman" w:hAnsi="Times New Roman" w:cs="Times New Roman"/>
          <w:i/>
          <w:sz w:val="24"/>
          <w:szCs w:val="24"/>
        </w:rPr>
        <w:t xml:space="preserve"> Library. The descriptive method was adopted for research design. Questionnaires are administered to 245 respondents and all the questionnaires were retrieved. The findings of the study shows that students have positive attitude towards the use of  Repository-based or “Green” open access  as types of open access in </w:t>
      </w:r>
      <w:r>
        <w:rPr>
          <w:rFonts w:hint="default" w:ascii="Times New Roman" w:hAnsi="Times New Roman" w:cs="Times New Roman"/>
          <w:i/>
          <w:sz w:val="24"/>
          <w:szCs w:val="24"/>
          <w:lang w:val="en-US"/>
        </w:rPr>
        <w:t>university of ilorin</w:t>
      </w:r>
      <w:r>
        <w:rPr>
          <w:rFonts w:ascii="Times New Roman" w:hAnsi="Times New Roman" w:cs="Times New Roman"/>
          <w:i/>
          <w:sz w:val="24"/>
          <w:szCs w:val="24"/>
        </w:rPr>
        <w:t xml:space="preserve">  Also findings shows that there are many factors that affect adoption of open access for learning and research in </w:t>
      </w:r>
      <w:r>
        <w:rPr>
          <w:rFonts w:hint="default" w:ascii="Times New Roman" w:hAnsi="Times New Roman" w:cs="Times New Roman"/>
          <w:i/>
          <w:sz w:val="24"/>
          <w:szCs w:val="24"/>
          <w:lang w:val="en-US"/>
        </w:rPr>
        <w:t>university of ilorin</w:t>
      </w:r>
      <w:r>
        <w:rPr>
          <w:rFonts w:ascii="Times New Roman" w:hAnsi="Times New Roman" w:cs="Times New Roman"/>
          <w:i/>
          <w:sz w:val="24"/>
          <w:szCs w:val="24"/>
        </w:rPr>
        <w:t xml:space="preserve"> library which include: poor website design, lack of printing provision, lack of online help, More so, finding revealed that the major strategy for enhancing adoption of open access for learning and research in </w:t>
      </w:r>
      <w:r>
        <w:rPr>
          <w:rFonts w:hint="default" w:ascii="Times New Roman" w:hAnsi="Times New Roman" w:cs="Times New Roman"/>
          <w:i/>
          <w:sz w:val="24"/>
          <w:szCs w:val="24"/>
          <w:lang w:val="en-US"/>
        </w:rPr>
        <w:t>university of ilorin</w:t>
      </w:r>
      <w:r>
        <w:rPr>
          <w:rFonts w:ascii="Times New Roman" w:hAnsi="Times New Roman" w:cs="Times New Roman"/>
          <w:i/>
          <w:sz w:val="24"/>
          <w:szCs w:val="24"/>
        </w:rPr>
        <w:t xml:space="preserve"> library is that polytechnic library should adopt ICT in order to enable them manage open access resources. This is followed by releasing of more funds to Federal polytechnic library for library ICT (internet) projects, provision of functional computers by the </w:t>
      </w:r>
      <w:r>
        <w:rPr>
          <w:rFonts w:hint="default" w:ascii="Times New Roman" w:hAnsi="Times New Roman" w:cs="Times New Roman"/>
          <w:i/>
          <w:sz w:val="24"/>
          <w:szCs w:val="24"/>
          <w:lang w:val="en-US"/>
        </w:rPr>
        <w:t>university of ilorin</w:t>
      </w:r>
      <w:r>
        <w:rPr>
          <w:rFonts w:ascii="Times New Roman" w:hAnsi="Times New Roman" w:cs="Times New Roman"/>
          <w:i/>
          <w:sz w:val="24"/>
          <w:szCs w:val="24"/>
        </w:rPr>
        <w:t xml:space="preserve"> library.</w:t>
      </w:r>
    </w:p>
    <w:p w14:paraId="1AB92E9A">
      <w:pPr>
        <w:spacing w:after="160" w:line="259" w:lineRule="auto"/>
      </w:pPr>
    </w:p>
    <w:p w14:paraId="1C35BE2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54CCD035">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t>INTRODUCTION</w:t>
      </w:r>
    </w:p>
    <w:p w14:paraId="505C6CA0">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1.1</w:t>
      </w:r>
      <w:r>
        <w:rPr>
          <w:rFonts w:ascii="Times New Roman" w:hAnsi="Times New Roman" w:cs="Times New Roman"/>
          <w:sz w:val="24"/>
          <w:szCs w:val="24"/>
        </w:rPr>
        <w:tab/>
      </w:r>
      <w:r>
        <w:rPr>
          <w:rFonts w:ascii="Times New Roman" w:hAnsi="Times New Roman" w:cs="Times New Roman"/>
          <w:b/>
          <w:sz w:val="24"/>
          <w:szCs w:val="24"/>
        </w:rPr>
        <w:t>Background to the Study</w:t>
      </w:r>
      <w:r>
        <w:rPr>
          <w:rFonts w:ascii="Times New Roman" w:hAnsi="Times New Roman" w:cs="Times New Roman"/>
          <w:sz w:val="24"/>
          <w:szCs w:val="24"/>
        </w:rPr>
        <w:t xml:space="preserve"> </w:t>
      </w:r>
    </w:p>
    <w:p w14:paraId="04C01B2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Open access enable institutions to save cost in their provision, access and utilization of their institution resources. They provide the most current results of scientific and scholarly information. They enable users’ access to read, copy, download, print full text of the available articles before them. Open access can be seen as unrestricted visibility, provision and exploitation of external or scholarly publications. Rossini, (2015) opined that Open access movement is a reaction to the persistence traditional control-based models of scientific knowledge distribution characterized by high-cost subscription journals. Open access acceptance and adoption in university libraries therefore is an attempt that is characterized by capture and lockdown through digital rights management (DRM), rather than the maximization of distribution of which is their supposed reason for existence. </w:t>
      </w:r>
    </w:p>
    <w:p w14:paraId="58DD952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Open access according to Balnaves (2018) posits that open access is important in leveraging the research output of an organization within the institution (even where copy right restrictions prevent external visibility). Macklin (2017) opined that “open access is also one solution to problem for university libraries-a problem that affect all of us in academia, whether we are aware of it or not. That problem is the rising price of work published in academic journals”. It is in view of the importance of open access that a good number of information service-oriented institutions such as university libraries are speedily accepting and adopting open access scholarly communication. </w:t>
      </w:r>
    </w:p>
    <w:p w14:paraId="47AF1284">
      <w:pPr>
        <w:spacing w:after="0" w:line="480" w:lineRule="auto"/>
        <w:jc w:val="both"/>
        <w:rPr>
          <w:rFonts w:ascii="Times New Roman" w:hAnsi="Times New Roman" w:cs="Times New Roman"/>
          <w:sz w:val="24"/>
          <w:szCs w:val="24"/>
        </w:rPr>
      </w:pPr>
      <w:r>
        <w:rPr>
          <w:rFonts w:ascii="Times New Roman" w:hAnsi="Times New Roman" w:cs="Times New Roman"/>
          <w:sz w:val="24"/>
          <w:szCs w:val="24"/>
        </w:rPr>
        <w:t>Learning and research are the fundamental part of any tertiary institution. Lecturers are the core runners of any institution because they teach scholars and engage in research in one way or the other. Open access will help academics have access to current and relevant studies. Through the open access lecturers can build on other previously conducted research studies. Lecturers create, share and allow their teaching resources not only to be used but able to be amended, improved and transformed (Ayangwe, 2017).</w:t>
      </w:r>
    </w:p>
    <w:p w14:paraId="226631A4">
      <w:pPr>
        <w:tabs>
          <w:tab w:val="left" w:pos="72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Research is an investigative process of finding reliable solution to a problem through a systematic selection, collection, analysis and interpretation of data relating to the problem. In order words research is all activities that make us discover new knowledge about things around us. Research may be very broadly defined as systematic gathering of data and information and its analysis for advancement of knowledge in any subject. Research attempts to find answer intellectual and practical questions through application of systematic methods. Webster’s Collegiate Dictionary defines research as "studious inquiry or examination; esp.: investigation or experimentation aimed at the discovery and interpretation of facts, revision of accepted theories or laws in the light of new facts, or practical application of such new or revised theories or laws". Some people consider research as a movement, a movement from the known to the unknown.</w:t>
      </w:r>
    </w:p>
    <w:p w14:paraId="458B125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Sequeira (2019) affirmed that learning is about a change: the change brought about by developing a new skill, understanding a scientific law, changing an attitude. The change is not merely incidental or natural in the way that our appearance changes as we get older. Learning is a relatively permanent change, usually brought about intentionally. When we attend a course, search through a book, or read a discussion paper, we set out to learn! Other learning can take place without planning, for example by experience. Generally, with all learning there is an element within use of wishing to remember and understand why something happens and to do it better next time and Teaching on the other hand is a set of events, outside the learners which are designed to support internal process of learning. Teaching (Instruction) is outside the learner. Learning is internal to learners. You cannot motivate others if you are not self-motivated. Motives are not seen, but Behaviors are seen. Is learning a motive or behavior? Learning is both a motive and behavior but only behavior is seen, learning is internal, performance is external. They need to be fully aware of the existence and usefulness of open access information resources in order to accept and adopt it for use by users of the libraries. In order to meet the information needs of the academic community, university libraries acquire not only print information resources which are sometimes keep under closed access but also acquire and provide access to open access resources which have limitless access. They gather information resources from time to time from different institutions related to their academic programs and such institutions websites, blogs, archives, repositories, publications e.g. books and journals et cetera are accessed as open access resources. This means that open access resources exist in different forms or types. Rao (2020) identifies the various types of open access resources as institutional repository, subject repository, self-archiving, blogs, open journals, wiki, personal websites, e-books, e-mail list services, forums, Reach Site Summary (RSS) feeds originally called Really Sample Syndication, document sharing networks et cetera. These resources are created and adopted through different means or tools. The tools as identified by Rao (2020) include open-source institutional repository software, open journal systems and open harvester systems.</w:t>
      </w:r>
    </w:p>
    <w:p w14:paraId="034B11B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Pr>
          <w:rFonts w:ascii="Times New Roman" w:hAnsi="Times New Roman" w:cs="Times New Roman"/>
          <w:b/>
          <w:sz w:val="24"/>
          <w:szCs w:val="24"/>
        </w:rPr>
        <w:t xml:space="preserve">Statement of the Problem </w:t>
      </w:r>
    </w:p>
    <w:p w14:paraId="71F41E61">
      <w:pPr>
        <w:pStyle w:val="14"/>
        <w:spacing w:line="480" w:lineRule="auto"/>
        <w:jc w:val="both"/>
        <w:rPr>
          <w:rFonts w:ascii="Times New Roman" w:hAnsi="Times New Roman" w:cs="Times New Roman"/>
          <w:sz w:val="24"/>
          <w:szCs w:val="24"/>
        </w:rPr>
      </w:pPr>
      <w:r>
        <w:rPr>
          <w:rFonts w:ascii="Times New Roman" w:hAnsi="Times New Roman" w:cs="Times New Roman"/>
          <w:sz w:val="24"/>
          <w:szCs w:val="24"/>
        </w:rPr>
        <w:t>Open access resources provide endless benefits to organizations and other institutions. They save or minimize cost, time, free access to publishers to publish their works, provide the most current information to users anywhere anytime. In consideration of the benefits of open access resources, universities have been spending considerably to train staff in the area of information and communication technology (ICT) and to procure, install and maintain ICT equipment as well as other information systems to complement effective and efficient information delivery. Inadequate funding, low IT knowledge of library staff and erratic power supply contributed to the under usage of library software in effect, it rendered the Software being underutilized. Consequently, the massive investment made by polytechnic libraries to create intensified awareness, acceptance, adoption and management of open access resources may be given little or no attention at all in the university libraries. This may make these polytechnic libraries to rely on the traditional print materials that are expensive, difficult to share and in some cases outdated even before they are being published and this may greatly affect polytechnic students. The wide spread of ignorance among lecturers may restrict the adoption of open access as well as connectivity; government may also want to limit what users can see and censorship barriers.  It is against this background that the study attempt to investigate the adoption of open access for learning and research by library user using University of Ilorin Library as a case study.</w:t>
      </w:r>
    </w:p>
    <w:p w14:paraId="3D3E5B36">
      <w:pPr>
        <w:pStyle w:val="12"/>
        <w:numPr>
          <w:ilvl w:val="1"/>
          <w:numId w:val="1"/>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 xml:space="preserve">Objectives of the Study </w:t>
      </w:r>
    </w:p>
    <w:p w14:paraId="1C3E0DA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broad objective of this study is to examine the adoption of open access for learning and research by users of university of Ilorin Library. The specific objectives of the study are to: </w:t>
      </w:r>
    </w:p>
    <w:p w14:paraId="139E436B">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Pr>
          <w:rFonts w:ascii="Times New Roman" w:hAnsi="Times New Roman" w:cs="Times New Roman"/>
          <w:sz w:val="24"/>
          <w:szCs w:val="24"/>
        </w:rPr>
        <w:t>Find out the frequency of usage of open access by the library users for learning and research.</w:t>
      </w:r>
    </w:p>
    <w:p w14:paraId="398D167F">
      <w:pPr>
        <w:pStyle w:val="12"/>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US"/>
        </w:rPr>
        <w:t>I</w:t>
      </w:r>
      <w:r>
        <w:rPr>
          <w:rFonts w:ascii="Times New Roman" w:hAnsi="Times New Roman" w:cs="Times New Roman"/>
          <w:sz w:val="24"/>
          <w:szCs w:val="24"/>
        </w:rPr>
        <w:t>dentify the types of open access used by the library users for learning and research.</w:t>
      </w:r>
    </w:p>
    <w:p w14:paraId="74A4C992">
      <w:pPr>
        <w:pStyle w:val="12"/>
        <w:numPr>
          <w:ilvl w:val="0"/>
          <w:numId w:val="2"/>
        </w:numPr>
        <w:spacing w:after="0" w:line="480" w:lineRule="auto"/>
        <w:ind w:left="90" w:firstLine="0"/>
        <w:jc w:val="both"/>
        <w:rPr>
          <w:rFonts w:ascii="Times New Roman" w:hAnsi="Times New Roman" w:cs="Times New Roman"/>
          <w:sz w:val="24"/>
          <w:szCs w:val="24"/>
        </w:rPr>
      </w:pPr>
      <w:r>
        <w:rPr>
          <w:rFonts w:ascii="Times New Roman" w:hAnsi="Times New Roman" w:cs="Times New Roman"/>
          <w:sz w:val="24"/>
          <w:szCs w:val="24"/>
          <w:lang w:val="en-US"/>
        </w:rPr>
        <w:t>Access</w:t>
      </w:r>
      <w:r>
        <w:rPr>
          <w:rFonts w:ascii="Times New Roman" w:hAnsi="Times New Roman" w:cs="Times New Roman"/>
          <w:sz w:val="24"/>
          <w:szCs w:val="24"/>
        </w:rPr>
        <w:t xml:space="preserve"> the tools used for open access and adopted by the library user. </w:t>
      </w:r>
    </w:p>
    <w:p w14:paraId="65501ECD">
      <w:pPr>
        <w:pStyle w:val="12"/>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determine factors that affects the adoption of open access for learning and research by the library users.</w:t>
      </w:r>
    </w:p>
    <w:p w14:paraId="54277BB9">
      <w:pPr>
        <w:pStyle w:val="12"/>
        <w:numPr>
          <w:ilvl w:val="0"/>
          <w:numId w:val="0"/>
        </w:numPr>
        <w:spacing w:after="0" w:line="480" w:lineRule="auto"/>
        <w:contextualSpacing/>
        <w:jc w:val="both"/>
        <w:rPr>
          <w:rFonts w:ascii="Times New Roman" w:hAnsi="Times New Roman" w:cs="Times New Roman"/>
          <w:sz w:val="24"/>
          <w:szCs w:val="24"/>
        </w:rPr>
      </w:pPr>
    </w:p>
    <w:p w14:paraId="19D6E6C7">
      <w:pPr>
        <w:pStyle w:val="12"/>
        <w:numPr>
          <w:ilvl w:val="0"/>
          <w:numId w:val="0"/>
        </w:numPr>
        <w:spacing w:after="0" w:line="480" w:lineRule="auto"/>
        <w:contextualSpacing/>
        <w:jc w:val="both"/>
        <w:rPr>
          <w:rFonts w:ascii="Times New Roman" w:hAnsi="Times New Roman" w:cs="Times New Roman"/>
          <w:sz w:val="24"/>
          <w:szCs w:val="24"/>
        </w:rPr>
      </w:pPr>
    </w:p>
    <w:p w14:paraId="4DBA7E3B">
      <w:pPr>
        <w:pStyle w:val="12"/>
        <w:spacing w:after="0" w:line="480" w:lineRule="auto"/>
        <w:ind w:left="0"/>
        <w:jc w:val="both"/>
        <w:rPr>
          <w:rFonts w:ascii="Times New Roman" w:hAnsi="Times New Roman" w:cs="Times New Roman"/>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Pr>
          <w:rFonts w:ascii="Times New Roman" w:hAnsi="Times New Roman" w:cs="Times New Roman"/>
          <w:b/>
          <w:sz w:val="24"/>
          <w:szCs w:val="24"/>
        </w:rPr>
        <w:t xml:space="preserve">Research Questions </w:t>
      </w:r>
    </w:p>
    <w:p w14:paraId="06897C85">
      <w:pPr>
        <w:pStyle w:val="12"/>
        <w:numPr>
          <w:ilvl w:val="0"/>
          <w:numId w:val="3"/>
        </w:numPr>
        <w:spacing w:after="0" w:line="480" w:lineRule="auto"/>
        <w:ind w:left="270" w:firstLine="0"/>
        <w:jc w:val="both"/>
        <w:rPr>
          <w:rFonts w:ascii="Times New Roman" w:hAnsi="Times New Roman" w:cs="Times New Roman"/>
          <w:sz w:val="24"/>
          <w:szCs w:val="24"/>
        </w:rPr>
      </w:pPr>
      <w:r>
        <w:rPr>
          <w:rFonts w:ascii="Times New Roman" w:hAnsi="Times New Roman" w:cs="Times New Roman"/>
          <w:sz w:val="24"/>
          <w:szCs w:val="24"/>
        </w:rPr>
        <w:t>How frequent do the library user use the open access for learning and research?</w:t>
      </w:r>
    </w:p>
    <w:p w14:paraId="637AC10C">
      <w:pPr>
        <w:numPr>
          <w:ilvl w:val="0"/>
          <w:numId w:val="3"/>
        </w:numPr>
        <w:spacing w:after="0" w:line="480" w:lineRule="auto"/>
        <w:ind w:left="270" w:firstLine="0"/>
        <w:jc w:val="both"/>
        <w:rPr>
          <w:rFonts w:ascii="Times New Roman" w:hAnsi="Times New Roman" w:cs="Times New Roman"/>
          <w:sz w:val="24"/>
          <w:szCs w:val="24"/>
        </w:rPr>
      </w:pPr>
      <w:r>
        <w:rPr>
          <w:rFonts w:ascii="Times New Roman" w:hAnsi="Times New Roman" w:cs="Times New Roman"/>
          <w:sz w:val="24"/>
          <w:szCs w:val="24"/>
        </w:rPr>
        <w:t xml:space="preserve">What are the types of open access that are used by the library user for learning </w:t>
      </w:r>
      <w:r>
        <w:rPr>
          <w:rFonts w:ascii="Times New Roman" w:hAnsi="Times New Roman" w:cs="Times New Roman"/>
          <w:sz w:val="24"/>
          <w:szCs w:val="24"/>
        </w:rPr>
        <w:tab/>
      </w:r>
      <w:r>
        <w:rPr>
          <w:rFonts w:ascii="Times New Roman" w:hAnsi="Times New Roman" w:cs="Times New Roman"/>
          <w:sz w:val="24"/>
          <w:szCs w:val="24"/>
        </w:rPr>
        <w:t>and research?</w:t>
      </w:r>
    </w:p>
    <w:p w14:paraId="774CD52E">
      <w:pPr>
        <w:numPr>
          <w:ilvl w:val="0"/>
          <w:numId w:val="3"/>
        </w:numPr>
        <w:spacing w:after="0" w:line="480" w:lineRule="auto"/>
        <w:ind w:left="270" w:firstLine="0"/>
        <w:jc w:val="both"/>
        <w:rPr>
          <w:rFonts w:ascii="Times New Roman" w:hAnsi="Times New Roman" w:cs="Times New Roman"/>
          <w:sz w:val="24"/>
          <w:szCs w:val="24"/>
        </w:rPr>
      </w:pPr>
      <w:r>
        <w:rPr>
          <w:rFonts w:ascii="Times New Roman" w:hAnsi="Times New Roman" w:cs="Times New Roman"/>
          <w:sz w:val="24"/>
          <w:szCs w:val="24"/>
        </w:rPr>
        <w:t>What are the tools used for open access and adopted by the library user?</w:t>
      </w:r>
    </w:p>
    <w:p w14:paraId="599B2E29">
      <w:pPr>
        <w:numPr>
          <w:ilvl w:val="0"/>
          <w:numId w:val="3"/>
        </w:numPr>
        <w:spacing w:after="0" w:line="480" w:lineRule="auto"/>
        <w:ind w:left="270" w:firstLine="0"/>
        <w:jc w:val="both"/>
        <w:rPr>
          <w:rFonts w:ascii="Times New Roman" w:hAnsi="Times New Roman" w:cs="Times New Roman"/>
          <w:sz w:val="24"/>
          <w:szCs w:val="24"/>
        </w:rPr>
      </w:pPr>
      <w:r>
        <w:rPr>
          <w:rFonts w:ascii="Times New Roman" w:hAnsi="Times New Roman" w:cs="Times New Roman"/>
          <w:sz w:val="24"/>
          <w:szCs w:val="24"/>
        </w:rPr>
        <w:t xml:space="preserve">What are the factors that affect the acceptance and adoption of open access for </w:t>
      </w:r>
      <w:r>
        <w:rPr>
          <w:rFonts w:ascii="Times New Roman" w:hAnsi="Times New Roman" w:cs="Times New Roman"/>
          <w:sz w:val="24"/>
          <w:szCs w:val="24"/>
        </w:rPr>
        <w:tab/>
      </w:r>
      <w:r>
        <w:rPr>
          <w:rFonts w:ascii="Times New Roman" w:hAnsi="Times New Roman" w:cs="Times New Roman"/>
          <w:sz w:val="24"/>
          <w:szCs w:val="24"/>
        </w:rPr>
        <w:t xml:space="preserve">learning and research by the library user? </w:t>
      </w:r>
    </w:p>
    <w:p w14:paraId="3146BCD4">
      <w:pPr>
        <w:pStyle w:val="13"/>
        <w:spacing w:line="480" w:lineRule="auto"/>
        <w:jc w:val="both"/>
        <w:rPr>
          <w:b/>
          <w:color w:val="auto"/>
        </w:rPr>
      </w:pPr>
      <w:r>
        <w:rPr>
          <w:b/>
          <w:color w:val="auto"/>
        </w:rPr>
        <w:t>1.5</w:t>
      </w:r>
      <w:r>
        <w:rPr>
          <w:b/>
          <w:color w:val="auto"/>
        </w:rPr>
        <w:tab/>
      </w:r>
      <w:r>
        <w:rPr>
          <w:b/>
          <w:color w:val="auto"/>
        </w:rPr>
        <w:t>Significance of the Study</w:t>
      </w:r>
      <w:r>
        <w:rPr>
          <w:b/>
          <w:color w:val="auto"/>
        </w:rPr>
        <w:tab/>
      </w:r>
      <w:r>
        <w:rPr>
          <w:b/>
          <w:color w:val="auto"/>
        </w:rPr>
        <w:t xml:space="preserve"> </w:t>
      </w:r>
    </w:p>
    <w:p w14:paraId="19E7F8FD">
      <w:pPr>
        <w:pStyle w:val="13"/>
        <w:spacing w:line="480" w:lineRule="auto"/>
        <w:jc w:val="both"/>
        <w:rPr>
          <w:color w:val="auto"/>
        </w:rPr>
      </w:pPr>
      <w:r>
        <w:rPr>
          <w:color w:val="auto"/>
        </w:rPr>
        <w:t xml:space="preserve">The study of great benefit to management of the </w:t>
      </w:r>
      <w:r>
        <w:rPr>
          <w:rFonts w:hint="default"/>
          <w:color w:val="auto"/>
          <w:lang w:val="en-US"/>
        </w:rPr>
        <w:t xml:space="preserve">university </w:t>
      </w:r>
      <w:r>
        <w:rPr>
          <w:color w:val="auto"/>
        </w:rPr>
        <w:t xml:space="preserve"> libraries, developers of open source software, academicians in the field of Library Management Systems, library users and other researchers. To the management of the polytechnic Libraries, the study provides empirically established contributions of functional features on the performance of their respective libraries. As such, library managers and policy makers sound basis upon which decisions of Open access adoption can be made. To the community of open access developers, the study provides invaluable insights in regard to the performance-critical features of their products. Technical improvements on such products have been simplified by the findings of this study. Software developers will concentrate their efforts and resources on developing more useable products rather than duplicating efforts on market research. </w:t>
      </w:r>
    </w:p>
    <w:p w14:paraId="34E7792D">
      <w:pPr>
        <w:pStyle w:val="13"/>
        <w:spacing w:line="480" w:lineRule="auto"/>
        <w:jc w:val="both"/>
        <w:rPr>
          <w:color w:val="auto"/>
        </w:rPr>
      </w:pPr>
      <w:r>
        <w:rPr>
          <w:color w:val="auto"/>
        </w:rPr>
        <w:t xml:space="preserve">The study has incredible academic significance as it fills the knowledge gap on the contributions of Open access on the performance of polytechnic libraries. It is apparent that most of Management Information Systems studies have been focused on the corporate world. Academic application of such systems such as in academic libraries is yet to be receiving substantial attention. This study therefore calls attention of management scientists to the unexplored pool of knowledge in the library application of Open access. To the library user this study will give them an insight about the various types of open access and their benefit. The study will add to the body of existing knowledge and it will serve as guide to other researchers who are willing and interested to embark on similar study. </w:t>
      </w:r>
    </w:p>
    <w:p w14:paraId="2F20730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Pr>
          <w:rFonts w:ascii="Times New Roman" w:hAnsi="Times New Roman" w:cs="Times New Roman"/>
          <w:b/>
          <w:sz w:val="24"/>
          <w:szCs w:val="24"/>
        </w:rPr>
        <w:t xml:space="preserve">Scope and Limitation of the Study </w:t>
      </w:r>
    </w:p>
    <w:p w14:paraId="0AEA093F">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scope of the study is on the adoption of open access for learning and research by the library users. The study was conducted in an academic library setting. It evaluated the adoption of open access for teaching and research by library users in Nigeria Nigeria. This study focused primarily on </w:t>
      </w:r>
      <w:r>
        <w:rPr>
          <w:rFonts w:hint="default" w:ascii="Times New Roman" w:hAnsi="Times New Roman" w:cs="Times New Roman"/>
          <w:sz w:val="24"/>
          <w:szCs w:val="24"/>
          <w:lang w:val="en-US"/>
        </w:rPr>
        <w:t>university of ilorin</w:t>
      </w:r>
      <w:r>
        <w:rPr>
          <w:rFonts w:ascii="Times New Roman" w:hAnsi="Times New Roman" w:cs="Times New Roman"/>
          <w:sz w:val="24"/>
          <w:szCs w:val="24"/>
        </w:rPr>
        <w:t xml:space="preserve"> library and its limited to the library users of University </w:t>
      </w:r>
      <w:r>
        <w:rPr>
          <w:rFonts w:hint="default" w:ascii="Times New Roman" w:hAnsi="Times New Roman" w:cs="Times New Roman"/>
          <w:sz w:val="24"/>
          <w:szCs w:val="24"/>
          <w:lang w:val="en-US"/>
        </w:rPr>
        <w:t>o</w:t>
      </w:r>
      <w:r>
        <w:rPr>
          <w:rFonts w:ascii="Times New Roman" w:hAnsi="Times New Roman" w:cs="Times New Roman"/>
          <w:sz w:val="24"/>
          <w:szCs w:val="24"/>
        </w:rPr>
        <w:t xml:space="preserve">f Ilorin Library Kwara State. </w:t>
      </w:r>
    </w:p>
    <w:p w14:paraId="4F717BB8">
      <w:pPr>
        <w:pStyle w:val="12"/>
        <w:numPr>
          <w:ilvl w:val="1"/>
          <w:numId w:val="4"/>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Operational Definition of Terms</w:t>
      </w:r>
    </w:p>
    <w:p w14:paraId="4FA426C6">
      <w:pPr>
        <w:pStyle w:val="12"/>
        <w:numPr>
          <w:ilvl w:val="0"/>
          <w:numId w:val="5"/>
        </w:num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Adoption:</w:t>
      </w:r>
      <w:r>
        <w:rPr>
          <w:rFonts w:ascii="Times New Roman" w:hAnsi="Times New Roman" w:cs="Times New Roman"/>
          <w:sz w:val="24"/>
          <w:szCs w:val="24"/>
        </w:rPr>
        <w:t xml:space="preserve"> Means Acquiring.</w:t>
      </w:r>
    </w:p>
    <w:p w14:paraId="6770471B">
      <w:pPr>
        <w:pStyle w:val="12"/>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b/>
          <w:sz w:val="24"/>
          <w:szCs w:val="24"/>
        </w:rPr>
        <w:t>Open access:</w:t>
      </w:r>
      <w:r>
        <w:rPr>
          <w:rFonts w:ascii="Times New Roman" w:hAnsi="Times New Roman" w:cs="Times New Roman"/>
          <w:sz w:val="24"/>
          <w:szCs w:val="24"/>
          <w:shd w:val="clear" w:color="auto" w:fill="FFFFFF"/>
        </w:rPr>
        <w:t xml:space="preserve"> Means free access to a particular service.</w:t>
      </w:r>
    </w:p>
    <w:p w14:paraId="5964B418">
      <w:pPr>
        <w:pStyle w:val="12"/>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b/>
          <w:sz w:val="24"/>
          <w:szCs w:val="24"/>
          <w:shd w:val="clear" w:color="auto" w:fill="FFFFFF"/>
        </w:rPr>
        <w:t>Research:</w:t>
      </w:r>
      <w:r>
        <w:rPr>
          <w:rFonts w:ascii="Times New Roman" w:hAnsi="Times New Roman" w:cs="Times New Roman"/>
          <w:sz w:val="24"/>
          <w:szCs w:val="24"/>
          <w:shd w:val="clear" w:color="auto" w:fill="FFFFFF"/>
        </w:rPr>
        <w:t xml:space="preserve"> Means getting deep findings of solutions to problem.</w:t>
      </w:r>
    </w:p>
    <w:p w14:paraId="075DDC08">
      <w:pPr>
        <w:pStyle w:val="12"/>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b/>
          <w:sz w:val="24"/>
          <w:szCs w:val="24"/>
          <w:shd w:val="clear" w:color="auto" w:fill="FFFFFF"/>
        </w:rPr>
        <w:t xml:space="preserve">Learning: </w:t>
      </w:r>
      <w:r>
        <w:rPr>
          <w:rFonts w:ascii="Times New Roman" w:hAnsi="Times New Roman" w:cs="Times New Roman"/>
          <w:sz w:val="24"/>
          <w:szCs w:val="24"/>
          <w:shd w:val="clear" w:color="auto" w:fill="FFFFFF"/>
        </w:rPr>
        <w:t>Means the process of acquiring new knowledge, understanding, behaviours, skills, values or attitudes.</w:t>
      </w:r>
    </w:p>
    <w:p w14:paraId="36CED42E">
      <w:pPr>
        <w:pStyle w:val="12"/>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b/>
          <w:sz w:val="24"/>
          <w:szCs w:val="24"/>
          <w:shd w:val="clear" w:color="auto" w:fill="FFFFFF"/>
        </w:rPr>
        <w:t>Library user(s):</w:t>
      </w:r>
      <w:r>
        <w:rPr>
          <w:rFonts w:ascii="Times New Roman" w:hAnsi="Times New Roman" w:cs="Times New Roman"/>
          <w:sz w:val="24"/>
          <w:szCs w:val="24"/>
          <w:shd w:val="clear" w:color="auto" w:fill="FFFFFF"/>
        </w:rPr>
        <w:t xml:space="preserve"> Means a person or group of people making research in the library.</w:t>
      </w:r>
    </w:p>
    <w:p w14:paraId="5A5223D6">
      <w:pPr>
        <w:spacing w:after="160" w:line="259" w:lineRule="auto"/>
      </w:pPr>
      <w:r>
        <w:br w:type="page"/>
      </w:r>
    </w:p>
    <w:p w14:paraId="17E03C6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10796913">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REVIEW OF RELATED LITERATURE</w:t>
      </w:r>
    </w:p>
    <w:p w14:paraId="1CC0BFD7">
      <w:pPr>
        <w:spacing w:after="0" w:line="480" w:lineRule="auto"/>
        <w:ind w:right="26"/>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Pr>
          <w:rFonts w:ascii="Times New Roman" w:hAnsi="Times New Roman" w:cs="Times New Roman"/>
          <w:b/>
          <w:sz w:val="24"/>
          <w:szCs w:val="24"/>
        </w:rPr>
        <w:t>Introduction</w:t>
      </w:r>
    </w:p>
    <w:p w14:paraId="298C6EF4">
      <w:pPr>
        <w:spacing w:after="0" w:line="480" w:lineRule="auto"/>
        <w:ind w:right="26"/>
        <w:jc w:val="both"/>
        <w:rPr>
          <w:rFonts w:ascii="Times New Roman" w:hAnsi="Times New Roman" w:cs="Times New Roman"/>
          <w:sz w:val="24"/>
          <w:szCs w:val="24"/>
        </w:rPr>
      </w:pPr>
      <w:r>
        <w:rPr>
          <w:rFonts w:ascii="Times New Roman" w:hAnsi="Times New Roman" w:cs="Times New Roman"/>
          <w:sz w:val="24"/>
          <w:szCs w:val="24"/>
        </w:rPr>
        <w:t>This chapter deals with literature review and also, issues relating to Adoption of open access for learning and research by library users will be discussed. The researcher will refer to different writers who presented a variation view about the impact of Adoption of open access for learning and research by university of ilorin library users. This chapter covers different aspects, such as:</w:t>
      </w:r>
    </w:p>
    <w:p w14:paraId="0B8943EF">
      <w:pPr>
        <w:spacing w:after="0" w:line="480" w:lineRule="auto"/>
        <w:ind w:right="26"/>
        <w:jc w:val="both"/>
        <w:rPr>
          <w:rFonts w:ascii="Times New Roman" w:hAnsi="Times New Roman" w:cs="Times New Roman"/>
          <w:b/>
          <w:sz w:val="24"/>
          <w:szCs w:val="24"/>
        </w:rPr>
      </w:pPr>
      <w:r>
        <w:rPr>
          <w:rFonts w:ascii="Times New Roman" w:hAnsi="Times New Roman" w:cs="Times New Roman"/>
          <w:b/>
          <w:sz w:val="24"/>
          <w:szCs w:val="24"/>
        </w:rPr>
        <w:t>Conceptual framework</w:t>
      </w:r>
    </w:p>
    <w:p w14:paraId="2BFFF1A1">
      <w:pPr>
        <w:spacing w:after="0" w:line="480" w:lineRule="auto"/>
        <w:ind w:right="26"/>
        <w:jc w:val="both"/>
        <w:rPr>
          <w:rFonts w:ascii="Times New Roman" w:hAnsi="Times New Roman" w:cs="Times New Roman"/>
          <w:b/>
          <w:sz w:val="24"/>
          <w:szCs w:val="24"/>
        </w:rPr>
      </w:pPr>
      <w:r>
        <w:rPr>
          <w:rFonts w:ascii="Times New Roman" w:hAnsi="Times New Roman" w:cs="Times New Roman"/>
          <w:b/>
          <w:bCs/>
          <w:sz w:val="24"/>
          <w:szCs w:val="24"/>
        </w:rPr>
        <w:t>Open access</w:t>
      </w:r>
      <w:r>
        <w:rPr>
          <w:rFonts w:ascii="Times New Roman" w:hAnsi="Times New Roman" w:cs="Times New Roman"/>
          <w:b/>
          <w:sz w:val="24"/>
          <w:szCs w:val="24"/>
        </w:rPr>
        <w:t> (</w:t>
      </w:r>
      <w:r>
        <w:rPr>
          <w:rFonts w:ascii="Times New Roman" w:hAnsi="Times New Roman" w:cs="Times New Roman"/>
          <w:b/>
          <w:bCs/>
          <w:sz w:val="24"/>
          <w:szCs w:val="24"/>
        </w:rPr>
        <w:t>OA</w:t>
      </w:r>
      <w:r>
        <w:rPr>
          <w:rFonts w:ascii="Times New Roman" w:hAnsi="Times New Roman" w:cs="Times New Roman"/>
          <w:b/>
          <w:sz w:val="24"/>
          <w:szCs w:val="24"/>
        </w:rPr>
        <w:t>)</w:t>
      </w:r>
    </w:p>
    <w:p w14:paraId="14E5841C">
      <w:pPr>
        <w:spacing w:after="0" w:line="480" w:lineRule="auto"/>
        <w:ind w:right="26"/>
        <w:jc w:val="both"/>
        <w:rPr>
          <w:rFonts w:ascii="Times New Roman" w:hAnsi="Times New Roman" w:cs="Times New Roman"/>
          <w:b/>
          <w:sz w:val="24"/>
          <w:szCs w:val="24"/>
        </w:rPr>
      </w:pPr>
      <w:r>
        <w:rPr>
          <w:rFonts w:ascii="Times New Roman" w:hAnsi="Times New Roman" w:cs="Times New Roman"/>
          <w:b/>
          <w:sz w:val="24"/>
          <w:szCs w:val="24"/>
        </w:rPr>
        <w:t>Concept of Learning</w:t>
      </w:r>
    </w:p>
    <w:p w14:paraId="4409D8C0">
      <w:pPr>
        <w:spacing w:after="0" w:line="480" w:lineRule="auto"/>
        <w:ind w:right="26"/>
        <w:jc w:val="both"/>
        <w:rPr>
          <w:rFonts w:ascii="Times New Roman" w:hAnsi="Times New Roman" w:cs="Times New Roman"/>
          <w:b/>
          <w:sz w:val="24"/>
          <w:szCs w:val="24"/>
        </w:rPr>
      </w:pPr>
      <w:r>
        <w:rPr>
          <w:rFonts w:ascii="Times New Roman" w:hAnsi="Times New Roman" w:cs="Times New Roman"/>
          <w:b/>
          <w:sz w:val="24"/>
          <w:szCs w:val="24"/>
        </w:rPr>
        <w:t>Adoption of Open Access by Library</w:t>
      </w:r>
    </w:p>
    <w:p w14:paraId="48CD0887">
      <w:pPr>
        <w:spacing w:after="0" w:line="480" w:lineRule="auto"/>
        <w:ind w:right="26"/>
        <w:jc w:val="both"/>
        <w:rPr>
          <w:rFonts w:ascii="Times New Roman" w:hAnsi="Times New Roman" w:cs="Times New Roman"/>
          <w:b/>
          <w:sz w:val="24"/>
          <w:szCs w:val="24"/>
        </w:rPr>
      </w:pPr>
      <w:r>
        <w:rPr>
          <w:rFonts w:ascii="Times New Roman" w:hAnsi="Times New Roman" w:cs="Times New Roman"/>
          <w:b/>
          <w:sz w:val="24"/>
          <w:szCs w:val="24"/>
        </w:rPr>
        <w:t>Frequency usage of Open Access Library</w:t>
      </w:r>
    </w:p>
    <w:p w14:paraId="7CCD0785">
      <w:pPr>
        <w:spacing w:after="0" w:line="480" w:lineRule="auto"/>
        <w:ind w:right="26"/>
        <w:jc w:val="both"/>
        <w:rPr>
          <w:rFonts w:ascii="Times New Roman" w:hAnsi="Times New Roman" w:cs="Times New Roman"/>
          <w:b/>
          <w:sz w:val="24"/>
          <w:szCs w:val="24"/>
        </w:rPr>
      </w:pPr>
      <w:r>
        <w:rPr>
          <w:rFonts w:ascii="Times New Roman" w:hAnsi="Times New Roman" w:cs="Times New Roman"/>
          <w:b/>
          <w:sz w:val="24"/>
          <w:szCs w:val="24"/>
        </w:rPr>
        <w:t>Types of Open Access Library</w:t>
      </w:r>
    </w:p>
    <w:p w14:paraId="60A66968">
      <w:pPr>
        <w:spacing w:after="0" w:line="480" w:lineRule="auto"/>
        <w:ind w:right="26"/>
        <w:jc w:val="both"/>
        <w:rPr>
          <w:rFonts w:ascii="Times New Roman" w:hAnsi="Times New Roman" w:cs="Times New Roman"/>
          <w:b/>
          <w:sz w:val="24"/>
          <w:szCs w:val="24"/>
        </w:rPr>
      </w:pPr>
      <w:r>
        <w:rPr>
          <w:rFonts w:ascii="Times New Roman" w:hAnsi="Times New Roman" w:cs="Times New Roman"/>
          <w:b/>
          <w:sz w:val="24"/>
          <w:szCs w:val="24"/>
        </w:rPr>
        <w:t>Tools for using Open Access Library</w:t>
      </w:r>
    </w:p>
    <w:p w14:paraId="6B26B0CA">
      <w:pPr>
        <w:spacing w:after="0" w:line="480" w:lineRule="auto"/>
        <w:ind w:right="26"/>
        <w:jc w:val="both"/>
        <w:rPr>
          <w:rFonts w:ascii="Times New Roman" w:hAnsi="Times New Roman" w:cs="Times New Roman"/>
          <w:b/>
          <w:sz w:val="24"/>
          <w:szCs w:val="24"/>
        </w:rPr>
      </w:pPr>
      <w:r>
        <w:rPr>
          <w:rFonts w:ascii="Times New Roman" w:hAnsi="Times New Roman" w:cs="Times New Roman"/>
          <w:b/>
          <w:sz w:val="24"/>
          <w:szCs w:val="24"/>
        </w:rPr>
        <w:t>Benefits of Open Access library in Academic Library</w:t>
      </w:r>
    </w:p>
    <w:p w14:paraId="465938CF">
      <w:pPr>
        <w:spacing w:after="0" w:line="480" w:lineRule="auto"/>
        <w:ind w:right="26"/>
        <w:jc w:val="both"/>
        <w:rPr>
          <w:rFonts w:ascii="Times New Roman" w:hAnsi="Times New Roman" w:cs="Times New Roman"/>
          <w:b/>
          <w:sz w:val="24"/>
          <w:szCs w:val="24"/>
        </w:rPr>
      </w:pPr>
      <w:r>
        <w:rPr>
          <w:rFonts w:ascii="Times New Roman" w:hAnsi="Times New Roman" w:cs="Times New Roman"/>
          <w:b/>
          <w:sz w:val="24"/>
          <w:szCs w:val="24"/>
        </w:rPr>
        <w:t>Factors Militating against Open Access Library acceptance</w:t>
      </w:r>
    </w:p>
    <w:p w14:paraId="67E527C0">
      <w:pPr>
        <w:spacing w:after="0" w:line="480" w:lineRule="auto"/>
        <w:ind w:right="26"/>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Summary of Literature Reviewed</w:t>
      </w:r>
    </w:p>
    <w:p w14:paraId="0FD2D170">
      <w:pPr>
        <w:pStyle w:val="8"/>
        <w:spacing w:before="0" w:beforeAutospacing="0" w:after="0" w:afterAutospacing="0" w:line="480" w:lineRule="auto"/>
        <w:jc w:val="both"/>
      </w:pPr>
      <w:r>
        <w:rPr>
          <w:b/>
        </w:rPr>
        <w:t>2.2.1</w:t>
      </w:r>
      <w:r>
        <w:rPr>
          <w:b/>
        </w:rPr>
        <w:tab/>
      </w:r>
      <w:r>
        <w:rPr>
          <w:b/>
          <w:bCs/>
        </w:rPr>
        <w:t>Open access</w:t>
      </w:r>
      <w:r>
        <w:t> (</w:t>
      </w:r>
      <w:r>
        <w:rPr>
          <w:b/>
          <w:bCs/>
        </w:rPr>
        <w:t>OA</w:t>
      </w:r>
      <w:r>
        <w:t>) is a set of principles and practices through which research outputs like journal articles are distributed online, free of cost or other access barriers. In "traditional" scholarly publishing, the publisher owns the rights to the articles in their journals. Individuals looking to read these articles may encounter a pay wall, requiring them to pay a fee for access. Institutions and libraries (including Lane Library) help provide access to such pay walled research by negotiating with the publishers and paying costly subscription fees.</w:t>
      </w:r>
    </w:p>
    <w:p w14:paraId="1A80B742">
      <w:pPr>
        <w:pStyle w:val="8"/>
        <w:spacing w:before="0" w:beforeAutospacing="0" w:after="0" w:afterAutospacing="0" w:line="480" w:lineRule="auto"/>
        <w:jc w:val="both"/>
      </w:pPr>
      <w:r>
        <w:t xml:space="preserve">In contrast, open access ensures that the outputs of the research process can be read and built upon by everyone. </w:t>
      </w:r>
      <w:r>
        <w:rPr>
          <w:bCs/>
          <w:shd w:val="clear" w:color="auto" w:fill="FFFFFF"/>
        </w:rPr>
        <w:t>Open access</w:t>
      </w:r>
      <w:r>
        <w:rPr>
          <w:shd w:val="clear" w:color="auto" w:fill="FFFFFF"/>
        </w:rPr>
        <w:t> (</w:t>
      </w:r>
      <w:r>
        <w:rPr>
          <w:bCs/>
          <w:shd w:val="clear" w:color="auto" w:fill="FFFFFF"/>
        </w:rPr>
        <w:t>OA</w:t>
      </w:r>
      <w:r>
        <w:rPr>
          <w:shd w:val="clear" w:color="auto" w:fill="FFFFFF"/>
        </w:rPr>
        <w:t>) is also a set of principles and a range of practices through which </w:t>
      </w:r>
      <w:r>
        <w:fldChar w:fldCharType="begin"/>
      </w:r>
      <w:r>
        <w:instrText xml:space="preserve"> HYPERLINK "https://en.m.wikipedia.org/wiki/Research" \o "Research" </w:instrText>
      </w:r>
      <w:r>
        <w:fldChar w:fldCharType="separate"/>
      </w:r>
      <w:r>
        <w:rPr>
          <w:rStyle w:val="7"/>
          <w:color w:val="auto"/>
          <w:u w:val="none"/>
          <w:shd w:val="clear" w:color="auto" w:fill="FFFFFF"/>
        </w:rPr>
        <w:t>research</w:t>
      </w:r>
      <w:r>
        <w:rPr>
          <w:rStyle w:val="7"/>
          <w:color w:val="auto"/>
          <w:u w:val="none"/>
          <w:shd w:val="clear" w:color="auto" w:fill="FFFFFF"/>
        </w:rPr>
        <w:fldChar w:fldCharType="end"/>
      </w:r>
      <w:r>
        <w:rPr>
          <w:shd w:val="clear" w:color="auto" w:fill="FFFFFF"/>
        </w:rPr>
        <w:t> outputs are distributed online, free of access charges or other barriers. With open access strictly defined (Khoo, Shaun Yon-Seng (2019)), or </w:t>
      </w:r>
      <w:r>
        <w:fldChar w:fldCharType="begin"/>
      </w:r>
      <w:r>
        <w:instrText xml:space="preserve"> HYPERLINK "https://en.m.wikipedia.org/wiki/Gratis_versus_libre" \o "Gratis versus libre" </w:instrText>
      </w:r>
      <w:r>
        <w:fldChar w:fldCharType="separate"/>
      </w:r>
      <w:r>
        <w:rPr>
          <w:rStyle w:val="7"/>
          <w:color w:val="auto"/>
          <w:u w:val="none"/>
          <w:shd w:val="clear" w:color="auto" w:fill="FFFFFF"/>
        </w:rPr>
        <w:t>libber</w:t>
      </w:r>
      <w:r>
        <w:rPr>
          <w:rStyle w:val="7"/>
          <w:color w:val="auto"/>
          <w:u w:val="none"/>
          <w:shd w:val="clear" w:color="auto" w:fill="FFFFFF"/>
        </w:rPr>
        <w:fldChar w:fldCharType="end"/>
      </w:r>
      <w:r>
        <w:rPr>
          <w:shd w:val="clear" w:color="auto" w:fill="FFFFFF"/>
        </w:rPr>
        <w:t> open access, barriers to copying or reuse are also reduced or removed by applying an </w:t>
      </w:r>
      <w:r>
        <w:fldChar w:fldCharType="begin"/>
      </w:r>
      <w:r>
        <w:instrText xml:space="preserve"> HYPERLINK "https://en.m.wikipedia.org/wiki/Open_license" \o "Open license" </w:instrText>
      </w:r>
      <w:r>
        <w:fldChar w:fldCharType="separate"/>
      </w:r>
      <w:r>
        <w:rPr>
          <w:rStyle w:val="7"/>
          <w:color w:val="auto"/>
          <w:u w:val="none"/>
          <w:shd w:val="clear" w:color="auto" w:fill="FFFFFF"/>
        </w:rPr>
        <w:t>open license</w:t>
      </w:r>
      <w:r>
        <w:rPr>
          <w:rStyle w:val="7"/>
          <w:color w:val="auto"/>
          <w:u w:val="none"/>
          <w:shd w:val="clear" w:color="auto" w:fill="FFFFFF"/>
        </w:rPr>
        <w:fldChar w:fldCharType="end"/>
      </w:r>
      <w:r>
        <w:rPr>
          <w:shd w:val="clear" w:color="auto" w:fill="FFFFFF"/>
        </w:rPr>
        <w:t xml:space="preserve"> for copyright. </w:t>
      </w:r>
      <w:r>
        <w:t>The main focus of the open access movement is "</w:t>
      </w:r>
      <w:r>
        <w:fldChar w:fldCharType="begin"/>
      </w:r>
      <w:r>
        <w:instrText xml:space="preserve"> HYPERLINK "https://en.m.wikipedia.org/wiki/Peer_review" \o "Peer review" </w:instrText>
      </w:r>
      <w:r>
        <w:fldChar w:fldCharType="separate"/>
      </w:r>
      <w:r>
        <w:rPr>
          <w:rStyle w:val="7"/>
          <w:color w:val="auto"/>
          <w:u w:val="none"/>
        </w:rPr>
        <w:t>peer reviewed</w:t>
      </w:r>
      <w:r>
        <w:rPr>
          <w:rStyle w:val="7"/>
          <w:color w:val="auto"/>
          <w:u w:val="none"/>
        </w:rPr>
        <w:fldChar w:fldCharType="end"/>
      </w:r>
      <w:r>
        <w:t> research literature" Historically; this has cantered mainly on print-based </w:t>
      </w:r>
      <w:r>
        <w:fldChar w:fldCharType="begin"/>
      </w:r>
      <w:r>
        <w:instrText xml:space="preserve"> HYPERLINK "https://en.m.wikipedia.org/wiki/Academic_journal" \o "Academic journal" </w:instrText>
      </w:r>
      <w:r>
        <w:fldChar w:fldCharType="separate"/>
      </w:r>
      <w:r>
        <w:rPr>
          <w:rStyle w:val="7"/>
          <w:color w:val="auto"/>
          <w:u w:val="none"/>
        </w:rPr>
        <w:t>academic journals</w:t>
      </w:r>
      <w:r>
        <w:rPr>
          <w:rStyle w:val="7"/>
          <w:color w:val="auto"/>
          <w:u w:val="none"/>
        </w:rPr>
        <w:fldChar w:fldCharType="end"/>
      </w:r>
      <w:r>
        <w:t>. Whereas non-open access journals cover publishing costs through </w:t>
      </w:r>
      <w:r>
        <w:fldChar w:fldCharType="begin"/>
      </w:r>
      <w:r>
        <w:instrText xml:space="preserve"> HYPERLINK "https://en.m.wikipedia.org/wiki/Subscription_business_model" \o "Subscription business model" </w:instrText>
      </w:r>
      <w:r>
        <w:fldChar w:fldCharType="separate"/>
      </w:r>
      <w:r>
        <w:rPr>
          <w:rStyle w:val="7"/>
          <w:color w:val="auto"/>
          <w:u w:val="none"/>
        </w:rPr>
        <w:t>access tolls</w:t>
      </w:r>
      <w:r>
        <w:rPr>
          <w:rStyle w:val="7"/>
          <w:color w:val="auto"/>
          <w:u w:val="none"/>
        </w:rPr>
        <w:fldChar w:fldCharType="end"/>
      </w:r>
      <w:r>
        <w:t> such as subscriptions, site licenses or </w:t>
      </w:r>
      <w:r>
        <w:fldChar w:fldCharType="begin"/>
      </w:r>
      <w:r>
        <w:instrText xml:space="preserve"> HYPERLINK "https://en.m.wikipedia.org/wiki/Pay-per-view" \o "Pay-per-view" </w:instrText>
      </w:r>
      <w:r>
        <w:fldChar w:fldCharType="separate"/>
      </w:r>
      <w:r>
        <w:rPr>
          <w:rStyle w:val="7"/>
          <w:color w:val="auto"/>
          <w:u w:val="none"/>
        </w:rPr>
        <w:t>pay-per-view</w:t>
      </w:r>
      <w:r>
        <w:rPr>
          <w:rStyle w:val="7"/>
          <w:color w:val="auto"/>
          <w:u w:val="none"/>
        </w:rPr>
        <w:fldChar w:fldCharType="end"/>
      </w:r>
      <w:r>
        <w:t> charges, open-access journals are characterized by funding models which do not require the reader to pay to read the journal's contents, relying instead on </w:t>
      </w:r>
      <w:r>
        <w:fldChar w:fldCharType="begin"/>
      </w:r>
      <w:r>
        <w:instrText xml:space="preserve"> HYPERLINK "https://en.m.wikipedia.org/wiki/Author_fees" \o "Author fees" </w:instrText>
      </w:r>
      <w:r>
        <w:fldChar w:fldCharType="separate"/>
      </w:r>
      <w:r>
        <w:rPr>
          <w:rStyle w:val="7"/>
          <w:color w:val="auto"/>
          <w:u w:val="none"/>
        </w:rPr>
        <w:t>author fees</w:t>
      </w:r>
      <w:r>
        <w:rPr>
          <w:rStyle w:val="7"/>
          <w:color w:val="auto"/>
          <w:u w:val="none"/>
        </w:rPr>
        <w:fldChar w:fldCharType="end"/>
      </w:r>
      <w:r>
        <w:t> or on public funding, subsidies and sponsorships. Open access can be applied to all forms of published research output, including </w:t>
      </w:r>
      <w:r>
        <w:fldChar w:fldCharType="begin"/>
      </w:r>
      <w:r>
        <w:instrText xml:space="preserve"> HYPERLINK "https://en.m.wikipedia.org/wiki/Peer-reviewed" \o "Peer-reviewed" </w:instrText>
      </w:r>
      <w:r>
        <w:fldChar w:fldCharType="separate"/>
      </w:r>
      <w:r>
        <w:rPr>
          <w:rStyle w:val="7"/>
          <w:color w:val="auto"/>
          <w:u w:val="none"/>
        </w:rPr>
        <w:t>peer-reviewed</w:t>
      </w:r>
      <w:r>
        <w:rPr>
          <w:rStyle w:val="7"/>
          <w:color w:val="auto"/>
          <w:u w:val="none"/>
        </w:rPr>
        <w:fldChar w:fldCharType="end"/>
      </w:r>
      <w:r>
        <w:t> and non peer-reviewed </w:t>
      </w:r>
      <w:r>
        <w:fldChar w:fldCharType="begin"/>
      </w:r>
      <w:r>
        <w:instrText xml:space="preserve"> HYPERLINK "https://en.m.wikipedia.org/wiki/Academic_journal" \o "Academic journal" </w:instrText>
      </w:r>
      <w:r>
        <w:fldChar w:fldCharType="separate"/>
      </w:r>
      <w:r>
        <w:rPr>
          <w:rStyle w:val="7"/>
          <w:color w:val="auto"/>
          <w:u w:val="none"/>
        </w:rPr>
        <w:t>academic journal</w:t>
      </w:r>
      <w:r>
        <w:rPr>
          <w:rStyle w:val="7"/>
          <w:color w:val="auto"/>
          <w:u w:val="none"/>
        </w:rPr>
        <w:fldChar w:fldCharType="end"/>
      </w:r>
      <w:r>
        <w:t xml:space="preserve"> articles, </w:t>
      </w:r>
      <w:r>
        <w:fldChar w:fldCharType="begin"/>
      </w:r>
      <w:r>
        <w:instrText xml:space="preserve"> HYPERLINK "https://en.m.wikipedia.org/wiki/Conference_papers" \o "Conference papers" </w:instrText>
      </w:r>
      <w:r>
        <w:fldChar w:fldCharType="separate"/>
      </w:r>
      <w:r>
        <w:rPr>
          <w:rStyle w:val="7"/>
          <w:color w:val="auto"/>
          <w:u w:val="none"/>
        </w:rPr>
        <w:t>conference papers</w:t>
      </w:r>
      <w:r>
        <w:rPr>
          <w:rStyle w:val="7"/>
          <w:color w:val="auto"/>
          <w:u w:val="none"/>
        </w:rPr>
        <w:fldChar w:fldCharType="end"/>
      </w:r>
      <w:r>
        <w:t xml:space="preserve">,  book chapters, </w:t>
      </w:r>
      <w:r>
        <w:fldChar w:fldCharType="begin"/>
      </w:r>
      <w:r>
        <w:instrText xml:space="preserve"> HYPERLINK "https://en.m.wikipedia.org/wiki/Monograph" \o "Monograph" </w:instrText>
      </w:r>
      <w:r>
        <w:fldChar w:fldCharType="separate"/>
      </w:r>
      <w:r>
        <w:rPr>
          <w:rStyle w:val="7"/>
          <w:color w:val="auto"/>
          <w:u w:val="none"/>
        </w:rPr>
        <w:t>monographs</w:t>
      </w:r>
      <w:r>
        <w:rPr>
          <w:rStyle w:val="7"/>
          <w:color w:val="auto"/>
          <w:u w:val="none"/>
        </w:rPr>
        <w:fldChar w:fldCharType="end"/>
      </w:r>
      <w:r>
        <w:t>, </w:t>
      </w:r>
      <w:r>
        <w:fldChar w:fldCharType="begin"/>
      </w:r>
      <w:r>
        <w:instrText xml:space="preserve"> HYPERLINK "https://en.m.wikipedia.org/wiki/Research_report" \o "Research report" </w:instrText>
      </w:r>
      <w:r>
        <w:fldChar w:fldCharType="separate"/>
      </w:r>
      <w:r>
        <w:rPr>
          <w:rStyle w:val="7"/>
          <w:color w:val="auto"/>
          <w:u w:val="none"/>
        </w:rPr>
        <w:t>research reports</w:t>
      </w:r>
      <w:r>
        <w:rPr>
          <w:rStyle w:val="7"/>
          <w:color w:val="auto"/>
          <w:u w:val="none"/>
        </w:rPr>
        <w:fldChar w:fldCharType="end"/>
      </w:r>
      <w:r>
        <w:t> and images. Since the revenue of most open access journals is earned from publication fees charged to the authors, OA publishers are motivated to increase their profits by accepting low-quality papers and by not performing thorough </w:t>
      </w:r>
      <w:r>
        <w:fldChar w:fldCharType="begin"/>
      </w:r>
      <w:r>
        <w:instrText xml:space="preserve"> HYPERLINK "https://en.m.wikipedia.org/wiki/Peer_review" \o "Peer review" </w:instrText>
      </w:r>
      <w:r>
        <w:fldChar w:fldCharType="separate"/>
      </w:r>
      <w:r>
        <w:rPr>
          <w:rStyle w:val="7"/>
          <w:color w:val="auto"/>
          <w:u w:val="none"/>
        </w:rPr>
        <w:t>peer review</w:t>
      </w:r>
      <w:r>
        <w:rPr>
          <w:rStyle w:val="7"/>
          <w:color w:val="auto"/>
          <w:u w:val="none"/>
        </w:rPr>
        <w:fldChar w:fldCharType="end"/>
      </w:r>
      <w:r>
        <w:t>. On the other hand, the prices for OA publications in the most prestigious journals have exceeded 5,000 US$, making such publishing model unaffordable to a large number of researchers. This increase in publishing cost has been called the "Open-Access Sequel to Serials Crisis".</w:t>
      </w:r>
    </w:p>
    <w:p w14:paraId="7216CDC5">
      <w:pPr>
        <w:spacing w:after="0" w:line="480" w:lineRule="auto"/>
        <w:ind w:right="26"/>
        <w:jc w:val="both"/>
        <w:rPr>
          <w:rFonts w:ascii="Times New Roman" w:hAnsi="Times New Roman" w:cs="Times New Roman"/>
          <w:b/>
          <w:sz w:val="24"/>
          <w:szCs w:val="24"/>
        </w:rPr>
      </w:pPr>
    </w:p>
    <w:p w14:paraId="1D6301BF">
      <w:pPr>
        <w:spacing w:after="0" w:line="480" w:lineRule="auto"/>
        <w:ind w:right="26"/>
        <w:jc w:val="both"/>
        <w:rPr>
          <w:rFonts w:ascii="Times New Roman" w:hAnsi="Times New Roman" w:cs="Times New Roman"/>
          <w:b/>
          <w:sz w:val="24"/>
          <w:szCs w:val="24"/>
        </w:rPr>
      </w:pPr>
    </w:p>
    <w:p w14:paraId="5AD890CA">
      <w:pPr>
        <w:spacing w:after="0" w:line="480" w:lineRule="auto"/>
        <w:ind w:right="26"/>
        <w:jc w:val="both"/>
        <w:rPr>
          <w:rFonts w:ascii="Times New Roman" w:hAnsi="Times New Roman" w:cs="Times New Roman"/>
          <w:b/>
          <w:sz w:val="24"/>
          <w:szCs w:val="24"/>
        </w:rPr>
      </w:pPr>
    </w:p>
    <w:p w14:paraId="08417301">
      <w:pPr>
        <w:spacing w:after="0" w:line="480" w:lineRule="auto"/>
        <w:ind w:right="26"/>
        <w:jc w:val="both"/>
        <w:rPr>
          <w:rFonts w:ascii="Times New Roman" w:hAnsi="Times New Roman" w:cs="Times New Roman"/>
          <w:b/>
          <w:sz w:val="24"/>
          <w:szCs w:val="24"/>
        </w:rPr>
      </w:pPr>
    </w:p>
    <w:p w14:paraId="7135ACC0">
      <w:pPr>
        <w:spacing w:after="0" w:line="480" w:lineRule="auto"/>
        <w:ind w:right="26"/>
        <w:jc w:val="both"/>
        <w:rPr>
          <w:rFonts w:ascii="Times New Roman" w:hAnsi="Times New Roman" w:cs="Times New Roman"/>
          <w:b/>
          <w:sz w:val="24"/>
          <w:szCs w:val="24"/>
        </w:rPr>
      </w:pPr>
      <w:r>
        <w:rPr>
          <w:rFonts w:ascii="Times New Roman" w:hAnsi="Times New Roman" w:cs="Times New Roman"/>
          <w:b/>
          <w:sz w:val="24"/>
          <w:szCs w:val="24"/>
        </w:rPr>
        <w:t>Concept of Learning</w:t>
      </w:r>
    </w:p>
    <w:p w14:paraId="2CD34FF0">
      <w:pPr>
        <w:spacing w:after="0" w:line="480" w:lineRule="auto"/>
        <w:ind w:right="29"/>
        <w:jc w:val="both"/>
        <w:rPr>
          <w:rFonts w:ascii="Times New Roman" w:hAnsi="Times New Roman" w:cs="Times New Roman"/>
          <w:sz w:val="24"/>
          <w:szCs w:val="24"/>
        </w:rPr>
      </w:pPr>
      <w:r>
        <w:rPr>
          <w:rFonts w:ascii="Times New Roman" w:hAnsi="Times New Roman" w:cs="Times New Roman"/>
          <w:sz w:val="24"/>
          <w:szCs w:val="24"/>
        </w:rPr>
        <w:t>Learning is a permanent change in behavior as a result of experience, and the behavior includes both of the external and internal actions of the individual which are observed and remain unobserved by the outside world. It also includes the different ways in which people understand or experience or conceptualize the world around them Pandey (2018). He conducted experiments on dogs and cats to discover whether they learn their tasks through imitation or observation. He compared the learning curves of cats who were assigned to observe others escaping from a box with those who had never seen the animals getting out of the box. He found no difference in the rate of learning between both of the groups. So, it was revealed that the process of learning depended upon the relationship between stimulus and response. The animal solved the problem not by reflecting and thinking over the action that was performed by them. It was rather done by a totally mechanical development of actions originally formulated by chance. He observed that the greater was the satisfaction or discomfort, the greater would be the strengthening or weakening of the bond. The process of learning is continuous which starts right from the time of birth of an individual and continues till the death. We all are engaged in the learning endeavors in order to develop our adaptive capabilities as per the requirements of the changing environment. For a learning to occur, two things are important (Thorndike, 2018). Conducted learning experiments on animals (rats) and human beings in which he revealed that the law of effect has not as much importance in the learning process as has been emphasized by Thorndike. Watson discovered that once the animal was well trained at running the maze, it did so almost automatically. He explored animals’ sensory abilities: for example their abilities to discriminate between similar stimuli. He rejected the law of effect and all that was important for him was the frequency of occurrence of stimulus-response pairings. Reinforces might cause some responses to occur more often in the presence of particular stimuli, but they did not act directly to originate their learning (Ali 2015). According to Axman (2015), Edward Tolman conducted studies and revealed drawbacks in the law of effect. For example, rats were permitted to explore a maze in which there were three routes/ways of different distance between the starting position and the end. The rats’ behavior revealed that they have got a mental map of the maze when it was blocked. They prefer the routes according to their shortness. He discovered that the animals could use knowledge which they gained in running the maze. This result was developed further by Pandey (2018) who discovered that unexpected decreases in reward quantity caused rats temporarily to run a maze more slowly than normal while unexpected increases caused a temporary elevation in running speed. Skinner (2015) conducted experiments on animals and developed the basic concept of operant conditioning. He claimed that this type of learning was not the result of stimulus-response learning. The basic association in operant conditioning was between the operant response and the reinforce.  The relation to a stimulus is different in the operant behavior, and the most operant responses may be emitted in the absence of what is regarded as a relevant stimulus. The operant behavior is essentially and entirely an emissive phenomenon. Latency and magnitude of response fail as standard/measures because they do not take this into consideration. They are concepts appropriate to the field of the reflex, where the all but invariable control exercised by the eliciting stimulus makes the notion of probability of response trivial. Pavlov (2018), learning process is thoroughly depended on reflexes. It is outcome of a neutral stimulus when it is associated with part of a reflex. He believed that human behavior could be explained entirely in terms of reflexes, stimulus-response associations. There is no p</w:t>
      </w:r>
      <w:r>
        <w:rPr>
          <w:rFonts w:ascii="Times New Roman" w:hAnsi="Times New Roman" w:cs="Times New Roman"/>
          <w:sz w:val="24"/>
          <w:szCs w:val="24"/>
        </w:rPr>
        <w:t>lace for the mental terms like desires, goals, interest, insight etc. At birth, there are a large number of ontogenetic, embryologic responses called reflexes. No reflex is involved in trial and error learning. A reinforcing or punishing event changes the strength of association between a neutral stimulus and an arbitrary response. The response is not the part of a reflex.  Similarly, pairing noxious stimuli with undesirable behaviors can create learned distaste for the target behaviors. For instance, employing the principles of classical conditioning, we can show films that make drunk driving is a totally distasteful activity. Brockett &amp; Roger (2016), learning is a personal act of individual to make full use of his potential. It is a process of self actualization to its maximum level. The basic characteristics of self-actualizing people are: they have tolerance for ambiguity, acceptance of self and others, and peak experiences that lead to personal transformation through new insights. The success of the learning process demands that that the instructional activities must be based on learners’ perceived needs. Without the fulfillment of the basic needs such as food, security, self respect, self esteem and intellectual curiosity, learning will not take place. It is recognized that there are various levels of perceived needs that ranging from felt needs or wants where the highest internal control is possible or externally mandated requirements where little internal control is possible. The human beings are not machines and cannot function in ignoring the basic needs of the individual. Roger (2016), Learning is not memorizing of information, facts and ideas. Its sole purpose is not producing the stored information in the examination. No doubt, it is one of the elements that contribute for the success of the learning process but not a whole</w:t>
      </w:r>
      <w:r>
        <w:rPr>
          <w:rFonts w:ascii="Times New Roman" w:hAnsi="Times New Roman" w:cs="Times New Roman"/>
          <w:b/>
          <w:sz w:val="24"/>
          <w:szCs w:val="24"/>
        </w:rPr>
        <w:t xml:space="preserve">. </w:t>
      </w:r>
      <w:r>
        <w:rPr>
          <w:rFonts w:ascii="Times New Roman" w:hAnsi="Times New Roman" w:cs="Times New Roman"/>
          <w:sz w:val="24"/>
          <w:szCs w:val="24"/>
        </w:rPr>
        <w:t>According to him (Roger 2016), it is an unfulfilled curiosity and urges that moves the learner to bring in everything he can see or hear or read about any type of machine or instrument in order to improve the efficiency and speed of it. It includes discovering, drawing in from the outside, and making that which is drawn in a real part of ME. It is something that has been done by the learner to understand the real world. It aims at information processing instead of information acquisition. Truths are imparted, procedures are only be inculcated, and while inculcation is a gradual and systematic process, imparting is somewhat sudden and of intuitive nature. It makes sense to ask at what moment someone became apprised of a truth, but not to ask at what moment someone acquired a skill. Therefore, it is the responsibility of the educator to work as a facilitator in the teaching learning process and also facilitates for the development of the whole person. Driscoll (2015), learning is a process of continuous change in human performance or performance potential. It must come about as a result of the learner’s experience and interaction with the world around him. According to Vaill (2016), learning is a way of being. It is an ongoing set of attitudes/temperaments and actions by the individual and groups which they employ to keep abreast of the surprising, novel/new, ambiguous, obtrusive and recurring events.</w:t>
      </w:r>
    </w:p>
    <w:p w14:paraId="0F285962">
      <w:pPr>
        <w:spacing w:line="480" w:lineRule="auto"/>
        <w:jc w:val="both"/>
        <w:rPr>
          <w:rFonts w:ascii="Times New Roman" w:hAnsi="Times New Roman" w:cs="Times New Roman"/>
          <w:b/>
          <w:sz w:val="24"/>
          <w:szCs w:val="24"/>
        </w:rPr>
      </w:pPr>
      <w:r>
        <w:rPr>
          <w:rFonts w:ascii="Times New Roman" w:hAnsi="Times New Roman" w:cs="Times New Roman"/>
          <w:b/>
          <w:sz w:val="24"/>
          <w:szCs w:val="24"/>
        </w:rPr>
        <w:t>2.2.2</w:t>
      </w:r>
      <w:r>
        <w:rPr>
          <w:rFonts w:ascii="Times New Roman" w:hAnsi="Times New Roman" w:cs="Times New Roman"/>
          <w:b/>
          <w:sz w:val="24"/>
          <w:szCs w:val="24"/>
        </w:rPr>
        <w:tab/>
      </w:r>
      <w:r>
        <w:rPr>
          <w:rFonts w:ascii="Times New Roman" w:hAnsi="Times New Roman" w:cs="Times New Roman"/>
          <w:b/>
          <w:sz w:val="24"/>
          <w:szCs w:val="24"/>
        </w:rPr>
        <w:t>Adoption of Open Access by Libraries</w:t>
      </w:r>
    </w:p>
    <w:p w14:paraId="169E27D2">
      <w:pPr>
        <w:spacing w:line="480" w:lineRule="auto"/>
        <w:jc w:val="both"/>
        <w:rPr>
          <w:rFonts w:ascii="Times New Roman" w:hAnsi="Times New Roman" w:cs="Times New Roman"/>
          <w:b/>
          <w:sz w:val="24"/>
          <w:szCs w:val="24"/>
        </w:rPr>
      </w:pPr>
      <w:r>
        <w:rPr>
          <w:rFonts w:ascii="Times New Roman" w:hAnsi="Times New Roman" w:cs="Times New Roman"/>
          <w:sz w:val="24"/>
          <w:szCs w:val="24"/>
        </w:rPr>
        <w:t>Open access enable institutions to save cost in their provision, access and utilization of their institution resources. They provide the most current results of scientific and scholarly information. They enable users’ access to read, copy, download, print full text of the available articles before them. Open access can be seen as unrestricted visibility, provision and exploitation of external or scholarly publications. Open access movement according to Rossini, (2015) is a reaction to the persistence traditional control-based models of scientific knowledge distribution characterized by high cost subscription journals.  Open access acceptance and adoption in university libraries therefore is an attempt that is characterized by capture and lockdown through digital rights management (DRM), rather than the maximization of distribution of which is their supposed reason for existence. Open access according to Balnaves (2018) is important in leveraging the research output of an organization within the institution (even where copy right restrictions prevent external visibility). Similarly, acknowledging the importance of open access Macklin (2017) opined that “open access is also one solution to problem for university libraries-a problem that affect all of us in academia, whether we are aware of it or not. That problem is the rising price of work published in academic journals”. It is in view of the importance of open access that a good number of information service oriented institutions such as university libraries are speedily accepting and adopting open access scholarly communication. Explaining the need to accept and adopt open access resources in university libraries, Iowa state university (2008) assert that “the current system of scholarly communication is changing. Libraries and their institutions can no longer keep up with the increasing volume and costs of scholarly resources”.  In response to the need for acceptance and adoption of open access publications in libraries, Rao (2020) exposed that: “our knowledge of the world has been improving more and more rapidly with time and is becoming increasingly reliable. The adoption of societies to the knowledge base has become more critical for sustained growth. As every segment of the world today depends on the other, it is critical to bridge the knowledge gap in every possible way”. P.80 The implication of this is that there is a steady improvement in our knowledge of the world and this necessitated the speedy acceptance, adoption and organization of open access to information and knowledge in order to provide, share, and exploit recorded knowledge without any barrier. More so, reliable knowledge brings about sustainable growth and development. Belnaves (2018) declared that “the next decade is also likely to see the increase of open access model for presentation of digital resources, making use of highly functional digital library framework. Indeed, digital libraries are making transition from large institutional repositories to mid-sized and special</w:t>
      </w:r>
    </w:p>
    <w:p w14:paraId="0E903C36">
      <w:pPr>
        <w:spacing w:line="480" w:lineRule="auto"/>
        <w:jc w:val="both"/>
        <w:rPr>
          <w:rFonts w:ascii="Times New Roman" w:hAnsi="Times New Roman" w:cs="Times New Roman"/>
          <w:b/>
          <w:sz w:val="24"/>
          <w:szCs w:val="24"/>
        </w:rPr>
      </w:pPr>
    </w:p>
    <w:p w14:paraId="64B4870A">
      <w:pPr>
        <w:spacing w:line="480" w:lineRule="auto"/>
        <w:jc w:val="both"/>
        <w:rPr>
          <w:rFonts w:ascii="Times New Roman" w:hAnsi="Times New Roman" w:cs="Times New Roman"/>
          <w:b/>
          <w:sz w:val="24"/>
          <w:szCs w:val="24"/>
        </w:rPr>
      </w:pPr>
    </w:p>
    <w:p w14:paraId="532D1908">
      <w:pPr>
        <w:spacing w:line="480" w:lineRule="auto"/>
        <w:jc w:val="both"/>
        <w:rPr>
          <w:rFonts w:ascii="Times New Roman" w:hAnsi="Times New Roman" w:cs="Times New Roman"/>
          <w:sz w:val="24"/>
          <w:szCs w:val="24"/>
        </w:rPr>
      </w:pPr>
      <w:r>
        <w:rPr>
          <w:rFonts w:ascii="Times New Roman" w:hAnsi="Times New Roman" w:cs="Times New Roman"/>
          <w:b/>
          <w:sz w:val="24"/>
          <w:szCs w:val="24"/>
        </w:rPr>
        <w:t>2.2.3</w:t>
      </w:r>
      <w:r>
        <w:rPr>
          <w:rFonts w:ascii="Times New Roman" w:hAnsi="Times New Roman" w:cs="Times New Roman"/>
          <w:b/>
          <w:sz w:val="24"/>
          <w:szCs w:val="24"/>
        </w:rPr>
        <w:tab/>
      </w:r>
      <w:r>
        <w:rPr>
          <w:rFonts w:ascii="Times New Roman" w:hAnsi="Times New Roman" w:cs="Times New Roman"/>
          <w:b/>
          <w:sz w:val="24"/>
          <w:szCs w:val="24"/>
        </w:rPr>
        <w:t>Frequency of Usage of Open Access</w:t>
      </w:r>
    </w:p>
    <w:p w14:paraId="53196D6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Several scholars report that individual characteristics determine usage of open access usage by faculty, which include professional rank (Kim, 2020; University of California &amp; Greenhouse Associates, 2020), age (Dulle and Minishi-Majanja, 2018), technical skills (Kim, 2020) and number of publications (Swan and Brown, 2015). Indications are that individual traits can be important factors to determine faculty’s OA behavioral intention to use, and actual usage of open access. Over the past years, frequency usage of open access has been a central concern in developed countries with few studies focusing on developing countries. Most studies have been designed at studying the number of factors related to frequency usage of open access and their vital role to scholarly publishing. Therefore, the need to review literature in order to identify the gap and guard against duplication of effort in research is essential. This review also gives the researcher an opportunity to relate the current findings to previous studies. The open access concept is gaining ground but is yet to be widely known among academics and researchers from various scholarly communities and research disciplines. The frequency usage of open access relies on the researcher being well informed of this mode of scholarly publishing. However, users of information gain from open access initiatives without prior knowledge of this mode of scholarly publishing (Fullard, 2017). This is possible when users by accident gain access to both free and subscribed content while searching for information on the Internet (Dulle, 2018). It is essential that prior knowledge of this mode of scholarly publishing is known to users. This situation propels the need by many researchers to address the issue of awareness before determining the frequency usage of open access. Awareness plays a vital role and is one of the pre-requisite conditions for successive frequency usage of open access unless an individual uses it unknowingly. According to Dinev et al. (2015), “awareness raises consciousness and knowledge about a certain technology and its personal and social benefits.” This suggests that awareness is a key determinant of user attitude and behavior towards technology. Similarly, for successful frequency usage of open access in scholarly community, awareness has also been recognized as one of the crucial factors that determine the frequency usage of open access and use of this mode of scholarly communication (Warlick et al., 2016). Utulu and Bolarinwa (2019) investigated the frequency usage of open access of open access initiatives by academics from Universities of Ibadan and Lagos. It was reported that lack of understanding of the open access concept and the inability to identify appropriate open access journals were observed as part of the contributory factors for its low frequency usage of open access.  Emojorho et al. (2021) examined the level of awareness of open access scholarly publication among lecturers at the University of Benin in Nigeria. The findings showed that only 86% of the respondents were aware of open access while only 58% of the respondents were familiar with open access institutional repositories, while 73% lack knowledge of open access journals. Similarly, Obuh and Bozimo (2022) examined awareness and use of open access scholarly publications by 141 lecturers in fourteen universities in southern Nigeria. The researchers reported that there were indications of a fairly high degree of awareness of open access publication among lecturers in universities in the southern part of Nigeria, yet the level of frequency usage of open access is low. The main principle of open access is to maximize access to information in order to promote wide dissemination of knowledge to users. A study carried out by Alemu (2019) examined the role of open access in fostering knowledge sharing and collaboration in Ethiopia. The findings revealed that respondents in the study had very low awareness of the open access concept and this mode of schol</w:t>
      </w:r>
      <w:r>
        <w:rPr>
          <w:rFonts w:ascii="Times New Roman" w:hAnsi="Times New Roman" w:cs="Times New Roman"/>
          <w:sz w:val="24"/>
          <w:szCs w:val="24"/>
        </w:rPr>
        <w:t xml:space="preserve">arly publishing was yet to be practiced in the institutions under study. In addition, Dulle (2018) focused on assessment of the frequency usage of open access of open access in terms of access and dissemination of scholarly information in research activities. The findings showed that 72.1% of researchers compared to 90.5% of policy makers in Tanzania’s public universities were aware of open access. Attitude is an individual’s overall affective reaction to using a system (Venkatesh et al., 2019). Several studies (Chau &amp; Hu, 2021; Louho et al., 2020) have established that individuals’ attitude towards technology had a strong effect on frequency usage of open access and use intention. Chau and Hu (2021) in a study of physicians’ behavioral intent in using computers pointed out that the attitudes towards computers are important for technology acceptance decisions. In the same vein, Obuh (2022) examined researchers’ attitudes towards use of open access publications in order to determine the position of Library and Information Science (LIS) lecturers in southern Nigeria. It was acknowledged that both junior and senior lecturers exhibited high positive attitude towards frequency usage of open access and usage of open access publications. However, this has not translated into actual use of open access. For the successful frequency usage of open access and acceptance of open access the Internet is required, which serves as a platform for open access. The Internet is an instrument used for searching, retrieving, and disseminating information across the globe (Adeogun, 2018). Internet self-efficacy is essential for frequency usage of open access. According to Bandura (2016) the concept of self-efficacy involves peoples’ judgment of their capabilities to organize and execute courses of action required to attain designated types of performances. Internet self-efficacy refers to “what individuals believe they can do with the Internet skills they possess” (Hsu et al., 2004,). In support of this claim, Gbaje (2019) stated that unless researchers demonstrate specific skills for using the Internet in accessing and disseminating research findings, they may not benefit from open access. Dulle and Minishi-Majanja (2018) stressed that Internet self-efficacy influences individual decisions towards frequency usage of open access and usage behaviors. It can be apparently concluded that academic staff in universities need to develop Internet skills for them to embrace and use open access. Members of university management are expected to give adequate support to academics by providing facilitating conditions that will motivate them to frequency usage of open access publishing in their scholarly works. Facilitating conditions relate to the extent to which an individual perceives that an organizational and technical infrastructure exists to support the use of a system (Venkatesh et al., 2019). This factor has been found to impact frequent usage of technology rather than behavioral intention in technology adoption studies (Venkatesh et al., 2019), and open access adoption research (Dulle and Minishi-Majanja, 2018). According to the meta-analysis of findings reported in 43 published studies, facilitating conditions can have significant impacts on both behavioral intention, and usage of technology (Dwivedi et al., 2020). </w:t>
      </w:r>
    </w:p>
    <w:p w14:paraId="35DD9717">
      <w:pPr>
        <w:spacing w:after="0" w:line="480" w:lineRule="auto"/>
        <w:ind w:right="26"/>
        <w:jc w:val="both"/>
        <w:rPr>
          <w:rFonts w:ascii="Times New Roman" w:hAnsi="Times New Roman" w:cs="Times New Roman"/>
          <w:b/>
          <w:sz w:val="24"/>
          <w:szCs w:val="24"/>
        </w:rPr>
      </w:pPr>
      <w:r>
        <w:rPr>
          <w:rFonts w:ascii="Times New Roman" w:hAnsi="Times New Roman" w:cs="Times New Roman"/>
          <w:b/>
          <w:sz w:val="24"/>
          <w:szCs w:val="24"/>
        </w:rPr>
        <w:t>2.2.4</w:t>
      </w:r>
      <w:r>
        <w:rPr>
          <w:rFonts w:ascii="Times New Roman" w:hAnsi="Times New Roman" w:cs="Times New Roman"/>
          <w:b/>
          <w:sz w:val="24"/>
          <w:szCs w:val="24"/>
        </w:rPr>
        <w:tab/>
      </w:r>
      <w:r>
        <w:rPr>
          <w:rFonts w:ascii="Times New Roman" w:hAnsi="Times New Roman" w:cs="Times New Roman"/>
          <w:b/>
          <w:sz w:val="24"/>
          <w:szCs w:val="24"/>
        </w:rPr>
        <w:t>Types of Open Access</w:t>
      </w:r>
      <w:r>
        <w:rPr>
          <w:rFonts w:hint="default" w:ascii="Times New Roman" w:hAnsi="Times New Roman" w:cs="Times New Roman"/>
          <w:b/>
          <w:sz w:val="24"/>
          <w:szCs w:val="24"/>
          <w:lang w:val="en-US"/>
        </w:rPr>
        <w:t xml:space="preserve"> </w:t>
      </w:r>
      <w:r>
        <w:rPr>
          <w:rFonts w:ascii="Times New Roman" w:hAnsi="Times New Roman" w:cs="Times New Roman"/>
          <w:b/>
          <w:sz w:val="24"/>
          <w:szCs w:val="24"/>
        </w:rPr>
        <w:t xml:space="preserve">Repository-based or “Green” open access: </w:t>
      </w:r>
      <w:r>
        <w:rPr>
          <w:rFonts w:ascii="Times New Roman" w:hAnsi="Times New Roman" w:cs="Times New Roman"/>
          <w:sz w:val="24"/>
          <w:szCs w:val="24"/>
        </w:rPr>
        <w:t xml:space="preserve">“Green” open access is the term used when the author accepted version of a published work is deposited into a subject-based repository or an institutional repository. Every university in Australia has a </w:t>
      </w:r>
      <w:r>
        <w:fldChar w:fldCharType="begin"/>
      </w:r>
      <w:r>
        <w:instrText xml:space="preserve"> HYPERLINK "http://aoasg.org.au/open-access-in-action/" \t "_blank" </w:instrText>
      </w:r>
      <w:r>
        <w:fldChar w:fldCharType="separate"/>
      </w:r>
      <w:r>
        <w:rPr>
          <w:rFonts w:ascii="Times New Roman" w:hAnsi="Times New Roman" w:cs="Times New Roman"/>
          <w:sz w:val="24"/>
          <w:szCs w:val="24"/>
        </w:rPr>
        <w:t>repository </w:t>
      </w:r>
      <w:r>
        <w:rPr>
          <w:rFonts w:ascii="Times New Roman" w:hAnsi="Times New Roman" w:cs="Times New Roman"/>
          <w:sz w:val="24"/>
          <w:szCs w:val="24"/>
        </w:rPr>
        <w:fldChar w:fldCharType="end"/>
      </w:r>
      <w:r>
        <w:rPr>
          <w:rFonts w:ascii="Times New Roman" w:hAnsi="Times New Roman" w:cs="Times New Roman"/>
          <w:sz w:val="24"/>
          <w:szCs w:val="24"/>
        </w:rPr>
        <w:t xml:space="preserve">for this purpose. International examples include </w:t>
      </w:r>
      <w:r>
        <w:fldChar w:fldCharType="begin"/>
      </w:r>
      <w:r>
        <w:instrText xml:space="preserve"> HYPERLINK "https://www.ncbi.nlm.nih.gov/pmc/" </w:instrText>
      </w:r>
      <w:r>
        <w:fldChar w:fldCharType="separate"/>
      </w:r>
      <w:r>
        <w:rPr>
          <w:rFonts w:ascii="Times New Roman" w:hAnsi="Times New Roman" w:cs="Times New Roman"/>
          <w:sz w:val="24"/>
          <w:szCs w:val="24"/>
        </w:rPr>
        <w:t>Pub Med Central® (PMC)</w:t>
      </w:r>
      <w:r>
        <w:rPr>
          <w:rFonts w:ascii="Times New Roman" w:hAnsi="Times New Roman" w:cs="Times New Roman"/>
          <w:sz w:val="24"/>
          <w:szCs w:val="24"/>
        </w:rPr>
        <w:fldChar w:fldCharType="end"/>
      </w:r>
      <w:r>
        <w:rPr>
          <w:rFonts w:ascii="Times New Roman" w:hAnsi="Times New Roman" w:cs="Times New Roman"/>
          <w:sz w:val="24"/>
          <w:szCs w:val="24"/>
        </w:rPr>
        <w:t xml:space="preserve"> and </w:t>
      </w:r>
      <w:r>
        <w:fldChar w:fldCharType="begin"/>
      </w:r>
      <w:r>
        <w:instrText xml:space="preserve"> HYPERLINK "https://europepmc.org/" </w:instrText>
      </w:r>
      <w:r>
        <w:fldChar w:fldCharType="separate"/>
      </w:r>
      <w:r>
        <w:rPr>
          <w:rFonts w:ascii="Times New Roman" w:hAnsi="Times New Roman" w:cs="Times New Roman"/>
          <w:sz w:val="24"/>
          <w:szCs w:val="24"/>
        </w:rPr>
        <w:t>Europe PMC. </w:t>
      </w:r>
      <w:r>
        <w:rPr>
          <w:rFonts w:ascii="Times New Roman" w:hAnsi="Times New Roman" w:cs="Times New Roman"/>
          <w:sz w:val="24"/>
          <w:szCs w:val="24"/>
        </w:rPr>
        <w:fldChar w:fldCharType="end"/>
      </w:r>
      <w:r>
        <w:rPr>
          <w:rFonts w:ascii="Times New Roman" w:hAnsi="Times New Roman" w:cs="Times New Roman"/>
          <w:sz w:val="24"/>
          <w:szCs w:val="24"/>
        </w:rPr>
        <w:t xml:space="preserve"> Articles may have a </w:t>
      </w:r>
      <w:r>
        <w:fldChar w:fldCharType="begin"/>
      </w:r>
      <w:r>
        <w:instrText xml:space="preserve"> HYPERLINK "https://oaaustralasia.org/faqs/" \l "panel-286" </w:instrText>
      </w:r>
      <w:r>
        <w:fldChar w:fldCharType="separate"/>
      </w:r>
      <w:r>
        <w:rPr>
          <w:rFonts w:ascii="Times New Roman" w:hAnsi="Times New Roman" w:cs="Times New Roman"/>
          <w:sz w:val="24"/>
          <w:szCs w:val="24"/>
        </w:rPr>
        <w:t>Creative Commons License</w:t>
      </w:r>
      <w:r>
        <w:rPr>
          <w:rFonts w:ascii="Times New Roman" w:hAnsi="Times New Roman" w:cs="Times New Roman"/>
          <w:sz w:val="24"/>
          <w:szCs w:val="24"/>
        </w:rPr>
        <w:fldChar w:fldCharType="end"/>
      </w:r>
      <w:r>
        <w:rPr>
          <w:rFonts w:ascii="Times New Roman" w:hAnsi="Times New Roman" w:cs="Times New Roman"/>
          <w:sz w:val="24"/>
          <w:szCs w:val="24"/>
        </w:rPr>
        <w:t xml:space="preserve"> applied, which specifies how the article can be used.</w:t>
      </w:r>
    </w:p>
    <w:p w14:paraId="58A6D281">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Journal-based  or “Gold” Open Access: </w:t>
      </w:r>
      <w:r>
        <w:rPr>
          <w:rFonts w:ascii="Times New Roman" w:hAnsi="Times New Roman" w:cs="Times New Roman"/>
          <w:sz w:val="24"/>
          <w:szCs w:val="24"/>
        </w:rPr>
        <w:t xml:space="preserve">“Gold” open access refers to publishing in a fully open access scholarly journal, one where the publisher of the journal provides free and immediate online access to the full content of the journal and the final published versions of articles in that journal are fully open access.  Articles have a Creative Commons License applied, which specifies how the article can be used. Business models for this form of open access vary.  In some cases, the publisher charges an article processing charge (APC), which may be paid by the author’s institution or funding body or by an individual researcher. APCs may also be paid as paid of transformative agreements.  A comprehensive list of open access journals is maintained by the </w:t>
      </w:r>
      <w:r>
        <w:fldChar w:fldCharType="begin"/>
      </w:r>
      <w:r>
        <w:instrText xml:space="preserve"> HYPERLINK "https://doaj.org/" </w:instrText>
      </w:r>
      <w:r>
        <w:fldChar w:fldCharType="separate"/>
      </w:r>
      <w:r>
        <w:rPr>
          <w:rFonts w:ascii="Times New Roman" w:hAnsi="Times New Roman" w:cs="Times New Roman"/>
          <w:sz w:val="24"/>
          <w:szCs w:val="24"/>
        </w:rPr>
        <w:t>Directory of Open Access Journals</w:t>
      </w:r>
      <w:r>
        <w:rPr>
          <w:rFonts w:ascii="Times New Roman" w:hAnsi="Times New Roman" w:cs="Times New Roman"/>
          <w:sz w:val="24"/>
          <w:szCs w:val="24"/>
        </w:rPr>
        <w:fldChar w:fldCharType="end"/>
      </w:r>
      <w:r>
        <w:rPr>
          <w:rFonts w:ascii="Times New Roman" w:hAnsi="Times New Roman" w:cs="Times New Roman"/>
          <w:sz w:val="24"/>
          <w:szCs w:val="24"/>
        </w:rPr>
        <w:t>. There is also a </w:t>
      </w:r>
      <w:r>
        <w:fldChar w:fldCharType="begin"/>
      </w:r>
      <w:r>
        <w:instrText xml:space="preserve"> HYPERLINK "https://www.doabooks.org/" </w:instrText>
      </w:r>
      <w:r>
        <w:fldChar w:fldCharType="separate"/>
      </w:r>
      <w:r>
        <w:rPr>
          <w:rFonts w:ascii="Times New Roman" w:hAnsi="Times New Roman" w:cs="Times New Roman"/>
          <w:sz w:val="24"/>
          <w:szCs w:val="24"/>
        </w:rPr>
        <w:t>Directory of Open Access Books</w:t>
      </w:r>
      <w:r>
        <w:rPr>
          <w:rFonts w:ascii="Times New Roman" w:hAnsi="Times New Roman" w:cs="Times New Roman"/>
          <w:sz w:val="24"/>
          <w:szCs w:val="24"/>
        </w:rPr>
        <w:fldChar w:fldCharType="end"/>
      </w:r>
      <w:r>
        <w:rPr>
          <w:rFonts w:ascii="Times New Roman" w:hAnsi="Times New Roman" w:cs="Times New Roman"/>
          <w:sz w:val="24"/>
          <w:szCs w:val="24"/>
        </w:rPr>
        <w:t>.</w:t>
      </w:r>
    </w:p>
    <w:p w14:paraId="21F621D7">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“Diamond” Open access: </w:t>
      </w:r>
      <w:r>
        <w:rPr>
          <w:rFonts w:ascii="Times New Roman" w:hAnsi="Times New Roman" w:cs="Times New Roman"/>
          <w:sz w:val="24"/>
          <w:szCs w:val="24"/>
        </w:rPr>
        <w:t xml:space="preserve">“Diamond” open access refers to open access journals that are free for readers to access and for authors to publish in. These journals are often community-driven and supported by institutions or by national or regional infrastructure. A </w:t>
      </w:r>
      <w:r>
        <w:fldChar w:fldCharType="begin"/>
      </w:r>
      <w:r>
        <w:instrText xml:space="preserve"> HYPERLINK "https://www.coalition-s.org/diamond-unearthed-shining-light-on-community-driven-open-access-publishing/" </w:instrText>
      </w:r>
      <w:r>
        <w:fldChar w:fldCharType="separate"/>
      </w:r>
      <w:r>
        <w:rPr>
          <w:rFonts w:ascii="Times New Roman" w:hAnsi="Times New Roman" w:cs="Times New Roman"/>
          <w:sz w:val="24"/>
          <w:szCs w:val="24"/>
        </w:rPr>
        <w:t>recent report commissioned by coalition</w:t>
      </w:r>
      <w:r>
        <w:rPr>
          <w:rFonts w:ascii="Times New Roman" w:hAnsi="Times New Roman" w:cs="Times New Roman"/>
          <w:sz w:val="24"/>
          <w:szCs w:val="24"/>
        </w:rPr>
        <w:fldChar w:fldCharType="end"/>
      </w:r>
      <w:r>
        <w:rPr>
          <w:rFonts w:ascii="Times New Roman" w:hAnsi="Times New Roman" w:cs="Times New Roman"/>
          <w:sz w:val="24"/>
          <w:szCs w:val="24"/>
        </w:rPr>
        <w:t xml:space="preserve">  explored the huge global range of Diamond open access journals.</w:t>
      </w:r>
    </w:p>
    <w:p w14:paraId="60CAB360">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“Hybrid” open access: </w:t>
      </w:r>
      <w:r>
        <w:rPr>
          <w:rFonts w:ascii="Times New Roman" w:hAnsi="Times New Roman" w:cs="Times New Roman"/>
          <w:sz w:val="24"/>
          <w:szCs w:val="24"/>
        </w:rPr>
        <w:t>“Hybrid” open access refers to when an article processing charge is paid for an individual journal article to be made open access in an otherwise subscription journal. This type of open access always has an APC associated with it and these APCs are usually higher than for fully open access journals. Hybrid open access is not supported by any universities in Australia and New Zealand, other than through “read and publish agreements” where universities pay for both access to research and for academics to publish in specific journals.</w:t>
      </w:r>
    </w:p>
    <w:p w14:paraId="2DE6F553">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“Bronze” open access: </w:t>
      </w:r>
      <w:r>
        <w:rPr>
          <w:rFonts w:ascii="Times New Roman" w:hAnsi="Times New Roman" w:cs="Times New Roman"/>
          <w:sz w:val="24"/>
          <w:szCs w:val="24"/>
        </w:rPr>
        <w:t>“Bronze” open access refers to a freely available journal article that has no open license (and hence cannot be considered fully open access).</w:t>
      </w:r>
    </w:p>
    <w:p w14:paraId="2C0EA388">
      <w:pPr>
        <w:spacing w:line="480" w:lineRule="auto"/>
        <w:jc w:val="both"/>
        <w:rPr>
          <w:rFonts w:ascii="Times New Roman" w:hAnsi="Times New Roman" w:cs="Times New Roman"/>
          <w:sz w:val="24"/>
          <w:szCs w:val="24"/>
        </w:rPr>
      </w:pPr>
      <w:r>
        <w:rPr>
          <w:rFonts w:ascii="Times New Roman" w:hAnsi="Times New Roman" w:cs="Times New Roman"/>
          <w:sz w:val="24"/>
          <w:szCs w:val="24"/>
        </w:rPr>
        <w:t> </w:t>
      </w:r>
      <w:r>
        <w:rPr>
          <w:rFonts w:ascii="Times New Roman" w:hAnsi="Times New Roman" w:cs="Times New Roman"/>
          <w:b/>
          <w:sz w:val="24"/>
          <w:szCs w:val="24"/>
        </w:rPr>
        <w:t>“Black” open access:</w:t>
      </w:r>
      <w:r>
        <w:rPr>
          <w:rFonts w:ascii="Times New Roman" w:hAnsi="Times New Roman" w:cs="Times New Roman"/>
          <w:sz w:val="24"/>
          <w:szCs w:val="24"/>
        </w:rPr>
        <w:t> “Black” open access refers to illegal open access.</w:t>
      </w:r>
    </w:p>
    <w:p w14:paraId="1EF7587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2.2.5</w:t>
      </w:r>
      <w:r>
        <w:rPr>
          <w:rFonts w:ascii="Times New Roman" w:hAnsi="Times New Roman" w:cs="Times New Roman"/>
          <w:sz w:val="24"/>
          <w:szCs w:val="24"/>
        </w:rPr>
        <w:tab/>
      </w:r>
      <w:r>
        <w:rPr>
          <w:rFonts w:ascii="Times New Roman" w:hAnsi="Times New Roman" w:cs="Times New Roman"/>
          <w:b/>
          <w:sz w:val="24"/>
          <w:szCs w:val="24"/>
        </w:rPr>
        <w:t xml:space="preserve">The tools used for Open Access </w:t>
      </w:r>
    </w:p>
    <w:p w14:paraId="7FD2226F">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Access tools are pointers to information obtained in databases and repositories. ‘Lib111 Glossary on Information Technology, Internet and Library Terms’ defines access tools as bibliography, catalog, database, or other information source, which leads us to information on our topic. An access tool helps a researcher, student or librarian gain access to relevant documents located on the web. Some of the Open Access tools as discussed in this paper are: DOAJ, DOAR, ROAR, SHERPA-ROMEO, and SPARC Rossini (2015). The Directory of Open Access Journals (DOAJ) DOAJ: The Directory of Open Access Journals (http://www.doaj.org/) is a website that lists Open Access journals and is maintained by Infrastructure Services for Open Access (IS4OA). Until January 2013, the DOAJ was maintained by Lund University. Sequeira (2019) defines Open Access journals as scientific and scholarly journals that meet high quality standards by exercising peer review or editorial quality control and ‘use a funding model that does not charge readers or their institutions for access.’ The Budapest Open Access Initiative’s definition of Open Access is used to define required rights given to users, for the journal to be included in the DOAJ, as the rights to ‘read, download, copy, distribute, print, search, or link to the full texts of these articles’. Open Access journals are defined by DOAJ as ‘journals that use a funding model that does not charge readers or their institutions for access’ (Wikipedia, 2015). Registry of Open Access Repositories (ROAR) The aim of ROAR is to promote the development of Open Access by providing timely information about the growth and status of repositories throughout the world. Open Access to research maximizes research access and thereby also research impact, making research more productive and effective. ROAR is hosted at the University of Southampton, UK and is made possible by funding from the JISC. ROAR is part of the EPrints.org network. See Figure R for ROAR homepage: (Website: http://roar.eprints.org/) ROAR Services</w:t>
      </w:r>
    </w:p>
    <w:p w14:paraId="2694917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2.2.6</w:t>
      </w:r>
      <w:r>
        <w:rPr>
          <w:rFonts w:ascii="Times New Roman" w:hAnsi="Times New Roman" w:cs="Times New Roman"/>
          <w:b/>
          <w:sz w:val="24"/>
          <w:szCs w:val="24"/>
        </w:rPr>
        <w:tab/>
      </w:r>
      <w:r>
        <w:rPr>
          <w:rFonts w:ascii="Times New Roman" w:hAnsi="Times New Roman" w:cs="Times New Roman"/>
          <w:b/>
          <w:sz w:val="24"/>
          <w:szCs w:val="24"/>
        </w:rPr>
        <w:t xml:space="preserve">Benefits of using Open Access for Learning and Research </w:t>
      </w:r>
    </w:p>
    <w:p w14:paraId="0536B68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Open Access is beneficial to a many as listed by Jain (2019) which include: teaching staff and students, authors, readers, society, journals and publishers, funding agencies, governments, citizens, libraries, universities and nations. Open Access also accelerates research, enriches education, and shares learning across rich and poor nations (Bhat, 2022). Lind and Williams (2018), asking the question: ‘Why Open Access?’ made the following citation from the Executive Office of the President of the United States: ‘...Wider availability of peer-reviewed publications and scientific data in digital formats will create innovative economic markets for services related to duration, preservation, analysis, and visualization. Policies that mobilize these publications and data for re-use through preservation and broader public access also maximize the impact and accountability of the federal research investment. These policies will accelerate scientific breakthroughs and innovation, promote entrepreneurship, and enhance economic growth and job creation. ’To the author, Open Access is very beneficial not only by making their works visible, but by increasing the authors’ prestige. This in agreement with CASLIN (2019)’s statement that ‘Open Access generates more citations and thus contributes to status and prestige of the author which in turn benefits their career and the granting of their research proposals’. Open access usage can be influenced by academic reward, accessibility, publicity, professional recognition, trustworthiness and preservation. In this study, these extrinsic factors were conceptualized to affect both their intention and usage behavior of open access. Academic reward refers to the degree to which existing reward systems of tenure/ promotion (and even grant making) affect the adoption and usage of open access (Kim, 2020). On one hand, a study at the University of California indicated that faculty may be reluctant to contribute their scholarship to open access avenues due to the perception that the current faculty tenure and promotion evaluation process focuses on measures of print based research productivity (University of California &amp; Greenhouse Associates, 2020). On other hand, other studies in New Zealand (Cullen and Chawner, 2021), USA (Casey, 2021; Kim, 2020) and Norway (Hulela, 2019) have reported differently, where tenure and promotion issues influenced faculty willingness to contribute their outputs to open access avenues. Literature shows that academic reward can either inhibit or influence faculty willingness to contribute their research materials into publicly accessible websites. Professional recognition is the extent to which the visibility of faculty research work would increase by making their research work available through open access scholarly communication. A study of over 3000 authors across Europe reported that greater visibility, and reputation building was one of the key drivers for self-archiving among the authors surveyed (Creaser et al., 2020). The professional recognition factor also influenced academics to self-archive their research materials in other studies (Cullen and Chawner, 2021; Hulela, 2019). Professional recognition also relates to publicity and accessibility factors. On one hand, publicity</w:t>
      </w:r>
      <w:r>
        <w:rPr>
          <w:rFonts w:ascii="Times New Roman" w:hAnsi="Times New Roman" w:cs="Times New Roman"/>
          <w:i/>
          <w:sz w:val="24"/>
          <w:szCs w:val="24"/>
        </w:rPr>
        <w:t xml:space="preserve"> </w:t>
      </w:r>
      <w:r>
        <w:rPr>
          <w:rFonts w:ascii="Times New Roman" w:hAnsi="Times New Roman" w:cs="Times New Roman"/>
          <w:sz w:val="24"/>
          <w:szCs w:val="24"/>
        </w:rPr>
        <w:t>refers to the faculty perception that the wider dissemination of their research work through open access would enhance the readership and citation impact of their work. Wider dissemination of research outputs and increased citation rates were among the reasons that motivated authors/scientists self-archive their research materials in other studies (Creaser et al., 2020; Cullen and Chawner, 2021; Deoghuria and Roy, 2017). Trustworthiness narrates the extent to which faculty perceive the quality and credibility of open access research materials. The perception that open access publications are of low quality compared to traditional publications can inhibit scientists to participate in open access scholarly communication. Several scholars (Creaser et al., 2020; Davis and Connolly, 2017; Dulle and Minishi-Majanja, 2018; Hulela, 2019) reported that faculty feared that low quality of some material in the repository would taint their research. Thus, credibility of OA publications plays a great role in influencing faculty’s decision to use open access. Preservation refers to the extent to which faculty believe their open access materials would be permanently available for use, and preserved to perpetuity. Studies show that the most important reason for faculty’s contribution to open access repositories is the long-term preservation of materials for the future (Hulela, 2019; Kim, 2020; Sawant, 2015). Thus, the capacity of open access media including IR and OA journals to enhance their digital preservation is important in motivating faculty to publish their research as OA.</w:t>
      </w:r>
    </w:p>
    <w:p w14:paraId="5D75BCA7">
      <w:pPr>
        <w:pStyle w:val="3"/>
        <w:spacing w:after="0" w:line="480" w:lineRule="auto"/>
        <w:ind w:left="0" w:firstLine="0"/>
        <w:jc w:val="both"/>
        <w:rPr>
          <w:color w:val="auto"/>
          <w:sz w:val="24"/>
          <w:szCs w:val="24"/>
        </w:rPr>
      </w:pPr>
      <w:r>
        <w:rPr>
          <w:color w:val="auto"/>
          <w:sz w:val="24"/>
          <w:szCs w:val="24"/>
        </w:rPr>
        <w:t>Key Open Access benefits</w:t>
      </w:r>
    </w:p>
    <w:p w14:paraId="1C7A1CEE">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Researchers and their institutions benefit from having the widest possible audience</w:t>
      </w:r>
    </w:p>
    <w:p w14:paraId="31656E23">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Researchers provide their articles to publishers for free, because their compensation comes in the form of recognition for their findings. Open Access means more readers, more potential collaborators, more citations for their work, and ultimately more recognition for them and their institution. Open Access means improved access to research for all.</w:t>
      </w:r>
    </w:p>
    <w:p w14:paraId="79A0A403">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Research benefits when the latest techniques can be easily used</w:t>
      </w:r>
    </w:p>
    <w:p w14:paraId="3E6953CB">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For years, we have had powerful text and data mining tools that can analyze the entire research literature, uncovering trends and connections that no human reader could. While publishers’ technical and legal barriers currently prevent their widespread use, Open Access empowers anyone to use these tools, which hold the potential of revolutionizing how research is conducted.</w:t>
      </w:r>
    </w:p>
    <w:p w14:paraId="359193A5">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b/>
          <w:bCs/>
          <w:sz w:val="24"/>
          <w:szCs w:val="24"/>
        </w:rPr>
        <w:t>Breakthroughs often come from unexpected places</w:t>
      </w:r>
    </w:p>
    <w:p w14:paraId="7C3F63D3">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sz w:val="24"/>
          <w:szCs w:val="24"/>
        </w:rPr>
        <w:t>The Theory of Relativity was developed by a patent clerk. Open Access expands the number of potential contributors to research from just those at institutions wealthy enough to afford journal subscriptions to anyone with an internet connection.</w:t>
      </w:r>
    </w:p>
    <w:p w14:paraId="54966750">
      <w:pPr>
        <w:spacing w:after="0" w:line="480" w:lineRule="auto"/>
        <w:jc w:val="both"/>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Funders invest in research to advance human knowledge and ultimately improve lives. </w:t>
      </w:r>
    </w:p>
    <w:p w14:paraId="5460F1B3">
      <w:pPr>
        <w:spacing w:after="0" w:line="48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Open Access increases the return on that investment by ensuring the results of the research they fund can be read and built on and used by anyone, including Industry and Society.</w:t>
      </w:r>
    </w:p>
    <w:p w14:paraId="5365FA7A">
      <w:pPr>
        <w:spacing w:after="0" w:line="480" w:lineRule="auto"/>
        <w:jc w:val="both"/>
        <w:rPr>
          <w:rFonts w:ascii="Times New Roman" w:hAnsi="Times New Roman" w:cs="Times New Roman"/>
          <w:b/>
          <w:sz w:val="24"/>
          <w:szCs w:val="24"/>
        </w:rPr>
      </w:pPr>
      <w:r>
        <w:rPr>
          <w:rFonts w:hint="default" w:ascii="Times New Roman" w:hAnsi="Times New Roman" w:cs="Times New Roman"/>
          <w:b/>
          <w:sz w:val="24"/>
          <w:szCs w:val="24"/>
          <w:lang w:val="en-US"/>
        </w:rPr>
        <w:t>2</w:t>
      </w:r>
      <w:r>
        <w:rPr>
          <w:rFonts w:ascii="Times New Roman" w:hAnsi="Times New Roman" w:cs="Times New Roman"/>
          <w:b/>
          <w:sz w:val="24"/>
          <w:szCs w:val="24"/>
        </w:rPr>
        <w:t>.2.7</w:t>
      </w:r>
      <w:r>
        <w:rPr>
          <w:rFonts w:ascii="Times New Roman" w:hAnsi="Times New Roman" w:cs="Times New Roman"/>
          <w:b/>
          <w:sz w:val="24"/>
          <w:szCs w:val="24"/>
        </w:rPr>
        <w:tab/>
      </w:r>
      <w:r>
        <w:rPr>
          <w:rFonts w:ascii="Times New Roman" w:hAnsi="Times New Roman" w:cs="Times New Roman"/>
          <w:b/>
          <w:sz w:val="24"/>
          <w:szCs w:val="24"/>
        </w:rPr>
        <w:t xml:space="preserve">Factors that affect the Acceptance and Adoption of Open Access Intrinsic factor: </w:t>
      </w:r>
    </w:p>
    <w:p w14:paraId="323C229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intrinsic factor altruism</w:t>
      </w:r>
      <w:r>
        <w:rPr>
          <w:rFonts w:ascii="Times New Roman" w:hAnsi="Times New Roman" w:cs="Times New Roman"/>
          <w:i/>
          <w:sz w:val="24"/>
          <w:szCs w:val="24"/>
        </w:rPr>
        <w:t xml:space="preserve"> </w:t>
      </w:r>
      <w:r>
        <w:rPr>
          <w:rFonts w:ascii="Times New Roman" w:hAnsi="Times New Roman" w:cs="Times New Roman"/>
          <w:sz w:val="24"/>
          <w:szCs w:val="24"/>
        </w:rPr>
        <w:t>relates to the extent to which faculty believes that enjoyment in helping others would motivate them to adopt and use open access (Kim, 2020). The altruism factor was a dominant factor that influenced self-archiving behavior of faculty in various studies (Abrizah, 2019; Hulela, 2019; Kim, 2020). It is clear that faculty self-archive and publish in open access avenues in order to improve the access of other scholars to their materials. The intrinsic factor was conceptualized to affect both their intention and usage behavior of open access in this study. The effort expectancy factor refers to the degree to which faculty find it easy or difficult to publish or self-archive their research outputs in publicly accessible websites. The effort expectancy construct is significant only during the initial period of adopting and using the system, and it becomes non-significant over periods of extended and sustained usage (Venkatesh et al., 2019). Prior studies have established that effort expectancy strongly affects behavioral intention to use, rather than actual usage of the system (Dulle and Minishi-Majanja, 2018; Venkatesh et al., 2019; Dwivedi et al., 2020).  Therefore, the effort expectancy was conceptualized to affect the researcher’s intention to use open access in this study. While some studies on technology acceptance have found negative effects of effort expectancy factor in predicting behavioral intention (Debuse et al., 2018), other studies  found that effort expectancy factor had positive effects on behavioral intention to adopt open access (Dulle and Minishi Majanja, 2018). Indications are that effort expectancy can either inhibit or increase faculty willingness to contribute their research materials into publicly accessible websites.</w:t>
      </w:r>
    </w:p>
    <w:p w14:paraId="708DAE50">
      <w:pPr>
        <w:spacing w:after="0" w:line="480" w:lineRule="auto"/>
        <w:jc w:val="both"/>
        <w:rPr>
          <w:rFonts w:ascii="Times New Roman" w:hAnsi="Times New Roman" w:eastAsia="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Fonts w:ascii="Times New Roman" w:hAnsi="Times New Roman" w:eastAsia="Times New Roman" w:cs="Times New Roman"/>
          <w:b/>
          <w:sz w:val="24"/>
          <w:szCs w:val="24"/>
        </w:rPr>
        <w:t>Summary of Literature Reviewed</w:t>
      </w:r>
    </w:p>
    <w:p w14:paraId="46E801C7">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Open access movement is a reaction to the persistence traditional control-based models of scientific knowledge distribution characterized by high cost subscription journals. Open access acceptance and adoption in university libraries therefore is an attempt that is characterized by capture and lockdown through digital rights management</w:t>
      </w:r>
    </w:p>
    <w:p w14:paraId="2864D0BB">
      <w:pPr>
        <w:pStyle w:val="8"/>
        <w:spacing w:before="0" w:beforeAutospacing="0" w:after="0" w:afterAutospacing="0" w:line="480" w:lineRule="auto"/>
        <w:jc w:val="both"/>
        <w:rPr>
          <w:b/>
        </w:rPr>
      </w:pPr>
      <w:r>
        <w:t>Learning and research are the fundamental part of any tertiary institution. Lecturers are the fore runners of any institution because they teach scholars and engage in research in one way or the other. Open access will help academics have access to current and relevant studies. Through the open access lecturers can build on other previously conducted research studies. Teaching and research are the fundamental part of any university. Lecturers are the fore runners of any institution because they teach scholars and engage in research in one way or the other. Open access will help academics have access to current and relevant studies. Through the open access lecturers can build on other previously conducted research studies. Lecturers create, share and allow their teaching resources not only to be used but able to be amended, improved and transformed</w:t>
      </w:r>
      <w:r>
        <w:rPr>
          <w:b/>
        </w:rPr>
        <w:t>.</w:t>
      </w:r>
    </w:p>
    <w:p w14:paraId="205E73F3">
      <w:pPr>
        <w:pStyle w:val="8"/>
        <w:spacing w:before="0" w:beforeAutospacing="0" w:after="0" w:afterAutospacing="0" w:line="480" w:lineRule="auto"/>
        <w:jc w:val="both"/>
        <w:rPr>
          <w:b/>
        </w:rPr>
      </w:pPr>
    </w:p>
    <w:p w14:paraId="46C4F177">
      <w:pPr>
        <w:spacing w:after="0" w:line="480" w:lineRule="auto"/>
        <w:ind w:right="26"/>
        <w:jc w:val="both"/>
        <w:rPr>
          <w:rFonts w:ascii="Times New Roman" w:hAnsi="Times New Roman" w:eastAsia="Times New Roman" w:cs="Times New Roman"/>
          <w:b/>
          <w:sz w:val="24"/>
          <w:szCs w:val="24"/>
        </w:rPr>
      </w:pPr>
    </w:p>
    <w:p w14:paraId="734C7B62">
      <w:pPr>
        <w:spacing w:after="160" w:line="259" w:lineRule="auto"/>
      </w:pPr>
      <w:r>
        <w:br w:type="page"/>
      </w:r>
    </w:p>
    <w:p w14:paraId="4D2ED515">
      <w:pPr>
        <w:spacing w:after="0" w:line="480" w:lineRule="auto"/>
        <w:jc w:val="center"/>
        <w:rPr>
          <w:rFonts w:ascii="Times New Roman" w:hAnsi="Times New Roman" w:cs="Times New Roman"/>
          <w:sz w:val="24"/>
          <w:szCs w:val="24"/>
        </w:rPr>
      </w:pPr>
      <w:r>
        <w:rPr>
          <w:rFonts w:ascii="Times New Roman" w:hAnsi="Times New Roman" w:eastAsia="Calibri" w:cs="Times New Roman"/>
          <w:b/>
          <w:sz w:val="24"/>
          <w:szCs w:val="24"/>
        </w:rPr>
        <w:t>CHAPTER THREE</w:t>
      </w:r>
    </w:p>
    <w:p w14:paraId="18B1644B">
      <w:pPr>
        <w:spacing w:after="0" w:line="480" w:lineRule="auto"/>
        <w:jc w:val="center"/>
        <w:rPr>
          <w:rFonts w:ascii="Times New Roman" w:hAnsi="Times New Roman" w:cs="Times New Roman"/>
          <w:sz w:val="24"/>
          <w:szCs w:val="24"/>
        </w:rPr>
      </w:pPr>
      <w:r>
        <w:rPr>
          <w:rFonts w:ascii="Times New Roman" w:hAnsi="Times New Roman" w:eastAsia="Calibri" w:cs="Times New Roman"/>
          <w:b/>
          <w:sz w:val="24"/>
          <w:szCs w:val="24"/>
        </w:rPr>
        <w:t>RESEARCH METHODOLOGY</w:t>
      </w:r>
    </w:p>
    <w:p w14:paraId="686146AB">
      <w:pPr>
        <w:spacing w:after="0" w:line="480" w:lineRule="auto"/>
        <w:jc w:val="both"/>
        <w:rPr>
          <w:rFonts w:ascii="Times New Roman" w:hAnsi="Times New Roman" w:cs="Times New Roman"/>
          <w:sz w:val="24"/>
          <w:szCs w:val="24"/>
        </w:rPr>
      </w:pPr>
      <w:r>
        <w:rPr>
          <w:rFonts w:ascii="Times New Roman" w:hAnsi="Times New Roman" w:eastAsia="Calibri" w:cs="Times New Roman"/>
          <w:b/>
          <w:sz w:val="24"/>
          <w:szCs w:val="24"/>
        </w:rPr>
        <w:t>3.1</w:t>
      </w:r>
      <w:r>
        <w:rPr>
          <w:rFonts w:ascii="Times New Roman" w:hAnsi="Times New Roman" w:cs="Times New Roman"/>
          <w:sz w:val="24"/>
          <w:szCs w:val="24"/>
        </w:rPr>
        <w:tab/>
      </w:r>
      <w:r>
        <w:rPr>
          <w:rFonts w:ascii="Times New Roman" w:hAnsi="Times New Roman" w:eastAsia="Calibri" w:cs="Times New Roman"/>
          <w:b/>
          <w:sz w:val="24"/>
          <w:szCs w:val="24"/>
        </w:rPr>
        <w:t>Research Design</w:t>
      </w:r>
    </w:p>
    <w:p w14:paraId="76E0FB8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research design used for this study was descriptive survey. This is because according to Nworgu (2016) descriptive survey is aimed at collecting data on, and describing in a systematic manner, the characteristics, features or facts about a given population. Descriptive survey is more suitable for this research because the consensus of opinions of respondents is expected to provide solution or solutions to the problem under investigation. </w:t>
      </w:r>
      <w:r>
        <w:rPr>
          <w:rFonts w:ascii="Times New Roman" w:hAnsi="Times New Roman" w:eastAsia="Calibri" w:cs="Times New Roman"/>
          <w:sz w:val="24"/>
          <w:szCs w:val="24"/>
        </w:rPr>
        <w:t>The descriptive research method will be used because it focuses on university of Ilorin library to find out the Adoption of open access by library users in the university library. The case study method of investigation will be employed using questionnaire as data collection instruments.</w:t>
      </w:r>
    </w:p>
    <w:p w14:paraId="301DD849">
      <w:pPr>
        <w:spacing w:after="0" w:line="480" w:lineRule="auto"/>
        <w:jc w:val="both"/>
        <w:rPr>
          <w:rFonts w:ascii="Times New Roman" w:hAnsi="Times New Roman" w:cs="Times New Roman"/>
          <w:sz w:val="24"/>
          <w:szCs w:val="24"/>
        </w:rPr>
      </w:pPr>
      <w:r>
        <w:rPr>
          <w:rFonts w:ascii="Times New Roman" w:hAnsi="Times New Roman" w:eastAsia="Calibri" w:cs="Times New Roman"/>
          <w:b/>
          <w:sz w:val="24"/>
          <w:szCs w:val="24"/>
        </w:rPr>
        <w:t>3.2</w:t>
      </w:r>
      <w:r>
        <w:rPr>
          <w:rFonts w:ascii="Times New Roman" w:hAnsi="Times New Roman" w:cs="Times New Roman"/>
          <w:sz w:val="24"/>
          <w:szCs w:val="24"/>
        </w:rPr>
        <w:tab/>
      </w:r>
      <w:r>
        <w:rPr>
          <w:rFonts w:ascii="Times New Roman" w:hAnsi="Times New Roman" w:eastAsia="Calibri" w:cs="Times New Roman"/>
          <w:b/>
          <w:sz w:val="24"/>
          <w:szCs w:val="24"/>
        </w:rPr>
        <w:t>Population of the Study</w:t>
      </w:r>
    </w:p>
    <w:p w14:paraId="03FF4090">
      <w:pPr>
        <w:spacing w:after="0" w:line="480" w:lineRule="auto"/>
        <w:jc w:val="both"/>
        <w:rPr>
          <w:rFonts w:ascii="Times New Roman" w:hAnsi="Times New Roman" w:cs="Times New Roman"/>
          <w:sz w:val="24"/>
          <w:szCs w:val="24"/>
        </w:rPr>
      </w:pPr>
      <w:r>
        <w:rPr>
          <w:rFonts w:ascii="Times New Roman" w:hAnsi="Times New Roman" w:eastAsia="Calibri" w:cs="Times New Roman"/>
          <w:sz w:val="24"/>
          <w:szCs w:val="24"/>
        </w:rPr>
        <w:t>The population is a term used in research to describe a group of people, animals or things from which the researcher intended to draw the study of the research. Population is conceptualized to mean the total number of people under this study. According to the Head of department for Circulation Unit, t</w:t>
      </w:r>
      <w:r>
        <w:rPr>
          <w:rFonts w:ascii="Times New Roman" w:hAnsi="Times New Roman" w:cs="Times New Roman"/>
          <w:sz w:val="24"/>
          <w:szCs w:val="24"/>
        </w:rPr>
        <w:t>he total population of registered library users in 2024 was Six hundred and thirty two (632).</w:t>
      </w:r>
    </w:p>
    <w:p w14:paraId="725C983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Pr>
          <w:rFonts w:ascii="Times New Roman" w:hAnsi="Times New Roman" w:cs="Times New Roman"/>
          <w:b/>
          <w:sz w:val="24"/>
          <w:szCs w:val="24"/>
        </w:rPr>
        <w:tab/>
      </w:r>
      <w:r>
        <w:rPr>
          <w:rFonts w:ascii="Times New Roman" w:hAnsi="Times New Roman" w:cs="Times New Roman"/>
          <w:b/>
          <w:sz w:val="24"/>
          <w:szCs w:val="24"/>
        </w:rPr>
        <w:t>Sample and Sampling Technique</w:t>
      </w:r>
    </w:p>
    <w:p w14:paraId="6547A5B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Sample can be described as the number of respondents choosing out of the whole population of a particular study. Sampling can be defined as the process of selecting samples from the study population for the analysis of a phenomenon. Proportional sampling method is used to divide the whole population into sub-population and then a Random sampling method is used in picking from the total population.</w:t>
      </w:r>
    </w:p>
    <w:p w14:paraId="08ADE29C">
      <w:pPr>
        <w:spacing w:after="0" w:line="480" w:lineRule="auto"/>
        <w:ind w:firstLine="720"/>
        <w:jc w:val="both"/>
        <w:rPr>
          <w:rFonts w:ascii="Times New Roman" w:hAnsi="Times New Roman" w:cs="Times New Roman"/>
          <w:sz w:val="24"/>
          <w:szCs w:val="24"/>
        </w:rPr>
      </w:pPr>
    </w:p>
    <w:p w14:paraId="11DB2ED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Therefore simple random sampling procedure would be adopted to select sample population. </w:t>
      </w:r>
    </w:p>
    <w:p w14:paraId="20A01851">
      <w:pPr>
        <w:spacing w:line="480" w:lineRule="auto"/>
        <w:jc w:val="both"/>
        <w:rPr>
          <w:rFonts w:ascii="Times New Roman" w:hAnsi="Times New Roman" w:cs="Times New Roman"/>
          <w:sz w:val="24"/>
          <w:szCs w:val="24"/>
        </w:rPr>
      </w:pPr>
      <w:r>
        <w:rPr>
          <w:rFonts w:ascii="Times New Roman" w:hAnsi="Times New Roman" w:cs="Times New Roman"/>
          <w:sz w:val="24"/>
          <w:szCs w:val="24"/>
        </w:rPr>
        <w:t>The size of a sample for the study will be derived by using taro Yamane formula:</w:t>
      </w:r>
    </w:p>
    <w:p w14:paraId="38D18FBA">
      <w:pPr>
        <w:spacing w:line="480" w:lineRule="auto"/>
        <w:jc w:val="both"/>
        <w:rPr>
          <w:rFonts w:ascii="Times New Roman" w:hAnsi="Times New Roman" w:cs="Times New Roman"/>
          <w:sz w:val="24"/>
          <w:szCs w:val="24"/>
        </w:rPr>
      </w:pPr>
      <m:oMathPara>
        <m:oMath>
          <m:r>
            <m:rPr>
              <m:sty m:val="p"/>
            </m:rPr>
            <w:rPr>
              <w:rFonts w:ascii="Cambria Math" w:hAnsi="Times New Roman" w:cs="Times New Roman"/>
              <w:sz w:val="24"/>
              <w:szCs w:val="24"/>
            </w:rPr>
            <m:t>n</m:t>
          </m:r>
          <m:r>
            <m:rPr/>
            <w:rPr>
              <w:rFonts w:ascii="Cambria Math" w:hAnsi="Times New Roman" w:eastAsia="Cambria Math"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N</m:t>
              </m:r>
              <m:ctrlPr>
                <w:rPr>
                  <w:rFonts w:ascii="Cambria Math" w:hAnsi="Times New Roman" w:cs="Times New Roman"/>
                  <w:sz w:val="24"/>
                  <w:szCs w:val="24"/>
                </w:rPr>
              </m:ctrlPr>
            </m:num>
            <m:den>
              <m:r>
                <m:rPr>
                  <m:sty m:val="p"/>
                </m:rPr>
                <w:rPr>
                  <w:rFonts w:ascii="Cambria Math" w:hAnsi="Times New Roman" w:cs="Times New Roman"/>
                  <w:sz w:val="24"/>
                  <w:szCs w:val="24"/>
                </w:rPr>
                <m:t>1+N</m:t>
              </m:r>
              <m:d>
                <m:dPr>
                  <m:ctrlPr>
                    <w:rPr>
                      <w:rFonts w:ascii="Cambria Math" w:hAnsi="Times New Roman" w:cs="Times New Roman"/>
                      <w:sz w:val="24"/>
                      <w:szCs w:val="24"/>
                    </w:rPr>
                  </m:ctrlPr>
                </m:dPr>
                <m:e>
                  <m:r>
                    <m:rPr>
                      <m:sty m:val="p"/>
                    </m:rPr>
                    <w:rPr>
                      <w:rFonts w:ascii="Cambria Math" w:hAnsi="Times New Roman" w:cs="Times New Roman"/>
                      <w:sz w:val="24"/>
                      <w:szCs w:val="24"/>
                    </w:rPr>
                    <m:t>e</m:t>
                  </m:r>
                  <m:ctrlPr>
                    <w:rPr>
                      <w:rFonts w:ascii="Cambria Math" w:hAnsi="Times New Roman" w:cs="Times New Roman"/>
                      <w:sz w:val="24"/>
                      <w:szCs w:val="24"/>
                    </w:rPr>
                  </m:ctrlPr>
                </m:e>
              </m:d>
              <m:r>
                <m:rPr>
                  <m:sty m:val="p"/>
                </m:rPr>
                <w:rPr>
                  <w:rFonts w:ascii="Cambria Math" w:hAnsi="Times New Roman" w:cs="Times New Roman"/>
                  <w:sz w:val="24"/>
                  <w:szCs w:val="24"/>
                </w:rPr>
                <m:t xml:space="preserve"> 2</m:t>
              </m:r>
              <m:ctrlPr>
                <w:rPr>
                  <w:rFonts w:ascii="Cambria Math" w:hAnsi="Times New Roman" w:cs="Times New Roman"/>
                  <w:sz w:val="24"/>
                  <w:szCs w:val="24"/>
                </w:rPr>
              </m:ctrlPr>
            </m:den>
          </m:f>
        </m:oMath>
      </m:oMathPara>
    </w:p>
    <w:p w14:paraId="5A83A42A">
      <w:p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Where n = sample size</w:t>
      </w:r>
    </w:p>
    <w:p w14:paraId="073DD80C">
      <w:p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N = Total population </w:t>
      </w:r>
    </w:p>
    <w:p w14:paraId="6A95F057">
      <w:p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E = Level of significance (0.05)</w:t>
      </w:r>
    </w:p>
    <w:p w14:paraId="15322B59">
      <w:pPr>
        <w:pStyle w:val="12"/>
        <w:numPr>
          <w:ilvl w:val="0"/>
          <w:numId w:val="6"/>
        </w:numPr>
        <w:spacing w:line="480" w:lineRule="auto"/>
        <w:jc w:val="both"/>
        <w:rPr>
          <w:rFonts w:ascii="Times New Roman" w:hAnsi="Times New Roman" w:cs="Times New Roman"/>
          <w:sz w:val="24"/>
          <w:szCs w:val="24"/>
        </w:rPr>
      </w:pPr>
      <m:oMath>
        <m:r>
          <m:rPr>
            <m:sty m:val="p"/>
          </m:rPr>
          <w:rPr>
            <w:rFonts w:ascii="Cambria Math" w:hAnsi="Times New Roman" w:cs="Times New Roman"/>
            <w:sz w:val="24"/>
            <w:szCs w:val="24"/>
          </w:rPr>
          <m:t>n</m:t>
        </m:r>
        <m:r>
          <m:rPr/>
          <w:rPr>
            <w:rFonts w:ascii="Cambria Math" w:hAnsi="Times New Roman" w:eastAsia="Cambria Math"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N</m:t>
            </m:r>
            <m:ctrlPr>
              <w:rPr>
                <w:rFonts w:ascii="Cambria Math" w:hAnsi="Times New Roman" w:cs="Times New Roman"/>
                <w:sz w:val="24"/>
                <w:szCs w:val="24"/>
              </w:rPr>
            </m:ctrlPr>
          </m:num>
          <m:den>
            <m:r>
              <m:rPr>
                <m:sty m:val="p"/>
              </m:rPr>
              <w:rPr>
                <w:rFonts w:ascii="Cambria Math" w:hAnsi="Times New Roman" w:cs="Times New Roman"/>
                <w:sz w:val="24"/>
                <w:szCs w:val="24"/>
              </w:rPr>
              <m:t>1+N</m:t>
            </m:r>
            <m:d>
              <m:dPr>
                <m:ctrlPr>
                  <w:rPr>
                    <w:rFonts w:ascii="Cambria Math" w:hAnsi="Times New Roman" w:cs="Times New Roman"/>
                    <w:sz w:val="24"/>
                    <w:szCs w:val="24"/>
                  </w:rPr>
                </m:ctrlPr>
              </m:dPr>
              <m:e>
                <m:r>
                  <m:rPr>
                    <m:sty m:val="p"/>
                  </m:rPr>
                  <w:rPr>
                    <w:rFonts w:ascii="Cambria Math" w:hAnsi="Times New Roman" w:cs="Times New Roman"/>
                    <w:sz w:val="24"/>
                    <w:szCs w:val="24"/>
                  </w:rPr>
                  <m:t>e</m:t>
                </m:r>
                <m:ctrlPr>
                  <w:rPr>
                    <w:rFonts w:ascii="Cambria Math" w:hAnsi="Times New Roman" w:cs="Times New Roman"/>
                    <w:sz w:val="24"/>
                    <w:szCs w:val="24"/>
                  </w:rPr>
                </m:ctrlPr>
              </m:e>
            </m:d>
            <m:r>
              <m:rPr>
                <m:sty m:val="p"/>
              </m:rPr>
              <w:rPr>
                <w:rFonts w:ascii="Cambria Math" w:hAnsi="Times New Roman" w:cs="Times New Roman"/>
                <w:sz w:val="24"/>
                <w:szCs w:val="24"/>
              </w:rPr>
              <m:t xml:space="preserve"> 2</m:t>
            </m:r>
            <m:ctrlPr>
              <w:rPr>
                <w:rFonts w:ascii="Cambria Math" w:hAnsi="Times New Roman" w:cs="Times New Roman"/>
                <w:sz w:val="24"/>
                <w:szCs w:val="24"/>
              </w:rPr>
            </m:ctrlPr>
          </m:den>
        </m:f>
      </m:oMath>
    </w:p>
    <w:p w14:paraId="40B5C4D5">
      <w:pPr>
        <w:pStyle w:val="12"/>
        <w:numPr>
          <w:ilvl w:val="0"/>
          <w:numId w:val="6"/>
        </w:numPr>
        <w:spacing w:line="480" w:lineRule="auto"/>
        <w:jc w:val="both"/>
        <w:rPr>
          <w:rFonts w:ascii="Times New Roman" w:hAnsi="Times New Roman" w:cs="Times New Roman"/>
          <w:sz w:val="24"/>
          <w:szCs w:val="24"/>
        </w:rPr>
      </w:pPr>
      <m:oMath>
        <m:r>
          <m:rPr>
            <m:sty m:val="p"/>
          </m:rPr>
          <w:rPr>
            <w:rFonts w:ascii="Cambria Math" w:hAnsi="Times New Roman" w:cs="Times New Roman"/>
            <w:sz w:val="24"/>
            <w:szCs w:val="24"/>
          </w:rPr>
          <m:t>n</m:t>
        </m:r>
        <m:r>
          <m:rPr/>
          <w:rPr>
            <w:rFonts w:ascii="Cambria Math" w:hAnsi="Times New Roman" w:eastAsia="Cambria Math"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632</m:t>
            </m:r>
            <m:ctrlPr>
              <w:rPr>
                <w:rFonts w:ascii="Cambria Math" w:hAnsi="Times New Roman" w:cs="Times New Roman"/>
                <w:sz w:val="24"/>
                <w:szCs w:val="24"/>
              </w:rPr>
            </m:ctrlPr>
          </m:num>
          <m:den>
            <m:r>
              <m:rPr>
                <m:sty m:val="p"/>
              </m:rPr>
              <w:rPr>
                <w:rFonts w:ascii="Cambria Math" w:hAnsi="Times New Roman" w:cs="Times New Roman"/>
                <w:sz w:val="24"/>
                <w:szCs w:val="24"/>
              </w:rPr>
              <m:t>1+632</m:t>
            </m:r>
            <m:d>
              <m:dPr>
                <m:ctrlPr>
                  <w:rPr>
                    <w:rFonts w:ascii="Cambria Math" w:hAnsi="Times New Roman" w:cs="Times New Roman"/>
                    <w:sz w:val="24"/>
                    <w:szCs w:val="24"/>
                  </w:rPr>
                </m:ctrlPr>
              </m:dPr>
              <m:e>
                <m:r>
                  <m:rPr>
                    <m:sty m:val="p"/>
                  </m:rPr>
                  <w:rPr>
                    <w:rFonts w:ascii="Cambria Math" w:hAnsi="Times New Roman" w:cs="Times New Roman"/>
                    <w:sz w:val="24"/>
                    <w:szCs w:val="24"/>
                  </w:rPr>
                  <m:t>e</m:t>
                </m:r>
                <m:ctrlPr>
                  <w:rPr>
                    <w:rFonts w:ascii="Cambria Math" w:hAnsi="Times New Roman" w:cs="Times New Roman"/>
                    <w:sz w:val="24"/>
                    <w:szCs w:val="24"/>
                  </w:rPr>
                </m:ctrlPr>
              </m:e>
            </m:d>
            <m:r>
              <m:rPr>
                <m:sty m:val="p"/>
              </m:rPr>
              <w:rPr>
                <w:rFonts w:ascii="Cambria Math" w:hAnsi="Times New Roman" w:cs="Times New Roman"/>
                <w:sz w:val="24"/>
                <w:szCs w:val="24"/>
              </w:rPr>
              <m:t xml:space="preserve"> 2</m:t>
            </m:r>
            <m:ctrlPr>
              <w:rPr>
                <w:rFonts w:ascii="Cambria Math" w:hAnsi="Times New Roman" w:cs="Times New Roman"/>
                <w:sz w:val="24"/>
                <w:szCs w:val="24"/>
              </w:rPr>
            </m:ctrlPr>
          </m:den>
        </m:f>
      </m:oMath>
    </w:p>
    <w:p w14:paraId="184CEE82">
      <w:pPr>
        <w:pStyle w:val="12"/>
        <w:numPr>
          <w:ilvl w:val="0"/>
          <w:numId w:val="6"/>
        </w:numPr>
        <w:spacing w:line="480" w:lineRule="auto"/>
        <w:jc w:val="both"/>
        <w:rPr>
          <w:rFonts w:ascii="Times New Roman" w:hAnsi="Times New Roman" w:cs="Times New Roman"/>
          <w:sz w:val="24"/>
          <w:szCs w:val="24"/>
        </w:rPr>
      </w:pPr>
      <m:oMath>
        <m:r>
          <m:rPr>
            <m:sty m:val="p"/>
          </m:rPr>
          <w:rPr>
            <w:rFonts w:ascii="Cambria Math" w:hAnsi="Times New Roman" w:cs="Times New Roman"/>
            <w:sz w:val="24"/>
            <w:szCs w:val="24"/>
          </w:rPr>
          <m:t>n</m:t>
        </m:r>
        <m:r>
          <m:rPr/>
          <w:rPr>
            <w:rFonts w:ascii="Cambria Math" w:hAnsi="Times New Roman" w:eastAsia="Cambria Math"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632</m:t>
            </m:r>
            <m:ctrlPr>
              <w:rPr>
                <w:rFonts w:ascii="Cambria Math" w:hAnsi="Times New Roman" w:cs="Times New Roman"/>
                <w:sz w:val="24"/>
                <w:szCs w:val="24"/>
              </w:rPr>
            </m:ctrlPr>
          </m:num>
          <m:den>
            <m:r>
              <m:rPr>
                <m:sty m:val="p"/>
              </m:rPr>
              <w:rPr>
                <w:rFonts w:ascii="Cambria Math" w:hAnsi="Times New Roman" w:cs="Times New Roman"/>
                <w:sz w:val="24"/>
                <w:szCs w:val="24"/>
              </w:rPr>
              <m:t>1+632</m:t>
            </m:r>
            <m:d>
              <m:dPr>
                <m:ctrlPr>
                  <w:rPr>
                    <w:rFonts w:ascii="Cambria Math" w:hAnsi="Times New Roman" w:cs="Times New Roman"/>
                    <w:sz w:val="24"/>
                    <w:szCs w:val="24"/>
                  </w:rPr>
                </m:ctrlPr>
              </m:dPr>
              <m:e>
                <m:r>
                  <m:rPr>
                    <m:sty m:val="p"/>
                  </m:rPr>
                  <w:rPr>
                    <w:rFonts w:ascii="Cambria Math" w:hAnsi="Times New Roman" w:cs="Times New Roman"/>
                    <w:sz w:val="24"/>
                    <w:szCs w:val="24"/>
                  </w:rPr>
                  <m:t>0.0025</m:t>
                </m:r>
                <m:ctrlPr>
                  <w:rPr>
                    <w:rFonts w:ascii="Cambria Math" w:hAnsi="Times New Roman" w:cs="Times New Roman"/>
                    <w:sz w:val="24"/>
                    <w:szCs w:val="24"/>
                  </w:rPr>
                </m:ctrlPr>
              </m:e>
            </m:d>
            <m:ctrlPr>
              <w:rPr>
                <w:rFonts w:ascii="Cambria Math" w:hAnsi="Times New Roman" w:cs="Times New Roman"/>
                <w:sz w:val="24"/>
                <w:szCs w:val="24"/>
              </w:rPr>
            </m:ctrlPr>
          </m:den>
        </m:f>
      </m:oMath>
    </w:p>
    <w:p w14:paraId="5A669D82">
      <w:pPr>
        <w:pStyle w:val="12"/>
        <w:numPr>
          <w:ilvl w:val="0"/>
          <w:numId w:val="6"/>
        </w:numPr>
        <w:spacing w:line="480" w:lineRule="auto"/>
        <w:jc w:val="both"/>
        <w:rPr>
          <w:rFonts w:ascii="Times New Roman" w:hAnsi="Times New Roman" w:cs="Times New Roman"/>
          <w:sz w:val="24"/>
          <w:szCs w:val="24"/>
        </w:rPr>
      </w:pPr>
      <m:oMath>
        <m:r>
          <m:rPr>
            <m:sty m:val="p"/>
          </m:rPr>
          <w:rPr>
            <w:rFonts w:ascii="Cambria Math" w:hAnsi="Times New Roman" w:cs="Times New Roman"/>
            <w:sz w:val="24"/>
            <w:szCs w:val="24"/>
          </w:rPr>
          <m:t>n</m:t>
        </m:r>
        <m:r>
          <m:rPr/>
          <w:rPr>
            <w:rFonts w:ascii="Cambria Math" w:hAnsi="Times New Roman" w:eastAsia="Cambria Math"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632</m:t>
            </m:r>
            <m:ctrlPr>
              <w:rPr>
                <w:rFonts w:ascii="Cambria Math" w:hAnsi="Times New Roman" w:cs="Times New Roman"/>
                <w:sz w:val="24"/>
                <w:szCs w:val="24"/>
              </w:rPr>
            </m:ctrlPr>
          </m:num>
          <m:den>
            <m:r>
              <m:rPr>
                <m:sty m:val="p"/>
              </m:rPr>
              <w:rPr>
                <w:rFonts w:ascii="Cambria Math" w:hAnsi="Times New Roman" w:cs="Times New Roman"/>
                <w:sz w:val="24"/>
                <w:szCs w:val="24"/>
              </w:rPr>
              <m:t>1+1.58</m:t>
            </m:r>
            <m:ctrlPr>
              <w:rPr>
                <w:rFonts w:ascii="Cambria Math" w:hAnsi="Times New Roman" w:cs="Times New Roman"/>
                <w:sz w:val="24"/>
                <w:szCs w:val="24"/>
              </w:rPr>
            </m:ctrlPr>
          </m:den>
        </m:f>
      </m:oMath>
    </w:p>
    <w:p w14:paraId="2DB56B7B">
      <w:pPr>
        <w:pStyle w:val="12"/>
        <w:numPr>
          <w:ilvl w:val="0"/>
          <w:numId w:val="6"/>
        </w:numPr>
        <w:spacing w:line="480" w:lineRule="auto"/>
        <w:jc w:val="both"/>
        <w:rPr>
          <w:rFonts w:ascii="Times New Roman" w:hAnsi="Times New Roman" w:cs="Times New Roman"/>
          <w:sz w:val="24"/>
          <w:szCs w:val="24"/>
        </w:rPr>
      </w:pPr>
      <m:oMath>
        <m:r>
          <m:rPr>
            <m:sty m:val="p"/>
          </m:rPr>
          <w:rPr>
            <w:rFonts w:ascii="Cambria Math" w:hAnsi="Times New Roman" w:cs="Times New Roman"/>
            <w:sz w:val="24"/>
            <w:szCs w:val="24"/>
          </w:rPr>
          <m:t>n</m:t>
        </m:r>
        <m:r>
          <m:rPr/>
          <w:rPr>
            <w:rFonts w:ascii="Cambria Math" w:hAnsi="Times New Roman" w:eastAsia="Cambria Math" w:cs="Times New Roman"/>
            <w:sz w:val="24"/>
            <w:szCs w:val="24"/>
          </w:rPr>
          <m:t>=</m:t>
        </m:r>
        <m:f>
          <m:fPr>
            <m:ctrlPr>
              <w:rPr>
                <w:rFonts w:ascii="Cambria Math" w:hAnsi="Times New Roman" w:cs="Times New Roman"/>
                <w:sz w:val="24"/>
                <w:szCs w:val="24"/>
              </w:rPr>
            </m:ctrlPr>
          </m:fPr>
          <m:num>
            <m:r>
              <m:rPr>
                <m:sty m:val="p"/>
              </m:rPr>
              <w:rPr>
                <w:rFonts w:ascii="Cambria Math" w:hAnsi="Times New Roman" w:cs="Times New Roman"/>
                <w:sz w:val="24"/>
                <w:szCs w:val="24"/>
              </w:rPr>
              <m:t>632</m:t>
            </m:r>
            <m:ctrlPr>
              <w:rPr>
                <w:rFonts w:ascii="Cambria Math" w:hAnsi="Times New Roman" w:cs="Times New Roman"/>
                <w:sz w:val="24"/>
                <w:szCs w:val="24"/>
              </w:rPr>
            </m:ctrlPr>
          </m:num>
          <m:den>
            <m:r>
              <m:rPr>
                <m:sty m:val="p"/>
              </m:rPr>
              <w:rPr>
                <w:rFonts w:ascii="Cambria Math" w:hAnsi="Times New Roman" w:cs="Times New Roman"/>
                <w:sz w:val="24"/>
                <w:szCs w:val="24"/>
              </w:rPr>
              <m:t>2.58</m:t>
            </m:r>
            <m:ctrlPr>
              <w:rPr>
                <w:rFonts w:ascii="Cambria Math" w:hAnsi="Times New Roman" w:cs="Times New Roman"/>
                <w:sz w:val="24"/>
                <w:szCs w:val="24"/>
              </w:rPr>
            </m:ctrlPr>
          </m:den>
        </m:f>
      </m:oMath>
      <w:r>
        <w:rPr>
          <w:rFonts w:ascii="Times New Roman" w:hAnsi="Times New Roman" w:cs="Times New Roman"/>
          <w:sz w:val="24"/>
          <w:szCs w:val="24"/>
        </w:rPr>
        <w:t xml:space="preserve">  =     n = 244.9 = 245 </w:t>
      </w:r>
    </w:p>
    <w:p w14:paraId="3E98FFA7">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Therefore, Two hundred and forty five (245) questionnaires will be administered.</w:t>
      </w:r>
    </w:p>
    <w:p w14:paraId="0E946E3B">
      <w:pPr>
        <w:spacing w:after="0" w:line="480" w:lineRule="auto"/>
        <w:jc w:val="both"/>
        <w:rPr>
          <w:rFonts w:ascii="Times New Roman" w:hAnsi="Times New Roman" w:cs="Times New Roman"/>
          <w:sz w:val="24"/>
          <w:szCs w:val="24"/>
        </w:rPr>
      </w:pPr>
      <w:r>
        <w:rPr>
          <w:rFonts w:ascii="Times New Roman" w:hAnsi="Times New Roman" w:eastAsia="Calibri" w:cs="Times New Roman"/>
          <w:b/>
          <w:sz w:val="24"/>
          <w:szCs w:val="24"/>
        </w:rPr>
        <w:t>3.4</w:t>
      </w:r>
      <w:r>
        <w:rPr>
          <w:rFonts w:ascii="Times New Roman" w:hAnsi="Times New Roman" w:cs="Times New Roman"/>
          <w:sz w:val="24"/>
          <w:szCs w:val="24"/>
        </w:rPr>
        <w:tab/>
      </w:r>
      <w:r>
        <w:rPr>
          <w:rFonts w:ascii="Times New Roman" w:hAnsi="Times New Roman" w:eastAsia="Calibri" w:cs="Times New Roman"/>
          <w:b/>
          <w:sz w:val="24"/>
          <w:szCs w:val="24"/>
        </w:rPr>
        <w:t>Instrument for Data Collection</w:t>
      </w:r>
    </w:p>
    <w:p w14:paraId="6F5588A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Data collection means gathering information to address those critical evaluations questions that the researcher has identified earlier in the evaluation process. </w:t>
      </w:r>
      <w:r>
        <w:rPr>
          <w:rFonts w:ascii="Times New Roman" w:hAnsi="Times New Roman" w:eastAsia="Calibri" w:cs="Times New Roman"/>
          <w:sz w:val="24"/>
          <w:szCs w:val="24"/>
        </w:rPr>
        <w:t xml:space="preserve">The method of data collection for this study will be </w:t>
      </w:r>
      <w:r>
        <w:rPr>
          <w:rFonts w:ascii="Times New Roman" w:hAnsi="Times New Roman" w:eastAsia="Calibri" w:cs="Times New Roman"/>
          <w:b/>
          <w:sz w:val="24"/>
          <w:szCs w:val="24"/>
        </w:rPr>
        <w:t>Questionnaire</w:t>
      </w:r>
      <w:r>
        <w:rPr>
          <w:rFonts w:ascii="Times New Roman" w:hAnsi="Times New Roman" w:eastAsia="Calibri" w:cs="Times New Roman"/>
          <w:sz w:val="24"/>
          <w:szCs w:val="24"/>
        </w:rPr>
        <w:t xml:space="preserve">. The questionnaire for this study will be closed ended and open ended questions where essential information will be get from respondents in order to arrive at effective research work. </w:t>
      </w:r>
      <w:r>
        <w:rPr>
          <w:rFonts w:ascii="Times New Roman" w:hAnsi="Times New Roman" w:cs="Times New Roman"/>
          <w:sz w:val="24"/>
          <w:szCs w:val="24"/>
        </w:rPr>
        <w:t>A questionnaire can be described as a set of carefully selected questions whose answers contribute to a specified goal (Bryman 2016). Questionnaires are data collection tools in quantitative and qualitative studies where respondents are expected to answer standardized questions related to the research topic. Questionnaire were chosen because they are relatively cheap and do not require a lot of time from participants (Patten 2016). It is important to encourage their participation by taking up as little time as possible. Another advantage of questionnaires is they are anonymous and encourage the freedom of expression without fear of victimization.</w:t>
      </w:r>
    </w:p>
    <w:p w14:paraId="3F674EFF">
      <w:pPr>
        <w:spacing w:after="0" w:line="480" w:lineRule="auto"/>
        <w:rPr>
          <w:rFonts w:ascii="Times New Roman" w:hAnsi="Times New Roman" w:cs="Times New Roman"/>
          <w:sz w:val="24"/>
          <w:szCs w:val="24"/>
        </w:rPr>
      </w:pPr>
      <w:r>
        <w:rPr>
          <w:rFonts w:ascii="Times New Roman" w:hAnsi="Times New Roman" w:cs="Times New Roman"/>
          <w:sz w:val="24"/>
          <w:szCs w:val="24"/>
        </w:rPr>
        <w:t>The questionnaire consisted of two sections with different subject matters.</w:t>
      </w:r>
    </w:p>
    <w:p w14:paraId="794E63A0">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Section A</w:t>
      </w:r>
      <w:r>
        <w:rPr>
          <w:rFonts w:ascii="Times New Roman" w:hAnsi="Times New Roman" w:cs="Times New Roman"/>
          <w:sz w:val="24"/>
          <w:szCs w:val="24"/>
        </w:rPr>
        <w:t xml:space="preserve"> includes the demographic information of respondent such as; gender, age and marital status. While </w:t>
      </w:r>
      <w:r>
        <w:rPr>
          <w:rFonts w:ascii="Times New Roman" w:hAnsi="Times New Roman" w:cs="Times New Roman"/>
          <w:b/>
          <w:sz w:val="24"/>
          <w:szCs w:val="24"/>
        </w:rPr>
        <w:t>Section B</w:t>
      </w:r>
      <w:r>
        <w:rPr>
          <w:rFonts w:ascii="Times New Roman" w:hAnsi="Times New Roman" w:cs="Times New Roman"/>
          <w:sz w:val="24"/>
          <w:szCs w:val="24"/>
        </w:rPr>
        <w:t xml:space="preserve"> addresses the main reason of the research.</w:t>
      </w:r>
    </w:p>
    <w:p w14:paraId="4F50ECE8">
      <w:pPr>
        <w:spacing w:after="0" w:line="480" w:lineRule="auto"/>
        <w:jc w:val="both"/>
        <w:rPr>
          <w:rFonts w:ascii="Times New Roman" w:hAnsi="Times New Roman" w:cs="Times New Roman"/>
          <w:b/>
          <w:sz w:val="24"/>
          <w:szCs w:val="24"/>
        </w:rPr>
      </w:pPr>
      <w:r>
        <w:rPr>
          <w:rFonts w:ascii="Times New Roman" w:hAnsi="Times New Roman" w:eastAsia="Calibri" w:cs="Times New Roman"/>
          <w:b/>
          <w:sz w:val="24"/>
          <w:szCs w:val="24"/>
        </w:rPr>
        <w:t>3.5</w:t>
      </w:r>
      <w:r>
        <w:rPr>
          <w:rFonts w:ascii="Times New Roman" w:hAnsi="Times New Roman" w:eastAsia="Calibri" w:cs="Times New Roman"/>
          <w:b/>
          <w:sz w:val="24"/>
          <w:szCs w:val="24"/>
        </w:rPr>
        <w:tab/>
      </w:r>
      <w:r>
        <w:rPr>
          <w:rFonts w:ascii="Times New Roman" w:hAnsi="Times New Roman" w:cs="Times New Roman"/>
          <w:b/>
          <w:sz w:val="24"/>
          <w:szCs w:val="24"/>
        </w:rPr>
        <w:t>Reliability and Validity of Research Instrument</w:t>
      </w:r>
    </w:p>
    <w:p w14:paraId="6E9D5CD1">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Reliability</w:t>
      </w:r>
      <w:r>
        <w:rPr>
          <w:rFonts w:ascii="Times New Roman" w:hAnsi="Times New Roman" w:cs="Times New Roman"/>
          <w:sz w:val="24"/>
          <w:szCs w:val="24"/>
        </w:rPr>
        <w:t xml:space="preserve"> is defined as the accuracy and precision of a measurement procedure. This is also referred to as the consistency of a method of measurement repeated under the same condition will give the same result.</w:t>
      </w:r>
      <w:r>
        <w:rPr>
          <w:rFonts w:ascii="Times New Roman" w:hAnsi="Times New Roman" w:cs="Times New Roman"/>
          <w:b/>
          <w:sz w:val="24"/>
          <w:szCs w:val="24"/>
        </w:rPr>
        <w:t xml:space="preserve"> </w:t>
      </w:r>
      <w:r>
        <w:rPr>
          <w:rFonts w:ascii="Times New Roman" w:hAnsi="Times New Roman" w:cs="Times New Roman"/>
          <w:sz w:val="24"/>
          <w:szCs w:val="24"/>
        </w:rPr>
        <w:t>Reliability is also defined as the extent to which a measure is free of variable error. It is not enough for a researcher to collect information in good faith.</w:t>
      </w:r>
    </w:p>
    <w:p w14:paraId="25FEA44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He must also Make sure that the information rendered by respondents knowledge of the subject matter. In order to test the reliability of the data collected, the pretest and re-test method used.</w:t>
      </w:r>
    </w:p>
    <w:p w14:paraId="284330BE">
      <w:pPr>
        <w:spacing w:before="240" w:after="0" w:line="480" w:lineRule="auto"/>
        <w:ind w:left="720" w:hanging="720"/>
        <w:jc w:val="both"/>
        <w:rPr>
          <w:rFonts w:ascii="Times New Roman" w:hAnsi="Times New Roman" w:cs="Times New Roman"/>
          <w:sz w:val="24"/>
          <w:szCs w:val="24"/>
        </w:rPr>
      </w:pPr>
      <w:r>
        <w:rPr>
          <w:rFonts w:ascii="Times New Roman" w:hAnsi="Times New Roman" w:cs="Times New Roman"/>
          <w:b/>
          <w:sz w:val="24"/>
          <w:szCs w:val="24"/>
        </w:rPr>
        <w:t xml:space="preserve">Validity </w:t>
      </w:r>
      <w:r>
        <w:rPr>
          <w:rFonts w:ascii="Times New Roman" w:hAnsi="Times New Roman" w:cs="Times New Roman"/>
          <w:sz w:val="24"/>
          <w:szCs w:val="24"/>
        </w:rPr>
        <w:t>is the extent to which a text measures what it intends to measure.</w:t>
      </w:r>
    </w:p>
    <w:p w14:paraId="34B1B993">
      <w:pPr>
        <w:spacing w:after="0" w:line="480" w:lineRule="auto"/>
        <w:jc w:val="both"/>
        <w:rPr>
          <w:rFonts w:ascii="Times New Roman" w:hAnsi="Times New Roman" w:eastAsia="Calibri"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r>
      <w:r>
        <w:rPr>
          <w:rFonts w:ascii="Times New Roman" w:hAnsi="Times New Roman" w:eastAsia="Calibri" w:cs="Times New Roman"/>
          <w:b/>
          <w:sz w:val="24"/>
          <w:szCs w:val="24"/>
        </w:rPr>
        <w:t>Administration of the Instrument</w:t>
      </w:r>
    </w:p>
    <w:p w14:paraId="2128F9FF">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The instruments for this research will be personally administered to the respondents through visitation to the library under study to ensure that everyone in the population is given equal opportunity to be selected.</w:t>
      </w:r>
    </w:p>
    <w:p w14:paraId="25A8D54D">
      <w:pPr>
        <w:spacing w:after="0" w:line="480" w:lineRule="auto"/>
        <w:jc w:val="both"/>
        <w:rPr>
          <w:rFonts w:ascii="Times New Roman" w:hAnsi="Times New Roman" w:eastAsia="Calibri" w:cs="Times New Roman"/>
          <w:sz w:val="24"/>
          <w:szCs w:val="24"/>
        </w:rPr>
      </w:pPr>
    </w:p>
    <w:p w14:paraId="3C0B6AF4">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3.7</w:t>
      </w:r>
      <w:r>
        <w:rPr>
          <w:rFonts w:ascii="Times New Roman" w:hAnsi="Times New Roman" w:cs="Times New Roman"/>
          <w:sz w:val="24"/>
          <w:szCs w:val="24"/>
        </w:rPr>
        <w:tab/>
      </w:r>
      <w:r>
        <w:rPr>
          <w:rFonts w:ascii="Times New Roman" w:hAnsi="Times New Roman" w:eastAsia="Calibri" w:cs="Times New Roman"/>
          <w:b/>
          <w:sz w:val="24"/>
          <w:szCs w:val="24"/>
        </w:rPr>
        <w:t>Method of Data Analysis</w:t>
      </w:r>
    </w:p>
    <w:p w14:paraId="1D12D8C7">
      <w:pPr>
        <w:spacing w:line="480" w:lineRule="auto"/>
        <w:jc w:val="both"/>
        <w:rPr>
          <w:rFonts w:ascii="Times New Roman" w:hAnsi="Times New Roman" w:cs="Times New Roman"/>
          <w:sz w:val="24"/>
          <w:szCs w:val="24"/>
        </w:rPr>
      </w:pPr>
      <w:r>
        <w:rPr>
          <w:rFonts w:ascii="Times New Roman" w:hAnsi="Times New Roman" w:cs="Times New Roman"/>
          <w:sz w:val="24"/>
          <w:szCs w:val="24"/>
        </w:rPr>
        <w:t>This is the last segment under methodology, here we intends to set out how our collected data will be analysis. Axman, (2015) explains that analysis methods are procedures for manipulating data so that the research questions can be answered, usually by identifying important patterns. In quantitative research which is used in this study, data analysis basically involve the use of statistical procedures. Therefore, the collected data will be presented, analyzed and integrated using table simple percentage.</w:t>
      </w:r>
    </w:p>
    <w:p w14:paraId="394E382C"/>
    <w:p w14:paraId="40DA26A8"/>
    <w:p w14:paraId="49396D35"/>
    <w:p w14:paraId="4131E885"/>
    <w:p w14:paraId="39810CC7"/>
    <w:p w14:paraId="310002D1"/>
    <w:p w14:paraId="5E626C0B"/>
    <w:p w14:paraId="66F7730B"/>
    <w:p w14:paraId="7DF4C065"/>
    <w:p w14:paraId="0ABE9ED5"/>
    <w:p w14:paraId="34EB0FDA"/>
    <w:p w14:paraId="15F8AD2D"/>
    <w:p w14:paraId="2BFA17FA"/>
    <w:p w14:paraId="387E1676"/>
    <w:p w14:paraId="23095575"/>
    <w:p w14:paraId="45559663"/>
    <w:p w14:paraId="16815412"/>
    <w:p w14:paraId="3F8C3C41"/>
    <w:p w14:paraId="1952EDEC"/>
    <w:p w14:paraId="6FC3B1E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4390D8BD">
      <w:pPr>
        <w:spacing w:after="0" w:line="480" w:lineRule="auto"/>
        <w:jc w:val="center"/>
        <w:rPr>
          <w:rFonts w:ascii="Times New Roman" w:hAnsi="Times New Roman" w:cs="Times New Roman"/>
          <w:sz w:val="24"/>
          <w:szCs w:val="24"/>
        </w:rPr>
      </w:pPr>
      <w:r>
        <w:rPr>
          <w:rFonts w:ascii="Times New Roman" w:hAnsi="Times New Roman" w:cs="Times New Roman"/>
          <w:b/>
          <w:sz w:val="24"/>
          <w:szCs w:val="24"/>
        </w:rPr>
        <w:t>DATA PRESENTATION, ANALYSIS AND INTERPRETATION</w:t>
      </w:r>
    </w:p>
    <w:p w14:paraId="0C555075">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Pr>
          <w:rFonts w:ascii="Times New Roman" w:hAnsi="Times New Roman" w:cs="Times New Roman"/>
          <w:b/>
          <w:sz w:val="24"/>
          <w:szCs w:val="24"/>
        </w:rPr>
        <w:t>Introduction</w:t>
      </w:r>
    </w:p>
    <w:p w14:paraId="29BF67CC">
      <w:pPr>
        <w:spacing w:line="480" w:lineRule="auto"/>
        <w:jc w:val="both"/>
        <w:rPr>
          <w:rFonts w:ascii="Times New Roman" w:hAnsi="Times New Roman" w:cs="Times New Roman"/>
          <w:sz w:val="24"/>
          <w:szCs w:val="24"/>
        </w:rPr>
      </w:pPr>
      <w:r>
        <w:rPr>
          <w:rFonts w:ascii="Times New Roman" w:hAnsi="Times New Roman" w:cs="Times New Roman"/>
          <w:sz w:val="24"/>
          <w:szCs w:val="24"/>
        </w:rPr>
        <w:t>This chapter covers the analysis and interpretation of the various data collected through the use of questionnaires as per objectives of the study. According to the Head of Circulation Unit , He said that the overall number of</w:t>
      </w:r>
      <w:r>
        <w:rPr>
          <w:rFonts w:hint="default" w:ascii="Times New Roman" w:hAnsi="Times New Roman" w:cs="Times New Roman"/>
          <w:sz w:val="24"/>
          <w:szCs w:val="24"/>
          <w:lang w:val="en-US"/>
        </w:rPr>
        <w:t xml:space="preserve"> university of ilorin </w:t>
      </w:r>
      <w:r>
        <w:rPr>
          <w:rFonts w:ascii="Times New Roman" w:hAnsi="Times New Roman" w:cs="Times New Roman"/>
          <w:sz w:val="24"/>
          <w:szCs w:val="24"/>
        </w:rPr>
        <w:t>Library users registered in 202</w:t>
      </w:r>
      <w:r>
        <w:rPr>
          <w:rFonts w:hint="default" w:ascii="Times New Roman" w:hAnsi="Times New Roman" w:cs="Times New Roman"/>
          <w:sz w:val="24"/>
          <w:szCs w:val="24"/>
          <w:lang w:val="en-US"/>
        </w:rPr>
        <w:t>5</w:t>
      </w:r>
      <w:r>
        <w:rPr>
          <w:rFonts w:ascii="Times New Roman" w:hAnsi="Times New Roman" w:cs="Times New Roman"/>
          <w:sz w:val="24"/>
          <w:szCs w:val="24"/>
        </w:rPr>
        <w:t xml:space="preserve"> were Six hundred and thirty two (632). The sample of 245 Library Users was taken and (245) questionnaires were printed and distributed to the Library Users for the purpose of data collection.</w:t>
      </w:r>
    </w:p>
    <w:p w14:paraId="19AE027C">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4.2</w:t>
      </w:r>
      <w:r>
        <w:rPr>
          <w:rFonts w:ascii="Times New Roman" w:hAnsi="Times New Roman" w:cs="Times New Roman"/>
          <w:b/>
          <w:sz w:val="24"/>
          <w:szCs w:val="24"/>
        </w:rPr>
        <w:tab/>
      </w:r>
      <w:r>
        <w:rPr>
          <w:rFonts w:ascii="Times New Roman" w:hAnsi="Times New Roman" w:cs="Times New Roman"/>
          <w:b/>
          <w:sz w:val="24"/>
          <w:szCs w:val="24"/>
        </w:rPr>
        <w:t>Return Rate</w:t>
      </w:r>
    </w:p>
    <w:p w14:paraId="1A839BAC">
      <w:pPr>
        <w:spacing w:after="0" w:line="480" w:lineRule="auto"/>
        <w:ind w:left="-5"/>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Two hundred and forty five (245) copies of questionnaires were administered to the library staff and all were retrieved which is representing 100% rate.</w:t>
      </w:r>
    </w:p>
    <w:p w14:paraId="6B557D3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sz w:val="24"/>
          <w:szCs w:val="24"/>
        </w:rPr>
        <w:tab/>
      </w:r>
      <w:r>
        <w:rPr>
          <w:rFonts w:ascii="Times New Roman" w:hAnsi="Times New Roman" w:cs="Times New Roman"/>
          <w:b/>
          <w:sz w:val="24"/>
          <w:szCs w:val="24"/>
        </w:rPr>
        <w:t>Analysis of Staff Questionnaire</w:t>
      </w:r>
    </w:p>
    <w:p w14:paraId="0184D2E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Table 4.3.1</w:t>
      </w:r>
      <w:r>
        <w:rPr>
          <w:rFonts w:ascii="Times New Roman" w:hAnsi="Times New Roman" w:cs="Times New Roman"/>
          <w:b/>
          <w:sz w:val="24"/>
          <w:szCs w:val="24"/>
        </w:rPr>
        <w:tab/>
      </w:r>
      <w:r>
        <w:rPr>
          <w:rFonts w:ascii="Times New Roman" w:hAnsi="Times New Roman" w:cs="Times New Roman"/>
          <w:b/>
          <w:sz w:val="24"/>
          <w:szCs w:val="24"/>
        </w:rPr>
        <w:t>Gender of Respondents</w:t>
      </w:r>
    </w:p>
    <w:tbl>
      <w:tblPr>
        <w:tblStyle w:val="10"/>
        <w:tblW w:w="0" w:type="auto"/>
        <w:tblInd w:w="61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13"/>
        <w:gridCol w:w="2160"/>
        <w:gridCol w:w="1350"/>
      </w:tblGrid>
      <w:tr w14:paraId="6CAF00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1" w:hRule="atLeast"/>
        </w:trPr>
        <w:tc>
          <w:tcPr>
            <w:tcW w:w="1013" w:type="dxa"/>
          </w:tcPr>
          <w:p w14:paraId="759E6180">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Gender</w:t>
            </w:r>
          </w:p>
        </w:tc>
        <w:tc>
          <w:tcPr>
            <w:tcW w:w="2160" w:type="dxa"/>
          </w:tcPr>
          <w:p w14:paraId="7220E6A6">
            <w:pPr>
              <w:spacing w:after="451"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No. of Respondent</w:t>
            </w:r>
          </w:p>
        </w:tc>
        <w:tc>
          <w:tcPr>
            <w:tcW w:w="1350" w:type="dxa"/>
          </w:tcPr>
          <w:p w14:paraId="42E7F9BD">
            <w:pPr>
              <w:spacing w:after="451"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Percentage</w:t>
            </w:r>
          </w:p>
        </w:tc>
      </w:tr>
      <w:tr w14:paraId="44A137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 w:hRule="atLeast"/>
        </w:trPr>
        <w:tc>
          <w:tcPr>
            <w:tcW w:w="1013" w:type="dxa"/>
          </w:tcPr>
          <w:p w14:paraId="057A70D2">
            <w:pPr>
              <w:spacing w:after="451"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Male</w:t>
            </w:r>
          </w:p>
        </w:tc>
        <w:tc>
          <w:tcPr>
            <w:tcW w:w="2160" w:type="dxa"/>
          </w:tcPr>
          <w:p w14:paraId="60D12CE0">
            <w:pPr>
              <w:spacing w:after="451"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130</w:t>
            </w:r>
          </w:p>
        </w:tc>
        <w:tc>
          <w:tcPr>
            <w:tcW w:w="1350" w:type="dxa"/>
          </w:tcPr>
          <w:p w14:paraId="50859F83">
            <w:pPr>
              <w:spacing w:after="451"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53%</w:t>
            </w:r>
          </w:p>
        </w:tc>
      </w:tr>
      <w:tr w14:paraId="48833C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 w:hRule="atLeast"/>
        </w:trPr>
        <w:tc>
          <w:tcPr>
            <w:tcW w:w="1013" w:type="dxa"/>
          </w:tcPr>
          <w:p w14:paraId="3E2046D4">
            <w:pPr>
              <w:spacing w:after="451"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Female</w:t>
            </w:r>
          </w:p>
        </w:tc>
        <w:tc>
          <w:tcPr>
            <w:tcW w:w="2160" w:type="dxa"/>
          </w:tcPr>
          <w:p w14:paraId="78E0B744">
            <w:pPr>
              <w:spacing w:after="451"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115</w:t>
            </w:r>
          </w:p>
        </w:tc>
        <w:tc>
          <w:tcPr>
            <w:tcW w:w="1350" w:type="dxa"/>
          </w:tcPr>
          <w:p w14:paraId="624D52E7">
            <w:pPr>
              <w:spacing w:after="451"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47%</w:t>
            </w:r>
          </w:p>
        </w:tc>
      </w:tr>
      <w:tr w14:paraId="64D1E9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1" w:hRule="atLeast"/>
        </w:trPr>
        <w:tc>
          <w:tcPr>
            <w:tcW w:w="1013" w:type="dxa"/>
          </w:tcPr>
          <w:p w14:paraId="7EB73667">
            <w:pPr>
              <w:spacing w:after="451"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Total</w:t>
            </w:r>
          </w:p>
        </w:tc>
        <w:tc>
          <w:tcPr>
            <w:tcW w:w="2160" w:type="dxa"/>
          </w:tcPr>
          <w:p w14:paraId="0856D7FD">
            <w:pPr>
              <w:spacing w:after="451"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1350" w:type="dxa"/>
          </w:tcPr>
          <w:p w14:paraId="597C286E">
            <w:pPr>
              <w:spacing w:after="451"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bl>
    <w:p w14:paraId="279587BF">
      <w:pPr>
        <w:spacing w:after="0" w:line="480" w:lineRule="auto"/>
        <w:ind w:firstLine="720"/>
        <w:jc w:val="both"/>
        <w:rPr>
          <w:rFonts w:hint="default" w:ascii="Times New Roman" w:hAnsi="Times New Roman" w:cs="Times New Roman"/>
          <w:sz w:val="24"/>
          <w:szCs w:val="24"/>
          <w:lang w:val="en-US"/>
        </w:rPr>
      </w:pPr>
      <w:r>
        <w:rPr>
          <w:rFonts w:ascii="Times New Roman" w:hAnsi="Times New Roman" w:cs="Times New Roman"/>
          <w:b/>
          <w:bCs/>
          <w:sz w:val="24"/>
          <w:szCs w:val="24"/>
        </w:rPr>
        <w:t>Source:</w:t>
      </w:r>
      <w:r>
        <w:rPr>
          <w:rFonts w:ascii="Times New Roman" w:hAnsi="Times New Roman" w:cs="Times New Roman"/>
          <w:sz w:val="24"/>
          <w:szCs w:val="24"/>
        </w:rPr>
        <w:t xml:space="preserve"> Field survey, 202</w:t>
      </w:r>
      <w:r>
        <w:rPr>
          <w:rFonts w:hint="default" w:ascii="Times New Roman" w:hAnsi="Times New Roman" w:cs="Times New Roman"/>
          <w:sz w:val="24"/>
          <w:szCs w:val="24"/>
          <w:lang w:val="en-US"/>
        </w:rPr>
        <w:t>5</w:t>
      </w:r>
    </w:p>
    <w:p w14:paraId="2DDB71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gender of the respondents as presented in table 4.3.1 shows that the male library users which are 130 respondents representing (65%) are more than the female library users which are 115 respondents representing (35%).</w:t>
      </w:r>
    </w:p>
    <w:p w14:paraId="7F5E1903">
      <w:pPr>
        <w:spacing w:line="480" w:lineRule="auto"/>
        <w:jc w:val="both"/>
        <w:rPr>
          <w:rFonts w:ascii="Times New Roman" w:hAnsi="Times New Roman" w:cs="Times New Roman"/>
          <w:b/>
          <w:sz w:val="24"/>
          <w:szCs w:val="24"/>
        </w:rPr>
      </w:pPr>
      <w:r>
        <w:rPr>
          <w:rFonts w:ascii="Times New Roman" w:hAnsi="Times New Roman" w:cs="Times New Roman"/>
          <w:b/>
          <w:bCs/>
          <w:sz w:val="24"/>
          <w:szCs w:val="24"/>
        </w:rPr>
        <w:t>Table 4.3.2:</w:t>
      </w:r>
      <w:r>
        <w:rPr>
          <w:rFonts w:ascii="Times New Roman" w:hAnsi="Times New Roman" w:cs="Times New Roman"/>
          <w:b/>
          <w:sz w:val="24"/>
          <w:szCs w:val="24"/>
        </w:rPr>
        <w:tab/>
      </w:r>
      <w:r>
        <w:rPr>
          <w:rFonts w:ascii="Times New Roman" w:hAnsi="Times New Roman" w:cs="Times New Roman"/>
          <w:b/>
          <w:sz w:val="24"/>
          <w:szCs w:val="24"/>
        </w:rPr>
        <w:t>Age Group</w:t>
      </w:r>
    </w:p>
    <w:tbl>
      <w:tblPr>
        <w:tblStyle w:val="10"/>
        <w:tblW w:w="0" w:type="auto"/>
        <w:tblInd w:w="73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890"/>
        <w:gridCol w:w="1980"/>
        <w:gridCol w:w="1980"/>
      </w:tblGrid>
      <w:tr w14:paraId="67A01A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90" w:type="dxa"/>
          </w:tcPr>
          <w:p w14:paraId="19FBAC5C">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Age </w:t>
            </w:r>
          </w:p>
        </w:tc>
        <w:tc>
          <w:tcPr>
            <w:tcW w:w="1980" w:type="dxa"/>
          </w:tcPr>
          <w:p w14:paraId="1D8593ED">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Respondents</w:t>
            </w:r>
          </w:p>
        </w:tc>
        <w:tc>
          <w:tcPr>
            <w:tcW w:w="1980" w:type="dxa"/>
          </w:tcPr>
          <w:p w14:paraId="0C2DF8E9">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Percentage (%)</w:t>
            </w:r>
          </w:p>
        </w:tc>
      </w:tr>
      <w:tr w14:paraId="79827A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90" w:type="dxa"/>
          </w:tcPr>
          <w:p w14:paraId="1AFB87C8">
            <w:pPr>
              <w:spacing w:before="240"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18-23</w:t>
            </w:r>
          </w:p>
        </w:tc>
        <w:tc>
          <w:tcPr>
            <w:tcW w:w="1980" w:type="dxa"/>
          </w:tcPr>
          <w:p w14:paraId="79C6CCDB">
            <w:pPr>
              <w:spacing w:before="240"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160</w:t>
            </w:r>
          </w:p>
        </w:tc>
        <w:tc>
          <w:tcPr>
            <w:tcW w:w="1980" w:type="dxa"/>
          </w:tcPr>
          <w:p w14:paraId="6D5464F3">
            <w:pPr>
              <w:spacing w:before="240"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65%</w:t>
            </w:r>
          </w:p>
        </w:tc>
      </w:tr>
      <w:tr w14:paraId="1CD531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90" w:type="dxa"/>
          </w:tcPr>
          <w:p w14:paraId="696F5A99">
            <w:pPr>
              <w:spacing w:before="240"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24-29</w:t>
            </w:r>
          </w:p>
        </w:tc>
        <w:tc>
          <w:tcPr>
            <w:tcW w:w="1980" w:type="dxa"/>
          </w:tcPr>
          <w:p w14:paraId="458A160F">
            <w:pPr>
              <w:spacing w:before="240"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80</w:t>
            </w:r>
          </w:p>
        </w:tc>
        <w:tc>
          <w:tcPr>
            <w:tcW w:w="1980" w:type="dxa"/>
          </w:tcPr>
          <w:p w14:paraId="1BF91133">
            <w:pPr>
              <w:spacing w:before="240"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33%</w:t>
            </w:r>
          </w:p>
        </w:tc>
      </w:tr>
      <w:tr w14:paraId="546FD9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90" w:type="dxa"/>
          </w:tcPr>
          <w:p w14:paraId="1C5A5BCF">
            <w:pPr>
              <w:spacing w:before="240"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30 and above</w:t>
            </w:r>
          </w:p>
        </w:tc>
        <w:tc>
          <w:tcPr>
            <w:tcW w:w="1980" w:type="dxa"/>
          </w:tcPr>
          <w:p w14:paraId="190EE253">
            <w:pPr>
              <w:spacing w:before="240"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5</w:t>
            </w:r>
          </w:p>
        </w:tc>
        <w:tc>
          <w:tcPr>
            <w:tcW w:w="1980" w:type="dxa"/>
          </w:tcPr>
          <w:p w14:paraId="4EDA2072">
            <w:pPr>
              <w:spacing w:before="240"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2%</w:t>
            </w:r>
          </w:p>
        </w:tc>
      </w:tr>
      <w:tr w14:paraId="4535731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890" w:type="dxa"/>
          </w:tcPr>
          <w:p w14:paraId="29B7E184">
            <w:pPr>
              <w:spacing w:before="240"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Total</w:t>
            </w:r>
          </w:p>
        </w:tc>
        <w:tc>
          <w:tcPr>
            <w:tcW w:w="1980" w:type="dxa"/>
          </w:tcPr>
          <w:p w14:paraId="092C242B">
            <w:pPr>
              <w:spacing w:before="240"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1980" w:type="dxa"/>
          </w:tcPr>
          <w:p w14:paraId="19F7C7FC">
            <w:pPr>
              <w:spacing w:before="240"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bl>
    <w:p w14:paraId="4091E8BE">
      <w:pPr>
        <w:spacing w:line="480" w:lineRule="auto"/>
        <w:ind w:firstLine="720"/>
        <w:jc w:val="both"/>
        <w:rPr>
          <w:rFonts w:hint="default" w:ascii="Times New Roman" w:hAnsi="Times New Roman" w:cs="Times New Roman"/>
          <w:sz w:val="24"/>
          <w:szCs w:val="24"/>
          <w:lang w:val="en-US"/>
        </w:rPr>
      </w:pPr>
      <w:r>
        <w:rPr>
          <w:rFonts w:ascii="Times New Roman" w:hAnsi="Times New Roman" w:cs="Times New Roman"/>
          <w:b/>
          <w:bCs/>
          <w:sz w:val="24"/>
          <w:szCs w:val="24"/>
        </w:rPr>
        <w:t>Source:</w:t>
      </w:r>
      <w:r>
        <w:rPr>
          <w:rFonts w:ascii="Times New Roman" w:hAnsi="Times New Roman" w:cs="Times New Roman"/>
          <w:sz w:val="24"/>
          <w:szCs w:val="24"/>
        </w:rPr>
        <w:t xml:space="preserve"> Field survey, 202</w:t>
      </w:r>
      <w:r>
        <w:rPr>
          <w:rFonts w:hint="default" w:ascii="Times New Roman" w:hAnsi="Times New Roman" w:cs="Times New Roman"/>
          <w:sz w:val="24"/>
          <w:szCs w:val="24"/>
          <w:lang w:val="en-US"/>
        </w:rPr>
        <w:t>5</w:t>
      </w:r>
    </w:p>
    <w:p w14:paraId="74041CC3">
      <w:pPr>
        <w:spacing w:line="360" w:lineRule="auto"/>
        <w:jc w:val="both"/>
        <w:rPr>
          <w:rFonts w:ascii="Times New Roman" w:hAnsi="Times New Roman" w:cs="Times New Roman"/>
          <w:sz w:val="24"/>
          <w:szCs w:val="24"/>
        </w:rPr>
      </w:pPr>
      <w:r>
        <w:rPr>
          <w:rFonts w:ascii="Times New Roman" w:hAnsi="Times New Roman" w:cs="Times New Roman"/>
          <w:sz w:val="24"/>
          <w:szCs w:val="24"/>
        </w:rPr>
        <w:t>From the table 4.3.2 above, 160 respondents representing (65%) were within the age of 18 – 23 years, 80 respondents representing (33%) were within the age of 26 – 35 years while 5 respondents representing (2%) were within the age of 30 and above.</w:t>
      </w:r>
    </w:p>
    <w:p w14:paraId="4EAA9B1D">
      <w:pPr>
        <w:spacing w:line="480" w:lineRule="auto"/>
        <w:jc w:val="both"/>
        <w:rPr>
          <w:rFonts w:ascii="Times New Roman" w:hAnsi="Times New Roman" w:cs="Times New Roman"/>
          <w:b/>
          <w:sz w:val="24"/>
          <w:szCs w:val="24"/>
        </w:rPr>
      </w:pPr>
      <w:r>
        <w:rPr>
          <w:rFonts w:ascii="Times New Roman" w:hAnsi="Times New Roman" w:cs="Times New Roman"/>
          <w:b/>
          <w:bCs/>
          <w:sz w:val="24"/>
          <w:szCs w:val="24"/>
        </w:rPr>
        <w:t>Table 4.4.3:</w:t>
      </w:r>
      <w:r>
        <w:rPr>
          <w:rFonts w:ascii="Times New Roman" w:hAnsi="Times New Roman" w:cs="Times New Roman"/>
          <w:b/>
          <w:sz w:val="24"/>
          <w:szCs w:val="24"/>
        </w:rPr>
        <w:tab/>
      </w:r>
      <w:r>
        <w:rPr>
          <w:rFonts w:ascii="Times New Roman" w:hAnsi="Times New Roman" w:cs="Times New Roman"/>
          <w:b/>
          <w:sz w:val="24"/>
          <w:szCs w:val="24"/>
        </w:rPr>
        <w:t xml:space="preserve">Marital Status  </w:t>
      </w:r>
    </w:p>
    <w:tbl>
      <w:tblPr>
        <w:tblStyle w:val="10"/>
        <w:tblW w:w="0" w:type="auto"/>
        <w:tblInd w:w="67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55"/>
        <w:gridCol w:w="1531"/>
        <w:gridCol w:w="1912"/>
      </w:tblGrid>
      <w:tr w14:paraId="21C1F8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0632D846">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Statements</w:t>
            </w:r>
          </w:p>
        </w:tc>
        <w:tc>
          <w:tcPr>
            <w:tcW w:w="1531" w:type="dxa"/>
          </w:tcPr>
          <w:p w14:paraId="1ACC6430">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Respondents</w:t>
            </w:r>
          </w:p>
        </w:tc>
        <w:tc>
          <w:tcPr>
            <w:tcW w:w="1912" w:type="dxa"/>
          </w:tcPr>
          <w:p w14:paraId="4FDF3B29">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Percentage (%)</w:t>
            </w:r>
          </w:p>
        </w:tc>
      </w:tr>
      <w:tr w14:paraId="17AE2F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5DF7B1A4">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Single </w:t>
            </w:r>
          </w:p>
        </w:tc>
        <w:tc>
          <w:tcPr>
            <w:tcW w:w="1531" w:type="dxa"/>
          </w:tcPr>
          <w:p w14:paraId="28E1DF71">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195</w:t>
            </w:r>
          </w:p>
        </w:tc>
        <w:tc>
          <w:tcPr>
            <w:tcW w:w="1912" w:type="dxa"/>
          </w:tcPr>
          <w:p w14:paraId="1FC051B5">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80%</w:t>
            </w:r>
          </w:p>
        </w:tc>
      </w:tr>
      <w:tr w14:paraId="11ABEA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2DF36C50">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Married</w:t>
            </w:r>
          </w:p>
        </w:tc>
        <w:tc>
          <w:tcPr>
            <w:tcW w:w="1531" w:type="dxa"/>
          </w:tcPr>
          <w:p w14:paraId="5A361C16">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50</w:t>
            </w:r>
          </w:p>
        </w:tc>
        <w:tc>
          <w:tcPr>
            <w:tcW w:w="1912" w:type="dxa"/>
          </w:tcPr>
          <w:p w14:paraId="76DF07F6">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20%</w:t>
            </w:r>
          </w:p>
        </w:tc>
      </w:tr>
      <w:tr w14:paraId="537776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52327204">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Divorce</w:t>
            </w:r>
          </w:p>
        </w:tc>
        <w:tc>
          <w:tcPr>
            <w:tcW w:w="1531" w:type="dxa"/>
          </w:tcPr>
          <w:p w14:paraId="161CA0C5">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1912" w:type="dxa"/>
          </w:tcPr>
          <w:p w14:paraId="1278651B">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r>
      <w:tr w14:paraId="3C5F86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055" w:type="dxa"/>
          </w:tcPr>
          <w:p w14:paraId="03558B6D">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Total </w:t>
            </w:r>
          </w:p>
        </w:tc>
        <w:tc>
          <w:tcPr>
            <w:tcW w:w="1531" w:type="dxa"/>
          </w:tcPr>
          <w:p w14:paraId="3E646463">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1912" w:type="dxa"/>
          </w:tcPr>
          <w:p w14:paraId="17B5FA9E">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bl>
    <w:p w14:paraId="77763033">
      <w:pPr>
        <w:spacing w:line="480" w:lineRule="auto"/>
        <w:ind w:firstLine="720"/>
        <w:jc w:val="both"/>
        <w:rPr>
          <w:rFonts w:hint="default" w:ascii="Times New Roman" w:hAnsi="Times New Roman" w:cs="Times New Roman"/>
          <w:sz w:val="24"/>
          <w:szCs w:val="24"/>
          <w:lang w:val="en-US"/>
        </w:rPr>
      </w:pPr>
      <w:r>
        <w:rPr>
          <w:rFonts w:ascii="Times New Roman" w:hAnsi="Times New Roman" w:cs="Times New Roman"/>
          <w:b/>
          <w:bCs/>
          <w:sz w:val="24"/>
          <w:szCs w:val="24"/>
        </w:rPr>
        <w:t>Source:</w:t>
      </w:r>
      <w:r>
        <w:rPr>
          <w:rFonts w:ascii="Times New Roman" w:hAnsi="Times New Roman" w:cs="Times New Roman"/>
          <w:sz w:val="24"/>
          <w:szCs w:val="24"/>
        </w:rPr>
        <w:t xml:space="preserve"> Field survey, 202</w:t>
      </w:r>
      <w:r>
        <w:rPr>
          <w:rFonts w:hint="default" w:ascii="Times New Roman" w:hAnsi="Times New Roman" w:cs="Times New Roman"/>
          <w:sz w:val="24"/>
          <w:szCs w:val="24"/>
          <w:lang w:val="en-US"/>
        </w:rPr>
        <w:t>5</w:t>
      </w:r>
    </w:p>
    <w:p w14:paraId="43AB0B5C">
      <w:pPr>
        <w:spacing w:line="240" w:lineRule="auto"/>
        <w:jc w:val="both"/>
        <w:rPr>
          <w:rFonts w:ascii="Times New Roman" w:hAnsi="Times New Roman" w:cs="Times New Roman"/>
          <w:sz w:val="24"/>
          <w:szCs w:val="24"/>
        </w:rPr>
      </w:pPr>
      <w:r>
        <w:rPr>
          <w:rFonts w:ascii="Times New Roman" w:hAnsi="Times New Roman" w:cs="Times New Roman"/>
          <w:sz w:val="24"/>
          <w:szCs w:val="24"/>
        </w:rPr>
        <w:t>From the table 4.3.3 above, the information shows that 195 respondents representing (80%) are single, 50 respondents representing (20%) are married while no one is divorced.</w:t>
      </w:r>
    </w:p>
    <w:p w14:paraId="2AE1E956">
      <w:pPr>
        <w:spacing w:line="480" w:lineRule="auto"/>
        <w:jc w:val="both"/>
        <w:rPr>
          <w:rFonts w:ascii="Times New Roman" w:hAnsi="Times New Roman" w:cs="Times New Roman"/>
          <w:b/>
          <w:sz w:val="24"/>
          <w:szCs w:val="24"/>
        </w:rPr>
      </w:pPr>
    </w:p>
    <w:p w14:paraId="193D0202">
      <w:pPr>
        <w:spacing w:line="480" w:lineRule="auto"/>
        <w:jc w:val="both"/>
        <w:rPr>
          <w:rFonts w:ascii="Times New Roman" w:hAnsi="Times New Roman" w:cs="Times New Roman"/>
          <w:b/>
          <w:sz w:val="24"/>
          <w:szCs w:val="24"/>
        </w:rPr>
      </w:pPr>
      <w:r>
        <w:rPr>
          <w:rFonts w:ascii="Times New Roman" w:hAnsi="Times New Roman" w:cs="Times New Roman"/>
          <w:b/>
          <w:sz w:val="24"/>
          <w:szCs w:val="24"/>
        </w:rPr>
        <w:t>Table 4.3.4:</w:t>
      </w:r>
      <w:r>
        <w:rPr>
          <w:rFonts w:ascii="Times New Roman" w:hAnsi="Times New Roman" w:cs="Times New Roman"/>
          <w:b/>
          <w:sz w:val="24"/>
          <w:szCs w:val="24"/>
        </w:rPr>
        <w:tab/>
      </w:r>
      <w:r>
        <w:rPr>
          <w:rFonts w:ascii="Times New Roman" w:hAnsi="Times New Roman" w:cs="Times New Roman"/>
          <w:b/>
          <w:sz w:val="24"/>
          <w:szCs w:val="24"/>
        </w:rPr>
        <w:t>Faculty</w:t>
      </w:r>
    </w:p>
    <w:tbl>
      <w:tblPr>
        <w:tblStyle w:val="10"/>
        <w:tblW w:w="0" w:type="auto"/>
        <w:tblInd w:w="57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880"/>
        <w:gridCol w:w="1530"/>
        <w:gridCol w:w="1890"/>
      </w:tblGrid>
      <w:tr w14:paraId="35D744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0" w:type="dxa"/>
          </w:tcPr>
          <w:p w14:paraId="17132B64">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Statement</w:t>
            </w:r>
          </w:p>
        </w:tc>
        <w:tc>
          <w:tcPr>
            <w:tcW w:w="1530" w:type="dxa"/>
          </w:tcPr>
          <w:p w14:paraId="2E5EAED7">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Respondents</w:t>
            </w:r>
          </w:p>
        </w:tc>
        <w:tc>
          <w:tcPr>
            <w:tcW w:w="1890" w:type="dxa"/>
          </w:tcPr>
          <w:p w14:paraId="5633C06D">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Percentage (%)</w:t>
            </w:r>
          </w:p>
        </w:tc>
      </w:tr>
      <w:tr w14:paraId="1EF15F5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0" w:type="dxa"/>
          </w:tcPr>
          <w:p w14:paraId="6E618FBB">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School of Engineering</w:t>
            </w:r>
          </w:p>
        </w:tc>
        <w:tc>
          <w:tcPr>
            <w:tcW w:w="1530" w:type="dxa"/>
          </w:tcPr>
          <w:p w14:paraId="74A3754F">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70</w:t>
            </w:r>
          </w:p>
        </w:tc>
        <w:tc>
          <w:tcPr>
            <w:tcW w:w="1890" w:type="dxa"/>
          </w:tcPr>
          <w:p w14:paraId="0DA233A3">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29%</w:t>
            </w:r>
          </w:p>
        </w:tc>
      </w:tr>
      <w:tr w14:paraId="16A1579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0" w:type="dxa"/>
          </w:tcPr>
          <w:p w14:paraId="12BAF47C">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School of ICT</w:t>
            </w:r>
          </w:p>
        </w:tc>
        <w:tc>
          <w:tcPr>
            <w:tcW w:w="1530" w:type="dxa"/>
          </w:tcPr>
          <w:p w14:paraId="7B4D3A01">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80</w:t>
            </w:r>
          </w:p>
        </w:tc>
        <w:tc>
          <w:tcPr>
            <w:tcW w:w="1890" w:type="dxa"/>
          </w:tcPr>
          <w:p w14:paraId="75D36B6A">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33%</w:t>
            </w:r>
          </w:p>
        </w:tc>
      </w:tr>
      <w:tr w14:paraId="5F4536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0" w:type="dxa"/>
          </w:tcPr>
          <w:p w14:paraId="28B40855">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School of Applied Science</w:t>
            </w:r>
          </w:p>
        </w:tc>
        <w:tc>
          <w:tcPr>
            <w:tcW w:w="1530" w:type="dxa"/>
          </w:tcPr>
          <w:p w14:paraId="78F1CBD6">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1890" w:type="dxa"/>
          </w:tcPr>
          <w:p w14:paraId="759F76D3">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16%</w:t>
            </w:r>
          </w:p>
        </w:tc>
      </w:tr>
      <w:tr w14:paraId="05D5B7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0" w:type="dxa"/>
          </w:tcPr>
          <w:p w14:paraId="2325C20C">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School of Law</w:t>
            </w:r>
          </w:p>
        </w:tc>
        <w:tc>
          <w:tcPr>
            <w:tcW w:w="1530" w:type="dxa"/>
          </w:tcPr>
          <w:p w14:paraId="7D735C01">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1890" w:type="dxa"/>
          </w:tcPr>
          <w:p w14:paraId="6234DE4E">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r>
      <w:tr w14:paraId="3D9EEA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0" w:type="dxa"/>
          </w:tcPr>
          <w:p w14:paraId="3E7037D3">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School of Management</w:t>
            </w:r>
          </w:p>
        </w:tc>
        <w:tc>
          <w:tcPr>
            <w:tcW w:w="1530" w:type="dxa"/>
          </w:tcPr>
          <w:p w14:paraId="16A72E6E">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55</w:t>
            </w:r>
          </w:p>
        </w:tc>
        <w:tc>
          <w:tcPr>
            <w:tcW w:w="1890" w:type="dxa"/>
          </w:tcPr>
          <w:p w14:paraId="23467356">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22%</w:t>
            </w:r>
          </w:p>
        </w:tc>
      </w:tr>
      <w:tr w14:paraId="28C78EF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80" w:type="dxa"/>
          </w:tcPr>
          <w:p w14:paraId="6D72E0B3">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Total</w:t>
            </w:r>
          </w:p>
        </w:tc>
        <w:tc>
          <w:tcPr>
            <w:tcW w:w="1530" w:type="dxa"/>
          </w:tcPr>
          <w:p w14:paraId="1031B5A3">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1890" w:type="dxa"/>
          </w:tcPr>
          <w:p w14:paraId="5675FC9F">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bl>
    <w:p w14:paraId="01EA3A3B">
      <w:pPr>
        <w:spacing w:line="480" w:lineRule="auto"/>
        <w:ind w:firstLine="720"/>
        <w:jc w:val="both"/>
        <w:rPr>
          <w:rFonts w:hint="default" w:ascii="Times New Roman" w:hAnsi="Times New Roman" w:cs="Times New Roman"/>
          <w:sz w:val="24"/>
          <w:szCs w:val="24"/>
          <w:lang w:val="en-US"/>
        </w:rPr>
      </w:pPr>
      <w:r>
        <w:rPr>
          <w:rFonts w:ascii="Times New Roman" w:hAnsi="Times New Roman" w:cs="Times New Roman"/>
          <w:b/>
          <w:bCs/>
          <w:sz w:val="24"/>
          <w:szCs w:val="24"/>
        </w:rPr>
        <w:t>Source:</w:t>
      </w:r>
      <w:r>
        <w:rPr>
          <w:rFonts w:ascii="Times New Roman" w:hAnsi="Times New Roman" w:cs="Times New Roman"/>
          <w:sz w:val="24"/>
          <w:szCs w:val="24"/>
        </w:rPr>
        <w:t xml:space="preserve"> Field survey, 202</w:t>
      </w:r>
      <w:r>
        <w:rPr>
          <w:rFonts w:hint="default" w:ascii="Times New Roman" w:hAnsi="Times New Roman" w:cs="Times New Roman"/>
          <w:sz w:val="24"/>
          <w:szCs w:val="24"/>
          <w:lang w:val="en-US"/>
        </w:rPr>
        <w:t>5</w:t>
      </w:r>
    </w:p>
    <w:p w14:paraId="3FD81532">
      <w:pPr>
        <w:spacing w:line="360" w:lineRule="auto"/>
        <w:jc w:val="both"/>
        <w:rPr>
          <w:rFonts w:ascii="Times New Roman" w:hAnsi="Times New Roman" w:cs="Times New Roman"/>
          <w:b/>
          <w:sz w:val="24"/>
          <w:szCs w:val="24"/>
        </w:rPr>
      </w:pPr>
      <w:r>
        <w:rPr>
          <w:rFonts w:ascii="Times New Roman" w:hAnsi="Times New Roman" w:cs="Times New Roman"/>
          <w:sz w:val="24"/>
          <w:szCs w:val="24"/>
        </w:rPr>
        <w:t>From the table 4.3.4 above, the information shows that 70 respondents representing (29%) are from the School of Engineering, 80 respondents representing (33%) are from the School of ICT, 40 respondent representing (16%) are from the School of Applied Science, no one is from the School of Law while 55 respondent representing (22%) are from the School of Management. This implies that the students from the faculty of ICT are more that students from other faculties.</w:t>
      </w:r>
    </w:p>
    <w:p w14:paraId="236F1D39">
      <w:pPr>
        <w:spacing w:line="480" w:lineRule="auto"/>
        <w:jc w:val="both"/>
        <w:rPr>
          <w:rFonts w:ascii="Times New Roman" w:hAnsi="Times New Roman" w:cs="Times New Roman"/>
          <w:sz w:val="24"/>
          <w:szCs w:val="24"/>
        </w:rPr>
      </w:pPr>
      <w:r>
        <w:rPr>
          <w:rFonts w:ascii="Times New Roman" w:hAnsi="Times New Roman" w:cs="Times New Roman"/>
          <w:b/>
          <w:sz w:val="24"/>
          <w:szCs w:val="24"/>
        </w:rPr>
        <w:t>Table 4.3.5 Research Question 1</w:t>
      </w:r>
      <w:r>
        <w:rPr>
          <w:rFonts w:ascii="Times New Roman" w:hAnsi="Times New Roman" w:cs="Times New Roman"/>
          <w:sz w:val="24"/>
          <w:szCs w:val="24"/>
        </w:rPr>
        <w:t xml:space="preserve">: </w:t>
      </w:r>
      <w:r>
        <w:rPr>
          <w:rFonts w:ascii="Times New Roman" w:hAnsi="Times New Roman" w:cs="Times New Roman"/>
          <w:b/>
          <w:sz w:val="24"/>
          <w:szCs w:val="24"/>
        </w:rPr>
        <w:t>Is Open Access available in the Library?</w:t>
      </w:r>
    </w:p>
    <w:tbl>
      <w:tblPr>
        <w:tblStyle w:val="10"/>
        <w:tblW w:w="0" w:type="auto"/>
        <w:tblInd w:w="82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10"/>
        <w:gridCol w:w="1548"/>
        <w:gridCol w:w="1350"/>
      </w:tblGrid>
      <w:tr w14:paraId="1BD427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10" w:type="dxa"/>
          </w:tcPr>
          <w:p w14:paraId="69332A72">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Statement</w:t>
            </w:r>
          </w:p>
        </w:tc>
        <w:tc>
          <w:tcPr>
            <w:tcW w:w="1548" w:type="dxa"/>
          </w:tcPr>
          <w:p w14:paraId="0565C47D">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Respondents</w:t>
            </w:r>
          </w:p>
        </w:tc>
        <w:tc>
          <w:tcPr>
            <w:tcW w:w="1350" w:type="dxa"/>
          </w:tcPr>
          <w:p w14:paraId="03318F0E">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Percentage</w:t>
            </w:r>
          </w:p>
        </w:tc>
      </w:tr>
      <w:tr w14:paraId="473064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10" w:type="dxa"/>
          </w:tcPr>
          <w:p w14:paraId="656EAF58">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Yes, it is available</w:t>
            </w:r>
          </w:p>
        </w:tc>
        <w:tc>
          <w:tcPr>
            <w:tcW w:w="1548" w:type="dxa"/>
          </w:tcPr>
          <w:p w14:paraId="189B72C6">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175</w:t>
            </w:r>
          </w:p>
        </w:tc>
        <w:tc>
          <w:tcPr>
            <w:tcW w:w="1350" w:type="dxa"/>
          </w:tcPr>
          <w:p w14:paraId="0BD5C28F">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71.4%</w:t>
            </w:r>
          </w:p>
        </w:tc>
      </w:tr>
      <w:tr w14:paraId="30255F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10" w:type="dxa"/>
          </w:tcPr>
          <w:p w14:paraId="3247F902">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No, it is not available</w:t>
            </w:r>
          </w:p>
        </w:tc>
        <w:tc>
          <w:tcPr>
            <w:tcW w:w="1548" w:type="dxa"/>
          </w:tcPr>
          <w:p w14:paraId="297F4488">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50</w:t>
            </w:r>
          </w:p>
        </w:tc>
        <w:tc>
          <w:tcPr>
            <w:tcW w:w="1350" w:type="dxa"/>
          </w:tcPr>
          <w:p w14:paraId="2D202556">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20.4%</w:t>
            </w:r>
          </w:p>
        </w:tc>
      </w:tr>
      <w:tr w14:paraId="0DA97A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10" w:type="dxa"/>
          </w:tcPr>
          <w:p w14:paraId="17E258CA">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Am not sure of it</w:t>
            </w:r>
          </w:p>
        </w:tc>
        <w:tc>
          <w:tcPr>
            <w:tcW w:w="1548" w:type="dxa"/>
          </w:tcPr>
          <w:p w14:paraId="64925D86">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20</w:t>
            </w:r>
          </w:p>
        </w:tc>
        <w:tc>
          <w:tcPr>
            <w:tcW w:w="1350" w:type="dxa"/>
          </w:tcPr>
          <w:p w14:paraId="177003E5">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8.2%</w:t>
            </w:r>
          </w:p>
        </w:tc>
      </w:tr>
    </w:tbl>
    <w:p w14:paraId="6151DA6A">
      <w:pPr>
        <w:spacing w:line="480" w:lineRule="auto"/>
        <w:jc w:val="both"/>
        <w:rPr>
          <w:rFonts w:hint="default"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b/>
          <w:bCs/>
          <w:sz w:val="24"/>
          <w:szCs w:val="24"/>
        </w:rPr>
        <w:t>Source:</w:t>
      </w:r>
      <w:r>
        <w:rPr>
          <w:rFonts w:ascii="Times New Roman" w:hAnsi="Times New Roman" w:cs="Times New Roman"/>
          <w:sz w:val="24"/>
          <w:szCs w:val="24"/>
        </w:rPr>
        <w:t xml:space="preserve"> Field survey, 202</w:t>
      </w:r>
      <w:r>
        <w:rPr>
          <w:rFonts w:hint="default" w:ascii="Times New Roman" w:hAnsi="Times New Roman" w:cs="Times New Roman"/>
          <w:sz w:val="24"/>
          <w:szCs w:val="24"/>
          <w:lang w:val="en-US"/>
        </w:rPr>
        <w:t>5</w:t>
      </w:r>
    </w:p>
    <w:p w14:paraId="4C04946A">
      <w:pPr>
        <w:spacing w:line="360" w:lineRule="auto"/>
        <w:jc w:val="both"/>
        <w:rPr>
          <w:rFonts w:ascii="Times New Roman" w:hAnsi="Times New Roman" w:cs="Times New Roman"/>
          <w:sz w:val="24"/>
          <w:szCs w:val="24"/>
        </w:rPr>
      </w:pPr>
      <w:r>
        <w:rPr>
          <w:rFonts w:ascii="Times New Roman" w:hAnsi="Times New Roman" w:cs="Times New Roman"/>
          <w:sz w:val="24"/>
          <w:szCs w:val="24"/>
        </w:rPr>
        <w:t>From the table 4.3.5 above, the information shows that 175 respondent representing (71.4%) ticked “Yes, it is available”, 50 respondent representing (20.4%) ticked “No, it is not available” while 20 respondent representing (8.2%) ticked “Am not sure”. This analysis implies that the open access is available in the Library.</w:t>
      </w:r>
    </w:p>
    <w:p w14:paraId="7ACB23C8">
      <w:pPr>
        <w:spacing w:line="480" w:lineRule="auto"/>
        <w:jc w:val="both"/>
        <w:rPr>
          <w:rFonts w:ascii="Times New Roman" w:hAnsi="Times New Roman" w:cs="Times New Roman"/>
          <w:b/>
          <w:sz w:val="24"/>
          <w:szCs w:val="24"/>
        </w:rPr>
      </w:pPr>
      <w:r>
        <w:rPr>
          <w:rFonts w:ascii="Times New Roman" w:hAnsi="Times New Roman" w:cs="Times New Roman"/>
          <w:b/>
          <w:sz w:val="24"/>
          <w:szCs w:val="24"/>
        </w:rPr>
        <w:t>Table 4.3.6 Research Question 2: How often the library users make use of Open access for learning and research?</w:t>
      </w:r>
    </w:p>
    <w:tbl>
      <w:tblPr>
        <w:tblStyle w:val="10"/>
        <w:tblW w:w="9900" w:type="dxa"/>
        <w:tblInd w:w="-52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430"/>
        <w:gridCol w:w="900"/>
        <w:gridCol w:w="810"/>
        <w:gridCol w:w="720"/>
        <w:gridCol w:w="630"/>
        <w:gridCol w:w="720"/>
        <w:gridCol w:w="720"/>
        <w:gridCol w:w="630"/>
        <w:gridCol w:w="810"/>
        <w:gridCol w:w="810"/>
        <w:gridCol w:w="720"/>
      </w:tblGrid>
      <w:tr w14:paraId="31CAF5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30" w:type="dxa"/>
          </w:tcPr>
          <w:p w14:paraId="2DE645EF">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Statement</w:t>
            </w:r>
          </w:p>
        </w:tc>
        <w:tc>
          <w:tcPr>
            <w:tcW w:w="900" w:type="dxa"/>
          </w:tcPr>
          <w:p w14:paraId="7732A6C6">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SA</w:t>
            </w:r>
          </w:p>
        </w:tc>
        <w:tc>
          <w:tcPr>
            <w:tcW w:w="810" w:type="dxa"/>
          </w:tcPr>
          <w:p w14:paraId="170A83B9">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720" w:type="dxa"/>
          </w:tcPr>
          <w:p w14:paraId="6E4BB95C">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A</w:t>
            </w:r>
          </w:p>
        </w:tc>
        <w:tc>
          <w:tcPr>
            <w:tcW w:w="630" w:type="dxa"/>
          </w:tcPr>
          <w:p w14:paraId="2022C6E6">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720" w:type="dxa"/>
          </w:tcPr>
          <w:p w14:paraId="425F3D6E">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SD</w:t>
            </w:r>
          </w:p>
        </w:tc>
        <w:tc>
          <w:tcPr>
            <w:tcW w:w="720" w:type="dxa"/>
          </w:tcPr>
          <w:p w14:paraId="135A4FBF">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630" w:type="dxa"/>
          </w:tcPr>
          <w:p w14:paraId="1D75B12F">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D</w:t>
            </w:r>
          </w:p>
        </w:tc>
        <w:tc>
          <w:tcPr>
            <w:tcW w:w="810" w:type="dxa"/>
          </w:tcPr>
          <w:p w14:paraId="228CB3DF">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810" w:type="dxa"/>
          </w:tcPr>
          <w:p w14:paraId="01EB0418">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Total</w:t>
            </w:r>
          </w:p>
        </w:tc>
        <w:tc>
          <w:tcPr>
            <w:tcW w:w="720" w:type="dxa"/>
          </w:tcPr>
          <w:p w14:paraId="40C26358">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r>
      <w:tr w14:paraId="78FD66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30" w:type="dxa"/>
          </w:tcPr>
          <w:p w14:paraId="4A5C372A">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It is used daily</w:t>
            </w:r>
          </w:p>
        </w:tc>
        <w:tc>
          <w:tcPr>
            <w:tcW w:w="900" w:type="dxa"/>
          </w:tcPr>
          <w:p w14:paraId="2ECF4DDE">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61</w:t>
            </w:r>
          </w:p>
        </w:tc>
        <w:tc>
          <w:tcPr>
            <w:tcW w:w="810" w:type="dxa"/>
          </w:tcPr>
          <w:p w14:paraId="617F1F93">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720" w:type="dxa"/>
          </w:tcPr>
          <w:p w14:paraId="33487F5D">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32</w:t>
            </w:r>
          </w:p>
        </w:tc>
        <w:tc>
          <w:tcPr>
            <w:tcW w:w="630" w:type="dxa"/>
          </w:tcPr>
          <w:p w14:paraId="3D9FC787">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13%</w:t>
            </w:r>
          </w:p>
        </w:tc>
        <w:tc>
          <w:tcPr>
            <w:tcW w:w="720" w:type="dxa"/>
          </w:tcPr>
          <w:p w14:paraId="45605F03">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90</w:t>
            </w:r>
          </w:p>
        </w:tc>
        <w:tc>
          <w:tcPr>
            <w:tcW w:w="720" w:type="dxa"/>
          </w:tcPr>
          <w:p w14:paraId="5A27D785">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37%</w:t>
            </w:r>
          </w:p>
        </w:tc>
        <w:tc>
          <w:tcPr>
            <w:tcW w:w="630" w:type="dxa"/>
          </w:tcPr>
          <w:p w14:paraId="42950376">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62</w:t>
            </w:r>
          </w:p>
        </w:tc>
        <w:tc>
          <w:tcPr>
            <w:tcW w:w="810" w:type="dxa"/>
          </w:tcPr>
          <w:p w14:paraId="7537FA70">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810" w:type="dxa"/>
          </w:tcPr>
          <w:p w14:paraId="59B6240F">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245</w:t>
            </w:r>
          </w:p>
        </w:tc>
        <w:tc>
          <w:tcPr>
            <w:tcW w:w="720" w:type="dxa"/>
          </w:tcPr>
          <w:p w14:paraId="29D80C80">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r w14:paraId="283AF7C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30" w:type="dxa"/>
          </w:tcPr>
          <w:p w14:paraId="700233C9">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It is used weekly</w:t>
            </w:r>
          </w:p>
        </w:tc>
        <w:tc>
          <w:tcPr>
            <w:tcW w:w="900" w:type="dxa"/>
          </w:tcPr>
          <w:p w14:paraId="27FDD5D5">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82</w:t>
            </w:r>
          </w:p>
        </w:tc>
        <w:tc>
          <w:tcPr>
            <w:tcW w:w="810" w:type="dxa"/>
          </w:tcPr>
          <w:p w14:paraId="6392D45B">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33%</w:t>
            </w:r>
          </w:p>
        </w:tc>
        <w:tc>
          <w:tcPr>
            <w:tcW w:w="720" w:type="dxa"/>
          </w:tcPr>
          <w:p w14:paraId="0BC8139B">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67</w:t>
            </w:r>
          </w:p>
        </w:tc>
        <w:tc>
          <w:tcPr>
            <w:tcW w:w="630" w:type="dxa"/>
          </w:tcPr>
          <w:p w14:paraId="63614C99">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27%</w:t>
            </w:r>
          </w:p>
        </w:tc>
        <w:tc>
          <w:tcPr>
            <w:tcW w:w="720" w:type="dxa"/>
          </w:tcPr>
          <w:p w14:paraId="75EA2480">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53</w:t>
            </w:r>
          </w:p>
        </w:tc>
        <w:tc>
          <w:tcPr>
            <w:tcW w:w="720" w:type="dxa"/>
          </w:tcPr>
          <w:p w14:paraId="185B23D8">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22%</w:t>
            </w:r>
          </w:p>
        </w:tc>
        <w:tc>
          <w:tcPr>
            <w:tcW w:w="630" w:type="dxa"/>
          </w:tcPr>
          <w:p w14:paraId="2C6B5C44">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43</w:t>
            </w:r>
          </w:p>
        </w:tc>
        <w:tc>
          <w:tcPr>
            <w:tcW w:w="810" w:type="dxa"/>
          </w:tcPr>
          <w:p w14:paraId="3246B525">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18%</w:t>
            </w:r>
          </w:p>
        </w:tc>
        <w:tc>
          <w:tcPr>
            <w:tcW w:w="810" w:type="dxa"/>
          </w:tcPr>
          <w:p w14:paraId="26824CE3">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245</w:t>
            </w:r>
          </w:p>
        </w:tc>
        <w:tc>
          <w:tcPr>
            <w:tcW w:w="720" w:type="dxa"/>
          </w:tcPr>
          <w:p w14:paraId="1F764A3F">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r w14:paraId="7DA582C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30" w:type="dxa"/>
          </w:tcPr>
          <w:p w14:paraId="16045067">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It is used bi-weekly</w:t>
            </w:r>
          </w:p>
        </w:tc>
        <w:tc>
          <w:tcPr>
            <w:tcW w:w="900" w:type="dxa"/>
          </w:tcPr>
          <w:p w14:paraId="5DBA68D1">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106</w:t>
            </w:r>
          </w:p>
        </w:tc>
        <w:tc>
          <w:tcPr>
            <w:tcW w:w="810" w:type="dxa"/>
          </w:tcPr>
          <w:p w14:paraId="6F15F8D6">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43%</w:t>
            </w:r>
          </w:p>
        </w:tc>
        <w:tc>
          <w:tcPr>
            <w:tcW w:w="720" w:type="dxa"/>
          </w:tcPr>
          <w:p w14:paraId="449B1E04">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58</w:t>
            </w:r>
          </w:p>
        </w:tc>
        <w:tc>
          <w:tcPr>
            <w:tcW w:w="630" w:type="dxa"/>
          </w:tcPr>
          <w:p w14:paraId="78DF1060">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24%</w:t>
            </w:r>
          </w:p>
        </w:tc>
        <w:tc>
          <w:tcPr>
            <w:tcW w:w="720" w:type="dxa"/>
          </w:tcPr>
          <w:p w14:paraId="3EAE4D88">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42</w:t>
            </w:r>
          </w:p>
        </w:tc>
        <w:tc>
          <w:tcPr>
            <w:tcW w:w="720" w:type="dxa"/>
          </w:tcPr>
          <w:p w14:paraId="4012CD4B">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17%</w:t>
            </w:r>
          </w:p>
        </w:tc>
        <w:tc>
          <w:tcPr>
            <w:tcW w:w="630" w:type="dxa"/>
          </w:tcPr>
          <w:p w14:paraId="5EC86724">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39</w:t>
            </w:r>
          </w:p>
        </w:tc>
        <w:tc>
          <w:tcPr>
            <w:tcW w:w="810" w:type="dxa"/>
          </w:tcPr>
          <w:p w14:paraId="3A33196A">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16%</w:t>
            </w:r>
          </w:p>
        </w:tc>
        <w:tc>
          <w:tcPr>
            <w:tcW w:w="810" w:type="dxa"/>
          </w:tcPr>
          <w:p w14:paraId="4295986B">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245</w:t>
            </w:r>
          </w:p>
        </w:tc>
        <w:tc>
          <w:tcPr>
            <w:tcW w:w="720" w:type="dxa"/>
          </w:tcPr>
          <w:p w14:paraId="6B240182">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r w14:paraId="1FDC7D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30" w:type="dxa"/>
          </w:tcPr>
          <w:p w14:paraId="0F3A841B">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It is used monthly</w:t>
            </w:r>
          </w:p>
        </w:tc>
        <w:tc>
          <w:tcPr>
            <w:tcW w:w="900" w:type="dxa"/>
          </w:tcPr>
          <w:p w14:paraId="1DB9F16A">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83</w:t>
            </w:r>
          </w:p>
        </w:tc>
        <w:tc>
          <w:tcPr>
            <w:tcW w:w="810" w:type="dxa"/>
          </w:tcPr>
          <w:p w14:paraId="209D124F">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34%</w:t>
            </w:r>
          </w:p>
        </w:tc>
        <w:tc>
          <w:tcPr>
            <w:tcW w:w="720" w:type="dxa"/>
          </w:tcPr>
          <w:p w14:paraId="6562A724">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60</w:t>
            </w:r>
          </w:p>
        </w:tc>
        <w:tc>
          <w:tcPr>
            <w:tcW w:w="630" w:type="dxa"/>
          </w:tcPr>
          <w:p w14:paraId="372E30B6">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24%</w:t>
            </w:r>
          </w:p>
        </w:tc>
        <w:tc>
          <w:tcPr>
            <w:tcW w:w="720" w:type="dxa"/>
          </w:tcPr>
          <w:p w14:paraId="2F5611C5">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59</w:t>
            </w:r>
          </w:p>
        </w:tc>
        <w:tc>
          <w:tcPr>
            <w:tcW w:w="720" w:type="dxa"/>
          </w:tcPr>
          <w:p w14:paraId="727FDE4B">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24%</w:t>
            </w:r>
          </w:p>
        </w:tc>
        <w:tc>
          <w:tcPr>
            <w:tcW w:w="630" w:type="dxa"/>
          </w:tcPr>
          <w:p w14:paraId="37875DE2">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43</w:t>
            </w:r>
          </w:p>
        </w:tc>
        <w:tc>
          <w:tcPr>
            <w:tcW w:w="810" w:type="dxa"/>
          </w:tcPr>
          <w:p w14:paraId="5EFD6909">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18%</w:t>
            </w:r>
          </w:p>
        </w:tc>
        <w:tc>
          <w:tcPr>
            <w:tcW w:w="810" w:type="dxa"/>
          </w:tcPr>
          <w:p w14:paraId="2FED471C">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245</w:t>
            </w:r>
          </w:p>
        </w:tc>
        <w:tc>
          <w:tcPr>
            <w:tcW w:w="720" w:type="dxa"/>
          </w:tcPr>
          <w:p w14:paraId="58973F42">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r w14:paraId="27417B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30" w:type="dxa"/>
          </w:tcPr>
          <w:p w14:paraId="00FF080B">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It is used occasionally</w:t>
            </w:r>
          </w:p>
        </w:tc>
        <w:tc>
          <w:tcPr>
            <w:tcW w:w="900" w:type="dxa"/>
          </w:tcPr>
          <w:p w14:paraId="2B2BC4FA">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90</w:t>
            </w:r>
          </w:p>
        </w:tc>
        <w:tc>
          <w:tcPr>
            <w:tcW w:w="810" w:type="dxa"/>
          </w:tcPr>
          <w:p w14:paraId="46723EE7">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37%</w:t>
            </w:r>
          </w:p>
        </w:tc>
        <w:tc>
          <w:tcPr>
            <w:tcW w:w="720" w:type="dxa"/>
          </w:tcPr>
          <w:p w14:paraId="065D5CD8">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62</w:t>
            </w:r>
          </w:p>
        </w:tc>
        <w:tc>
          <w:tcPr>
            <w:tcW w:w="630" w:type="dxa"/>
          </w:tcPr>
          <w:p w14:paraId="44831E0F">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720" w:type="dxa"/>
          </w:tcPr>
          <w:p w14:paraId="39AE424C">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61</w:t>
            </w:r>
          </w:p>
        </w:tc>
        <w:tc>
          <w:tcPr>
            <w:tcW w:w="720" w:type="dxa"/>
          </w:tcPr>
          <w:p w14:paraId="61FE2E71">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630" w:type="dxa"/>
          </w:tcPr>
          <w:p w14:paraId="4AF947EF">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32</w:t>
            </w:r>
          </w:p>
        </w:tc>
        <w:tc>
          <w:tcPr>
            <w:tcW w:w="810" w:type="dxa"/>
          </w:tcPr>
          <w:p w14:paraId="71238813">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13%</w:t>
            </w:r>
          </w:p>
        </w:tc>
        <w:tc>
          <w:tcPr>
            <w:tcW w:w="810" w:type="dxa"/>
          </w:tcPr>
          <w:p w14:paraId="556BF094">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245</w:t>
            </w:r>
          </w:p>
        </w:tc>
        <w:tc>
          <w:tcPr>
            <w:tcW w:w="720" w:type="dxa"/>
          </w:tcPr>
          <w:p w14:paraId="7A42BF82">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r w14:paraId="5FCAD4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430" w:type="dxa"/>
          </w:tcPr>
          <w:p w14:paraId="7F64B807">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Not at all</w:t>
            </w:r>
          </w:p>
        </w:tc>
        <w:tc>
          <w:tcPr>
            <w:tcW w:w="900" w:type="dxa"/>
          </w:tcPr>
          <w:p w14:paraId="7B0C3DEA">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810" w:type="dxa"/>
          </w:tcPr>
          <w:p w14:paraId="2EF0A338">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720" w:type="dxa"/>
          </w:tcPr>
          <w:p w14:paraId="5513F772">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630" w:type="dxa"/>
          </w:tcPr>
          <w:p w14:paraId="30448517">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720" w:type="dxa"/>
          </w:tcPr>
          <w:p w14:paraId="0F529CD7">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720" w:type="dxa"/>
          </w:tcPr>
          <w:p w14:paraId="189728AF">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630" w:type="dxa"/>
          </w:tcPr>
          <w:p w14:paraId="07899F81">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810" w:type="dxa"/>
          </w:tcPr>
          <w:p w14:paraId="1F461742">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810" w:type="dxa"/>
          </w:tcPr>
          <w:p w14:paraId="64978709">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720" w:type="dxa"/>
          </w:tcPr>
          <w:p w14:paraId="74359661">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r>
    </w:tbl>
    <w:p w14:paraId="718D86F3">
      <w:pPr>
        <w:spacing w:line="480" w:lineRule="auto"/>
        <w:jc w:val="both"/>
        <w:rPr>
          <w:rFonts w:hint="default" w:ascii="Times New Roman" w:hAnsi="Times New Roman" w:cs="Times New Roman"/>
          <w:sz w:val="24"/>
          <w:szCs w:val="24"/>
          <w:lang w:val="en-US"/>
        </w:rPr>
      </w:pPr>
      <w:r>
        <w:rPr>
          <w:rFonts w:ascii="Times New Roman" w:hAnsi="Times New Roman" w:cs="Times New Roman"/>
          <w:bCs/>
          <w:sz w:val="24"/>
          <w:szCs w:val="24"/>
        </w:rPr>
        <w:t>S</w:t>
      </w:r>
      <w:r>
        <w:rPr>
          <w:rFonts w:ascii="Times New Roman" w:hAnsi="Times New Roman" w:cs="Times New Roman"/>
          <w:b/>
          <w:bCs/>
          <w:sz w:val="24"/>
          <w:szCs w:val="24"/>
        </w:rPr>
        <w:t>ource:</w:t>
      </w:r>
      <w:r>
        <w:rPr>
          <w:rFonts w:ascii="Times New Roman" w:hAnsi="Times New Roman" w:cs="Times New Roman"/>
          <w:sz w:val="24"/>
          <w:szCs w:val="24"/>
        </w:rPr>
        <w:t xml:space="preserve"> Field survey, 202</w:t>
      </w:r>
      <w:r>
        <w:rPr>
          <w:rFonts w:hint="default" w:ascii="Times New Roman" w:hAnsi="Times New Roman" w:cs="Times New Roman"/>
          <w:sz w:val="24"/>
          <w:szCs w:val="24"/>
          <w:lang w:val="en-US"/>
        </w:rPr>
        <w:t>5</w:t>
      </w:r>
    </w:p>
    <w:p w14:paraId="2B0D1E83">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Table 4.3.6 above shows the frequency usage of the open access by library users for learning and research; 61 respondent representing (25%) strongly agreed that most library users use the library daily, 32 respondent representing (13%) agreed and 90 respondent representing (37%) strongly disagreed while 62 respondent representing (25%) disagreed. 82 respondent representing 33% of the respondents strongly agreed that most user use library weekly, 67 respondent representing (27%) agreed, 53 respondent representing (22%) strongly disagreed while 43 respondent representing (18%) disagreed. 106 respondent representing (43%) strongly agreed to bi-weekly usage of library, 58 respondent representing (24%) agreed, 42 respondent representing (17%) strongly disagreed while 39 respondent representing (16%) disagreed. 83 respondent representing (34%) strongly agreed that they use library monthly, 60 respondent representing (24%) agreed, 59 respondent representing (24%) strongly disagreed while 43 respondent representing (18%)% disagreed. 90 respondent representing (37%) strongly agreed to occasionally usage, 62 respondent representing (25%) agreed, 61 respondent representing (25%) strongly disagreed while 32 respondent representing (13%) disagreed. The above analysis implies that the open access is mostly used bi-weekly, and the analysis also shows that the open access is not used daily but occasionally. </w:t>
      </w:r>
    </w:p>
    <w:p w14:paraId="66DD9CE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Table 4.3.7 Research Question 3: What are the types of open access that are used by the library users for learning and research?</w:t>
      </w:r>
    </w:p>
    <w:tbl>
      <w:tblPr>
        <w:tblStyle w:val="10"/>
        <w:tblW w:w="9180" w:type="dxa"/>
        <w:tblInd w:w="37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00"/>
        <w:gridCol w:w="490"/>
        <w:gridCol w:w="752"/>
        <w:gridCol w:w="508"/>
        <w:gridCol w:w="720"/>
        <w:gridCol w:w="450"/>
        <w:gridCol w:w="810"/>
        <w:gridCol w:w="450"/>
        <w:gridCol w:w="810"/>
        <w:gridCol w:w="1080"/>
        <w:gridCol w:w="810"/>
      </w:tblGrid>
      <w:tr w14:paraId="2105FE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00" w:type="dxa"/>
          </w:tcPr>
          <w:p w14:paraId="53DF3721">
            <w:pPr>
              <w:spacing w:after="0" w:line="48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Statements</w:t>
            </w:r>
          </w:p>
        </w:tc>
        <w:tc>
          <w:tcPr>
            <w:tcW w:w="490" w:type="dxa"/>
          </w:tcPr>
          <w:p w14:paraId="71170301">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SA</w:t>
            </w:r>
          </w:p>
        </w:tc>
        <w:tc>
          <w:tcPr>
            <w:tcW w:w="752" w:type="dxa"/>
          </w:tcPr>
          <w:p w14:paraId="3E273AE2">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508" w:type="dxa"/>
          </w:tcPr>
          <w:p w14:paraId="6339A17C">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A</w:t>
            </w:r>
          </w:p>
        </w:tc>
        <w:tc>
          <w:tcPr>
            <w:tcW w:w="720" w:type="dxa"/>
          </w:tcPr>
          <w:p w14:paraId="5B6A5C37">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450" w:type="dxa"/>
          </w:tcPr>
          <w:p w14:paraId="0120B242">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SD</w:t>
            </w:r>
          </w:p>
        </w:tc>
        <w:tc>
          <w:tcPr>
            <w:tcW w:w="810" w:type="dxa"/>
          </w:tcPr>
          <w:p w14:paraId="529F53E2">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450" w:type="dxa"/>
          </w:tcPr>
          <w:p w14:paraId="3AD07C75">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D</w:t>
            </w:r>
          </w:p>
        </w:tc>
        <w:tc>
          <w:tcPr>
            <w:tcW w:w="810" w:type="dxa"/>
          </w:tcPr>
          <w:p w14:paraId="3FF048B9">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1080" w:type="dxa"/>
          </w:tcPr>
          <w:p w14:paraId="6A227B55">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TOTAL</w:t>
            </w:r>
          </w:p>
        </w:tc>
        <w:tc>
          <w:tcPr>
            <w:tcW w:w="810" w:type="dxa"/>
          </w:tcPr>
          <w:p w14:paraId="65C35567">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r>
      <w:tr w14:paraId="131EA5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00" w:type="dxa"/>
          </w:tcPr>
          <w:p w14:paraId="54935260">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Repository-based or “Green” open access.</w:t>
            </w:r>
          </w:p>
        </w:tc>
        <w:tc>
          <w:tcPr>
            <w:tcW w:w="490" w:type="dxa"/>
          </w:tcPr>
          <w:p w14:paraId="7DC5CB55">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84</w:t>
            </w:r>
          </w:p>
        </w:tc>
        <w:tc>
          <w:tcPr>
            <w:tcW w:w="752" w:type="dxa"/>
          </w:tcPr>
          <w:p w14:paraId="45FE6661">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34%</w:t>
            </w:r>
          </w:p>
        </w:tc>
        <w:tc>
          <w:tcPr>
            <w:tcW w:w="508" w:type="dxa"/>
          </w:tcPr>
          <w:p w14:paraId="0558CC8F">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82</w:t>
            </w:r>
          </w:p>
        </w:tc>
        <w:tc>
          <w:tcPr>
            <w:tcW w:w="720" w:type="dxa"/>
          </w:tcPr>
          <w:p w14:paraId="39C0AB18">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34%</w:t>
            </w:r>
          </w:p>
        </w:tc>
        <w:tc>
          <w:tcPr>
            <w:tcW w:w="450" w:type="dxa"/>
          </w:tcPr>
          <w:p w14:paraId="6CFA09DB">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47</w:t>
            </w:r>
          </w:p>
        </w:tc>
        <w:tc>
          <w:tcPr>
            <w:tcW w:w="810" w:type="dxa"/>
          </w:tcPr>
          <w:p w14:paraId="1E701D6E">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19%</w:t>
            </w:r>
          </w:p>
        </w:tc>
        <w:tc>
          <w:tcPr>
            <w:tcW w:w="450" w:type="dxa"/>
          </w:tcPr>
          <w:p w14:paraId="5566B321">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32</w:t>
            </w:r>
          </w:p>
        </w:tc>
        <w:tc>
          <w:tcPr>
            <w:tcW w:w="810" w:type="dxa"/>
          </w:tcPr>
          <w:p w14:paraId="0C04DE38">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13%</w:t>
            </w:r>
          </w:p>
        </w:tc>
        <w:tc>
          <w:tcPr>
            <w:tcW w:w="1080" w:type="dxa"/>
          </w:tcPr>
          <w:p w14:paraId="74024029">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810" w:type="dxa"/>
          </w:tcPr>
          <w:p w14:paraId="18B31066">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6491842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00" w:type="dxa"/>
          </w:tcPr>
          <w:p w14:paraId="5C9E85C8">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Journal-based or “Gold” Open Access</w:t>
            </w:r>
          </w:p>
        </w:tc>
        <w:tc>
          <w:tcPr>
            <w:tcW w:w="490" w:type="dxa"/>
          </w:tcPr>
          <w:p w14:paraId="5D340700">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105</w:t>
            </w:r>
          </w:p>
        </w:tc>
        <w:tc>
          <w:tcPr>
            <w:tcW w:w="752" w:type="dxa"/>
          </w:tcPr>
          <w:p w14:paraId="3DAB75DB">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43%</w:t>
            </w:r>
          </w:p>
        </w:tc>
        <w:tc>
          <w:tcPr>
            <w:tcW w:w="508" w:type="dxa"/>
          </w:tcPr>
          <w:p w14:paraId="13A1DCB5">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50</w:t>
            </w:r>
          </w:p>
        </w:tc>
        <w:tc>
          <w:tcPr>
            <w:tcW w:w="720" w:type="dxa"/>
          </w:tcPr>
          <w:p w14:paraId="5BD67A63">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20%</w:t>
            </w:r>
          </w:p>
        </w:tc>
        <w:tc>
          <w:tcPr>
            <w:tcW w:w="450" w:type="dxa"/>
          </w:tcPr>
          <w:p w14:paraId="3F543074">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42</w:t>
            </w:r>
          </w:p>
        </w:tc>
        <w:tc>
          <w:tcPr>
            <w:tcW w:w="810" w:type="dxa"/>
          </w:tcPr>
          <w:p w14:paraId="6566087B">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17%</w:t>
            </w:r>
          </w:p>
        </w:tc>
        <w:tc>
          <w:tcPr>
            <w:tcW w:w="450" w:type="dxa"/>
          </w:tcPr>
          <w:p w14:paraId="428B7D26">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48</w:t>
            </w:r>
          </w:p>
        </w:tc>
        <w:tc>
          <w:tcPr>
            <w:tcW w:w="810" w:type="dxa"/>
          </w:tcPr>
          <w:p w14:paraId="72A97E29">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20%</w:t>
            </w:r>
          </w:p>
        </w:tc>
        <w:tc>
          <w:tcPr>
            <w:tcW w:w="1080" w:type="dxa"/>
          </w:tcPr>
          <w:p w14:paraId="7FF0F451">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810" w:type="dxa"/>
          </w:tcPr>
          <w:p w14:paraId="00490173">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15A82E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3" w:hRule="atLeast"/>
        </w:trPr>
        <w:tc>
          <w:tcPr>
            <w:tcW w:w="2300" w:type="dxa"/>
          </w:tcPr>
          <w:p w14:paraId="593503F9">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Diamond Open access. </w:t>
            </w:r>
          </w:p>
        </w:tc>
        <w:tc>
          <w:tcPr>
            <w:tcW w:w="490" w:type="dxa"/>
          </w:tcPr>
          <w:p w14:paraId="4CBE4E6D">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752" w:type="dxa"/>
          </w:tcPr>
          <w:p w14:paraId="6848A079">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508" w:type="dxa"/>
          </w:tcPr>
          <w:p w14:paraId="0BD49B91">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720" w:type="dxa"/>
          </w:tcPr>
          <w:p w14:paraId="6894DC8C">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450" w:type="dxa"/>
          </w:tcPr>
          <w:p w14:paraId="40DE9B2A">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810" w:type="dxa"/>
          </w:tcPr>
          <w:p w14:paraId="738B1871">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450" w:type="dxa"/>
          </w:tcPr>
          <w:p w14:paraId="4611EBD7">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810" w:type="dxa"/>
          </w:tcPr>
          <w:p w14:paraId="5DAC1063">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1080" w:type="dxa"/>
          </w:tcPr>
          <w:p w14:paraId="541EE764">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810" w:type="dxa"/>
          </w:tcPr>
          <w:p w14:paraId="01B7F72D">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r>
      <w:tr w14:paraId="329B9F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00" w:type="dxa"/>
          </w:tcPr>
          <w:p w14:paraId="481B8727">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Hybrid open access. </w:t>
            </w:r>
          </w:p>
        </w:tc>
        <w:tc>
          <w:tcPr>
            <w:tcW w:w="490" w:type="dxa"/>
          </w:tcPr>
          <w:p w14:paraId="3F06F627">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60</w:t>
            </w:r>
          </w:p>
        </w:tc>
        <w:tc>
          <w:tcPr>
            <w:tcW w:w="752" w:type="dxa"/>
          </w:tcPr>
          <w:p w14:paraId="2C55A0CE">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24%</w:t>
            </w:r>
          </w:p>
        </w:tc>
        <w:tc>
          <w:tcPr>
            <w:tcW w:w="508" w:type="dxa"/>
          </w:tcPr>
          <w:p w14:paraId="2D93E1E0">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80</w:t>
            </w:r>
          </w:p>
        </w:tc>
        <w:tc>
          <w:tcPr>
            <w:tcW w:w="720" w:type="dxa"/>
          </w:tcPr>
          <w:p w14:paraId="48A0A932">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33%</w:t>
            </w:r>
          </w:p>
        </w:tc>
        <w:tc>
          <w:tcPr>
            <w:tcW w:w="450" w:type="dxa"/>
          </w:tcPr>
          <w:p w14:paraId="6DFAC32B">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62</w:t>
            </w:r>
          </w:p>
        </w:tc>
        <w:tc>
          <w:tcPr>
            <w:tcW w:w="810" w:type="dxa"/>
          </w:tcPr>
          <w:p w14:paraId="6620A711">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450" w:type="dxa"/>
          </w:tcPr>
          <w:p w14:paraId="7252CCB3">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43</w:t>
            </w:r>
          </w:p>
        </w:tc>
        <w:tc>
          <w:tcPr>
            <w:tcW w:w="810" w:type="dxa"/>
          </w:tcPr>
          <w:p w14:paraId="7AE11C04">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18%</w:t>
            </w:r>
          </w:p>
        </w:tc>
        <w:tc>
          <w:tcPr>
            <w:tcW w:w="1080" w:type="dxa"/>
          </w:tcPr>
          <w:p w14:paraId="39BB60FD">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810" w:type="dxa"/>
          </w:tcPr>
          <w:p w14:paraId="5289867B">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6DFEEC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00" w:type="dxa"/>
          </w:tcPr>
          <w:p w14:paraId="48C823B7">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Bronze open access.</w:t>
            </w:r>
          </w:p>
        </w:tc>
        <w:tc>
          <w:tcPr>
            <w:tcW w:w="490" w:type="dxa"/>
          </w:tcPr>
          <w:p w14:paraId="27B54BFB">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85</w:t>
            </w:r>
          </w:p>
        </w:tc>
        <w:tc>
          <w:tcPr>
            <w:tcW w:w="752" w:type="dxa"/>
          </w:tcPr>
          <w:p w14:paraId="7E36DF0A">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508" w:type="dxa"/>
          </w:tcPr>
          <w:p w14:paraId="1697CA4D">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65</w:t>
            </w:r>
          </w:p>
        </w:tc>
        <w:tc>
          <w:tcPr>
            <w:tcW w:w="720" w:type="dxa"/>
          </w:tcPr>
          <w:p w14:paraId="26E6A26C">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27%</w:t>
            </w:r>
          </w:p>
        </w:tc>
        <w:tc>
          <w:tcPr>
            <w:tcW w:w="450" w:type="dxa"/>
          </w:tcPr>
          <w:p w14:paraId="5AA965EE">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810" w:type="dxa"/>
          </w:tcPr>
          <w:p w14:paraId="20BEC4BD">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18%</w:t>
            </w:r>
          </w:p>
        </w:tc>
        <w:tc>
          <w:tcPr>
            <w:tcW w:w="450" w:type="dxa"/>
          </w:tcPr>
          <w:p w14:paraId="5B0882F4">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50</w:t>
            </w:r>
          </w:p>
        </w:tc>
        <w:tc>
          <w:tcPr>
            <w:tcW w:w="810" w:type="dxa"/>
          </w:tcPr>
          <w:p w14:paraId="0E877B97">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20%</w:t>
            </w:r>
          </w:p>
        </w:tc>
        <w:tc>
          <w:tcPr>
            <w:tcW w:w="1080" w:type="dxa"/>
          </w:tcPr>
          <w:p w14:paraId="125548E5">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810" w:type="dxa"/>
          </w:tcPr>
          <w:p w14:paraId="0F51D11B">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52F75C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00" w:type="dxa"/>
          </w:tcPr>
          <w:p w14:paraId="76D80AB5">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Black open access. </w:t>
            </w:r>
          </w:p>
        </w:tc>
        <w:tc>
          <w:tcPr>
            <w:tcW w:w="490" w:type="dxa"/>
          </w:tcPr>
          <w:p w14:paraId="5E95C5A7">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90</w:t>
            </w:r>
          </w:p>
        </w:tc>
        <w:tc>
          <w:tcPr>
            <w:tcW w:w="752" w:type="dxa"/>
          </w:tcPr>
          <w:p w14:paraId="179B271E">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37%</w:t>
            </w:r>
          </w:p>
        </w:tc>
        <w:tc>
          <w:tcPr>
            <w:tcW w:w="508" w:type="dxa"/>
          </w:tcPr>
          <w:p w14:paraId="39C1FCAE">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62</w:t>
            </w:r>
          </w:p>
        </w:tc>
        <w:tc>
          <w:tcPr>
            <w:tcW w:w="720" w:type="dxa"/>
          </w:tcPr>
          <w:p w14:paraId="78D711C1">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450" w:type="dxa"/>
          </w:tcPr>
          <w:p w14:paraId="2F547912">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53</w:t>
            </w:r>
          </w:p>
        </w:tc>
        <w:tc>
          <w:tcPr>
            <w:tcW w:w="810" w:type="dxa"/>
          </w:tcPr>
          <w:p w14:paraId="2E851380">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22%</w:t>
            </w:r>
          </w:p>
        </w:tc>
        <w:tc>
          <w:tcPr>
            <w:tcW w:w="450" w:type="dxa"/>
          </w:tcPr>
          <w:p w14:paraId="11505415">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810" w:type="dxa"/>
          </w:tcPr>
          <w:p w14:paraId="40B8D302">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16%</w:t>
            </w:r>
          </w:p>
        </w:tc>
        <w:tc>
          <w:tcPr>
            <w:tcW w:w="1080" w:type="dxa"/>
          </w:tcPr>
          <w:p w14:paraId="4F3ECB77">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810" w:type="dxa"/>
          </w:tcPr>
          <w:p w14:paraId="45DFDA41">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bl>
    <w:p w14:paraId="7D483E95">
      <w:pPr>
        <w:spacing w:line="480" w:lineRule="auto"/>
        <w:ind w:firstLine="720"/>
        <w:jc w:val="both"/>
        <w:rPr>
          <w:rFonts w:hint="default" w:ascii="Times New Roman" w:hAnsi="Times New Roman" w:cs="Times New Roman"/>
          <w:sz w:val="24"/>
          <w:szCs w:val="24"/>
          <w:lang w:val="en-US"/>
        </w:rPr>
      </w:pPr>
      <w:r>
        <w:rPr>
          <w:rFonts w:ascii="Times New Roman" w:hAnsi="Times New Roman" w:cs="Times New Roman"/>
          <w:b/>
          <w:bCs/>
          <w:sz w:val="24"/>
          <w:szCs w:val="24"/>
        </w:rPr>
        <w:t>Source:</w:t>
      </w:r>
      <w:r>
        <w:rPr>
          <w:rFonts w:ascii="Times New Roman" w:hAnsi="Times New Roman" w:cs="Times New Roman"/>
          <w:sz w:val="24"/>
          <w:szCs w:val="24"/>
        </w:rPr>
        <w:t xml:space="preserve"> Field survey, 202</w:t>
      </w:r>
      <w:r>
        <w:rPr>
          <w:rFonts w:hint="default" w:ascii="Times New Roman" w:hAnsi="Times New Roman" w:cs="Times New Roman"/>
          <w:sz w:val="24"/>
          <w:szCs w:val="24"/>
          <w:lang w:val="en-US"/>
        </w:rPr>
        <w:t>5</w:t>
      </w:r>
    </w:p>
    <w:p w14:paraId="2B2484D4">
      <w:pPr>
        <w:spacing w:line="360" w:lineRule="auto"/>
        <w:jc w:val="both"/>
        <w:rPr>
          <w:rFonts w:hint="default" w:ascii="Times New Roman" w:hAnsi="Times New Roman" w:cs="Times New Roman"/>
          <w:b/>
          <w:sz w:val="24"/>
          <w:szCs w:val="24"/>
          <w:lang w:val="en-US"/>
        </w:rPr>
      </w:pPr>
      <w:r>
        <w:rPr>
          <w:rFonts w:ascii="Times New Roman" w:hAnsi="Times New Roman" w:cs="Times New Roman"/>
          <w:sz w:val="24"/>
          <w:szCs w:val="24"/>
        </w:rPr>
        <w:t>Table 4.3.7 above shows the types of open access that are used by the library users for learning and research; 84 respondent representing (34%) strongly agreed to Repository-based or “Green” open access, 82 respondent representing (34%) agreed, 47 respondent representing (19%) strongly disagreed while 32 respondent representing (13%) disagreed. 105 respondent representing (43%) strongly agreed to Journal-based or “Gold” Open Access, 50 respondent representing (20%) agreed, 42 respondent representing (17%) strongly disagreed while 48 respondent representing (20%) disagreed. No records for Diamond Open Access. 60 respondent representing (24%) strongly agreed to “Hybrid” open access, 80 respondent representing (33%) agreed, 62 respondent representing (25%) strongly disagreed while 43 respondent representing (18%) disagreed. 85 respondent representing (35%) strongly agreed to “Bronze” open access, 65 respondent representing (27%) agreed, 45 respondent representing (18%) strongly disagreed while 50 respondent representing (20%) disagreed. 90 respondent representing (37%) strongly agreed to Black Open Access, 62 respondent representing (25%) agreed, 53 respondent representing (22%) strongly disagreed while 40 respondent representing (16%) disagreed. The above analysis shows that the Repository-based or “Green” open access, Journal-based or “Gold” Open Access, Hybrid open access, Bronze open access and Black open access are all available in the library. The analysis also shows that Diamond open access is not available in the library</w:t>
      </w:r>
      <w:r>
        <w:rPr>
          <w:rFonts w:hint="default" w:ascii="Times New Roman" w:hAnsi="Times New Roman" w:cs="Times New Roman"/>
          <w:sz w:val="24"/>
          <w:szCs w:val="24"/>
          <w:lang w:val="en-US"/>
        </w:rPr>
        <w:t>.</w:t>
      </w:r>
    </w:p>
    <w:p w14:paraId="0E06CD03">
      <w:pPr>
        <w:spacing w:after="0" w:line="480" w:lineRule="auto"/>
        <w:jc w:val="both"/>
        <w:rPr>
          <w:rFonts w:ascii="Times New Roman" w:hAnsi="Times New Roman" w:cs="Times New Roman"/>
          <w:bCs/>
          <w:sz w:val="24"/>
          <w:szCs w:val="24"/>
        </w:rPr>
      </w:pPr>
      <w:r>
        <w:rPr>
          <w:rFonts w:ascii="Times New Roman" w:hAnsi="Times New Roman" w:cs="Times New Roman"/>
          <w:b/>
          <w:sz w:val="24"/>
          <w:szCs w:val="24"/>
        </w:rPr>
        <w:t>Table 4.3.9 Research Question 5:</w:t>
      </w:r>
      <w:r>
        <w:rPr>
          <w:rFonts w:ascii="Times New Roman" w:hAnsi="Times New Roman" w:cs="Times New Roman" w:eastAsiaTheme="minorEastAsia"/>
          <w:b/>
          <w:sz w:val="24"/>
          <w:szCs w:val="24"/>
        </w:rPr>
        <w:t xml:space="preserve"> </w:t>
      </w:r>
      <w:r>
        <w:rPr>
          <w:rFonts w:ascii="Times New Roman" w:hAnsi="Times New Roman" w:cs="Times New Roman"/>
          <w:b/>
          <w:sz w:val="24"/>
          <w:szCs w:val="24"/>
        </w:rPr>
        <w:t>The tools used for open access and adopted by the library users are?</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40"/>
        <w:gridCol w:w="720"/>
        <w:gridCol w:w="656"/>
        <w:gridCol w:w="630"/>
        <w:gridCol w:w="656"/>
        <w:gridCol w:w="630"/>
        <w:gridCol w:w="656"/>
        <w:gridCol w:w="630"/>
        <w:gridCol w:w="656"/>
        <w:gridCol w:w="900"/>
        <w:gridCol w:w="814"/>
      </w:tblGrid>
      <w:tr w14:paraId="446DCE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40" w:type="dxa"/>
          </w:tcPr>
          <w:p w14:paraId="59B3ACA7">
            <w:pPr>
              <w:spacing w:after="0" w:line="48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Statements</w:t>
            </w:r>
          </w:p>
        </w:tc>
        <w:tc>
          <w:tcPr>
            <w:tcW w:w="720" w:type="dxa"/>
          </w:tcPr>
          <w:p w14:paraId="30429C13">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SA</w:t>
            </w:r>
          </w:p>
        </w:tc>
        <w:tc>
          <w:tcPr>
            <w:tcW w:w="656" w:type="dxa"/>
          </w:tcPr>
          <w:p w14:paraId="7F02D19E">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630" w:type="dxa"/>
          </w:tcPr>
          <w:p w14:paraId="53255FFF">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A</w:t>
            </w:r>
          </w:p>
        </w:tc>
        <w:tc>
          <w:tcPr>
            <w:tcW w:w="656" w:type="dxa"/>
          </w:tcPr>
          <w:p w14:paraId="7E8E5B58">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630" w:type="dxa"/>
          </w:tcPr>
          <w:p w14:paraId="300FD889">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SD</w:t>
            </w:r>
          </w:p>
        </w:tc>
        <w:tc>
          <w:tcPr>
            <w:tcW w:w="656" w:type="dxa"/>
          </w:tcPr>
          <w:p w14:paraId="4ADA2E7F">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630" w:type="dxa"/>
          </w:tcPr>
          <w:p w14:paraId="397DAE75">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D</w:t>
            </w:r>
          </w:p>
        </w:tc>
        <w:tc>
          <w:tcPr>
            <w:tcW w:w="656" w:type="dxa"/>
          </w:tcPr>
          <w:p w14:paraId="0927BABD">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900" w:type="dxa"/>
          </w:tcPr>
          <w:p w14:paraId="6772EEA6">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Total</w:t>
            </w:r>
          </w:p>
        </w:tc>
        <w:tc>
          <w:tcPr>
            <w:tcW w:w="814" w:type="dxa"/>
          </w:tcPr>
          <w:p w14:paraId="58E418EE">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r>
      <w:tr w14:paraId="0EC322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40" w:type="dxa"/>
          </w:tcPr>
          <w:p w14:paraId="79925E13">
            <w:pPr>
              <w:spacing w:after="0" w:line="480" w:lineRule="auto"/>
              <w:jc w:val="both"/>
              <w:rPr>
                <w:rFonts w:ascii="Times New Roman" w:hAnsi="Times New Roman" w:eastAsia="Calibri" w:cs="Times New Roman"/>
                <w:b/>
                <w:sz w:val="24"/>
                <w:szCs w:val="24"/>
              </w:rPr>
            </w:pPr>
            <w:r>
              <w:rPr>
                <w:rFonts w:ascii="Times New Roman" w:hAnsi="Times New Roman" w:eastAsia="Times New Roman" w:cs="Times New Roman"/>
                <w:sz w:val="24"/>
                <w:szCs w:val="24"/>
              </w:rPr>
              <w:t>Library users prefer using Directory of Open Access Journals (DOAJ)</w:t>
            </w:r>
          </w:p>
        </w:tc>
        <w:tc>
          <w:tcPr>
            <w:tcW w:w="720" w:type="dxa"/>
          </w:tcPr>
          <w:p w14:paraId="18E1830B">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656" w:type="dxa"/>
          </w:tcPr>
          <w:p w14:paraId="0145742F">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18%</w:t>
            </w:r>
          </w:p>
        </w:tc>
        <w:tc>
          <w:tcPr>
            <w:tcW w:w="630" w:type="dxa"/>
          </w:tcPr>
          <w:p w14:paraId="034FF5AE">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74</w:t>
            </w:r>
          </w:p>
        </w:tc>
        <w:tc>
          <w:tcPr>
            <w:tcW w:w="656" w:type="dxa"/>
          </w:tcPr>
          <w:p w14:paraId="57C1DD12">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630" w:type="dxa"/>
          </w:tcPr>
          <w:p w14:paraId="79E9FAC7">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56</w:t>
            </w:r>
          </w:p>
        </w:tc>
        <w:tc>
          <w:tcPr>
            <w:tcW w:w="656" w:type="dxa"/>
          </w:tcPr>
          <w:p w14:paraId="07D69C6F">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23%</w:t>
            </w:r>
          </w:p>
        </w:tc>
        <w:tc>
          <w:tcPr>
            <w:tcW w:w="630" w:type="dxa"/>
          </w:tcPr>
          <w:p w14:paraId="15A064B3">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70</w:t>
            </w:r>
          </w:p>
        </w:tc>
        <w:tc>
          <w:tcPr>
            <w:tcW w:w="656" w:type="dxa"/>
          </w:tcPr>
          <w:p w14:paraId="28C04C27">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29%</w:t>
            </w:r>
          </w:p>
        </w:tc>
        <w:tc>
          <w:tcPr>
            <w:tcW w:w="900" w:type="dxa"/>
          </w:tcPr>
          <w:p w14:paraId="73CECFDF">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814" w:type="dxa"/>
          </w:tcPr>
          <w:p w14:paraId="79550A65">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00E32D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40" w:type="dxa"/>
          </w:tcPr>
          <w:p w14:paraId="4F64805E">
            <w:pPr>
              <w:spacing w:after="0" w:line="480" w:lineRule="auto"/>
              <w:jc w:val="both"/>
              <w:rPr>
                <w:rFonts w:ascii="Times New Roman" w:hAnsi="Times New Roman" w:eastAsia="Calibri" w:cs="Times New Roman"/>
                <w:sz w:val="24"/>
                <w:szCs w:val="24"/>
              </w:rPr>
            </w:pPr>
            <w:r>
              <w:rPr>
                <w:rFonts w:ascii="Times New Roman" w:hAnsi="Times New Roman" w:eastAsia="Times New Roman" w:cs="Times New Roman"/>
                <w:sz w:val="24"/>
                <w:szCs w:val="24"/>
              </w:rPr>
              <w:t>Library users prefer using Registry of Open Access Repositories (ROAR)</w:t>
            </w:r>
          </w:p>
        </w:tc>
        <w:tc>
          <w:tcPr>
            <w:tcW w:w="720" w:type="dxa"/>
          </w:tcPr>
          <w:p w14:paraId="6CE2F307">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55</w:t>
            </w:r>
          </w:p>
        </w:tc>
        <w:tc>
          <w:tcPr>
            <w:tcW w:w="656" w:type="dxa"/>
          </w:tcPr>
          <w:p w14:paraId="4EE55382">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22%</w:t>
            </w:r>
          </w:p>
        </w:tc>
        <w:tc>
          <w:tcPr>
            <w:tcW w:w="630" w:type="dxa"/>
          </w:tcPr>
          <w:p w14:paraId="0D43B134">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92</w:t>
            </w:r>
          </w:p>
        </w:tc>
        <w:tc>
          <w:tcPr>
            <w:tcW w:w="656" w:type="dxa"/>
          </w:tcPr>
          <w:p w14:paraId="0C3FA499">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38%</w:t>
            </w:r>
          </w:p>
        </w:tc>
        <w:tc>
          <w:tcPr>
            <w:tcW w:w="630" w:type="dxa"/>
          </w:tcPr>
          <w:p w14:paraId="288CA690">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43</w:t>
            </w:r>
          </w:p>
        </w:tc>
        <w:tc>
          <w:tcPr>
            <w:tcW w:w="656" w:type="dxa"/>
          </w:tcPr>
          <w:p w14:paraId="3317914B">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18%</w:t>
            </w:r>
          </w:p>
        </w:tc>
        <w:tc>
          <w:tcPr>
            <w:tcW w:w="630" w:type="dxa"/>
          </w:tcPr>
          <w:p w14:paraId="1E4077A9">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55</w:t>
            </w:r>
          </w:p>
        </w:tc>
        <w:tc>
          <w:tcPr>
            <w:tcW w:w="656" w:type="dxa"/>
          </w:tcPr>
          <w:p w14:paraId="5A68727A">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22%</w:t>
            </w:r>
          </w:p>
        </w:tc>
        <w:tc>
          <w:tcPr>
            <w:tcW w:w="900" w:type="dxa"/>
          </w:tcPr>
          <w:p w14:paraId="4F6E03EE">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814" w:type="dxa"/>
          </w:tcPr>
          <w:p w14:paraId="432EB10B">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7D5E1B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40" w:type="dxa"/>
          </w:tcPr>
          <w:p w14:paraId="77FB06CD">
            <w:pPr>
              <w:spacing w:after="0" w:line="480" w:lineRule="auto"/>
              <w:jc w:val="both"/>
              <w:rPr>
                <w:rFonts w:ascii="Times New Roman" w:hAnsi="Times New Roman" w:eastAsia="Calibri" w:cs="Times New Roman"/>
                <w:sz w:val="24"/>
                <w:szCs w:val="24"/>
              </w:rPr>
            </w:pPr>
            <w:r>
              <w:rPr>
                <w:rFonts w:ascii="Times New Roman" w:hAnsi="Times New Roman" w:eastAsia="Times New Roman" w:cs="Times New Roman"/>
                <w:sz w:val="24"/>
                <w:szCs w:val="24"/>
              </w:rPr>
              <w:t>Library users prefer using Infrastructure Services for Open Access (IS4OA)</w:t>
            </w:r>
          </w:p>
        </w:tc>
        <w:tc>
          <w:tcPr>
            <w:tcW w:w="720" w:type="dxa"/>
          </w:tcPr>
          <w:p w14:paraId="6622920F">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75</w:t>
            </w:r>
          </w:p>
        </w:tc>
        <w:tc>
          <w:tcPr>
            <w:tcW w:w="656" w:type="dxa"/>
          </w:tcPr>
          <w:p w14:paraId="783C2328">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31%</w:t>
            </w:r>
          </w:p>
        </w:tc>
        <w:tc>
          <w:tcPr>
            <w:tcW w:w="630" w:type="dxa"/>
          </w:tcPr>
          <w:p w14:paraId="17FCB275">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49</w:t>
            </w:r>
          </w:p>
        </w:tc>
        <w:tc>
          <w:tcPr>
            <w:tcW w:w="656" w:type="dxa"/>
          </w:tcPr>
          <w:p w14:paraId="2CCEADAE">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20%</w:t>
            </w:r>
          </w:p>
        </w:tc>
        <w:tc>
          <w:tcPr>
            <w:tcW w:w="630" w:type="dxa"/>
          </w:tcPr>
          <w:p w14:paraId="2DFCCCEF">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36</w:t>
            </w:r>
          </w:p>
        </w:tc>
        <w:tc>
          <w:tcPr>
            <w:tcW w:w="656" w:type="dxa"/>
          </w:tcPr>
          <w:p w14:paraId="671261B8">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630" w:type="dxa"/>
          </w:tcPr>
          <w:p w14:paraId="1434DD00">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85</w:t>
            </w:r>
          </w:p>
        </w:tc>
        <w:tc>
          <w:tcPr>
            <w:tcW w:w="656" w:type="dxa"/>
          </w:tcPr>
          <w:p w14:paraId="1FDC5147">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900" w:type="dxa"/>
          </w:tcPr>
          <w:p w14:paraId="27936A6C">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814" w:type="dxa"/>
          </w:tcPr>
          <w:p w14:paraId="1F910B12">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1D4F8A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40" w:type="dxa"/>
          </w:tcPr>
          <w:p w14:paraId="2145498F">
            <w:pPr>
              <w:spacing w:after="0" w:line="480" w:lineRule="auto"/>
              <w:jc w:val="both"/>
              <w:rPr>
                <w:rFonts w:ascii="Times New Roman" w:hAnsi="Times New Roman" w:eastAsia="Calibri" w:cs="Times New Roman"/>
                <w:sz w:val="24"/>
                <w:szCs w:val="24"/>
              </w:rPr>
            </w:pPr>
            <w:r>
              <w:rPr>
                <w:rFonts w:ascii="Times New Roman" w:hAnsi="Times New Roman" w:eastAsia="Times New Roman" w:cs="Times New Roman"/>
                <w:sz w:val="24"/>
                <w:szCs w:val="24"/>
              </w:rPr>
              <w:t xml:space="preserve">Library users prefer using </w:t>
            </w:r>
            <w:r>
              <w:rPr>
                <w:rFonts w:ascii="Times New Roman" w:hAnsi="Times New Roman" w:eastAsia="Calibri" w:cs="Times New Roman"/>
                <w:sz w:val="24"/>
                <w:szCs w:val="24"/>
              </w:rPr>
              <w:t>Directory of open access Book (DOAB)</w:t>
            </w:r>
          </w:p>
        </w:tc>
        <w:tc>
          <w:tcPr>
            <w:tcW w:w="720" w:type="dxa"/>
          </w:tcPr>
          <w:p w14:paraId="1DE681FA">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79</w:t>
            </w:r>
          </w:p>
        </w:tc>
        <w:tc>
          <w:tcPr>
            <w:tcW w:w="656" w:type="dxa"/>
          </w:tcPr>
          <w:p w14:paraId="558568DF">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32%</w:t>
            </w:r>
          </w:p>
        </w:tc>
        <w:tc>
          <w:tcPr>
            <w:tcW w:w="630" w:type="dxa"/>
          </w:tcPr>
          <w:p w14:paraId="6B405FBD">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61</w:t>
            </w:r>
          </w:p>
        </w:tc>
        <w:tc>
          <w:tcPr>
            <w:tcW w:w="656" w:type="dxa"/>
          </w:tcPr>
          <w:p w14:paraId="0A96717B">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630" w:type="dxa"/>
          </w:tcPr>
          <w:p w14:paraId="58E1799C">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48</w:t>
            </w:r>
          </w:p>
        </w:tc>
        <w:tc>
          <w:tcPr>
            <w:tcW w:w="656" w:type="dxa"/>
          </w:tcPr>
          <w:p w14:paraId="6600AC13">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20%</w:t>
            </w:r>
          </w:p>
        </w:tc>
        <w:tc>
          <w:tcPr>
            <w:tcW w:w="630" w:type="dxa"/>
          </w:tcPr>
          <w:p w14:paraId="7C4C4793">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57</w:t>
            </w:r>
          </w:p>
        </w:tc>
        <w:tc>
          <w:tcPr>
            <w:tcW w:w="656" w:type="dxa"/>
          </w:tcPr>
          <w:p w14:paraId="72079EFC">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23%</w:t>
            </w:r>
          </w:p>
        </w:tc>
        <w:tc>
          <w:tcPr>
            <w:tcW w:w="900" w:type="dxa"/>
          </w:tcPr>
          <w:p w14:paraId="041D48E9">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814" w:type="dxa"/>
          </w:tcPr>
          <w:p w14:paraId="226B0BF5">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4F1E10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40" w:type="dxa"/>
          </w:tcPr>
          <w:p w14:paraId="28704D00">
            <w:pPr>
              <w:spacing w:after="0" w:line="480" w:lineRule="auto"/>
              <w:jc w:val="both"/>
              <w:rPr>
                <w:rStyle w:val="9"/>
                <w:rFonts w:ascii="Times New Roman" w:hAnsi="Times New Roman" w:eastAsia="Calibri" w:cs="Times New Roman"/>
                <w:b w:val="0"/>
                <w:sz w:val="24"/>
                <w:szCs w:val="24"/>
              </w:rPr>
            </w:pPr>
            <w:r>
              <w:rPr>
                <w:rFonts w:ascii="Times New Roman" w:hAnsi="Times New Roman" w:eastAsia="Times New Roman" w:cs="Times New Roman"/>
                <w:sz w:val="24"/>
                <w:szCs w:val="24"/>
              </w:rPr>
              <w:t xml:space="preserve">Library users prefer using </w:t>
            </w:r>
            <w:r>
              <w:rPr>
                <w:rFonts w:ascii="Times New Roman" w:hAnsi="Times New Roman" w:eastAsia="Times New Roman" w:cs="Times New Roman"/>
                <w:b/>
                <w:sz w:val="24"/>
                <w:szCs w:val="24"/>
              </w:rPr>
              <w:t>O</w:t>
            </w:r>
            <w:r>
              <w:rPr>
                <w:rStyle w:val="9"/>
                <w:rFonts w:ascii="Times New Roman" w:hAnsi="Times New Roman" w:eastAsia="Calibri" w:cs="Times New Roman"/>
                <w:b w:val="0"/>
                <w:sz w:val="24"/>
                <w:szCs w:val="24"/>
              </w:rPr>
              <w:t>pen Access Button (OAB)</w:t>
            </w:r>
          </w:p>
        </w:tc>
        <w:tc>
          <w:tcPr>
            <w:tcW w:w="720" w:type="dxa"/>
          </w:tcPr>
          <w:p w14:paraId="7161221A">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120</w:t>
            </w:r>
          </w:p>
        </w:tc>
        <w:tc>
          <w:tcPr>
            <w:tcW w:w="656" w:type="dxa"/>
          </w:tcPr>
          <w:p w14:paraId="7C6385ED">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49%</w:t>
            </w:r>
          </w:p>
        </w:tc>
        <w:tc>
          <w:tcPr>
            <w:tcW w:w="630" w:type="dxa"/>
          </w:tcPr>
          <w:p w14:paraId="6DFDD55D">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85</w:t>
            </w:r>
          </w:p>
        </w:tc>
        <w:tc>
          <w:tcPr>
            <w:tcW w:w="656" w:type="dxa"/>
          </w:tcPr>
          <w:p w14:paraId="1513A8EA">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630" w:type="dxa"/>
          </w:tcPr>
          <w:p w14:paraId="02DE9DEE">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656" w:type="dxa"/>
          </w:tcPr>
          <w:p w14:paraId="035857BB">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630" w:type="dxa"/>
          </w:tcPr>
          <w:p w14:paraId="55C5ACF5">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656" w:type="dxa"/>
          </w:tcPr>
          <w:p w14:paraId="6F05586E">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16%</w:t>
            </w:r>
          </w:p>
        </w:tc>
        <w:tc>
          <w:tcPr>
            <w:tcW w:w="900" w:type="dxa"/>
          </w:tcPr>
          <w:p w14:paraId="1DB3D7EE">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814" w:type="dxa"/>
          </w:tcPr>
          <w:p w14:paraId="2BB74FA7">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bl>
    <w:p w14:paraId="219D1DC8">
      <w:pPr>
        <w:spacing w:line="480" w:lineRule="auto"/>
        <w:jc w:val="both"/>
        <w:rPr>
          <w:rFonts w:hint="default" w:ascii="Times New Roman" w:hAnsi="Times New Roman" w:cs="Times New Roman"/>
          <w:sz w:val="24"/>
          <w:szCs w:val="24"/>
          <w:lang w:val="en-US"/>
        </w:rPr>
      </w:pPr>
      <w:r>
        <w:rPr>
          <w:rFonts w:ascii="Times New Roman" w:hAnsi="Times New Roman" w:cs="Times New Roman"/>
          <w:b/>
          <w:bCs/>
          <w:sz w:val="24"/>
          <w:szCs w:val="24"/>
        </w:rPr>
        <w:t>Source:</w:t>
      </w:r>
      <w:r>
        <w:rPr>
          <w:rFonts w:ascii="Times New Roman" w:hAnsi="Times New Roman" w:cs="Times New Roman"/>
          <w:sz w:val="24"/>
          <w:szCs w:val="24"/>
        </w:rPr>
        <w:t xml:space="preserve"> Field survey, 202</w:t>
      </w:r>
      <w:r>
        <w:rPr>
          <w:rFonts w:hint="default" w:ascii="Times New Roman" w:hAnsi="Times New Roman" w:cs="Times New Roman"/>
          <w:sz w:val="24"/>
          <w:szCs w:val="24"/>
          <w:lang w:val="en-US"/>
        </w:rPr>
        <w:t>5</w:t>
      </w:r>
    </w:p>
    <w:p w14:paraId="11B14F11">
      <w:pPr>
        <w:spacing w:after="0" w:line="360" w:lineRule="auto"/>
        <w:jc w:val="both"/>
        <w:rPr>
          <w:rFonts w:ascii="Times New Roman" w:hAnsi="Times New Roman" w:eastAsia="Times New Roman" w:cs="Times New Roman"/>
          <w:sz w:val="24"/>
          <w:szCs w:val="24"/>
        </w:rPr>
      </w:pPr>
      <w:r>
        <w:rPr>
          <w:rFonts w:ascii="Times New Roman" w:hAnsi="Times New Roman" w:cs="Times New Roman"/>
          <w:sz w:val="24"/>
          <w:szCs w:val="24"/>
        </w:rPr>
        <w:t xml:space="preserve">Table 4.3.9 above shows that 45 respondent representing (18%) strongly agreed that library users preferred using </w:t>
      </w:r>
      <w:r>
        <w:rPr>
          <w:rFonts w:ascii="Times New Roman" w:hAnsi="Times New Roman" w:eastAsia="Times New Roman" w:cs="Times New Roman"/>
          <w:b/>
          <w:sz w:val="24"/>
          <w:szCs w:val="24"/>
        </w:rPr>
        <w:t>Directory of Open Access Journals (DOAJ)</w:t>
      </w:r>
      <w:r>
        <w:rPr>
          <w:rFonts w:ascii="Times New Roman" w:hAnsi="Times New Roman" w:cs="Times New Roman"/>
          <w:sz w:val="24"/>
          <w:szCs w:val="24"/>
        </w:rPr>
        <w:t xml:space="preserve">, 74 respondent representing (30%) agreed, 56 respondent representing (23%) strongly disagreed while 70 respondent representing (29%) disagreed the statement. 55 respondent representing (22%) strongly agreed that library users preferred using </w:t>
      </w:r>
      <w:r>
        <w:rPr>
          <w:rFonts w:ascii="Times New Roman" w:hAnsi="Times New Roman" w:eastAsia="Times New Roman" w:cs="Times New Roman"/>
          <w:b/>
          <w:sz w:val="24"/>
          <w:szCs w:val="24"/>
        </w:rPr>
        <w:t>Registry of Open Access Repositories (ROAR)</w:t>
      </w:r>
      <w:r>
        <w:rPr>
          <w:rFonts w:ascii="Times New Roman" w:hAnsi="Times New Roman" w:cs="Times New Roman"/>
          <w:sz w:val="24"/>
          <w:szCs w:val="24"/>
        </w:rPr>
        <w:t xml:space="preserve">, 92 respondent representing (38%) agreed, 43 respondent representing (18%) strongly disagreed while 55 respondent representing (22%) disagreed the statement. Also, 75 respondent representing (31%) strongly agreed that library users preferred using </w:t>
      </w:r>
      <w:r>
        <w:rPr>
          <w:rFonts w:ascii="Times New Roman" w:hAnsi="Times New Roman" w:eastAsia="Times New Roman" w:cs="Times New Roman"/>
          <w:b/>
          <w:sz w:val="24"/>
          <w:szCs w:val="24"/>
        </w:rPr>
        <w:t>Infrastructure Services for Open Access (IS4OA)</w:t>
      </w:r>
      <w:r>
        <w:rPr>
          <w:rFonts w:ascii="Times New Roman" w:hAnsi="Times New Roman" w:cs="Times New Roman"/>
          <w:sz w:val="24"/>
          <w:szCs w:val="24"/>
        </w:rPr>
        <w:t xml:space="preserve">, 49 respondent representing (20%) agreed, 36 respondent representing (15%) strongly disagreed while 85 respondent representing (35%) disagreed. Also, 79 respondent representing (32%) strongly agreed that library users preferred </w:t>
      </w:r>
      <w:r>
        <w:rPr>
          <w:rFonts w:ascii="Times New Roman" w:hAnsi="Times New Roman" w:cs="Times New Roman"/>
          <w:b/>
          <w:sz w:val="24"/>
          <w:szCs w:val="24"/>
        </w:rPr>
        <w:t>Directory of open access Book (DOAB)</w:t>
      </w:r>
      <w:r>
        <w:rPr>
          <w:rFonts w:ascii="Times New Roman" w:hAnsi="Times New Roman" w:cs="Times New Roman"/>
          <w:sz w:val="24"/>
          <w:szCs w:val="24"/>
        </w:rPr>
        <w:t xml:space="preserve">, 61 respondent representing (25%) agreed, 48 respondent representing (20%) strongly disagreed while 57 respondent representing (23%) disagreed.  Furthermore, 120 respondent representing (49%) strongly agreed that library users preferred using </w:t>
      </w:r>
      <w:r>
        <w:rPr>
          <w:rStyle w:val="9"/>
          <w:rFonts w:ascii="Times New Roman" w:hAnsi="Times New Roman" w:cs="Times New Roman"/>
          <w:sz w:val="24"/>
          <w:szCs w:val="24"/>
        </w:rPr>
        <w:t>Open Access Button (OAB),</w:t>
      </w:r>
      <w:r>
        <w:rPr>
          <w:rFonts w:ascii="Times New Roman" w:hAnsi="Times New Roman" w:cs="Times New Roman"/>
          <w:sz w:val="24"/>
          <w:szCs w:val="24"/>
        </w:rPr>
        <w:t xml:space="preserve"> 85 respondent representing (35%) agreed,</w:t>
      </w:r>
      <w:r>
        <w:rPr>
          <w:rFonts w:ascii="Times New Roman" w:hAnsi="Times New Roman" w:cs="Times New Roman"/>
          <w:bCs/>
          <w:sz w:val="24"/>
          <w:szCs w:val="24"/>
        </w:rPr>
        <w:t xml:space="preserve"> 0 </w:t>
      </w:r>
      <w:r>
        <w:rPr>
          <w:rFonts w:ascii="Times New Roman" w:hAnsi="Times New Roman" w:cs="Times New Roman"/>
          <w:sz w:val="24"/>
          <w:szCs w:val="24"/>
        </w:rPr>
        <w:t>respondent representing (0%)</w:t>
      </w:r>
      <w:r>
        <w:rPr>
          <w:rFonts w:ascii="Times New Roman" w:hAnsi="Times New Roman" w:cs="Times New Roman"/>
          <w:bCs/>
          <w:sz w:val="24"/>
          <w:szCs w:val="24"/>
        </w:rPr>
        <w:t xml:space="preserve"> strongly disagreed while 40 </w:t>
      </w:r>
      <w:r>
        <w:rPr>
          <w:rFonts w:ascii="Times New Roman" w:hAnsi="Times New Roman" w:cs="Times New Roman"/>
          <w:sz w:val="24"/>
          <w:szCs w:val="24"/>
        </w:rPr>
        <w:t>respondent representing (16%)</w:t>
      </w:r>
      <w:r>
        <w:rPr>
          <w:rFonts w:ascii="Times New Roman" w:hAnsi="Times New Roman" w:cs="Times New Roman"/>
          <w:bCs/>
          <w:sz w:val="24"/>
          <w:szCs w:val="24"/>
        </w:rPr>
        <w:t xml:space="preserve"> disagreed. The above analysis shows that the </w:t>
      </w:r>
      <w:r>
        <w:rPr>
          <w:rFonts w:ascii="Times New Roman" w:hAnsi="Times New Roman" w:eastAsia="Times New Roman" w:cs="Times New Roman"/>
          <w:sz w:val="24"/>
          <w:szCs w:val="24"/>
        </w:rPr>
        <w:t xml:space="preserve">Directory of Open Access Journals (DOAJ), Registry of Open Access Repositories (ROAR), </w:t>
      </w:r>
      <w:r>
        <w:rPr>
          <w:rFonts w:ascii="Times New Roman" w:hAnsi="Times New Roman" w:cs="Times New Roman"/>
          <w:sz w:val="24"/>
          <w:szCs w:val="24"/>
        </w:rPr>
        <w:t xml:space="preserve">Directory of open access Book (DOAB), and </w:t>
      </w:r>
      <w:r>
        <w:rPr>
          <w:rFonts w:ascii="Times New Roman" w:hAnsi="Times New Roman" w:eastAsia="Times New Roman" w:cs="Times New Roman"/>
          <w:b/>
          <w:sz w:val="24"/>
          <w:szCs w:val="24"/>
        </w:rPr>
        <w:t>O</w:t>
      </w:r>
      <w:r>
        <w:rPr>
          <w:rStyle w:val="9"/>
          <w:rFonts w:ascii="Times New Roman" w:hAnsi="Times New Roman" w:cs="Times New Roman"/>
          <w:b w:val="0"/>
          <w:sz w:val="24"/>
          <w:szCs w:val="24"/>
        </w:rPr>
        <w:t xml:space="preserve">pen Access Button (OAB) are used by the library users, while the </w:t>
      </w:r>
      <w:r>
        <w:rPr>
          <w:rFonts w:ascii="Times New Roman" w:hAnsi="Times New Roman" w:eastAsia="Times New Roman" w:cs="Times New Roman"/>
          <w:sz w:val="24"/>
          <w:szCs w:val="24"/>
        </w:rPr>
        <w:t>Infrastructure Services for Open Access (IS4OA) are not used in the library.</w:t>
      </w:r>
    </w:p>
    <w:p w14:paraId="7431CCFF">
      <w:pPr>
        <w:spacing w:after="0" w:line="240" w:lineRule="auto"/>
        <w:jc w:val="both"/>
        <w:rPr>
          <w:rFonts w:ascii="Times New Roman" w:hAnsi="Times New Roman" w:eastAsia="Times New Roman" w:cs="Times New Roman"/>
          <w:sz w:val="24"/>
          <w:szCs w:val="24"/>
        </w:rPr>
      </w:pPr>
    </w:p>
    <w:p w14:paraId="45E807A9">
      <w:pPr>
        <w:spacing w:after="0" w:line="480" w:lineRule="auto"/>
        <w:jc w:val="both"/>
        <w:rPr>
          <w:rFonts w:ascii="Times New Roman" w:hAnsi="Times New Roman" w:cs="Times New Roman"/>
          <w:b/>
          <w:sz w:val="24"/>
          <w:szCs w:val="24"/>
        </w:rPr>
      </w:pPr>
    </w:p>
    <w:p w14:paraId="28D020DB">
      <w:pPr>
        <w:spacing w:after="0" w:line="480" w:lineRule="auto"/>
        <w:jc w:val="both"/>
        <w:rPr>
          <w:rFonts w:ascii="Times New Roman" w:hAnsi="Times New Roman" w:cs="Times New Roman"/>
          <w:bCs/>
          <w:sz w:val="24"/>
          <w:szCs w:val="24"/>
        </w:rPr>
      </w:pPr>
      <w:r>
        <w:rPr>
          <w:rFonts w:ascii="Times New Roman" w:hAnsi="Times New Roman" w:cs="Times New Roman"/>
          <w:b/>
          <w:sz w:val="24"/>
          <w:szCs w:val="24"/>
        </w:rPr>
        <w:t>Table 4.3.10 Research Question 6: The factors affecting the acceptance and adoption of open access for learning and research by the library users are?</w:t>
      </w:r>
    </w:p>
    <w:tbl>
      <w:tblPr>
        <w:tblStyle w:val="10"/>
        <w:tblW w:w="954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28"/>
        <w:gridCol w:w="611"/>
        <w:gridCol w:w="836"/>
        <w:gridCol w:w="609"/>
        <w:gridCol w:w="836"/>
        <w:gridCol w:w="672"/>
        <w:gridCol w:w="656"/>
        <w:gridCol w:w="670"/>
        <w:gridCol w:w="836"/>
        <w:gridCol w:w="857"/>
        <w:gridCol w:w="729"/>
      </w:tblGrid>
      <w:tr w14:paraId="5164ED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28" w:type="dxa"/>
          </w:tcPr>
          <w:p w14:paraId="13922D79">
            <w:pPr>
              <w:spacing w:after="0" w:line="48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Statements</w:t>
            </w:r>
          </w:p>
        </w:tc>
        <w:tc>
          <w:tcPr>
            <w:tcW w:w="611" w:type="dxa"/>
          </w:tcPr>
          <w:p w14:paraId="165EB128">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SA</w:t>
            </w:r>
          </w:p>
        </w:tc>
        <w:tc>
          <w:tcPr>
            <w:tcW w:w="836" w:type="dxa"/>
          </w:tcPr>
          <w:p w14:paraId="1982E640">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609" w:type="dxa"/>
          </w:tcPr>
          <w:p w14:paraId="63946643">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A</w:t>
            </w:r>
          </w:p>
        </w:tc>
        <w:tc>
          <w:tcPr>
            <w:tcW w:w="836" w:type="dxa"/>
          </w:tcPr>
          <w:p w14:paraId="0F24B40A">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672" w:type="dxa"/>
          </w:tcPr>
          <w:p w14:paraId="071DC533">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SD</w:t>
            </w:r>
          </w:p>
        </w:tc>
        <w:tc>
          <w:tcPr>
            <w:tcW w:w="656" w:type="dxa"/>
          </w:tcPr>
          <w:p w14:paraId="35EB2D85">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670" w:type="dxa"/>
          </w:tcPr>
          <w:p w14:paraId="72A45F07">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D</w:t>
            </w:r>
          </w:p>
        </w:tc>
        <w:tc>
          <w:tcPr>
            <w:tcW w:w="836" w:type="dxa"/>
          </w:tcPr>
          <w:p w14:paraId="19EEB6EE">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857" w:type="dxa"/>
          </w:tcPr>
          <w:p w14:paraId="28C4CDA8">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Total</w:t>
            </w:r>
          </w:p>
        </w:tc>
        <w:tc>
          <w:tcPr>
            <w:tcW w:w="729" w:type="dxa"/>
          </w:tcPr>
          <w:p w14:paraId="78517B03">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r>
      <w:tr w14:paraId="32AD0F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28" w:type="dxa"/>
          </w:tcPr>
          <w:p w14:paraId="7B76293D">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sz w:val="24"/>
                <w:szCs w:val="24"/>
              </w:rPr>
              <w:t>Library users do not have a good web design</w:t>
            </w:r>
          </w:p>
        </w:tc>
        <w:tc>
          <w:tcPr>
            <w:tcW w:w="611" w:type="dxa"/>
          </w:tcPr>
          <w:p w14:paraId="13E32218">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106</w:t>
            </w:r>
          </w:p>
        </w:tc>
        <w:tc>
          <w:tcPr>
            <w:tcW w:w="836" w:type="dxa"/>
          </w:tcPr>
          <w:p w14:paraId="2A6FAAA7">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43%</w:t>
            </w:r>
          </w:p>
        </w:tc>
        <w:tc>
          <w:tcPr>
            <w:tcW w:w="609" w:type="dxa"/>
          </w:tcPr>
          <w:p w14:paraId="0149F5CE">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58</w:t>
            </w:r>
          </w:p>
        </w:tc>
        <w:tc>
          <w:tcPr>
            <w:tcW w:w="836" w:type="dxa"/>
          </w:tcPr>
          <w:p w14:paraId="39A6F7F6">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24%</w:t>
            </w:r>
          </w:p>
        </w:tc>
        <w:tc>
          <w:tcPr>
            <w:tcW w:w="672" w:type="dxa"/>
          </w:tcPr>
          <w:p w14:paraId="469EF999">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42</w:t>
            </w:r>
          </w:p>
        </w:tc>
        <w:tc>
          <w:tcPr>
            <w:tcW w:w="656" w:type="dxa"/>
          </w:tcPr>
          <w:p w14:paraId="41FDE319">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17%</w:t>
            </w:r>
          </w:p>
        </w:tc>
        <w:tc>
          <w:tcPr>
            <w:tcW w:w="670" w:type="dxa"/>
          </w:tcPr>
          <w:p w14:paraId="6B7EB467">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39</w:t>
            </w:r>
          </w:p>
        </w:tc>
        <w:tc>
          <w:tcPr>
            <w:tcW w:w="836" w:type="dxa"/>
          </w:tcPr>
          <w:p w14:paraId="58DDB3AE">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16%</w:t>
            </w:r>
          </w:p>
        </w:tc>
        <w:tc>
          <w:tcPr>
            <w:tcW w:w="857" w:type="dxa"/>
          </w:tcPr>
          <w:p w14:paraId="5B7E6E77">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729" w:type="dxa"/>
          </w:tcPr>
          <w:p w14:paraId="69FC2C98">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44B83A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28" w:type="dxa"/>
          </w:tcPr>
          <w:p w14:paraId="70B64A63">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Library users are lacking printing equipment </w:t>
            </w:r>
          </w:p>
        </w:tc>
        <w:tc>
          <w:tcPr>
            <w:tcW w:w="611" w:type="dxa"/>
          </w:tcPr>
          <w:p w14:paraId="3E619F8C">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130</w:t>
            </w:r>
          </w:p>
        </w:tc>
        <w:tc>
          <w:tcPr>
            <w:tcW w:w="836" w:type="dxa"/>
          </w:tcPr>
          <w:p w14:paraId="0C4AA256">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53%</w:t>
            </w:r>
          </w:p>
        </w:tc>
        <w:tc>
          <w:tcPr>
            <w:tcW w:w="609" w:type="dxa"/>
          </w:tcPr>
          <w:p w14:paraId="2F0B8290">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60</w:t>
            </w:r>
          </w:p>
        </w:tc>
        <w:tc>
          <w:tcPr>
            <w:tcW w:w="836" w:type="dxa"/>
          </w:tcPr>
          <w:p w14:paraId="58AAFF1E">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24%</w:t>
            </w:r>
          </w:p>
        </w:tc>
        <w:tc>
          <w:tcPr>
            <w:tcW w:w="672" w:type="dxa"/>
          </w:tcPr>
          <w:p w14:paraId="25ABDC3C">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43</w:t>
            </w:r>
          </w:p>
        </w:tc>
        <w:tc>
          <w:tcPr>
            <w:tcW w:w="656" w:type="dxa"/>
          </w:tcPr>
          <w:p w14:paraId="77896E4C">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18%</w:t>
            </w:r>
          </w:p>
        </w:tc>
        <w:tc>
          <w:tcPr>
            <w:tcW w:w="670" w:type="dxa"/>
          </w:tcPr>
          <w:p w14:paraId="4DF81409">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12</w:t>
            </w:r>
          </w:p>
        </w:tc>
        <w:tc>
          <w:tcPr>
            <w:tcW w:w="836" w:type="dxa"/>
          </w:tcPr>
          <w:p w14:paraId="5BE15FEF">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857" w:type="dxa"/>
          </w:tcPr>
          <w:p w14:paraId="3DE9D99E">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729" w:type="dxa"/>
          </w:tcPr>
          <w:p w14:paraId="09858679">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4F9B96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28" w:type="dxa"/>
          </w:tcPr>
          <w:p w14:paraId="37C80541">
            <w:pPr>
              <w:autoSpaceDE w:val="0"/>
              <w:autoSpaceDN w:val="0"/>
              <w:adjustRightInd w:val="0"/>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Library users are lacking of online help </w:t>
            </w:r>
          </w:p>
        </w:tc>
        <w:tc>
          <w:tcPr>
            <w:tcW w:w="611" w:type="dxa"/>
          </w:tcPr>
          <w:p w14:paraId="6535C241">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28</w:t>
            </w:r>
          </w:p>
        </w:tc>
        <w:tc>
          <w:tcPr>
            <w:tcW w:w="836" w:type="dxa"/>
          </w:tcPr>
          <w:p w14:paraId="7EF45A68">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11.4%</w:t>
            </w:r>
          </w:p>
        </w:tc>
        <w:tc>
          <w:tcPr>
            <w:tcW w:w="609" w:type="dxa"/>
          </w:tcPr>
          <w:p w14:paraId="78B6860E">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52</w:t>
            </w:r>
          </w:p>
        </w:tc>
        <w:tc>
          <w:tcPr>
            <w:tcW w:w="836" w:type="dxa"/>
          </w:tcPr>
          <w:p w14:paraId="413C8C6A">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21.2%</w:t>
            </w:r>
          </w:p>
        </w:tc>
        <w:tc>
          <w:tcPr>
            <w:tcW w:w="672" w:type="dxa"/>
          </w:tcPr>
          <w:p w14:paraId="32C52845">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88</w:t>
            </w:r>
          </w:p>
        </w:tc>
        <w:tc>
          <w:tcPr>
            <w:tcW w:w="656" w:type="dxa"/>
          </w:tcPr>
          <w:p w14:paraId="1BE6E82C">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36%</w:t>
            </w:r>
          </w:p>
        </w:tc>
        <w:tc>
          <w:tcPr>
            <w:tcW w:w="670" w:type="dxa"/>
          </w:tcPr>
          <w:p w14:paraId="2181BACE">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77</w:t>
            </w:r>
          </w:p>
        </w:tc>
        <w:tc>
          <w:tcPr>
            <w:tcW w:w="836" w:type="dxa"/>
          </w:tcPr>
          <w:p w14:paraId="11E09E01">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31.4%</w:t>
            </w:r>
          </w:p>
        </w:tc>
        <w:tc>
          <w:tcPr>
            <w:tcW w:w="857" w:type="dxa"/>
          </w:tcPr>
          <w:p w14:paraId="367F7E55">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729" w:type="dxa"/>
          </w:tcPr>
          <w:p w14:paraId="2E065B66">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370E4B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28" w:type="dxa"/>
          </w:tcPr>
          <w:p w14:paraId="3E1830B9">
            <w:pPr>
              <w:autoSpaceDE w:val="0"/>
              <w:autoSpaceDN w:val="0"/>
              <w:adjustRightInd w:val="0"/>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The description of the library users on legal information sources are inadequate </w:t>
            </w:r>
          </w:p>
        </w:tc>
        <w:tc>
          <w:tcPr>
            <w:tcW w:w="611" w:type="dxa"/>
          </w:tcPr>
          <w:p w14:paraId="79DDF9C4">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60</w:t>
            </w:r>
          </w:p>
        </w:tc>
        <w:tc>
          <w:tcPr>
            <w:tcW w:w="836" w:type="dxa"/>
          </w:tcPr>
          <w:p w14:paraId="06BD8FCB">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24%</w:t>
            </w:r>
          </w:p>
        </w:tc>
        <w:tc>
          <w:tcPr>
            <w:tcW w:w="609" w:type="dxa"/>
          </w:tcPr>
          <w:p w14:paraId="3FE70609">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80</w:t>
            </w:r>
          </w:p>
        </w:tc>
        <w:tc>
          <w:tcPr>
            <w:tcW w:w="836" w:type="dxa"/>
          </w:tcPr>
          <w:p w14:paraId="4C6DBB76">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33%</w:t>
            </w:r>
          </w:p>
        </w:tc>
        <w:tc>
          <w:tcPr>
            <w:tcW w:w="672" w:type="dxa"/>
          </w:tcPr>
          <w:p w14:paraId="31413A1F">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62</w:t>
            </w:r>
          </w:p>
        </w:tc>
        <w:tc>
          <w:tcPr>
            <w:tcW w:w="656" w:type="dxa"/>
          </w:tcPr>
          <w:p w14:paraId="52915C43">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670" w:type="dxa"/>
          </w:tcPr>
          <w:p w14:paraId="337EC3E3">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43</w:t>
            </w:r>
          </w:p>
        </w:tc>
        <w:tc>
          <w:tcPr>
            <w:tcW w:w="836" w:type="dxa"/>
          </w:tcPr>
          <w:p w14:paraId="70083EA1">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18%</w:t>
            </w:r>
          </w:p>
        </w:tc>
        <w:tc>
          <w:tcPr>
            <w:tcW w:w="857" w:type="dxa"/>
          </w:tcPr>
          <w:p w14:paraId="7551C7CD">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729" w:type="dxa"/>
          </w:tcPr>
          <w:p w14:paraId="383533F6">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7AD8F8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7" w:hRule="atLeast"/>
        </w:trPr>
        <w:tc>
          <w:tcPr>
            <w:tcW w:w="2228" w:type="dxa"/>
          </w:tcPr>
          <w:p w14:paraId="7056FA87">
            <w:pPr>
              <w:autoSpaceDE w:val="0"/>
              <w:autoSpaceDN w:val="0"/>
              <w:adjustRightInd w:val="0"/>
              <w:spacing w:after="0" w:line="480" w:lineRule="auto"/>
              <w:jc w:val="both"/>
              <w:rPr>
                <w:rStyle w:val="9"/>
                <w:rFonts w:ascii="Times New Roman" w:hAnsi="Times New Roman" w:eastAsia="Calibri" w:cs="Times New Roman"/>
                <w:b w:val="0"/>
                <w:bCs w:val="0"/>
                <w:sz w:val="24"/>
                <w:szCs w:val="24"/>
              </w:rPr>
            </w:pPr>
            <w:r>
              <w:rPr>
                <w:rFonts w:ascii="Times New Roman" w:hAnsi="Times New Roman" w:eastAsia="Calibri" w:cs="Times New Roman"/>
                <w:sz w:val="24"/>
                <w:szCs w:val="24"/>
              </w:rPr>
              <w:t>Library users are lacking appropriate arrangement of legal information</w:t>
            </w:r>
          </w:p>
        </w:tc>
        <w:tc>
          <w:tcPr>
            <w:tcW w:w="611" w:type="dxa"/>
          </w:tcPr>
          <w:p w14:paraId="687A1253">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34</w:t>
            </w:r>
          </w:p>
        </w:tc>
        <w:tc>
          <w:tcPr>
            <w:tcW w:w="836" w:type="dxa"/>
          </w:tcPr>
          <w:p w14:paraId="1F2EC976">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14%</w:t>
            </w:r>
          </w:p>
        </w:tc>
        <w:tc>
          <w:tcPr>
            <w:tcW w:w="609" w:type="dxa"/>
          </w:tcPr>
          <w:p w14:paraId="47ED1E35">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47</w:t>
            </w:r>
          </w:p>
        </w:tc>
        <w:tc>
          <w:tcPr>
            <w:tcW w:w="836" w:type="dxa"/>
          </w:tcPr>
          <w:p w14:paraId="5B1D3C43">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19%</w:t>
            </w:r>
          </w:p>
        </w:tc>
        <w:tc>
          <w:tcPr>
            <w:tcW w:w="672" w:type="dxa"/>
          </w:tcPr>
          <w:p w14:paraId="41C43077">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105</w:t>
            </w:r>
          </w:p>
        </w:tc>
        <w:tc>
          <w:tcPr>
            <w:tcW w:w="656" w:type="dxa"/>
          </w:tcPr>
          <w:p w14:paraId="3FB31DD8">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43%</w:t>
            </w:r>
          </w:p>
        </w:tc>
        <w:tc>
          <w:tcPr>
            <w:tcW w:w="670" w:type="dxa"/>
          </w:tcPr>
          <w:p w14:paraId="1B4AB95B">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59</w:t>
            </w:r>
          </w:p>
        </w:tc>
        <w:tc>
          <w:tcPr>
            <w:tcW w:w="836" w:type="dxa"/>
          </w:tcPr>
          <w:p w14:paraId="3AD4849A">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24%</w:t>
            </w:r>
          </w:p>
        </w:tc>
        <w:tc>
          <w:tcPr>
            <w:tcW w:w="857" w:type="dxa"/>
          </w:tcPr>
          <w:p w14:paraId="3096AFEF">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729" w:type="dxa"/>
          </w:tcPr>
          <w:p w14:paraId="42F8D031">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047C3F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28" w:type="dxa"/>
          </w:tcPr>
          <w:p w14:paraId="3F2607E2">
            <w:pPr>
              <w:autoSpaceDE w:val="0"/>
              <w:autoSpaceDN w:val="0"/>
              <w:adjustRightInd w:val="0"/>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Too many login are required from the library users</w:t>
            </w:r>
          </w:p>
        </w:tc>
        <w:tc>
          <w:tcPr>
            <w:tcW w:w="611" w:type="dxa"/>
          </w:tcPr>
          <w:p w14:paraId="79CCFDC2">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125</w:t>
            </w:r>
          </w:p>
        </w:tc>
        <w:tc>
          <w:tcPr>
            <w:tcW w:w="836" w:type="dxa"/>
          </w:tcPr>
          <w:p w14:paraId="7D094AA9">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51%</w:t>
            </w:r>
          </w:p>
        </w:tc>
        <w:tc>
          <w:tcPr>
            <w:tcW w:w="609" w:type="dxa"/>
          </w:tcPr>
          <w:p w14:paraId="6D54982C">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120</w:t>
            </w:r>
          </w:p>
        </w:tc>
        <w:tc>
          <w:tcPr>
            <w:tcW w:w="836" w:type="dxa"/>
          </w:tcPr>
          <w:p w14:paraId="55CAB4E4">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49%</w:t>
            </w:r>
          </w:p>
        </w:tc>
        <w:tc>
          <w:tcPr>
            <w:tcW w:w="672" w:type="dxa"/>
          </w:tcPr>
          <w:p w14:paraId="72470FF9">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656" w:type="dxa"/>
          </w:tcPr>
          <w:p w14:paraId="5110157E">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670" w:type="dxa"/>
          </w:tcPr>
          <w:p w14:paraId="4C04C13A">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836" w:type="dxa"/>
          </w:tcPr>
          <w:p w14:paraId="2B6904CC">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w:t>
            </w:r>
          </w:p>
        </w:tc>
        <w:tc>
          <w:tcPr>
            <w:tcW w:w="857" w:type="dxa"/>
          </w:tcPr>
          <w:p w14:paraId="571E1407">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729" w:type="dxa"/>
          </w:tcPr>
          <w:p w14:paraId="4A745CB5">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07BF83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28" w:type="dxa"/>
          </w:tcPr>
          <w:p w14:paraId="3E622E27">
            <w:pPr>
              <w:autoSpaceDE w:val="0"/>
              <w:autoSpaceDN w:val="0"/>
              <w:adjustRightInd w:val="0"/>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Access instructions are not clear for the library users</w:t>
            </w:r>
          </w:p>
        </w:tc>
        <w:tc>
          <w:tcPr>
            <w:tcW w:w="611" w:type="dxa"/>
          </w:tcPr>
          <w:p w14:paraId="0CDE1794">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836" w:type="dxa"/>
          </w:tcPr>
          <w:p w14:paraId="0658E721">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609" w:type="dxa"/>
          </w:tcPr>
          <w:p w14:paraId="6CE60B8F">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20</w:t>
            </w:r>
          </w:p>
        </w:tc>
        <w:tc>
          <w:tcPr>
            <w:tcW w:w="836" w:type="dxa"/>
          </w:tcPr>
          <w:p w14:paraId="284DCEAB">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672" w:type="dxa"/>
          </w:tcPr>
          <w:p w14:paraId="4C845B1A">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80</w:t>
            </w:r>
          </w:p>
        </w:tc>
        <w:tc>
          <w:tcPr>
            <w:tcW w:w="656" w:type="dxa"/>
          </w:tcPr>
          <w:p w14:paraId="4647E1AD">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33%</w:t>
            </w:r>
          </w:p>
        </w:tc>
        <w:tc>
          <w:tcPr>
            <w:tcW w:w="670" w:type="dxa"/>
          </w:tcPr>
          <w:p w14:paraId="6D296493">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120</w:t>
            </w:r>
          </w:p>
        </w:tc>
        <w:tc>
          <w:tcPr>
            <w:tcW w:w="836" w:type="dxa"/>
          </w:tcPr>
          <w:p w14:paraId="275E64A9">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49%</w:t>
            </w:r>
          </w:p>
        </w:tc>
        <w:tc>
          <w:tcPr>
            <w:tcW w:w="857" w:type="dxa"/>
          </w:tcPr>
          <w:p w14:paraId="210F80B0">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729" w:type="dxa"/>
          </w:tcPr>
          <w:p w14:paraId="12E96B56">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55AE5BB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228" w:type="dxa"/>
          </w:tcPr>
          <w:p w14:paraId="02A84A34">
            <w:pPr>
              <w:autoSpaceDE w:val="0"/>
              <w:autoSpaceDN w:val="0"/>
              <w:adjustRightInd w:val="0"/>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Library users are lacking of expertise in using database</w:t>
            </w:r>
          </w:p>
        </w:tc>
        <w:tc>
          <w:tcPr>
            <w:tcW w:w="611" w:type="dxa"/>
          </w:tcPr>
          <w:p w14:paraId="5998A33F">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836" w:type="dxa"/>
          </w:tcPr>
          <w:p w14:paraId="01C125D1">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18%</w:t>
            </w:r>
          </w:p>
        </w:tc>
        <w:tc>
          <w:tcPr>
            <w:tcW w:w="609" w:type="dxa"/>
          </w:tcPr>
          <w:p w14:paraId="33CFF3CD">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74</w:t>
            </w:r>
          </w:p>
        </w:tc>
        <w:tc>
          <w:tcPr>
            <w:tcW w:w="836" w:type="dxa"/>
          </w:tcPr>
          <w:p w14:paraId="027B0713">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672" w:type="dxa"/>
          </w:tcPr>
          <w:p w14:paraId="7C972F30">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56</w:t>
            </w:r>
          </w:p>
        </w:tc>
        <w:tc>
          <w:tcPr>
            <w:tcW w:w="656" w:type="dxa"/>
          </w:tcPr>
          <w:p w14:paraId="02FA6DFB">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23%</w:t>
            </w:r>
          </w:p>
        </w:tc>
        <w:tc>
          <w:tcPr>
            <w:tcW w:w="670" w:type="dxa"/>
          </w:tcPr>
          <w:p w14:paraId="6DB40FFB">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70</w:t>
            </w:r>
          </w:p>
        </w:tc>
        <w:tc>
          <w:tcPr>
            <w:tcW w:w="836" w:type="dxa"/>
          </w:tcPr>
          <w:p w14:paraId="20C2C02E">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29%</w:t>
            </w:r>
          </w:p>
        </w:tc>
        <w:tc>
          <w:tcPr>
            <w:tcW w:w="857" w:type="dxa"/>
          </w:tcPr>
          <w:p w14:paraId="3945FEE9">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729" w:type="dxa"/>
          </w:tcPr>
          <w:p w14:paraId="06BE2D19">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bl>
    <w:p w14:paraId="1FBD66E8">
      <w:pPr>
        <w:spacing w:line="480" w:lineRule="auto"/>
        <w:ind w:firstLine="720"/>
        <w:jc w:val="both"/>
        <w:rPr>
          <w:rFonts w:hint="default" w:ascii="Times New Roman" w:hAnsi="Times New Roman" w:cs="Times New Roman"/>
          <w:sz w:val="24"/>
          <w:szCs w:val="24"/>
          <w:lang w:val="en-US"/>
        </w:rPr>
      </w:pPr>
      <w:r>
        <w:rPr>
          <w:rFonts w:ascii="Times New Roman" w:hAnsi="Times New Roman" w:cs="Times New Roman"/>
          <w:b/>
          <w:bCs/>
          <w:sz w:val="24"/>
          <w:szCs w:val="24"/>
        </w:rPr>
        <w:t>Source:</w:t>
      </w:r>
      <w:r>
        <w:rPr>
          <w:rFonts w:ascii="Times New Roman" w:hAnsi="Times New Roman" w:cs="Times New Roman"/>
          <w:sz w:val="24"/>
          <w:szCs w:val="24"/>
        </w:rPr>
        <w:t xml:space="preserve"> Field survey, 202</w:t>
      </w:r>
      <w:r>
        <w:rPr>
          <w:rFonts w:hint="default" w:ascii="Times New Roman" w:hAnsi="Times New Roman" w:cs="Times New Roman"/>
          <w:sz w:val="24"/>
          <w:szCs w:val="24"/>
          <w:lang w:val="en-US"/>
        </w:rPr>
        <w:t>5</w:t>
      </w:r>
    </w:p>
    <w:p w14:paraId="26867FDF">
      <w:pPr>
        <w:spacing w:line="360" w:lineRule="auto"/>
        <w:jc w:val="both"/>
        <w:rPr>
          <w:rFonts w:ascii="Times New Roman" w:hAnsi="Times New Roman" w:cs="Times New Roman"/>
          <w:b/>
          <w:sz w:val="24"/>
          <w:szCs w:val="24"/>
        </w:rPr>
      </w:pPr>
      <w:r>
        <w:rPr>
          <w:rFonts w:ascii="Times New Roman" w:hAnsi="Times New Roman" w:cs="Times New Roman"/>
          <w:sz w:val="24"/>
          <w:szCs w:val="24"/>
        </w:rPr>
        <w:t>Table 4.3.10 above shows the factors that affect the acceptance and adoption of open access for learning and research by the library users; 106 respondent representing (43%) strongly agreed to Poor website design, 58 respondent representing (24%) agreed, 42 respondent representing (17%) strongly disagreed while 39 respondent representing (16%) disagreed. 130 respondent representing (53%) strongly agreed to Lack of print equipment, 60 respondent representing (24%) agreed, 43 respondent representing (18%) strongly disagreed while 12 respondent representing (5%) disagreed. 28 respondent representing (11.4%) strongly agreed to lack of online help, 52 respondent representing (21.2%) agreed, 88 respondent representing (36%) strongly disagreed while 77 respondent representing (31.4%) disagreed. 60 respondent representing (24%) strongly agreed and 80 respondent representing (33%) agreed to inadequate description on legal information sources, 62 respondent representing (25%) strongly disagreed and 43 respondent representing (18%) disagreed. 34 respondent representing (14%) strongly agreed and 47 respondent representing (19%) agreed to lack of appropriate arrangement of legal information, 105 respondent representing (43%) strongly disagreed while 59 respondent representing (24%) disagreed the statements. 125 respondent representing (51%) strongly agreed to too many login required, 120 respondent representing (49%) agreed, while 0 respondent representing (0%) strongly disagreed and disagreed. 25 respondent representing (10%) strongly agreed to Access instructions are not clear, 20 respondent representing (8%) agreed, 80 respondent representing (33%) strongly disagreed and 120 respondent representing (29%) disagreed. 45 respondent representing (18%) strongly agreed to Lack of expertise in using the database, 74 respondent representing (30%) agreed, 56 respondent representing (23%) strongly disagreed and 70 respondent representing (29%) disagreed. The above analysis shows some of the factors  that affect the acceptance and adoption of open access for learning and research by the library users, which include: Library users do not have a good web design, lack of printing equipment, Inadequate sources of legal information, lack of appropriate arrangement of legal information, too many login are required from the library users, access instructions are not clear for the library users and lack of expertise in using database.</w:t>
      </w:r>
    </w:p>
    <w:p w14:paraId="1A520F1C">
      <w:pPr>
        <w:spacing w:line="480" w:lineRule="auto"/>
        <w:jc w:val="both"/>
        <w:rPr>
          <w:rFonts w:ascii="Times New Roman" w:hAnsi="Times New Roman" w:cs="Times New Roman"/>
          <w:b/>
          <w:bCs w:val="0"/>
          <w:sz w:val="24"/>
          <w:szCs w:val="24"/>
        </w:rPr>
      </w:pPr>
      <w:r>
        <w:rPr>
          <w:rFonts w:ascii="Times New Roman" w:hAnsi="Times New Roman" w:cs="Times New Roman"/>
          <w:b/>
          <w:bCs w:val="0"/>
          <w:sz w:val="24"/>
          <w:szCs w:val="24"/>
        </w:rPr>
        <w:t xml:space="preserve">Table 4.3.11 Solutions to The Factors Affecting The Acceptance And Adoption Of Open Access For Learning And Research </w:t>
      </w:r>
    </w:p>
    <w:tbl>
      <w:tblPr>
        <w:tblStyle w:val="10"/>
        <w:tblW w:w="9113" w:type="dxa"/>
        <w:tblInd w:w="-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
        <w:gridCol w:w="2231"/>
        <w:gridCol w:w="6"/>
        <w:gridCol w:w="602"/>
        <w:gridCol w:w="795"/>
        <w:gridCol w:w="618"/>
        <w:gridCol w:w="706"/>
        <w:gridCol w:w="618"/>
        <w:gridCol w:w="706"/>
        <w:gridCol w:w="530"/>
        <w:gridCol w:w="706"/>
        <w:gridCol w:w="883"/>
        <w:gridCol w:w="706"/>
      </w:tblGrid>
      <w:tr w14:paraId="18645C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gridBefore w:val="1"/>
          <w:wBefore w:w="6" w:type="dxa"/>
          <w:trHeight w:val="534" w:hRule="atLeast"/>
        </w:trPr>
        <w:tc>
          <w:tcPr>
            <w:tcW w:w="2237" w:type="dxa"/>
            <w:gridSpan w:val="2"/>
          </w:tcPr>
          <w:p w14:paraId="6C5930CD">
            <w:pPr>
              <w:spacing w:after="0" w:line="48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Statements</w:t>
            </w:r>
          </w:p>
        </w:tc>
        <w:tc>
          <w:tcPr>
            <w:tcW w:w="602" w:type="dxa"/>
          </w:tcPr>
          <w:p w14:paraId="5565D18A">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SA</w:t>
            </w:r>
          </w:p>
        </w:tc>
        <w:tc>
          <w:tcPr>
            <w:tcW w:w="795" w:type="dxa"/>
          </w:tcPr>
          <w:p w14:paraId="28F204C8">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618" w:type="dxa"/>
          </w:tcPr>
          <w:p w14:paraId="29EDC445">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A</w:t>
            </w:r>
          </w:p>
        </w:tc>
        <w:tc>
          <w:tcPr>
            <w:tcW w:w="706" w:type="dxa"/>
          </w:tcPr>
          <w:p w14:paraId="585D1CB5">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618" w:type="dxa"/>
          </w:tcPr>
          <w:p w14:paraId="5B4F8D89">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SD</w:t>
            </w:r>
          </w:p>
        </w:tc>
        <w:tc>
          <w:tcPr>
            <w:tcW w:w="706" w:type="dxa"/>
          </w:tcPr>
          <w:p w14:paraId="3B3A2DEB">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530" w:type="dxa"/>
          </w:tcPr>
          <w:p w14:paraId="2722030A">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D</w:t>
            </w:r>
          </w:p>
        </w:tc>
        <w:tc>
          <w:tcPr>
            <w:tcW w:w="706" w:type="dxa"/>
          </w:tcPr>
          <w:p w14:paraId="32CAF395">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c>
          <w:tcPr>
            <w:tcW w:w="883" w:type="dxa"/>
          </w:tcPr>
          <w:p w14:paraId="03582943">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Total</w:t>
            </w:r>
          </w:p>
        </w:tc>
        <w:tc>
          <w:tcPr>
            <w:tcW w:w="706" w:type="dxa"/>
          </w:tcPr>
          <w:p w14:paraId="4E18CDB5">
            <w:pPr>
              <w:spacing w:after="0" w:line="48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w:t>
            </w:r>
          </w:p>
        </w:tc>
      </w:tr>
      <w:tr w14:paraId="232420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38" w:hRule="atLeast"/>
        </w:trPr>
        <w:tc>
          <w:tcPr>
            <w:tcW w:w="2237" w:type="dxa"/>
            <w:gridSpan w:val="2"/>
          </w:tcPr>
          <w:p w14:paraId="05235ECC">
            <w:pPr>
              <w:spacing w:after="5" w:line="480" w:lineRule="auto"/>
              <w:ind w:right="37"/>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Library users should be provided with adequate open access information resources. </w:t>
            </w:r>
          </w:p>
        </w:tc>
        <w:tc>
          <w:tcPr>
            <w:tcW w:w="608" w:type="dxa"/>
            <w:gridSpan w:val="2"/>
          </w:tcPr>
          <w:p w14:paraId="4643DE82">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34</w:t>
            </w:r>
          </w:p>
        </w:tc>
        <w:tc>
          <w:tcPr>
            <w:tcW w:w="795" w:type="dxa"/>
          </w:tcPr>
          <w:p w14:paraId="2D1295A9">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14%</w:t>
            </w:r>
          </w:p>
        </w:tc>
        <w:tc>
          <w:tcPr>
            <w:tcW w:w="618" w:type="dxa"/>
          </w:tcPr>
          <w:p w14:paraId="504E3C0F">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47</w:t>
            </w:r>
          </w:p>
        </w:tc>
        <w:tc>
          <w:tcPr>
            <w:tcW w:w="706" w:type="dxa"/>
          </w:tcPr>
          <w:p w14:paraId="037D8C43">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19%</w:t>
            </w:r>
          </w:p>
        </w:tc>
        <w:tc>
          <w:tcPr>
            <w:tcW w:w="618" w:type="dxa"/>
          </w:tcPr>
          <w:p w14:paraId="4CAC3706">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105</w:t>
            </w:r>
          </w:p>
        </w:tc>
        <w:tc>
          <w:tcPr>
            <w:tcW w:w="706" w:type="dxa"/>
          </w:tcPr>
          <w:p w14:paraId="30444625">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43%</w:t>
            </w:r>
          </w:p>
        </w:tc>
        <w:tc>
          <w:tcPr>
            <w:tcW w:w="530" w:type="dxa"/>
          </w:tcPr>
          <w:p w14:paraId="7A538815">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59</w:t>
            </w:r>
          </w:p>
        </w:tc>
        <w:tc>
          <w:tcPr>
            <w:tcW w:w="706" w:type="dxa"/>
          </w:tcPr>
          <w:p w14:paraId="30A7EEE7">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24%</w:t>
            </w:r>
          </w:p>
        </w:tc>
        <w:tc>
          <w:tcPr>
            <w:tcW w:w="883" w:type="dxa"/>
          </w:tcPr>
          <w:p w14:paraId="07EAEE3C">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706" w:type="dxa"/>
          </w:tcPr>
          <w:p w14:paraId="7558CAF8">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22A42B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62" w:hRule="atLeast"/>
        </w:trPr>
        <w:tc>
          <w:tcPr>
            <w:tcW w:w="2237" w:type="dxa"/>
            <w:gridSpan w:val="2"/>
          </w:tcPr>
          <w:p w14:paraId="3B47475B">
            <w:pPr>
              <w:spacing w:after="5" w:line="480" w:lineRule="auto"/>
              <w:ind w:right="37"/>
              <w:jc w:val="both"/>
              <w:rPr>
                <w:rFonts w:ascii="Times New Roman" w:hAnsi="Times New Roman" w:eastAsia="Calibri" w:cs="Times New Roman"/>
                <w:sz w:val="24"/>
                <w:szCs w:val="24"/>
              </w:rPr>
            </w:pPr>
            <w:r>
              <w:rPr>
                <w:rFonts w:ascii="Times New Roman" w:hAnsi="Times New Roman" w:eastAsia="Calibri" w:cs="Times New Roman"/>
                <w:sz w:val="24"/>
                <w:szCs w:val="24"/>
              </w:rPr>
              <w:t>More open access resources tools should be accepted, adopted and maintained in the library.</w:t>
            </w:r>
          </w:p>
        </w:tc>
        <w:tc>
          <w:tcPr>
            <w:tcW w:w="608" w:type="dxa"/>
            <w:gridSpan w:val="2"/>
          </w:tcPr>
          <w:p w14:paraId="261C5B1A">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55</w:t>
            </w:r>
          </w:p>
        </w:tc>
        <w:tc>
          <w:tcPr>
            <w:tcW w:w="795" w:type="dxa"/>
          </w:tcPr>
          <w:p w14:paraId="1C8E00CE">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22%</w:t>
            </w:r>
          </w:p>
        </w:tc>
        <w:tc>
          <w:tcPr>
            <w:tcW w:w="618" w:type="dxa"/>
          </w:tcPr>
          <w:p w14:paraId="0C99AC70">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92</w:t>
            </w:r>
          </w:p>
        </w:tc>
        <w:tc>
          <w:tcPr>
            <w:tcW w:w="706" w:type="dxa"/>
          </w:tcPr>
          <w:p w14:paraId="204DC361">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38%</w:t>
            </w:r>
          </w:p>
        </w:tc>
        <w:tc>
          <w:tcPr>
            <w:tcW w:w="618" w:type="dxa"/>
          </w:tcPr>
          <w:p w14:paraId="3EF14BC6">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43</w:t>
            </w:r>
          </w:p>
        </w:tc>
        <w:tc>
          <w:tcPr>
            <w:tcW w:w="706" w:type="dxa"/>
          </w:tcPr>
          <w:p w14:paraId="22E2108C">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18%</w:t>
            </w:r>
          </w:p>
        </w:tc>
        <w:tc>
          <w:tcPr>
            <w:tcW w:w="530" w:type="dxa"/>
          </w:tcPr>
          <w:p w14:paraId="183885D2">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55</w:t>
            </w:r>
          </w:p>
        </w:tc>
        <w:tc>
          <w:tcPr>
            <w:tcW w:w="706" w:type="dxa"/>
          </w:tcPr>
          <w:p w14:paraId="7E73CAB3">
            <w:pPr>
              <w:spacing w:after="0"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22%</w:t>
            </w:r>
          </w:p>
        </w:tc>
        <w:tc>
          <w:tcPr>
            <w:tcW w:w="883" w:type="dxa"/>
          </w:tcPr>
          <w:p w14:paraId="65A78EB2">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706" w:type="dxa"/>
          </w:tcPr>
          <w:p w14:paraId="70A96A5F">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49C205A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83" w:hRule="atLeast"/>
        </w:trPr>
        <w:tc>
          <w:tcPr>
            <w:tcW w:w="2237" w:type="dxa"/>
            <w:gridSpan w:val="2"/>
          </w:tcPr>
          <w:p w14:paraId="6F8C41F3">
            <w:pPr>
              <w:spacing w:after="5" w:line="480" w:lineRule="auto"/>
              <w:ind w:right="37"/>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The library should properly adopt Information and Communication Technology (ICT) in order to manage open access information resources. </w:t>
            </w:r>
          </w:p>
        </w:tc>
        <w:tc>
          <w:tcPr>
            <w:tcW w:w="608" w:type="dxa"/>
            <w:gridSpan w:val="2"/>
          </w:tcPr>
          <w:p w14:paraId="46E5D6FF">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60</w:t>
            </w:r>
          </w:p>
        </w:tc>
        <w:tc>
          <w:tcPr>
            <w:tcW w:w="795" w:type="dxa"/>
          </w:tcPr>
          <w:p w14:paraId="446EAF46">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24%</w:t>
            </w:r>
          </w:p>
        </w:tc>
        <w:tc>
          <w:tcPr>
            <w:tcW w:w="618" w:type="dxa"/>
          </w:tcPr>
          <w:p w14:paraId="7C0E5A59">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80</w:t>
            </w:r>
          </w:p>
        </w:tc>
        <w:tc>
          <w:tcPr>
            <w:tcW w:w="706" w:type="dxa"/>
          </w:tcPr>
          <w:p w14:paraId="004438C0">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33%</w:t>
            </w:r>
          </w:p>
        </w:tc>
        <w:tc>
          <w:tcPr>
            <w:tcW w:w="618" w:type="dxa"/>
          </w:tcPr>
          <w:p w14:paraId="0489DC5C">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62</w:t>
            </w:r>
          </w:p>
        </w:tc>
        <w:tc>
          <w:tcPr>
            <w:tcW w:w="706" w:type="dxa"/>
          </w:tcPr>
          <w:p w14:paraId="0BFC59CE">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530" w:type="dxa"/>
          </w:tcPr>
          <w:p w14:paraId="5E8A2911">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43</w:t>
            </w:r>
          </w:p>
        </w:tc>
        <w:tc>
          <w:tcPr>
            <w:tcW w:w="706" w:type="dxa"/>
          </w:tcPr>
          <w:p w14:paraId="73E6C7F1">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18%</w:t>
            </w:r>
          </w:p>
        </w:tc>
        <w:tc>
          <w:tcPr>
            <w:tcW w:w="883" w:type="dxa"/>
          </w:tcPr>
          <w:p w14:paraId="0B6CA02A">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706" w:type="dxa"/>
          </w:tcPr>
          <w:p w14:paraId="644D730C">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6CA6C53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38" w:hRule="atLeast"/>
        </w:trPr>
        <w:tc>
          <w:tcPr>
            <w:tcW w:w="2237" w:type="dxa"/>
            <w:gridSpan w:val="2"/>
          </w:tcPr>
          <w:p w14:paraId="721E9DE0">
            <w:pPr>
              <w:spacing w:after="5" w:line="480" w:lineRule="auto"/>
              <w:ind w:right="37"/>
              <w:jc w:val="both"/>
              <w:rPr>
                <w:rFonts w:ascii="Times New Roman" w:hAnsi="Times New Roman" w:eastAsia="Calibri" w:cs="Times New Roman"/>
                <w:sz w:val="24"/>
                <w:szCs w:val="24"/>
              </w:rPr>
            </w:pPr>
            <w:r>
              <w:rPr>
                <w:rFonts w:ascii="Times New Roman" w:hAnsi="Times New Roman" w:eastAsia="Calibri" w:cs="Times New Roman"/>
                <w:sz w:val="24"/>
                <w:szCs w:val="24"/>
              </w:rPr>
              <w:t>Adequate funds should often be released tirelessly to libraries for library internet projects.</w:t>
            </w:r>
          </w:p>
        </w:tc>
        <w:tc>
          <w:tcPr>
            <w:tcW w:w="608" w:type="dxa"/>
            <w:gridSpan w:val="2"/>
          </w:tcPr>
          <w:p w14:paraId="172B986A">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90</w:t>
            </w:r>
          </w:p>
        </w:tc>
        <w:tc>
          <w:tcPr>
            <w:tcW w:w="795" w:type="dxa"/>
          </w:tcPr>
          <w:p w14:paraId="0B81B3F3">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37%</w:t>
            </w:r>
          </w:p>
        </w:tc>
        <w:tc>
          <w:tcPr>
            <w:tcW w:w="618" w:type="dxa"/>
          </w:tcPr>
          <w:p w14:paraId="32D1D2DD">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62</w:t>
            </w:r>
          </w:p>
        </w:tc>
        <w:tc>
          <w:tcPr>
            <w:tcW w:w="706" w:type="dxa"/>
          </w:tcPr>
          <w:p w14:paraId="40EF5A78">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618" w:type="dxa"/>
          </w:tcPr>
          <w:p w14:paraId="6BBB76BB">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61</w:t>
            </w:r>
          </w:p>
        </w:tc>
        <w:tc>
          <w:tcPr>
            <w:tcW w:w="706" w:type="dxa"/>
          </w:tcPr>
          <w:p w14:paraId="1DFC8A1E">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530" w:type="dxa"/>
          </w:tcPr>
          <w:p w14:paraId="1C75782D">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32</w:t>
            </w:r>
          </w:p>
        </w:tc>
        <w:tc>
          <w:tcPr>
            <w:tcW w:w="706" w:type="dxa"/>
          </w:tcPr>
          <w:p w14:paraId="3C51E3F2">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13%</w:t>
            </w:r>
          </w:p>
        </w:tc>
        <w:tc>
          <w:tcPr>
            <w:tcW w:w="883" w:type="dxa"/>
          </w:tcPr>
          <w:p w14:paraId="30FF1F9F">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706" w:type="dxa"/>
          </w:tcPr>
          <w:p w14:paraId="6476FCCB">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1916D9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638" w:hRule="atLeast"/>
        </w:trPr>
        <w:tc>
          <w:tcPr>
            <w:tcW w:w="2237" w:type="dxa"/>
            <w:gridSpan w:val="2"/>
          </w:tcPr>
          <w:p w14:paraId="7E94D9F4">
            <w:pPr>
              <w:spacing w:after="5" w:line="480" w:lineRule="auto"/>
              <w:ind w:right="37"/>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Functional computers should be made available by the library for the library users. </w:t>
            </w:r>
          </w:p>
        </w:tc>
        <w:tc>
          <w:tcPr>
            <w:tcW w:w="608" w:type="dxa"/>
            <w:gridSpan w:val="2"/>
          </w:tcPr>
          <w:p w14:paraId="256F7163">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84</w:t>
            </w:r>
          </w:p>
        </w:tc>
        <w:tc>
          <w:tcPr>
            <w:tcW w:w="795" w:type="dxa"/>
          </w:tcPr>
          <w:p w14:paraId="5FDD2770">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34%</w:t>
            </w:r>
          </w:p>
        </w:tc>
        <w:tc>
          <w:tcPr>
            <w:tcW w:w="618" w:type="dxa"/>
          </w:tcPr>
          <w:p w14:paraId="3C331B3B">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82</w:t>
            </w:r>
          </w:p>
        </w:tc>
        <w:tc>
          <w:tcPr>
            <w:tcW w:w="706" w:type="dxa"/>
          </w:tcPr>
          <w:p w14:paraId="17CC8769">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34%</w:t>
            </w:r>
          </w:p>
        </w:tc>
        <w:tc>
          <w:tcPr>
            <w:tcW w:w="618" w:type="dxa"/>
          </w:tcPr>
          <w:p w14:paraId="35AF7E2C">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47</w:t>
            </w:r>
          </w:p>
        </w:tc>
        <w:tc>
          <w:tcPr>
            <w:tcW w:w="706" w:type="dxa"/>
          </w:tcPr>
          <w:p w14:paraId="5A70DA98">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19%</w:t>
            </w:r>
          </w:p>
        </w:tc>
        <w:tc>
          <w:tcPr>
            <w:tcW w:w="530" w:type="dxa"/>
          </w:tcPr>
          <w:p w14:paraId="38D803F3">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32</w:t>
            </w:r>
          </w:p>
        </w:tc>
        <w:tc>
          <w:tcPr>
            <w:tcW w:w="706" w:type="dxa"/>
          </w:tcPr>
          <w:p w14:paraId="4B30027A">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13%</w:t>
            </w:r>
          </w:p>
        </w:tc>
        <w:tc>
          <w:tcPr>
            <w:tcW w:w="883" w:type="dxa"/>
          </w:tcPr>
          <w:p w14:paraId="2F4451E9">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706" w:type="dxa"/>
          </w:tcPr>
          <w:p w14:paraId="10AE2A6F">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r w14:paraId="1A832D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7" w:hRule="atLeast"/>
        </w:trPr>
        <w:tc>
          <w:tcPr>
            <w:tcW w:w="2237" w:type="dxa"/>
            <w:gridSpan w:val="2"/>
          </w:tcPr>
          <w:p w14:paraId="191574EA">
            <w:pPr>
              <w:spacing w:after="5" w:line="480" w:lineRule="auto"/>
              <w:ind w:right="37"/>
              <w:jc w:val="both"/>
              <w:rPr>
                <w:rFonts w:ascii="Times New Roman" w:hAnsi="Times New Roman" w:eastAsia="Calibri" w:cs="Times New Roman"/>
                <w:sz w:val="24"/>
                <w:szCs w:val="24"/>
              </w:rPr>
            </w:pPr>
            <w:r>
              <w:rPr>
                <w:rFonts w:ascii="Times New Roman" w:hAnsi="Times New Roman" w:eastAsia="Calibri" w:cs="Times New Roman"/>
                <w:sz w:val="22"/>
                <w:szCs w:val="22"/>
              </w:rPr>
              <w:t>Library should ensure that internet facilities and services are made available for open access information resources.</w:t>
            </w:r>
          </w:p>
        </w:tc>
        <w:tc>
          <w:tcPr>
            <w:tcW w:w="608" w:type="dxa"/>
            <w:gridSpan w:val="2"/>
          </w:tcPr>
          <w:p w14:paraId="565A5AE8">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82</w:t>
            </w:r>
          </w:p>
        </w:tc>
        <w:tc>
          <w:tcPr>
            <w:tcW w:w="795" w:type="dxa"/>
          </w:tcPr>
          <w:p w14:paraId="024B78F8">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33%</w:t>
            </w:r>
          </w:p>
        </w:tc>
        <w:tc>
          <w:tcPr>
            <w:tcW w:w="618" w:type="dxa"/>
          </w:tcPr>
          <w:p w14:paraId="512C552A">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67</w:t>
            </w:r>
          </w:p>
        </w:tc>
        <w:tc>
          <w:tcPr>
            <w:tcW w:w="706" w:type="dxa"/>
          </w:tcPr>
          <w:p w14:paraId="4E885825">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27%</w:t>
            </w:r>
          </w:p>
        </w:tc>
        <w:tc>
          <w:tcPr>
            <w:tcW w:w="618" w:type="dxa"/>
          </w:tcPr>
          <w:p w14:paraId="677CA8E1">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53</w:t>
            </w:r>
          </w:p>
        </w:tc>
        <w:tc>
          <w:tcPr>
            <w:tcW w:w="706" w:type="dxa"/>
          </w:tcPr>
          <w:p w14:paraId="38825416">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22%</w:t>
            </w:r>
          </w:p>
        </w:tc>
        <w:tc>
          <w:tcPr>
            <w:tcW w:w="530" w:type="dxa"/>
          </w:tcPr>
          <w:p w14:paraId="1AD93D4D">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43</w:t>
            </w:r>
          </w:p>
        </w:tc>
        <w:tc>
          <w:tcPr>
            <w:tcW w:w="706" w:type="dxa"/>
          </w:tcPr>
          <w:p w14:paraId="581575E5">
            <w:pPr>
              <w:spacing w:after="0" w:line="480" w:lineRule="auto"/>
              <w:ind w:right="-270"/>
              <w:jc w:val="both"/>
              <w:rPr>
                <w:rFonts w:ascii="Times New Roman" w:hAnsi="Times New Roman" w:eastAsia="Calibri" w:cs="Times New Roman"/>
                <w:sz w:val="24"/>
                <w:szCs w:val="24"/>
              </w:rPr>
            </w:pPr>
            <w:r>
              <w:rPr>
                <w:rFonts w:ascii="Times New Roman" w:hAnsi="Times New Roman" w:eastAsia="Calibri" w:cs="Times New Roman"/>
                <w:sz w:val="24"/>
                <w:szCs w:val="24"/>
              </w:rPr>
              <w:t>18%</w:t>
            </w:r>
          </w:p>
        </w:tc>
        <w:tc>
          <w:tcPr>
            <w:tcW w:w="883" w:type="dxa"/>
          </w:tcPr>
          <w:p w14:paraId="27E549A9">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245</w:t>
            </w:r>
          </w:p>
        </w:tc>
        <w:tc>
          <w:tcPr>
            <w:tcW w:w="706" w:type="dxa"/>
          </w:tcPr>
          <w:p w14:paraId="460A1529">
            <w:pPr>
              <w:spacing w:after="0" w:line="480" w:lineRule="auto"/>
              <w:ind w:right="-270"/>
              <w:jc w:val="both"/>
              <w:rPr>
                <w:rFonts w:ascii="Times New Roman" w:hAnsi="Times New Roman" w:eastAsia="Calibri" w:cs="Times New Roman"/>
                <w:b/>
                <w:sz w:val="24"/>
                <w:szCs w:val="24"/>
              </w:rPr>
            </w:pPr>
            <w:r>
              <w:rPr>
                <w:rFonts w:ascii="Times New Roman" w:hAnsi="Times New Roman" w:eastAsia="Calibri" w:cs="Times New Roman"/>
                <w:b/>
                <w:sz w:val="24"/>
                <w:szCs w:val="24"/>
              </w:rPr>
              <w:t>100%</w:t>
            </w:r>
          </w:p>
        </w:tc>
      </w:tr>
    </w:tbl>
    <w:p w14:paraId="044ACF3F">
      <w:pPr>
        <w:spacing w:line="480" w:lineRule="auto"/>
        <w:jc w:val="both"/>
        <w:rPr>
          <w:rFonts w:hint="default" w:ascii="Times New Roman" w:hAnsi="Times New Roman" w:cs="Times New Roman"/>
          <w:sz w:val="24"/>
          <w:szCs w:val="24"/>
          <w:lang w:val="en-US"/>
        </w:rPr>
      </w:pPr>
      <w:r>
        <w:rPr>
          <w:rFonts w:ascii="Times New Roman" w:hAnsi="Times New Roman" w:cs="Times New Roman"/>
          <w:b/>
          <w:bCs/>
          <w:sz w:val="24"/>
          <w:szCs w:val="24"/>
        </w:rPr>
        <w:t>Source:</w:t>
      </w:r>
      <w:r>
        <w:rPr>
          <w:rFonts w:ascii="Times New Roman" w:hAnsi="Times New Roman" w:cs="Times New Roman"/>
          <w:sz w:val="24"/>
          <w:szCs w:val="24"/>
        </w:rPr>
        <w:t xml:space="preserve"> Field survey, 202</w:t>
      </w:r>
      <w:r>
        <w:rPr>
          <w:rFonts w:hint="default" w:ascii="Times New Roman" w:hAnsi="Times New Roman" w:cs="Times New Roman"/>
          <w:sz w:val="24"/>
          <w:szCs w:val="24"/>
          <w:lang w:val="en-US"/>
        </w:rPr>
        <w:t>5</w:t>
      </w:r>
    </w:p>
    <w:p w14:paraId="190F753B">
      <w:pPr>
        <w:spacing w:line="360" w:lineRule="auto"/>
        <w:jc w:val="both"/>
        <w:rPr>
          <w:rFonts w:ascii="Times New Roman" w:hAnsi="Times New Roman" w:cs="Times New Roman"/>
          <w:sz w:val="24"/>
          <w:szCs w:val="24"/>
        </w:rPr>
      </w:pPr>
      <w:r>
        <w:rPr>
          <w:rFonts w:ascii="Times New Roman" w:hAnsi="Times New Roman" w:cs="Times New Roman"/>
          <w:sz w:val="24"/>
          <w:szCs w:val="24"/>
        </w:rPr>
        <w:t>Table 4.3.11 above shows the solutions to the factors affecting the acceptance and adoption of open access for learning and research by the library users; 34 respondent representing (14%) strongly agreed that library users should be provided with adequate open access information resources, 47 respondent representing (19%) agreed, 105 respondent representing (43%) strongly disagreed while 59 respondent representing (24%) disagreed. 55 respondent representing (22%) strongly agreed that more open access resources tools should be accepted, adopted and maintained in the library, 92 respondent representing (38%) agreed, 43 respondent representing (18%) strongly disagreed while 55 respondent representing (22%) disagreed. 60 respondent representing (24%) strongly agreed that the library should properly adopt ICT in order to manage open access resources, 80 respondent representing (33%) agreed, 62 respondent representing (25%) strongly disagreed while 43 respondent representing (18%) disagreed. 90 respondent representing (37%) strongly agreed and 62 respondent representing (25%) agreed that adequate funds should often release tirelessly for library internet projects, 61 respondent representing (25%) strongly disagreed and 32 respondent representing (13%) disagreed. 84 respondent representing (34%) strongly agreed and 82 respondent representing (34%) agreed functioning computers should be made available for the library users, 47 respondent representing (19%) strongly disagreed while 32 respondent representing (13%) disagreed the statements. 82 respondent representing (33%) strongly agreed that library should ensure that internet facilities and services are made available for open access information resources, 120 respondent representing (49%) agreed, while 53 respondent representing (22%) strongly disagreed and 43 respondent representing (18%) disagreed. This analysis implies that library users should be provided with adequate open access information resources, more open access resources tools should be accepted, adopted and maintained in the library, adequate funds should often be released tirelessly to libraries for library internet projects, library should ensure that internet facilities and services are made available for open access information resources, and functional computers should be made available by the library for the library users, these measures among other are some of the solutions to the factors affecting the acceptance and adoption of open access for learning and research.</w:t>
      </w:r>
    </w:p>
    <w:p w14:paraId="2C32F0E2">
      <w:pPr>
        <w:spacing w:after="5" w:line="480" w:lineRule="auto"/>
        <w:ind w:right="37"/>
        <w:jc w:val="both"/>
        <w:rPr>
          <w:rFonts w:ascii="Times New Roman" w:hAnsi="Times New Roman" w:cs="Times New Roman"/>
          <w:sz w:val="24"/>
          <w:szCs w:val="24"/>
        </w:rPr>
      </w:pPr>
      <w:r>
        <w:rPr>
          <w:rFonts w:ascii="Times New Roman" w:hAnsi="Times New Roman" w:cs="Times New Roman"/>
          <w:b/>
          <w:sz w:val="24"/>
          <w:szCs w:val="24"/>
        </w:rPr>
        <w:t>4.5</w:t>
      </w:r>
      <w:r>
        <w:rPr>
          <w:rFonts w:ascii="Times New Roman" w:hAnsi="Times New Roman" w:cs="Times New Roman"/>
          <w:b/>
          <w:sz w:val="24"/>
          <w:szCs w:val="24"/>
        </w:rPr>
        <w:tab/>
      </w:r>
      <w:r>
        <w:rPr>
          <w:rFonts w:ascii="Times New Roman" w:hAnsi="Times New Roman" w:cs="Times New Roman"/>
          <w:b/>
          <w:sz w:val="24"/>
          <w:szCs w:val="24"/>
        </w:rPr>
        <w:t xml:space="preserve">Discussion of Findings </w:t>
      </w:r>
    </w:p>
    <w:p w14:paraId="539E27ED">
      <w:pPr>
        <w:spacing w:after="0" w:line="480" w:lineRule="auto"/>
        <w:ind w:right="51"/>
        <w:jc w:val="both"/>
        <w:rPr>
          <w:rFonts w:ascii="Times New Roman" w:hAnsi="Times New Roman" w:cs="Times New Roman"/>
          <w:sz w:val="24"/>
          <w:szCs w:val="24"/>
        </w:rPr>
      </w:pPr>
      <w:r>
        <w:rPr>
          <w:rFonts w:ascii="Times New Roman" w:hAnsi="Times New Roman" w:cs="Times New Roman"/>
          <w:sz w:val="24"/>
          <w:szCs w:val="24"/>
        </w:rPr>
        <w:t xml:space="preserve">Result showed that </w:t>
      </w:r>
      <w:r>
        <w:rPr>
          <w:rFonts w:hint="default" w:ascii="Times New Roman" w:hAnsi="Times New Roman" w:cs="Times New Roman"/>
          <w:sz w:val="24"/>
          <w:szCs w:val="24"/>
          <w:lang w:val="en-US"/>
        </w:rPr>
        <w:t>University of ilorin library</w:t>
      </w:r>
      <w:r>
        <w:rPr>
          <w:rFonts w:ascii="Times New Roman" w:hAnsi="Times New Roman" w:cs="Times New Roman"/>
          <w:sz w:val="24"/>
          <w:szCs w:val="24"/>
        </w:rPr>
        <w:t xml:space="preserve">, Kwara State accept and adopted open access information resources such as Repository bases pr green open access, journal based or gold open access, diamond open access, hybrid open access, bronze open access, black open access This is in line with Brockett &amp; Roger (2016). That identified various types of open access resources as institutional repository. Finding of the study revealed that the major tool for open access adoption in Federal </w:t>
      </w:r>
      <w:r>
        <w:rPr>
          <w:rFonts w:hint="default" w:ascii="Times New Roman" w:hAnsi="Times New Roman" w:cs="Times New Roman"/>
          <w:sz w:val="24"/>
          <w:szCs w:val="24"/>
          <w:lang w:val="en-US"/>
        </w:rPr>
        <w:t>University</w:t>
      </w:r>
      <w:r>
        <w:rPr>
          <w:rFonts w:ascii="Times New Roman" w:hAnsi="Times New Roman" w:cs="Times New Roman"/>
          <w:sz w:val="24"/>
          <w:szCs w:val="24"/>
        </w:rPr>
        <w:t xml:space="preserve"> library is the computer. Others include internet facilities and services, Directory of Open Access Journals (DOAJ), </w:t>
      </w:r>
      <w:r>
        <w:rPr>
          <w:rFonts w:ascii="Times New Roman" w:hAnsi="Times New Roman" w:eastAsia="Times New Roman" w:cs="Times New Roman"/>
          <w:sz w:val="24"/>
          <w:szCs w:val="24"/>
        </w:rPr>
        <w:t>Registry of Open Access Repositories (ROAR)</w:t>
      </w:r>
      <w:r>
        <w:rPr>
          <w:rFonts w:ascii="Times New Roman" w:hAnsi="Times New Roman" w:cs="Times New Roman"/>
          <w:sz w:val="24"/>
          <w:szCs w:val="24"/>
        </w:rPr>
        <w:t xml:space="preserve"> </w:t>
      </w:r>
      <w:r>
        <w:rPr>
          <w:rFonts w:ascii="Times New Roman" w:hAnsi="Times New Roman" w:eastAsia="Times New Roman" w:cs="Times New Roman"/>
          <w:sz w:val="24"/>
          <w:szCs w:val="24"/>
        </w:rPr>
        <w:t>and Infrastructure Services for Open Access (IS4OA) .etc</w:t>
      </w:r>
      <w:r>
        <w:rPr>
          <w:rFonts w:ascii="Times New Roman" w:hAnsi="Times New Roman" w:cs="Times New Roman"/>
          <w:sz w:val="24"/>
          <w:szCs w:val="24"/>
        </w:rPr>
        <w:t xml:space="preserve">. Open source institutional repository software, open journal systems, open harvester systems, and e-book reading technology. This agreed with (Wikipedia, 2022) that identified open access information resources tools as open source institutional repository software, open journal systems and open harvester systems. The study revealed that there are many factors that affect adoption of open access for learning and research in </w:t>
      </w:r>
      <w:r>
        <w:rPr>
          <w:rFonts w:hint="default" w:ascii="Times New Roman" w:hAnsi="Times New Roman" w:cs="Times New Roman"/>
          <w:sz w:val="24"/>
          <w:szCs w:val="24"/>
          <w:lang w:val="en-US"/>
        </w:rPr>
        <w:t>University of ilorin</w:t>
      </w:r>
      <w:r>
        <w:rPr>
          <w:rFonts w:ascii="Times New Roman" w:hAnsi="Times New Roman" w:cs="Times New Roman"/>
          <w:sz w:val="24"/>
          <w:szCs w:val="24"/>
        </w:rPr>
        <w:t xml:space="preserve"> library which include: poor website design, lack of print provision, lack of online help, poor description of legal information, too many login requires, lack of open source institutional repository software, inadequate knowledge about ICT / open access adoption by library, lack of Open harvester systems as well as lack of open access awareness and it benefits. This in line with (Kim, 2020) who opined that hardware concern is the main issue for library and information managers to accept and adopt open access resources in libraries.</w:t>
      </w:r>
    </w:p>
    <w:p w14:paraId="392CC938">
      <w:pPr>
        <w:spacing w:after="0" w:line="480" w:lineRule="auto"/>
        <w:ind w:right="38"/>
        <w:jc w:val="both"/>
        <w:rPr>
          <w:rFonts w:ascii="Times New Roman" w:hAnsi="Times New Roman" w:cs="Times New Roman"/>
          <w:sz w:val="24"/>
          <w:szCs w:val="24"/>
        </w:rPr>
      </w:pPr>
      <w:r>
        <w:rPr>
          <w:rFonts w:ascii="Times New Roman" w:hAnsi="Times New Roman" w:cs="Times New Roman"/>
          <w:sz w:val="24"/>
          <w:szCs w:val="24"/>
        </w:rPr>
        <w:t xml:space="preserve">The results revealed that the major strategy for enhancing adoption of open access for learning and research in </w:t>
      </w:r>
      <w:r>
        <w:rPr>
          <w:rFonts w:hint="default" w:ascii="Times New Roman" w:hAnsi="Times New Roman" w:cs="Times New Roman"/>
          <w:sz w:val="24"/>
          <w:szCs w:val="24"/>
          <w:lang w:val="en-US"/>
        </w:rPr>
        <w:t>University of ilorin</w:t>
      </w:r>
      <w:r>
        <w:rPr>
          <w:rFonts w:ascii="Times New Roman" w:hAnsi="Times New Roman" w:cs="Times New Roman"/>
          <w:sz w:val="24"/>
          <w:szCs w:val="24"/>
        </w:rPr>
        <w:t xml:space="preserve"> library is that </w:t>
      </w:r>
      <w:r>
        <w:rPr>
          <w:rFonts w:hint="default" w:ascii="Times New Roman" w:hAnsi="Times New Roman" w:cs="Times New Roman"/>
          <w:sz w:val="24"/>
          <w:szCs w:val="24"/>
          <w:lang w:val="en-US"/>
        </w:rPr>
        <w:t>University</w:t>
      </w:r>
      <w:r>
        <w:rPr>
          <w:rFonts w:ascii="Times New Roman" w:hAnsi="Times New Roman" w:cs="Times New Roman"/>
          <w:sz w:val="24"/>
          <w:szCs w:val="24"/>
        </w:rPr>
        <w:t xml:space="preserve"> library should adopt ICT in order to enable them manage open access resources. This is followed by releasing of more funds to Federal polytechnic library for library ICT (internet) projects, provision of functional computers by the Federal </w:t>
      </w:r>
      <w:r>
        <w:rPr>
          <w:rFonts w:hint="default" w:ascii="Times New Roman" w:hAnsi="Times New Roman" w:cs="Times New Roman"/>
          <w:sz w:val="24"/>
          <w:szCs w:val="24"/>
          <w:lang w:val="en-US"/>
        </w:rPr>
        <w:t>university</w:t>
      </w:r>
      <w:r>
        <w:rPr>
          <w:rFonts w:ascii="Times New Roman" w:hAnsi="Times New Roman" w:cs="Times New Roman"/>
          <w:sz w:val="24"/>
          <w:szCs w:val="24"/>
        </w:rPr>
        <w:t xml:space="preserve"> library, provision of adequate internet facilities and services by the </w:t>
      </w:r>
      <w:r>
        <w:rPr>
          <w:rFonts w:hint="default" w:ascii="Times New Roman" w:hAnsi="Times New Roman" w:cs="Times New Roman"/>
          <w:sz w:val="24"/>
          <w:szCs w:val="24"/>
          <w:lang w:val="en-US"/>
        </w:rPr>
        <w:t>university</w:t>
      </w:r>
      <w:r>
        <w:rPr>
          <w:rFonts w:ascii="Times New Roman" w:hAnsi="Times New Roman" w:cs="Times New Roman"/>
          <w:sz w:val="24"/>
          <w:szCs w:val="24"/>
        </w:rPr>
        <w:t xml:space="preserve"> library, initiation of open journal systems by the Federal </w:t>
      </w:r>
      <w:r>
        <w:rPr>
          <w:rFonts w:hint="default" w:ascii="Times New Roman" w:hAnsi="Times New Roman" w:cs="Times New Roman"/>
          <w:sz w:val="24"/>
          <w:szCs w:val="24"/>
          <w:lang w:val="en-US"/>
        </w:rPr>
        <w:t>university</w:t>
      </w:r>
      <w:r>
        <w:rPr>
          <w:rFonts w:ascii="Times New Roman" w:hAnsi="Times New Roman" w:cs="Times New Roman"/>
          <w:sz w:val="24"/>
          <w:szCs w:val="24"/>
        </w:rPr>
        <w:t xml:space="preserve"> library for the purpose of open access as well as provision and adoption of open source institutional repository software for the purpose of open access by the </w:t>
      </w:r>
      <w:r>
        <w:rPr>
          <w:rFonts w:hint="default" w:ascii="Times New Roman" w:hAnsi="Times New Roman" w:cs="Times New Roman"/>
          <w:sz w:val="24"/>
          <w:szCs w:val="24"/>
          <w:lang w:val="en-US"/>
        </w:rPr>
        <w:t>University</w:t>
      </w:r>
      <w:r>
        <w:rPr>
          <w:rFonts w:ascii="Times New Roman" w:hAnsi="Times New Roman" w:cs="Times New Roman"/>
          <w:sz w:val="24"/>
          <w:szCs w:val="24"/>
        </w:rPr>
        <w:t xml:space="preserve"> library. This is in line with (Blixrud, 2022) who suggested that libraries should play an important role in effectively managing and preserving the open access resources so as to adopt to the information needs of not only today’s society but also to the future understanding of the past. This in collaboration with (Blixrud 2022) who maintained that libraries need to focus more on providing services based on open access resources along with their library and information services. </w:t>
      </w:r>
    </w:p>
    <w:p w14:paraId="5708C896">
      <w:pPr>
        <w:spacing w:after="0" w:line="480" w:lineRule="auto"/>
        <w:ind w:right="38"/>
        <w:jc w:val="both"/>
        <w:rPr>
          <w:rFonts w:ascii="Times New Roman" w:hAnsi="Times New Roman" w:cs="Times New Roman"/>
          <w:sz w:val="24"/>
          <w:szCs w:val="24"/>
        </w:rPr>
      </w:pPr>
    </w:p>
    <w:p w14:paraId="7F77EF8E">
      <w:pPr>
        <w:spacing w:after="0" w:line="480" w:lineRule="auto"/>
        <w:ind w:right="38"/>
        <w:jc w:val="both"/>
        <w:rPr>
          <w:rFonts w:ascii="Times New Roman" w:hAnsi="Times New Roman" w:cs="Times New Roman"/>
          <w:sz w:val="24"/>
          <w:szCs w:val="24"/>
        </w:rPr>
      </w:pPr>
    </w:p>
    <w:p w14:paraId="22E7EFBC">
      <w:pPr>
        <w:spacing w:after="0" w:line="480" w:lineRule="auto"/>
        <w:ind w:right="38"/>
        <w:jc w:val="both"/>
        <w:rPr>
          <w:rFonts w:ascii="Times New Roman" w:hAnsi="Times New Roman" w:cs="Times New Roman"/>
          <w:sz w:val="24"/>
          <w:szCs w:val="24"/>
        </w:rPr>
      </w:pPr>
    </w:p>
    <w:p w14:paraId="131692B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14:paraId="45F58258">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SUMMARY OF FINDINGS, CONCLUSION AND RECOMMENDATIONS</w:t>
      </w:r>
    </w:p>
    <w:p w14:paraId="63C3FAF2">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5.1 </w:t>
      </w:r>
      <w:r>
        <w:rPr>
          <w:rFonts w:ascii="Times New Roman" w:hAnsi="Times New Roman" w:cs="Times New Roman"/>
          <w:b/>
          <w:sz w:val="24"/>
          <w:szCs w:val="24"/>
        </w:rPr>
        <w:tab/>
      </w:r>
      <w:r>
        <w:rPr>
          <w:rFonts w:ascii="Times New Roman" w:hAnsi="Times New Roman" w:cs="Times New Roman"/>
          <w:b/>
          <w:sz w:val="24"/>
          <w:szCs w:val="24"/>
        </w:rPr>
        <w:t xml:space="preserve">Introduction </w:t>
      </w:r>
    </w:p>
    <w:p w14:paraId="1AF55657">
      <w:pPr>
        <w:spacing w:before="240" w:line="480" w:lineRule="auto"/>
        <w:jc w:val="both"/>
        <w:rPr>
          <w:rFonts w:ascii="Times New Roman" w:hAnsi="Times New Roman" w:cs="Times New Roman"/>
          <w:sz w:val="24"/>
          <w:szCs w:val="24"/>
        </w:rPr>
      </w:pPr>
      <w:r>
        <w:rPr>
          <w:rFonts w:ascii="Times New Roman" w:hAnsi="Times New Roman" w:cs="Times New Roman"/>
          <w:sz w:val="24"/>
          <w:szCs w:val="24"/>
        </w:rPr>
        <w:t>This chapter is basically designed to state the summary of the findings of this research conclusion and give necessary recommendation. This subsection provides some briefs of the main findings of the research. In essence, highlight of the study’s important findings include the following.</w:t>
      </w:r>
    </w:p>
    <w:p w14:paraId="59A003BA">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Pr>
          <w:rFonts w:ascii="Times New Roman" w:hAnsi="Times New Roman" w:cs="Times New Roman"/>
          <w:b/>
          <w:sz w:val="24"/>
          <w:szCs w:val="24"/>
        </w:rPr>
        <w:t>Summary of Findings</w:t>
      </w:r>
    </w:p>
    <w:p w14:paraId="597AAC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Open access can be seen as unrestricted visibility, provision and exploitation of external or scholarly publications. Open access movement is a reaction to the persistence traditional control-based models of scientific knowledge distribution characterized by high cost subscription journals. Generally with all learning there is an element within use of wishing to remember and understand why something happens and to do it better next time and Teaching on the other hand is a set of events, outside the learners which are designed to support internal process of learning. They need to be fully aware of the existence and usefulness of open access information resources in order to accept and adopt it for use by users of the libraries. In order to meet the information needs of the academic community, polytechnic libraries acquire not only print information resources which are sometimes keep under closed access but also acquire and provide access to open access resources which have limitless access. They gather information resources from time to time from different institutions related to their academic programs and such institutions websites, blogs, archives, repositories, publications e.g. books and journals et cetera are accessed as open access resources. This means that open access resources exists in different forms or types. </w:t>
      </w:r>
    </w:p>
    <w:p w14:paraId="2EBB4EA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The open access concept is gaining ground but is yet to be widely known among academics and researchers from various scholarly communities and research disciplines. The frequency usage of open access relies on the researcher being well informed of this mode of scholarly publishing. However, users of information gain from open access initiatives without prior knowledge of this mode of scholarly publishing. This is possible when users by accident gain access to both free and subscribed content while searching for information on the Internet It is essential that prior knowledge of this mode of scholarly publishing is known to users.</w:t>
      </w:r>
    </w:p>
    <w:p w14:paraId="2BD7B1A0">
      <w:pPr>
        <w:pStyle w:val="2"/>
        <w:spacing w:line="480"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5.3</w:t>
      </w:r>
      <w:r>
        <w:rPr>
          <w:rFonts w:ascii="Times New Roman" w:hAnsi="Times New Roman" w:cs="Times New Roman"/>
          <w:color w:val="auto"/>
          <w:sz w:val="24"/>
          <w:szCs w:val="24"/>
        </w:rPr>
        <w:tab/>
      </w:r>
      <w:r>
        <w:rPr>
          <w:rFonts w:ascii="Times New Roman" w:hAnsi="Times New Roman" w:cs="Times New Roman"/>
          <w:color w:val="auto"/>
          <w:sz w:val="24"/>
          <w:szCs w:val="24"/>
        </w:rPr>
        <w:t xml:space="preserve">Conclusion  </w:t>
      </w:r>
    </w:p>
    <w:p w14:paraId="55E52B5C">
      <w:pPr>
        <w:spacing w:line="480" w:lineRule="auto"/>
        <w:ind w:right="37"/>
        <w:jc w:val="both"/>
        <w:rPr>
          <w:rFonts w:ascii="Times New Roman" w:hAnsi="Times New Roman" w:cs="Times New Roman"/>
          <w:sz w:val="24"/>
          <w:szCs w:val="24"/>
        </w:rPr>
      </w:pPr>
      <w:r>
        <w:rPr>
          <w:rFonts w:ascii="Times New Roman" w:hAnsi="Times New Roman" w:cs="Times New Roman"/>
          <w:sz w:val="24"/>
          <w:szCs w:val="24"/>
        </w:rPr>
        <w:t xml:space="preserve">Open access information resources are vital tool of solving not only financial problems in libraries in general and </w:t>
      </w:r>
      <w:r>
        <w:rPr>
          <w:rFonts w:hint="default" w:ascii="Times New Roman" w:hAnsi="Times New Roman" w:cs="Times New Roman"/>
          <w:sz w:val="24"/>
          <w:szCs w:val="24"/>
          <w:lang w:val="en-US"/>
        </w:rPr>
        <w:t>federal university</w:t>
      </w:r>
      <w:r>
        <w:rPr>
          <w:rFonts w:ascii="Times New Roman" w:hAnsi="Times New Roman" w:cs="Times New Roman"/>
          <w:sz w:val="24"/>
          <w:szCs w:val="24"/>
        </w:rPr>
        <w:t xml:space="preserve"> library in particular but also enable </w:t>
      </w:r>
      <w:r>
        <w:rPr>
          <w:rFonts w:hint="default" w:ascii="Times New Roman" w:hAnsi="Times New Roman" w:cs="Times New Roman"/>
          <w:sz w:val="24"/>
          <w:szCs w:val="24"/>
          <w:lang w:val="en-US"/>
        </w:rPr>
        <w:t>university</w:t>
      </w:r>
      <w:r>
        <w:rPr>
          <w:rFonts w:ascii="Times New Roman" w:hAnsi="Times New Roman" w:cs="Times New Roman"/>
          <w:sz w:val="24"/>
          <w:szCs w:val="24"/>
        </w:rPr>
        <w:t xml:space="preserve"> library to keep pace with information explosion or changing trends in libraries. It is in this regards that federal </w:t>
      </w:r>
      <w:r>
        <w:rPr>
          <w:rFonts w:hint="default" w:ascii="Times New Roman" w:hAnsi="Times New Roman" w:cs="Times New Roman"/>
          <w:sz w:val="24"/>
          <w:szCs w:val="24"/>
          <w:lang w:val="en-US"/>
        </w:rPr>
        <w:t>university</w:t>
      </w:r>
      <w:r>
        <w:rPr>
          <w:rFonts w:ascii="Times New Roman" w:hAnsi="Times New Roman" w:cs="Times New Roman"/>
          <w:sz w:val="24"/>
          <w:szCs w:val="24"/>
        </w:rPr>
        <w:t xml:space="preserve"> library accepted and adopted open access information resources policy such as institutional repository, open journals, subject repository, e-books, personal websites, email list services, forums, and videos of lectures, government documents and audios with tools such as computers among others. However, findings of this study show that inadequate internet facilities and services, lack of functional computers, lack of ICT maintenance culture are among major factors that affect acceptance and adoption of open access for learning and research by library user in </w:t>
      </w:r>
      <w:r>
        <w:rPr>
          <w:rFonts w:hint="default" w:ascii="Times New Roman" w:hAnsi="Times New Roman" w:cs="Times New Roman"/>
          <w:sz w:val="24"/>
          <w:szCs w:val="24"/>
          <w:lang w:val="en-US"/>
        </w:rPr>
        <w:t>university of ilorin</w:t>
      </w:r>
      <w:r>
        <w:rPr>
          <w:rFonts w:ascii="Times New Roman" w:hAnsi="Times New Roman" w:cs="Times New Roman"/>
          <w:sz w:val="24"/>
          <w:szCs w:val="24"/>
        </w:rPr>
        <w:t xml:space="preserve"> library. The bottom line is adequate funding and maintenance of virtual libraries goes a long way in ensuring availability of open access information resources which are essential for easy access to knowledge. </w:t>
      </w:r>
    </w:p>
    <w:p w14:paraId="28893056">
      <w:pPr>
        <w:spacing w:line="480" w:lineRule="auto"/>
        <w:ind w:right="37"/>
        <w:jc w:val="both"/>
        <w:rPr>
          <w:rFonts w:ascii="Times New Roman" w:hAnsi="Times New Roman" w:cs="Times New Roman"/>
          <w:sz w:val="24"/>
          <w:szCs w:val="24"/>
        </w:rPr>
      </w:pPr>
    </w:p>
    <w:p w14:paraId="1A02C78F">
      <w:pPr>
        <w:spacing w:line="480" w:lineRule="auto"/>
        <w:ind w:right="37"/>
        <w:jc w:val="both"/>
        <w:rPr>
          <w:rFonts w:ascii="Times New Roman" w:hAnsi="Times New Roman" w:cs="Times New Roman"/>
          <w:sz w:val="24"/>
          <w:szCs w:val="24"/>
        </w:rPr>
      </w:pPr>
    </w:p>
    <w:p w14:paraId="313C7FDB">
      <w:pPr>
        <w:spacing w:after="0" w:line="480" w:lineRule="auto"/>
        <w:rPr>
          <w:rFonts w:ascii="Times New Roman" w:hAnsi="Times New Roman" w:cs="Times New Roman"/>
          <w:b/>
          <w:sz w:val="24"/>
          <w:szCs w:val="24"/>
        </w:rPr>
      </w:pPr>
      <w:r>
        <w:rPr>
          <w:rFonts w:ascii="Times New Roman" w:hAnsi="Times New Roman" w:cs="Times New Roman"/>
          <w:b/>
          <w:sz w:val="24"/>
          <w:szCs w:val="24"/>
        </w:rPr>
        <w:t>5.4</w:t>
      </w:r>
      <w:r>
        <w:rPr>
          <w:rFonts w:ascii="Times New Roman" w:hAnsi="Times New Roman" w:cs="Times New Roman"/>
          <w:b/>
          <w:sz w:val="24"/>
          <w:szCs w:val="24"/>
        </w:rPr>
        <w:tab/>
      </w:r>
      <w:r>
        <w:rPr>
          <w:rFonts w:ascii="Times New Roman" w:hAnsi="Times New Roman" w:cs="Times New Roman"/>
          <w:b/>
          <w:sz w:val="24"/>
          <w:szCs w:val="24"/>
        </w:rPr>
        <w:t xml:space="preserve"> Recommendations </w:t>
      </w:r>
    </w:p>
    <w:p w14:paraId="04E7A8C6">
      <w:pPr>
        <w:spacing w:line="480" w:lineRule="auto"/>
        <w:ind w:left="-5" w:right="37" w:firstLine="365"/>
        <w:rPr>
          <w:rFonts w:ascii="Times New Roman" w:hAnsi="Times New Roman" w:cs="Times New Roman"/>
          <w:sz w:val="24"/>
          <w:szCs w:val="24"/>
        </w:rPr>
      </w:pPr>
      <w:r>
        <w:rPr>
          <w:rFonts w:ascii="Times New Roman" w:hAnsi="Times New Roman" w:cs="Times New Roman"/>
          <w:sz w:val="24"/>
          <w:szCs w:val="24"/>
        </w:rPr>
        <w:t>These are the suggested recommendation for the study.</w:t>
      </w:r>
    </w:p>
    <w:p w14:paraId="31B64F65">
      <w:pPr>
        <w:numPr>
          <w:ilvl w:val="0"/>
          <w:numId w:val="7"/>
        </w:numPr>
        <w:spacing w:after="5" w:line="480" w:lineRule="auto"/>
        <w:ind w:left="770" w:right="37" w:hanging="410"/>
        <w:jc w:val="both"/>
        <w:rPr>
          <w:rFonts w:ascii="Times New Roman" w:hAnsi="Times New Roman" w:cs="Times New Roman"/>
          <w:sz w:val="24"/>
          <w:szCs w:val="24"/>
        </w:rPr>
      </w:pPr>
      <w:r>
        <w:rPr>
          <w:rFonts w:ascii="Times New Roman" w:hAnsi="Times New Roman" w:cs="Times New Roman"/>
          <w:sz w:val="24"/>
          <w:szCs w:val="24"/>
        </w:rPr>
        <w:t xml:space="preserve">Federal </w:t>
      </w:r>
      <w:r>
        <w:rPr>
          <w:rFonts w:hint="default" w:ascii="Times New Roman" w:hAnsi="Times New Roman" w:cs="Times New Roman"/>
          <w:sz w:val="24"/>
          <w:szCs w:val="24"/>
          <w:lang w:val="en-US"/>
        </w:rPr>
        <w:t>university</w:t>
      </w:r>
      <w:r>
        <w:rPr>
          <w:rFonts w:ascii="Times New Roman" w:hAnsi="Times New Roman" w:cs="Times New Roman"/>
          <w:sz w:val="24"/>
          <w:szCs w:val="24"/>
        </w:rPr>
        <w:t xml:space="preserve"> library should ensure that users are provided with adequate open access information resources. This is because there is need for access and use of information materials in all formats and adoption of open access information resources could incite users to quickly access and utilize </w:t>
      </w:r>
      <w:r>
        <w:rPr>
          <w:rFonts w:hint="default" w:ascii="Times New Roman" w:hAnsi="Times New Roman" w:cs="Times New Roman"/>
          <w:sz w:val="24"/>
          <w:szCs w:val="24"/>
          <w:lang w:val="en-US"/>
        </w:rPr>
        <w:t>university</w:t>
      </w:r>
      <w:r>
        <w:rPr>
          <w:rFonts w:ascii="Times New Roman" w:hAnsi="Times New Roman" w:cs="Times New Roman"/>
          <w:sz w:val="24"/>
          <w:szCs w:val="24"/>
        </w:rPr>
        <w:t xml:space="preserve"> library resources to a high extent. </w:t>
      </w:r>
    </w:p>
    <w:p w14:paraId="2A1C1E48">
      <w:pPr>
        <w:numPr>
          <w:ilvl w:val="0"/>
          <w:numId w:val="7"/>
        </w:numPr>
        <w:spacing w:after="5" w:line="480" w:lineRule="auto"/>
        <w:ind w:left="770" w:right="37" w:hanging="410"/>
        <w:jc w:val="both"/>
        <w:rPr>
          <w:rFonts w:ascii="Times New Roman" w:hAnsi="Times New Roman" w:cs="Times New Roman"/>
          <w:sz w:val="24"/>
          <w:szCs w:val="24"/>
        </w:rPr>
      </w:pPr>
      <w:r>
        <w:rPr>
          <w:rFonts w:ascii="Times New Roman" w:hAnsi="Times New Roman" w:cs="Times New Roman"/>
          <w:sz w:val="24"/>
          <w:szCs w:val="24"/>
        </w:rPr>
        <w:t xml:space="preserve">More open access resources tools should be accepted, adopted and maintained in federal </w:t>
      </w:r>
      <w:r>
        <w:rPr>
          <w:rFonts w:hint="default" w:ascii="Times New Roman" w:hAnsi="Times New Roman" w:cs="Times New Roman"/>
          <w:sz w:val="24"/>
          <w:szCs w:val="24"/>
          <w:lang w:val="en-US"/>
        </w:rPr>
        <w:t>university</w:t>
      </w:r>
      <w:r>
        <w:rPr>
          <w:rFonts w:ascii="Times New Roman" w:hAnsi="Times New Roman" w:cs="Times New Roman"/>
          <w:sz w:val="24"/>
          <w:szCs w:val="24"/>
        </w:rPr>
        <w:t xml:space="preserve"> libraries </w:t>
      </w:r>
    </w:p>
    <w:p w14:paraId="01BAEC79">
      <w:pPr>
        <w:numPr>
          <w:ilvl w:val="0"/>
          <w:numId w:val="7"/>
        </w:numPr>
        <w:spacing w:after="5" w:line="480" w:lineRule="auto"/>
        <w:ind w:left="770" w:right="37" w:hanging="410"/>
        <w:jc w:val="both"/>
        <w:rPr>
          <w:rFonts w:ascii="Times New Roman" w:hAnsi="Times New Roman" w:cs="Times New Roman"/>
          <w:sz w:val="24"/>
          <w:szCs w:val="24"/>
        </w:rPr>
      </w:pPr>
      <w:r>
        <w:rPr>
          <w:rFonts w:ascii="Times New Roman" w:hAnsi="Times New Roman" w:cs="Times New Roman"/>
          <w:sz w:val="24"/>
          <w:szCs w:val="24"/>
        </w:rPr>
        <w:t xml:space="preserve">Federal </w:t>
      </w:r>
      <w:r>
        <w:rPr>
          <w:rFonts w:hint="default" w:ascii="Times New Roman" w:hAnsi="Times New Roman" w:cs="Times New Roman"/>
          <w:sz w:val="24"/>
          <w:szCs w:val="24"/>
          <w:lang w:val="en-US"/>
        </w:rPr>
        <w:t>university</w:t>
      </w:r>
      <w:r>
        <w:rPr>
          <w:rFonts w:ascii="Times New Roman" w:hAnsi="Times New Roman" w:cs="Times New Roman"/>
          <w:sz w:val="24"/>
          <w:szCs w:val="24"/>
        </w:rPr>
        <w:t xml:space="preserve"> libraries should properly adopt Information and Communication Technology (ICT) in order to manage open access information resources </w:t>
      </w:r>
    </w:p>
    <w:p w14:paraId="56B8922D">
      <w:pPr>
        <w:numPr>
          <w:ilvl w:val="0"/>
          <w:numId w:val="7"/>
        </w:numPr>
        <w:spacing w:after="5" w:line="480" w:lineRule="auto"/>
        <w:ind w:left="770" w:right="37" w:hanging="410"/>
        <w:jc w:val="both"/>
        <w:rPr>
          <w:rFonts w:ascii="Times New Roman" w:hAnsi="Times New Roman" w:cs="Times New Roman"/>
          <w:sz w:val="24"/>
          <w:szCs w:val="24"/>
        </w:rPr>
      </w:pPr>
      <w:r>
        <w:rPr>
          <w:rFonts w:ascii="Times New Roman" w:hAnsi="Times New Roman" w:cs="Times New Roman"/>
          <w:sz w:val="24"/>
          <w:szCs w:val="24"/>
        </w:rPr>
        <w:t xml:space="preserve">Adequate funds should often be released tirelessly to </w:t>
      </w:r>
      <w:r>
        <w:rPr>
          <w:rFonts w:hint="default" w:ascii="Times New Roman" w:hAnsi="Times New Roman" w:cs="Times New Roman"/>
          <w:sz w:val="24"/>
          <w:szCs w:val="24"/>
          <w:lang w:val="en-US"/>
        </w:rPr>
        <w:t>university</w:t>
      </w:r>
      <w:r>
        <w:rPr>
          <w:rFonts w:ascii="Times New Roman" w:hAnsi="Times New Roman" w:cs="Times New Roman"/>
          <w:sz w:val="24"/>
          <w:szCs w:val="24"/>
        </w:rPr>
        <w:t xml:space="preserve"> library for library internet projects </w:t>
      </w:r>
    </w:p>
    <w:p w14:paraId="689C633A">
      <w:pPr>
        <w:numPr>
          <w:ilvl w:val="0"/>
          <w:numId w:val="7"/>
        </w:numPr>
        <w:spacing w:after="5" w:line="480" w:lineRule="auto"/>
        <w:ind w:left="770" w:right="37" w:hanging="410"/>
        <w:jc w:val="both"/>
        <w:rPr>
          <w:rFonts w:ascii="Times New Roman" w:hAnsi="Times New Roman" w:cs="Times New Roman"/>
          <w:sz w:val="24"/>
          <w:szCs w:val="24"/>
        </w:rPr>
      </w:pPr>
      <w:r>
        <w:rPr>
          <w:rFonts w:ascii="Times New Roman" w:hAnsi="Times New Roman" w:cs="Times New Roman"/>
          <w:sz w:val="24"/>
          <w:szCs w:val="24"/>
        </w:rPr>
        <w:t xml:space="preserve">Functional computers should be made available by the federal </w:t>
      </w:r>
      <w:r>
        <w:rPr>
          <w:rFonts w:hint="default" w:ascii="Times New Roman" w:hAnsi="Times New Roman" w:cs="Times New Roman"/>
          <w:sz w:val="24"/>
          <w:szCs w:val="24"/>
          <w:lang w:val="en-US"/>
        </w:rPr>
        <w:t>university</w:t>
      </w:r>
      <w:r>
        <w:rPr>
          <w:rFonts w:ascii="Times New Roman" w:hAnsi="Times New Roman" w:cs="Times New Roman"/>
          <w:sz w:val="24"/>
          <w:szCs w:val="24"/>
        </w:rPr>
        <w:t xml:space="preserve"> library and same be maintained  consistently </w:t>
      </w:r>
    </w:p>
    <w:p w14:paraId="0928B8A1">
      <w:pPr>
        <w:numPr>
          <w:ilvl w:val="0"/>
          <w:numId w:val="7"/>
        </w:numPr>
        <w:spacing w:after="5" w:line="480" w:lineRule="auto"/>
        <w:ind w:left="770" w:right="37" w:hanging="410"/>
        <w:jc w:val="both"/>
        <w:rPr>
          <w:rFonts w:ascii="Times New Roman" w:hAnsi="Times New Roman" w:cs="Times New Roman"/>
          <w:sz w:val="24"/>
          <w:szCs w:val="24"/>
        </w:rPr>
      </w:pPr>
      <w:r>
        <w:rPr>
          <w:rFonts w:ascii="Times New Roman" w:hAnsi="Times New Roman" w:cs="Times New Roman"/>
          <w:sz w:val="24"/>
          <w:szCs w:val="24"/>
        </w:rPr>
        <w:t xml:space="preserve">Federal </w:t>
      </w:r>
      <w:r>
        <w:rPr>
          <w:rFonts w:hint="default" w:ascii="Times New Roman" w:hAnsi="Times New Roman" w:cs="Times New Roman"/>
          <w:sz w:val="24"/>
          <w:szCs w:val="24"/>
          <w:lang w:val="en-US"/>
        </w:rPr>
        <w:t>university</w:t>
      </w:r>
      <w:r>
        <w:rPr>
          <w:rFonts w:ascii="Times New Roman" w:hAnsi="Times New Roman" w:cs="Times New Roman"/>
          <w:sz w:val="24"/>
          <w:szCs w:val="24"/>
        </w:rPr>
        <w:t xml:space="preserve"> library should ensure that internet facilities and services are made available for open access information resources.</w:t>
      </w:r>
    </w:p>
    <w:p w14:paraId="1E145DA7">
      <w:pPr>
        <w:spacing w:after="5" w:line="480" w:lineRule="auto"/>
        <w:ind w:right="37"/>
        <w:jc w:val="both"/>
        <w:rPr>
          <w:rFonts w:ascii="Times New Roman" w:hAnsi="Times New Roman" w:cs="Times New Roman"/>
          <w:sz w:val="24"/>
          <w:szCs w:val="24"/>
        </w:rPr>
      </w:pPr>
      <w:r>
        <w:rPr>
          <w:rFonts w:ascii="Times New Roman" w:hAnsi="Times New Roman" w:cs="Times New Roman"/>
          <w:b/>
          <w:sz w:val="24"/>
          <w:szCs w:val="24"/>
        </w:rPr>
        <w:t>5.5</w:t>
      </w:r>
      <w:r>
        <w:rPr>
          <w:rFonts w:ascii="Times New Roman" w:hAnsi="Times New Roman" w:cs="Times New Roman"/>
          <w:b/>
          <w:sz w:val="24"/>
          <w:szCs w:val="24"/>
        </w:rPr>
        <w:tab/>
      </w:r>
      <w:r>
        <w:rPr>
          <w:rFonts w:ascii="Times New Roman" w:hAnsi="Times New Roman" w:cs="Times New Roman"/>
          <w:b/>
          <w:sz w:val="24"/>
          <w:szCs w:val="24"/>
        </w:rPr>
        <w:t>Areas for Further Studies</w:t>
      </w:r>
    </w:p>
    <w:p w14:paraId="0621A1F1">
      <w:pPr>
        <w:spacing w:after="5" w:line="480" w:lineRule="auto"/>
        <w:ind w:right="37"/>
        <w:jc w:val="both"/>
        <w:rPr>
          <w:rFonts w:ascii="Times New Roman" w:hAnsi="Times New Roman" w:cs="Times New Roman"/>
          <w:b/>
          <w:sz w:val="24"/>
          <w:szCs w:val="24"/>
        </w:rPr>
      </w:pPr>
      <w:r>
        <w:rPr>
          <w:rFonts w:ascii="Times New Roman" w:hAnsi="Times New Roman" w:cs="Times New Roman"/>
          <w:sz w:val="24"/>
          <w:szCs w:val="24"/>
        </w:rPr>
        <w:t>Further studies can be conducted on the following suggested Topic:</w:t>
      </w:r>
      <w:r>
        <w:rPr>
          <w:rFonts w:ascii="Times New Roman" w:hAnsi="Times New Roman" w:cs="Times New Roman"/>
          <w:b/>
          <w:sz w:val="24"/>
          <w:szCs w:val="24"/>
        </w:rPr>
        <w:t xml:space="preserve"> </w:t>
      </w:r>
    </w:p>
    <w:p w14:paraId="0C2948A6">
      <w:pPr>
        <w:spacing w:after="5" w:line="480" w:lineRule="auto"/>
        <w:ind w:right="37"/>
        <w:jc w:val="both"/>
        <w:rPr>
          <w:rFonts w:ascii="Times New Roman" w:hAnsi="Times New Roman" w:cs="Times New Roman"/>
          <w:sz w:val="24"/>
          <w:szCs w:val="24"/>
        </w:rPr>
      </w:pPr>
      <w:r>
        <w:rPr>
          <w:rFonts w:ascii="Times New Roman" w:hAnsi="Times New Roman" w:cs="Times New Roman"/>
          <w:sz w:val="24"/>
          <w:szCs w:val="24"/>
        </w:rPr>
        <w:t>1. Provision for Open Access equipment for libraries and their users</w:t>
      </w:r>
    </w:p>
    <w:p w14:paraId="69ED2245">
      <w:pPr>
        <w:spacing w:after="5" w:line="480" w:lineRule="auto"/>
        <w:ind w:right="37"/>
        <w:jc w:val="both"/>
        <w:rPr>
          <w:rFonts w:ascii="Times New Roman" w:hAnsi="Times New Roman" w:cs="Times New Roman"/>
          <w:sz w:val="24"/>
          <w:szCs w:val="24"/>
        </w:rPr>
      </w:pPr>
      <w:r>
        <w:rPr>
          <w:rFonts w:ascii="Times New Roman" w:hAnsi="Times New Roman" w:cs="Times New Roman"/>
          <w:sz w:val="24"/>
          <w:szCs w:val="24"/>
        </w:rPr>
        <w:t>2. Adoption of open access for teaching and research by students in Academic Libraries</w:t>
      </w:r>
    </w:p>
    <w:p w14:paraId="68A35930">
      <w:pPr>
        <w:spacing w:after="5" w:line="480" w:lineRule="auto"/>
        <w:ind w:right="37"/>
        <w:jc w:val="both"/>
        <w:rPr>
          <w:rFonts w:ascii="Times New Roman" w:hAnsi="Times New Roman" w:cs="Times New Roman"/>
          <w:sz w:val="24"/>
          <w:szCs w:val="24"/>
        </w:rPr>
      </w:pPr>
      <w:r>
        <w:rPr>
          <w:rFonts w:ascii="Times New Roman" w:hAnsi="Times New Roman" w:cs="Times New Roman"/>
          <w:sz w:val="24"/>
          <w:szCs w:val="24"/>
        </w:rPr>
        <w:t>3. Utilization of open access resources for Academic productivity by academic libraries in Nigeria</w:t>
      </w:r>
    </w:p>
    <w:p w14:paraId="6AC3A064">
      <w:pPr>
        <w:pStyle w:val="2"/>
        <w:spacing w:line="480" w:lineRule="auto"/>
        <w:jc w:val="center"/>
        <w:rPr>
          <w:rFonts w:ascii="Times New Roman" w:hAnsi="Times New Roman" w:cs="Times New Roman"/>
          <w:color w:val="auto"/>
          <w:sz w:val="23"/>
          <w:szCs w:val="23"/>
        </w:rPr>
      </w:pPr>
      <w:r>
        <w:rPr>
          <w:rFonts w:ascii="Times New Roman" w:hAnsi="Times New Roman" w:cs="Times New Roman"/>
          <w:color w:val="auto"/>
          <w:sz w:val="23"/>
          <w:szCs w:val="23"/>
        </w:rPr>
        <w:t>BILBLIOGRAPHY</w:t>
      </w:r>
    </w:p>
    <w:p w14:paraId="203B37A5">
      <w:pPr>
        <w:spacing w:after="0" w:line="480" w:lineRule="auto"/>
        <w:ind w:left="720" w:right="52" w:hanging="720"/>
        <w:jc w:val="both"/>
        <w:rPr>
          <w:rFonts w:ascii="Times New Roman" w:hAnsi="Times New Roman" w:cs="Times New Roman"/>
          <w:i/>
          <w:sz w:val="23"/>
          <w:szCs w:val="23"/>
        </w:rPr>
      </w:pPr>
      <w:r>
        <w:rPr>
          <w:rFonts w:ascii="Times New Roman" w:hAnsi="Times New Roman" w:cs="Times New Roman"/>
          <w:sz w:val="23"/>
          <w:szCs w:val="23"/>
        </w:rPr>
        <w:t>Abrizah, F., (2019</w:t>
      </w:r>
      <w:r>
        <w:rPr>
          <w:rFonts w:ascii="Times New Roman" w:hAnsi="Times New Roman" w:cs="Times New Roman"/>
          <w:i/>
          <w:sz w:val="23"/>
          <w:szCs w:val="23"/>
        </w:rPr>
        <w:t xml:space="preserve">) </w:t>
      </w:r>
      <w:r>
        <w:rPr>
          <w:rFonts w:ascii="Times New Roman" w:hAnsi="Times New Roman" w:cs="Times New Roman"/>
          <w:sz w:val="23"/>
          <w:szCs w:val="23"/>
        </w:rPr>
        <w:t>Strategies for opening up content: Laying the groundwork for an open system of scholarship. Research Library Issues: A Bimonthly Report from ARL, CNI, and SPARC.</w:t>
      </w:r>
      <w:r>
        <w:rPr>
          <w:rFonts w:ascii="Times New Roman" w:hAnsi="Times New Roman" w:cs="Times New Roman"/>
          <w:i/>
          <w:sz w:val="23"/>
          <w:szCs w:val="23"/>
        </w:rPr>
        <w:t xml:space="preserve"> Retrieved from </w:t>
      </w:r>
      <w:r>
        <w:fldChar w:fldCharType="begin"/>
      </w:r>
      <w:r>
        <w:instrText xml:space="preserve"> HYPERLINK "http://www.arl.org/resources" </w:instrText>
      </w:r>
      <w:r>
        <w:fldChar w:fldCharType="separate"/>
      </w:r>
      <w:r>
        <w:rPr>
          <w:rStyle w:val="7"/>
          <w:i/>
          <w:color w:val="auto"/>
          <w:sz w:val="23"/>
          <w:szCs w:val="23"/>
          <w:u w:val="none"/>
        </w:rPr>
        <w:t>http://www.arl.org/resources</w:t>
      </w:r>
      <w:r>
        <w:rPr>
          <w:rStyle w:val="7"/>
          <w:i/>
          <w:color w:val="auto"/>
          <w:sz w:val="23"/>
          <w:szCs w:val="23"/>
          <w:u w:val="none"/>
        </w:rPr>
        <w:fldChar w:fldCharType="end"/>
      </w:r>
      <w:r>
        <w:rPr>
          <w:rFonts w:ascii="Times New Roman" w:hAnsi="Times New Roman" w:cs="Times New Roman"/>
          <w:i/>
          <w:sz w:val="23"/>
          <w:szCs w:val="23"/>
        </w:rPr>
        <w:t xml:space="preserve"> /pubs/rli/archive/rli269.shtml. 269, 1–4.</w:t>
      </w:r>
    </w:p>
    <w:p w14:paraId="0B95AAA4">
      <w:pPr>
        <w:autoSpaceDE w:val="0"/>
        <w:autoSpaceDN w:val="0"/>
        <w:adjustRightInd w:val="0"/>
        <w:spacing w:after="0" w:line="480" w:lineRule="auto"/>
        <w:ind w:left="720" w:hanging="720"/>
        <w:jc w:val="both"/>
        <w:rPr>
          <w:rFonts w:ascii="Times New Roman" w:hAnsi="Times New Roman" w:eastAsia="Times New Roman" w:cs="Times New Roman"/>
          <w:i/>
          <w:sz w:val="23"/>
          <w:szCs w:val="23"/>
        </w:rPr>
      </w:pPr>
      <w:r>
        <w:rPr>
          <w:rFonts w:ascii="Times New Roman" w:hAnsi="Times New Roman" w:cs="Times New Roman"/>
          <w:sz w:val="23"/>
          <w:szCs w:val="23"/>
        </w:rPr>
        <w:t>Adeogun, A.O, (2018)</w:t>
      </w:r>
      <w:r>
        <w:rPr>
          <w:rFonts w:ascii="Times New Roman" w:hAnsi="Times New Roman" w:eastAsia="Times New Roman" w:cs="Times New Roman"/>
          <w:i/>
          <w:sz w:val="23"/>
          <w:szCs w:val="23"/>
        </w:rPr>
        <w:t xml:space="preserve">. </w:t>
      </w:r>
      <w:r>
        <w:rPr>
          <w:rFonts w:ascii="Times New Roman" w:hAnsi="Times New Roman" w:eastAsia="Times New Roman" w:cs="Times New Roman"/>
          <w:sz w:val="23"/>
          <w:szCs w:val="23"/>
        </w:rPr>
        <w:t xml:space="preserve">What is Open Access? Retrieved from </w:t>
      </w:r>
      <w:r>
        <w:fldChar w:fldCharType="begin"/>
      </w:r>
      <w:r>
        <w:instrText xml:space="preserve"> HYPERLINK "http://www.digital-scholarship.com/cwb/WhatIsOA.pdf" </w:instrText>
      </w:r>
      <w:r>
        <w:fldChar w:fldCharType="separate"/>
      </w:r>
      <w:r>
        <w:rPr>
          <w:rStyle w:val="7"/>
          <w:rFonts w:eastAsia="Times New Roman"/>
          <w:color w:val="auto"/>
          <w:sz w:val="23"/>
          <w:szCs w:val="23"/>
          <w:u w:val="none"/>
        </w:rPr>
        <w:t>http://www.digital-scholarship.com/cwb/WhatIsOA.pdf</w:t>
      </w:r>
      <w:r>
        <w:rPr>
          <w:rStyle w:val="7"/>
          <w:rFonts w:eastAsia="Times New Roman"/>
          <w:color w:val="auto"/>
          <w:sz w:val="23"/>
          <w:szCs w:val="23"/>
          <w:u w:val="none"/>
        </w:rPr>
        <w:fldChar w:fldCharType="end"/>
      </w:r>
      <w:r>
        <w:rPr>
          <w:rFonts w:ascii="Times New Roman" w:hAnsi="Times New Roman" w:eastAsia="Times New Roman" w:cs="Times New Roman"/>
          <w:sz w:val="23"/>
          <w:szCs w:val="23"/>
        </w:rPr>
        <w:t xml:space="preserve"> Bhat, M. H. (2017). Open Access repositories: a review.</w:t>
      </w:r>
      <w:r>
        <w:rPr>
          <w:rFonts w:ascii="Times New Roman" w:hAnsi="Times New Roman" w:eastAsia="Times New Roman" w:cs="Times New Roman"/>
          <w:i/>
          <w:sz w:val="23"/>
          <w:szCs w:val="23"/>
        </w:rPr>
        <w:t xml:space="preserve"> Library Philosophy and Practice. Retrieved from </w:t>
      </w:r>
      <w:r>
        <w:fldChar w:fldCharType="begin"/>
      </w:r>
      <w:r>
        <w:instrText xml:space="preserve"> HYPERLINK "http://unllib.unl.edu/LPP/hanief2.htm" </w:instrText>
      </w:r>
      <w:r>
        <w:fldChar w:fldCharType="separate"/>
      </w:r>
      <w:r>
        <w:rPr>
          <w:rStyle w:val="7"/>
          <w:rFonts w:eastAsia="Times New Roman"/>
          <w:i/>
          <w:color w:val="auto"/>
          <w:sz w:val="23"/>
          <w:szCs w:val="23"/>
          <w:u w:val="none"/>
        </w:rPr>
        <w:t>http://unllib.unl.edu/LPP/hanief2.htm</w:t>
      </w:r>
      <w:r>
        <w:rPr>
          <w:rStyle w:val="7"/>
          <w:rFonts w:eastAsia="Times New Roman"/>
          <w:i/>
          <w:color w:val="auto"/>
          <w:sz w:val="23"/>
          <w:szCs w:val="23"/>
          <w:u w:val="none"/>
        </w:rPr>
        <w:fldChar w:fldCharType="end"/>
      </w:r>
    </w:p>
    <w:p w14:paraId="21626352">
      <w:pPr>
        <w:spacing w:after="0" w:line="480" w:lineRule="auto"/>
        <w:ind w:left="720" w:right="37" w:hanging="720"/>
        <w:jc w:val="both"/>
        <w:rPr>
          <w:rFonts w:ascii="Times New Roman" w:hAnsi="Times New Roman" w:cs="Times New Roman"/>
          <w:i/>
          <w:sz w:val="23"/>
          <w:szCs w:val="23"/>
        </w:rPr>
      </w:pPr>
      <w:r>
        <w:rPr>
          <w:rFonts w:ascii="Times New Roman" w:hAnsi="Times New Roman" w:cs="Times New Roman"/>
          <w:sz w:val="23"/>
          <w:szCs w:val="23"/>
        </w:rPr>
        <w:t>Akintunde, (2016)</w:t>
      </w:r>
      <w:r>
        <w:rPr>
          <w:rFonts w:ascii="Times New Roman" w:hAnsi="Times New Roman" w:cs="Times New Roman"/>
          <w:i/>
          <w:sz w:val="23"/>
          <w:szCs w:val="23"/>
        </w:rPr>
        <w:t xml:space="preserve">. </w:t>
      </w:r>
      <w:r>
        <w:rPr>
          <w:rFonts w:ascii="Times New Roman" w:hAnsi="Times New Roman" w:cs="Times New Roman"/>
          <w:sz w:val="23"/>
          <w:szCs w:val="23"/>
        </w:rPr>
        <w:t>The open access initiative: a new paradigm for scholarly communication.</w:t>
      </w:r>
      <w:r>
        <w:rPr>
          <w:rFonts w:ascii="Times New Roman" w:hAnsi="Times New Roman" w:cs="Times New Roman"/>
          <w:i/>
          <w:sz w:val="23"/>
          <w:szCs w:val="23"/>
        </w:rPr>
        <w:t xml:space="preserve"> Information technology and libraries, 24(4):157-162.  </w:t>
      </w:r>
    </w:p>
    <w:p w14:paraId="235C27BA">
      <w:pPr>
        <w:spacing w:after="0" w:line="480" w:lineRule="auto"/>
        <w:ind w:left="720" w:right="21" w:hanging="720"/>
        <w:jc w:val="both"/>
        <w:rPr>
          <w:rFonts w:ascii="Times New Roman" w:hAnsi="Times New Roman" w:cs="Times New Roman"/>
          <w:i/>
          <w:sz w:val="23"/>
          <w:szCs w:val="23"/>
        </w:rPr>
      </w:pPr>
      <w:r>
        <w:rPr>
          <w:rFonts w:ascii="Times New Roman" w:hAnsi="Times New Roman" w:cs="Times New Roman"/>
          <w:sz w:val="23"/>
          <w:szCs w:val="23"/>
        </w:rPr>
        <w:t>Alemu (2019),</w:t>
      </w:r>
      <w:r>
        <w:rPr>
          <w:rFonts w:ascii="Times New Roman" w:hAnsi="Times New Roman" w:cs="Times New Roman"/>
          <w:i/>
          <w:sz w:val="23"/>
          <w:szCs w:val="23"/>
        </w:rPr>
        <w:t xml:space="preserve"> </w:t>
      </w:r>
      <w:r>
        <w:rPr>
          <w:rFonts w:ascii="Times New Roman" w:hAnsi="Times New Roman" w:cs="Times New Roman"/>
          <w:sz w:val="23"/>
          <w:szCs w:val="23"/>
        </w:rPr>
        <w:t>Growing Up Digital: How the Web Changes Work, Education, and the Ways People Learn</w:t>
      </w:r>
      <w:r>
        <w:rPr>
          <w:rFonts w:ascii="Times New Roman" w:hAnsi="Times New Roman" w:cs="Times New Roman"/>
          <w:i/>
          <w:sz w:val="23"/>
          <w:szCs w:val="23"/>
        </w:rPr>
        <w:t xml:space="preserve">. United States Distance Learning Association.  </w:t>
      </w:r>
    </w:p>
    <w:p w14:paraId="2087B2A3">
      <w:pPr>
        <w:autoSpaceDE w:val="0"/>
        <w:autoSpaceDN w:val="0"/>
        <w:adjustRightInd w:val="0"/>
        <w:spacing w:after="0" w:line="480" w:lineRule="auto"/>
        <w:ind w:left="720" w:hanging="720"/>
        <w:jc w:val="both"/>
        <w:rPr>
          <w:rFonts w:ascii="Times New Roman" w:hAnsi="Times New Roman" w:eastAsia="Times New Roman" w:cs="Times New Roman"/>
          <w:i/>
          <w:sz w:val="23"/>
          <w:szCs w:val="23"/>
        </w:rPr>
      </w:pPr>
      <w:r>
        <w:rPr>
          <w:rFonts w:ascii="Times New Roman" w:hAnsi="Times New Roman" w:cs="Times New Roman"/>
          <w:sz w:val="23"/>
          <w:szCs w:val="23"/>
        </w:rPr>
        <w:t xml:space="preserve">Ali J.B, (2015). </w:t>
      </w:r>
      <w:r>
        <w:rPr>
          <w:rFonts w:ascii="Times New Roman" w:hAnsi="Times New Roman" w:cs="Times New Roman"/>
          <w:i/>
          <w:sz w:val="23"/>
          <w:szCs w:val="23"/>
        </w:rPr>
        <w:t xml:space="preserve"> </w:t>
      </w:r>
      <w:r>
        <w:rPr>
          <w:rFonts w:ascii="Times New Roman" w:hAnsi="Times New Roman" w:eastAsia="Times New Roman" w:cs="Times New Roman"/>
          <w:sz w:val="23"/>
          <w:szCs w:val="23"/>
        </w:rPr>
        <w:t>Open Access and Libraries</w:t>
      </w:r>
      <w:r>
        <w:rPr>
          <w:rFonts w:ascii="Times New Roman" w:hAnsi="Times New Roman" w:eastAsia="Times New Roman" w:cs="Times New Roman"/>
          <w:i/>
          <w:sz w:val="23"/>
          <w:szCs w:val="23"/>
        </w:rPr>
        <w:t>. Collection Management 32, (3/4), 351-383.</w:t>
      </w:r>
    </w:p>
    <w:p w14:paraId="550B6906">
      <w:pPr>
        <w:pStyle w:val="13"/>
        <w:spacing w:line="480" w:lineRule="auto"/>
        <w:ind w:left="720" w:hanging="720"/>
        <w:jc w:val="both"/>
        <w:rPr>
          <w:i/>
          <w:color w:val="auto"/>
          <w:sz w:val="23"/>
          <w:szCs w:val="23"/>
        </w:rPr>
      </w:pPr>
      <w:r>
        <w:rPr>
          <w:color w:val="auto"/>
          <w:sz w:val="23"/>
          <w:szCs w:val="23"/>
        </w:rPr>
        <w:t>Anyangwe</w:t>
      </w:r>
      <w:r>
        <w:rPr>
          <w:i/>
          <w:color w:val="auto"/>
          <w:sz w:val="23"/>
          <w:szCs w:val="23"/>
        </w:rPr>
        <w:t xml:space="preserve">, </w:t>
      </w:r>
      <w:r>
        <w:rPr>
          <w:color w:val="auto"/>
          <w:sz w:val="23"/>
          <w:szCs w:val="23"/>
        </w:rPr>
        <w:t>E</w:t>
      </w:r>
      <w:r>
        <w:rPr>
          <w:i/>
          <w:color w:val="auto"/>
          <w:sz w:val="23"/>
          <w:szCs w:val="23"/>
        </w:rPr>
        <w:t xml:space="preserve">. </w:t>
      </w:r>
      <w:r>
        <w:rPr>
          <w:color w:val="auto"/>
          <w:sz w:val="23"/>
          <w:szCs w:val="23"/>
        </w:rPr>
        <w:t>(2017)</w:t>
      </w:r>
      <w:r>
        <w:rPr>
          <w:i/>
          <w:color w:val="auto"/>
          <w:sz w:val="23"/>
          <w:szCs w:val="23"/>
        </w:rPr>
        <w:t xml:space="preserve">. </w:t>
      </w:r>
      <w:r>
        <w:rPr>
          <w:color w:val="auto"/>
          <w:sz w:val="23"/>
          <w:szCs w:val="23"/>
        </w:rPr>
        <w:t>Exploring Open Access in Higher Education</w:t>
      </w:r>
      <w:r>
        <w:rPr>
          <w:i/>
          <w:color w:val="auto"/>
          <w:sz w:val="23"/>
          <w:szCs w:val="23"/>
        </w:rPr>
        <w:t xml:space="preserve">: The Guardian Newspaper. Available at [2]. </w:t>
      </w:r>
      <w:r>
        <w:fldChar w:fldCharType="begin"/>
      </w:r>
      <w:r>
        <w:instrText xml:space="preserve"> HYPERLINK "http://www.theguardian.com/higher-education-" </w:instrText>
      </w:r>
      <w:r>
        <w:fldChar w:fldCharType="separate"/>
      </w:r>
      <w:r>
        <w:rPr>
          <w:rStyle w:val="7"/>
          <w:i/>
          <w:color w:val="auto"/>
          <w:sz w:val="23"/>
          <w:szCs w:val="23"/>
          <w:u w:val="none"/>
        </w:rPr>
        <w:t>www.theguardian.com/higher-education-</w:t>
      </w:r>
      <w:r>
        <w:rPr>
          <w:rStyle w:val="7"/>
          <w:i/>
          <w:color w:val="auto"/>
          <w:sz w:val="23"/>
          <w:szCs w:val="23"/>
          <w:u w:val="none"/>
        </w:rPr>
        <w:fldChar w:fldCharType="end"/>
      </w:r>
      <w:r>
        <w:rPr>
          <w:i/>
          <w:color w:val="auto"/>
          <w:sz w:val="23"/>
          <w:szCs w:val="23"/>
        </w:rPr>
        <w:t xml:space="preserve">network/blog201/oct/25/open-access-higher- education network . </w:t>
      </w:r>
    </w:p>
    <w:p w14:paraId="433CF9BA">
      <w:pPr>
        <w:autoSpaceDE w:val="0"/>
        <w:autoSpaceDN w:val="0"/>
        <w:adjustRightInd w:val="0"/>
        <w:spacing w:after="0" w:line="480" w:lineRule="auto"/>
        <w:ind w:left="720" w:hanging="720"/>
        <w:jc w:val="both"/>
        <w:rPr>
          <w:rFonts w:ascii="Times New Roman" w:hAnsi="Times New Roman" w:cs="Times New Roman"/>
          <w:i/>
          <w:sz w:val="23"/>
          <w:szCs w:val="23"/>
        </w:rPr>
      </w:pPr>
      <w:r>
        <w:rPr>
          <w:rFonts w:ascii="Times New Roman" w:hAnsi="Times New Roman" w:cs="Times New Roman"/>
          <w:sz w:val="23"/>
          <w:szCs w:val="23"/>
        </w:rPr>
        <w:t>Axman  (2015). Self-direction in Learning: Perspectives on theory, research, and practice</w:t>
      </w:r>
      <w:r>
        <w:rPr>
          <w:rFonts w:ascii="Times New Roman" w:hAnsi="Times New Roman" w:cs="Times New Roman"/>
          <w:i/>
          <w:sz w:val="23"/>
          <w:szCs w:val="23"/>
        </w:rPr>
        <w:t xml:space="preserve">. New York: Routledge.  </w:t>
      </w:r>
    </w:p>
    <w:p w14:paraId="11805489">
      <w:pPr>
        <w:spacing w:after="0" w:line="480" w:lineRule="auto"/>
        <w:ind w:left="720" w:right="37" w:hanging="720"/>
        <w:jc w:val="both"/>
        <w:rPr>
          <w:rFonts w:ascii="Times New Roman" w:hAnsi="Times New Roman" w:cs="Times New Roman"/>
          <w:i/>
          <w:sz w:val="23"/>
          <w:szCs w:val="23"/>
        </w:rPr>
      </w:pPr>
      <w:r>
        <w:rPr>
          <w:rFonts w:ascii="Times New Roman" w:hAnsi="Times New Roman" w:cs="Times New Roman"/>
          <w:sz w:val="23"/>
          <w:szCs w:val="23"/>
        </w:rPr>
        <w:t>Balnaves, E. (2018).</w:t>
      </w:r>
      <w:r>
        <w:rPr>
          <w:rFonts w:ascii="Times New Roman" w:hAnsi="Times New Roman" w:cs="Times New Roman"/>
          <w:i/>
          <w:sz w:val="23"/>
          <w:szCs w:val="23"/>
        </w:rPr>
        <w:t xml:space="preserve">  </w:t>
      </w:r>
      <w:r>
        <w:rPr>
          <w:rFonts w:ascii="Times New Roman" w:hAnsi="Times New Roman" w:cs="Times New Roman"/>
          <w:sz w:val="23"/>
          <w:szCs w:val="23"/>
        </w:rPr>
        <w:t xml:space="preserve">Open access Information Resources for Users </w:t>
      </w:r>
      <w:r>
        <w:rPr>
          <w:rFonts w:ascii="Times New Roman" w:hAnsi="Times New Roman" w:cs="Times New Roman"/>
          <w:i/>
          <w:sz w:val="23"/>
          <w:szCs w:val="23"/>
        </w:rPr>
        <w:t>Electronic Age Librarianship.  New Delhi: Ane Books Pvt. Ltd, 1-14.</w:t>
      </w:r>
    </w:p>
    <w:p w14:paraId="0FDC18C9">
      <w:pPr>
        <w:spacing w:after="0" w:line="480" w:lineRule="auto"/>
        <w:ind w:left="720" w:hanging="720"/>
        <w:jc w:val="both"/>
        <w:rPr>
          <w:rFonts w:ascii="Times New Roman" w:hAnsi="Times New Roman" w:cs="Times New Roman"/>
          <w:i/>
          <w:sz w:val="23"/>
          <w:szCs w:val="23"/>
        </w:rPr>
      </w:pPr>
      <w:r>
        <w:rPr>
          <w:rFonts w:ascii="Times New Roman" w:hAnsi="Times New Roman" w:cs="Times New Roman"/>
          <w:sz w:val="23"/>
          <w:szCs w:val="23"/>
        </w:rPr>
        <w:t>Bandura (2016). Supporting and enhancing scholarship in the digital age: the role of open access institutional repositories.</w:t>
      </w:r>
      <w:r>
        <w:rPr>
          <w:rFonts w:ascii="Times New Roman" w:hAnsi="Times New Roman" w:cs="Times New Roman"/>
          <w:i/>
          <w:sz w:val="23"/>
          <w:szCs w:val="23"/>
        </w:rPr>
        <w:t xml:space="preserve"> Canadian Journal of Communication, 29: 277-300.  Available: </w:t>
      </w:r>
      <w:r>
        <w:fldChar w:fldCharType="begin"/>
      </w:r>
      <w:r>
        <w:instrText xml:space="preserve"> HYPERLINK "http://eprints.rclis.org/archive/00002590" </w:instrText>
      </w:r>
      <w:r>
        <w:fldChar w:fldCharType="separate"/>
      </w:r>
      <w:r>
        <w:rPr>
          <w:rStyle w:val="7"/>
          <w:i/>
          <w:color w:val="auto"/>
          <w:sz w:val="23"/>
          <w:szCs w:val="23"/>
          <w:u w:val="none"/>
        </w:rPr>
        <w:t>http://eprints.rclis.org/archive/000</w:t>
      </w:r>
      <w:r>
        <w:rPr>
          <w:rStyle w:val="7"/>
          <w:i/>
          <w:color w:val="auto"/>
          <w:sz w:val="23"/>
          <w:szCs w:val="23"/>
          <w:u w:val="none"/>
        </w:rPr>
        <w:fldChar w:fldCharType="end"/>
      </w:r>
      <w:r>
        <w:fldChar w:fldCharType="begin"/>
      </w:r>
      <w:r>
        <w:instrText xml:space="preserve"> HYPERLINK "http://eprints.rclis.org/archive/00002590" </w:instrText>
      </w:r>
      <w:r>
        <w:fldChar w:fldCharType="separate"/>
      </w:r>
      <w:r>
        <w:rPr>
          <w:rStyle w:val="7"/>
          <w:i/>
          <w:color w:val="auto"/>
          <w:sz w:val="23"/>
          <w:szCs w:val="23"/>
          <w:u w:val="none"/>
        </w:rPr>
        <w:t>02590</w:t>
      </w:r>
      <w:r>
        <w:rPr>
          <w:rStyle w:val="7"/>
          <w:i/>
          <w:color w:val="auto"/>
          <w:sz w:val="23"/>
          <w:szCs w:val="23"/>
          <w:u w:val="none"/>
        </w:rPr>
        <w:fldChar w:fldCharType="end"/>
      </w:r>
      <w:r>
        <w:fldChar w:fldCharType="begin"/>
      </w:r>
      <w:r>
        <w:instrText xml:space="preserve"> HYPERLINK "http://eprints.rclis.org/archive/00002590" </w:instrText>
      </w:r>
      <w:r>
        <w:fldChar w:fldCharType="separate"/>
      </w:r>
      <w:r>
        <w:rPr>
          <w:rStyle w:val="7"/>
          <w:i/>
          <w:color w:val="auto"/>
          <w:sz w:val="23"/>
          <w:szCs w:val="23"/>
          <w:u w:val="none"/>
        </w:rPr>
        <w:t xml:space="preserve"> </w:t>
      </w:r>
      <w:r>
        <w:rPr>
          <w:rStyle w:val="7"/>
          <w:i/>
          <w:color w:val="auto"/>
          <w:sz w:val="23"/>
          <w:szCs w:val="23"/>
          <w:u w:val="none"/>
        </w:rPr>
        <w:fldChar w:fldCharType="end"/>
      </w:r>
      <w:r>
        <w:rPr>
          <w:rFonts w:ascii="Times New Roman" w:hAnsi="Times New Roman" w:cs="Times New Roman"/>
          <w:i/>
          <w:sz w:val="23"/>
          <w:szCs w:val="23"/>
        </w:rPr>
        <w:t xml:space="preserve">  </w:t>
      </w:r>
    </w:p>
    <w:p w14:paraId="4A9E75C6">
      <w:pPr>
        <w:spacing w:after="0" w:line="480" w:lineRule="auto"/>
        <w:ind w:left="720" w:right="37" w:hanging="720"/>
        <w:jc w:val="both"/>
        <w:rPr>
          <w:rFonts w:ascii="Times New Roman" w:hAnsi="Times New Roman" w:cs="Times New Roman"/>
          <w:i/>
          <w:sz w:val="23"/>
          <w:szCs w:val="23"/>
        </w:rPr>
      </w:pPr>
      <w:r>
        <w:rPr>
          <w:rFonts w:ascii="Times New Roman" w:hAnsi="Times New Roman" w:cs="Times New Roman"/>
          <w:sz w:val="23"/>
          <w:szCs w:val="23"/>
        </w:rPr>
        <w:t>Bhat, (2022)</w:t>
      </w:r>
      <w:r>
        <w:rPr>
          <w:rFonts w:ascii="Times New Roman" w:hAnsi="Times New Roman" w:cs="Times New Roman"/>
          <w:i/>
          <w:sz w:val="23"/>
          <w:szCs w:val="23"/>
        </w:rPr>
        <w:t xml:space="preserve">. </w:t>
      </w:r>
      <w:r>
        <w:rPr>
          <w:rFonts w:ascii="Times New Roman" w:hAnsi="Times New Roman" w:cs="Times New Roman"/>
          <w:sz w:val="23"/>
          <w:szCs w:val="23"/>
        </w:rPr>
        <w:t>The integrated library vision-the open source/open access model. In: Swain, D. K. (ed.)</w:t>
      </w:r>
      <w:r>
        <w:rPr>
          <w:rFonts w:ascii="Times New Roman" w:hAnsi="Times New Roman" w:cs="Times New Roman"/>
          <w:i/>
          <w:sz w:val="23"/>
          <w:szCs w:val="23"/>
        </w:rPr>
        <w:t xml:space="preserve">. Electronic Age Librarianship (1-14). New Delhi: Ane Books Pvt. Ltd </w:t>
      </w:r>
    </w:p>
    <w:p w14:paraId="2B879EB5">
      <w:pPr>
        <w:spacing w:after="0" w:line="480" w:lineRule="auto"/>
        <w:ind w:left="720" w:right="52" w:hanging="720"/>
        <w:jc w:val="both"/>
        <w:rPr>
          <w:rFonts w:ascii="Times New Roman" w:hAnsi="Times New Roman" w:cs="Times New Roman"/>
          <w:i/>
          <w:sz w:val="23"/>
          <w:szCs w:val="23"/>
        </w:rPr>
      </w:pPr>
      <w:r>
        <w:rPr>
          <w:rFonts w:ascii="Times New Roman" w:hAnsi="Times New Roman" w:cs="Times New Roman"/>
          <w:sz w:val="23"/>
          <w:szCs w:val="23"/>
        </w:rPr>
        <w:t>Bird, C. (2019)</w:t>
      </w:r>
      <w:r>
        <w:rPr>
          <w:rFonts w:ascii="Times New Roman" w:hAnsi="Times New Roman" w:cs="Times New Roman"/>
          <w:i/>
          <w:sz w:val="23"/>
          <w:szCs w:val="23"/>
        </w:rPr>
        <w:t xml:space="preserve">. </w:t>
      </w:r>
      <w:r>
        <w:rPr>
          <w:rFonts w:ascii="Times New Roman" w:hAnsi="Times New Roman" w:cs="Times New Roman"/>
          <w:sz w:val="23"/>
          <w:szCs w:val="23"/>
        </w:rPr>
        <w:t>Continued adventures in open access: 2009 perspective. Learned Publishing</w:t>
      </w:r>
      <w:r>
        <w:rPr>
          <w:rFonts w:ascii="Times New Roman" w:hAnsi="Times New Roman" w:cs="Times New Roman"/>
          <w:i/>
          <w:sz w:val="23"/>
          <w:szCs w:val="23"/>
        </w:rPr>
        <w:t>, 23(2</w:t>
      </w:r>
      <w:r>
        <w:rPr>
          <w:rFonts w:ascii="Times New Roman" w:hAnsi="Times New Roman" w:cs="Times New Roman"/>
          <w:sz w:val="23"/>
          <w:szCs w:val="23"/>
        </w:rPr>
        <w:t>), 107–116.</w:t>
      </w:r>
      <w:r>
        <w:rPr>
          <w:rFonts w:ascii="Times New Roman" w:hAnsi="Times New Roman" w:cs="Times New Roman"/>
          <w:i/>
          <w:sz w:val="23"/>
          <w:szCs w:val="23"/>
        </w:rPr>
        <w:t xml:space="preserve"> </w:t>
      </w:r>
    </w:p>
    <w:p w14:paraId="6A2AB0D6">
      <w:pPr>
        <w:spacing w:after="0" w:line="480" w:lineRule="auto"/>
        <w:ind w:left="720" w:right="52" w:hanging="720"/>
        <w:jc w:val="both"/>
        <w:rPr>
          <w:rFonts w:ascii="Times New Roman" w:hAnsi="Times New Roman" w:cs="Times New Roman"/>
          <w:i/>
          <w:sz w:val="23"/>
          <w:szCs w:val="23"/>
        </w:rPr>
      </w:pPr>
      <w:r>
        <w:rPr>
          <w:rFonts w:ascii="Times New Roman" w:hAnsi="Times New Roman" w:cs="Times New Roman"/>
          <w:sz w:val="23"/>
          <w:szCs w:val="23"/>
        </w:rPr>
        <w:t>Blixrud, J. C. (2022).</w:t>
      </w:r>
      <w:r>
        <w:rPr>
          <w:rFonts w:ascii="Times New Roman" w:hAnsi="Times New Roman" w:cs="Times New Roman"/>
          <w:i/>
          <w:sz w:val="23"/>
          <w:szCs w:val="23"/>
        </w:rPr>
        <w:t xml:space="preserve"> </w:t>
      </w:r>
      <w:r>
        <w:rPr>
          <w:rFonts w:ascii="Times New Roman" w:hAnsi="Times New Roman" w:cs="Times New Roman"/>
          <w:sz w:val="23"/>
          <w:szCs w:val="23"/>
        </w:rPr>
        <w:t>Strategies for opening up content: Laying the groundwork for an open system of scholarship</w:t>
      </w:r>
      <w:r>
        <w:rPr>
          <w:rFonts w:ascii="Times New Roman" w:hAnsi="Times New Roman" w:cs="Times New Roman"/>
          <w:i/>
          <w:sz w:val="23"/>
          <w:szCs w:val="23"/>
        </w:rPr>
        <w:t xml:space="preserve">. Research Library Issues:269, 1–4. Retrieved from http://www.arl.org/resources/pubs/rli/archive/rli269.shtml. </w:t>
      </w:r>
    </w:p>
    <w:p w14:paraId="568127B8">
      <w:pPr>
        <w:spacing w:after="0" w:line="480" w:lineRule="auto"/>
        <w:ind w:left="720" w:hanging="720"/>
        <w:jc w:val="both"/>
        <w:rPr>
          <w:rFonts w:ascii="Times New Roman" w:hAnsi="Times New Roman" w:cs="Times New Roman"/>
          <w:i/>
          <w:sz w:val="23"/>
          <w:szCs w:val="23"/>
        </w:rPr>
      </w:pPr>
      <w:r>
        <w:rPr>
          <w:rFonts w:ascii="Times New Roman" w:hAnsi="Times New Roman" w:cs="Times New Roman"/>
          <w:sz w:val="23"/>
          <w:szCs w:val="23"/>
        </w:rPr>
        <w:t>(Björk &amp; Paetau, (2021)</w:t>
      </w:r>
      <w:r>
        <w:rPr>
          <w:rFonts w:ascii="Times New Roman" w:hAnsi="Times New Roman" w:cs="Times New Roman"/>
          <w:i/>
          <w:sz w:val="23"/>
          <w:szCs w:val="23"/>
        </w:rPr>
        <w:t xml:space="preserve"> </w:t>
      </w:r>
      <w:r>
        <w:rPr>
          <w:rFonts w:ascii="Times New Roman" w:hAnsi="Times New Roman" w:cs="Times New Roman"/>
          <w:sz w:val="23"/>
          <w:szCs w:val="23"/>
        </w:rPr>
        <w:t>Participation in the global knowledge commons: challenges and opportunities for research dissemination in developing countries.</w:t>
      </w:r>
      <w:r>
        <w:rPr>
          <w:rFonts w:ascii="Times New Roman" w:hAnsi="Times New Roman" w:cs="Times New Roman"/>
          <w:i/>
          <w:sz w:val="23"/>
          <w:szCs w:val="23"/>
        </w:rPr>
        <w:t xml:space="preserve"> New Library World, 106 </w:t>
      </w:r>
      <w:r>
        <w:rPr>
          <w:rFonts w:ascii="Times New Roman" w:hAnsi="Times New Roman" w:cs="Times New Roman"/>
          <w:sz w:val="23"/>
          <w:szCs w:val="23"/>
        </w:rPr>
        <w:t xml:space="preserve">(1210/1211): 141-163. </w:t>
      </w:r>
    </w:p>
    <w:p w14:paraId="07801C43">
      <w:pPr>
        <w:autoSpaceDE w:val="0"/>
        <w:autoSpaceDN w:val="0"/>
        <w:adjustRightInd w:val="0"/>
        <w:spacing w:after="0" w:line="480" w:lineRule="auto"/>
        <w:ind w:left="720" w:hanging="720"/>
        <w:jc w:val="both"/>
        <w:rPr>
          <w:rFonts w:ascii="Times New Roman" w:hAnsi="Times New Roman" w:cs="Times New Roman"/>
          <w:i/>
          <w:sz w:val="23"/>
          <w:szCs w:val="23"/>
        </w:rPr>
      </w:pPr>
      <w:r>
        <w:rPr>
          <w:rFonts w:ascii="Times New Roman" w:hAnsi="Times New Roman" w:cs="Times New Roman"/>
          <w:sz w:val="23"/>
          <w:szCs w:val="23"/>
        </w:rPr>
        <w:t xml:space="preserve">Brockett &amp; Roger (2016), Self-direction in Learning: Perspectives on theory, research, and practice. </w:t>
      </w:r>
      <w:r>
        <w:rPr>
          <w:rFonts w:ascii="Times New Roman" w:hAnsi="Times New Roman" w:cs="Times New Roman"/>
          <w:i/>
          <w:sz w:val="23"/>
          <w:szCs w:val="23"/>
        </w:rPr>
        <w:t xml:space="preserve">New York: Routledge.  </w:t>
      </w:r>
    </w:p>
    <w:p w14:paraId="6F471F12">
      <w:pPr>
        <w:spacing w:after="0" w:line="480" w:lineRule="auto"/>
        <w:ind w:left="720" w:hanging="720"/>
        <w:jc w:val="both"/>
        <w:rPr>
          <w:rFonts w:ascii="Times New Roman" w:hAnsi="Times New Roman" w:eastAsia="Times New Roman" w:cs="Times New Roman"/>
          <w:i/>
          <w:sz w:val="23"/>
          <w:szCs w:val="23"/>
        </w:rPr>
      </w:pPr>
      <w:r>
        <w:rPr>
          <w:rFonts w:ascii="Times New Roman" w:hAnsi="Times New Roman" w:eastAsia="Times New Roman" w:cs="Times New Roman"/>
          <w:sz w:val="23"/>
          <w:szCs w:val="23"/>
        </w:rPr>
        <w:t>Caslin. V.O (2019</w:t>
      </w:r>
      <w:r>
        <w:rPr>
          <w:rFonts w:ascii="Times New Roman" w:hAnsi="Times New Roman" w:eastAsia="Times New Roman" w:cs="Times New Roman"/>
          <w:i/>
          <w:sz w:val="23"/>
          <w:szCs w:val="23"/>
        </w:rPr>
        <w:t xml:space="preserve">). </w:t>
      </w:r>
      <w:r>
        <w:rPr>
          <w:rFonts w:ascii="Times New Roman" w:hAnsi="Times New Roman" w:eastAsia="Times New Roman" w:cs="Times New Roman"/>
          <w:sz w:val="23"/>
          <w:szCs w:val="23"/>
        </w:rPr>
        <w:t xml:space="preserve">Institutional Online Repositories and Open Access </w:t>
      </w:r>
      <w:r>
        <w:rPr>
          <w:rFonts w:ascii="Times New Roman" w:hAnsi="Times New Roman" w:eastAsia="Times New Roman" w:cs="Times New Roman"/>
          <w:i/>
          <w:sz w:val="23"/>
          <w:szCs w:val="23"/>
        </w:rPr>
        <w:t>.16</w:t>
      </w:r>
      <w:r>
        <w:rPr>
          <w:rFonts w:ascii="Times New Roman" w:hAnsi="Times New Roman" w:eastAsia="Times New Roman" w:cs="Times New Roman"/>
          <w:i/>
          <w:sz w:val="23"/>
          <w:szCs w:val="23"/>
          <w:vertAlign w:val="superscript"/>
        </w:rPr>
        <w:t>th</w:t>
      </w:r>
      <w:r>
        <w:rPr>
          <w:rFonts w:ascii="Times New Roman" w:hAnsi="Times New Roman" w:eastAsia="Times New Roman" w:cs="Times New Roman"/>
          <w:i/>
          <w:sz w:val="23"/>
          <w:szCs w:val="23"/>
        </w:rPr>
        <w:t xml:space="preserve"> International Seminar Tepla Monastery, Czech Republic, 7-11 June 2019. </w:t>
      </w:r>
    </w:p>
    <w:p w14:paraId="66F62557">
      <w:pPr>
        <w:spacing w:after="0" w:line="480" w:lineRule="auto"/>
        <w:ind w:left="720" w:hanging="720"/>
        <w:jc w:val="both"/>
        <w:rPr>
          <w:rFonts w:ascii="Times New Roman" w:hAnsi="Times New Roman" w:cs="Times New Roman"/>
          <w:sz w:val="23"/>
          <w:szCs w:val="23"/>
        </w:rPr>
      </w:pPr>
      <w:r>
        <w:rPr>
          <w:rFonts w:ascii="Times New Roman" w:hAnsi="Times New Roman" w:cs="Times New Roman"/>
          <w:sz w:val="23"/>
          <w:szCs w:val="23"/>
        </w:rPr>
        <w:t>Chau and Hu (2021). Reforming scholarly publishing and knowledge communication: from the advent of the scholarly journal to the challenges of open access.</w:t>
      </w:r>
      <w:r>
        <w:rPr>
          <w:rFonts w:ascii="Times New Roman" w:hAnsi="Times New Roman" w:cs="Times New Roman"/>
          <w:i/>
          <w:sz w:val="23"/>
          <w:szCs w:val="23"/>
        </w:rPr>
        <w:t xml:space="preserve"> Online information </w:t>
      </w:r>
      <w:r>
        <w:rPr>
          <w:rFonts w:ascii="Times New Roman" w:hAnsi="Times New Roman" w:cs="Times New Roman"/>
          <w:sz w:val="23"/>
          <w:szCs w:val="23"/>
        </w:rPr>
        <w:t xml:space="preserve">review, 29(4): 349-364. </w:t>
      </w:r>
    </w:p>
    <w:p w14:paraId="76FD8CF8">
      <w:pPr>
        <w:spacing w:after="0" w:line="480" w:lineRule="auto"/>
        <w:ind w:left="720" w:right="30" w:hanging="720"/>
        <w:jc w:val="both"/>
        <w:rPr>
          <w:rFonts w:ascii="Times New Roman" w:hAnsi="Times New Roman" w:cs="Times New Roman"/>
          <w:i/>
          <w:sz w:val="23"/>
          <w:szCs w:val="23"/>
        </w:rPr>
      </w:pPr>
      <w:r>
        <w:rPr>
          <w:rFonts w:ascii="Times New Roman" w:hAnsi="Times New Roman" w:cs="Times New Roman"/>
          <w:sz w:val="23"/>
          <w:szCs w:val="23"/>
        </w:rPr>
        <w:t>Chantavaridou, E. (2019)</w:t>
      </w:r>
      <w:r>
        <w:rPr>
          <w:rFonts w:ascii="Times New Roman" w:hAnsi="Times New Roman" w:cs="Times New Roman"/>
          <w:i/>
          <w:sz w:val="23"/>
          <w:szCs w:val="23"/>
        </w:rPr>
        <w:t>.</w:t>
      </w:r>
      <w:r>
        <w:rPr>
          <w:rFonts w:ascii="Times New Roman" w:hAnsi="Times New Roman" w:cs="Times New Roman"/>
          <w:sz w:val="23"/>
          <w:szCs w:val="23"/>
        </w:rPr>
        <w:t xml:space="preserve"> Contributions of open access to higher education in Europe and vice versa.</w:t>
      </w:r>
      <w:r>
        <w:rPr>
          <w:rFonts w:ascii="Times New Roman" w:hAnsi="Times New Roman" w:cs="Times New Roman"/>
          <w:i/>
          <w:sz w:val="23"/>
          <w:szCs w:val="23"/>
        </w:rPr>
        <w:t xml:space="preserve"> OCLC Systems &amp; Services, 25(3), 167–174. Retrieved from http://www.emeraldinsight.com/journals.htm?articleid=</w:t>
      </w:r>
      <w:r>
        <w:rPr>
          <w:rFonts w:ascii="Times New Roman" w:hAnsi="Times New Roman" w:cs="Times New Roman"/>
          <w:sz w:val="23"/>
          <w:szCs w:val="23"/>
        </w:rPr>
        <w:t>1810664</w:t>
      </w:r>
      <w:r>
        <w:rPr>
          <w:rFonts w:ascii="Times New Roman" w:hAnsi="Times New Roman" w:cs="Times New Roman"/>
          <w:i/>
          <w:sz w:val="23"/>
          <w:szCs w:val="23"/>
        </w:rPr>
        <w:t xml:space="preserve"> </w:t>
      </w:r>
      <w:r>
        <w:rPr>
          <w:rFonts w:ascii="Times New Roman" w:hAnsi="Times New Roman" w:cs="Times New Roman"/>
          <w:b/>
          <w:i/>
          <w:sz w:val="23"/>
          <w:szCs w:val="23"/>
        </w:rPr>
        <w:t xml:space="preserve"> </w:t>
      </w:r>
    </w:p>
    <w:p w14:paraId="1D067D24">
      <w:pPr>
        <w:spacing w:after="0" w:line="480" w:lineRule="auto"/>
        <w:ind w:left="720" w:hanging="720"/>
        <w:jc w:val="both"/>
        <w:rPr>
          <w:rFonts w:ascii="Times New Roman" w:hAnsi="Times New Roman" w:cs="Times New Roman"/>
          <w:i/>
          <w:sz w:val="23"/>
          <w:szCs w:val="23"/>
        </w:rPr>
      </w:pPr>
      <w:r>
        <w:rPr>
          <w:rFonts w:ascii="Times New Roman" w:hAnsi="Times New Roman" w:cs="Times New Roman"/>
          <w:sz w:val="23"/>
          <w:szCs w:val="23"/>
        </w:rPr>
        <w:t>Covey, 2019; Lercher, 2018; Xia, (2018).</w:t>
      </w:r>
      <w:r>
        <w:rPr>
          <w:rFonts w:ascii="Times New Roman" w:hAnsi="Times New Roman" w:cs="Times New Roman"/>
          <w:i/>
          <w:sz w:val="23"/>
          <w:szCs w:val="23"/>
        </w:rPr>
        <w:t xml:space="preserve"> </w:t>
      </w:r>
      <w:r>
        <w:rPr>
          <w:rFonts w:ascii="Times New Roman" w:hAnsi="Times New Roman" w:cs="Times New Roman"/>
          <w:sz w:val="23"/>
          <w:szCs w:val="23"/>
        </w:rPr>
        <w:t xml:space="preserve">Participation in the global knowledge commons: challenges and opportunities for research dissemination in developing countries. </w:t>
      </w:r>
      <w:r>
        <w:rPr>
          <w:rFonts w:ascii="Times New Roman" w:hAnsi="Times New Roman" w:cs="Times New Roman"/>
          <w:i/>
          <w:sz w:val="23"/>
          <w:szCs w:val="23"/>
        </w:rPr>
        <w:t xml:space="preserve">New Library World, </w:t>
      </w:r>
      <w:r>
        <w:rPr>
          <w:rFonts w:ascii="Times New Roman" w:hAnsi="Times New Roman" w:cs="Times New Roman"/>
          <w:sz w:val="23"/>
          <w:szCs w:val="23"/>
        </w:rPr>
        <w:t>106 (1210/1211): 141-163</w:t>
      </w:r>
      <w:r>
        <w:rPr>
          <w:rFonts w:ascii="Times New Roman" w:hAnsi="Times New Roman" w:cs="Times New Roman"/>
          <w:i/>
          <w:sz w:val="23"/>
          <w:szCs w:val="23"/>
        </w:rPr>
        <w:t xml:space="preserve">. </w:t>
      </w:r>
    </w:p>
    <w:p w14:paraId="2CAC8F1F">
      <w:pPr>
        <w:spacing w:after="0" w:line="480" w:lineRule="auto"/>
        <w:ind w:left="720" w:right="37" w:hanging="720"/>
        <w:jc w:val="both"/>
        <w:rPr>
          <w:rFonts w:ascii="Times New Roman" w:hAnsi="Times New Roman" w:cs="Times New Roman"/>
          <w:i/>
          <w:sz w:val="23"/>
          <w:szCs w:val="23"/>
        </w:rPr>
      </w:pPr>
      <w:r>
        <w:rPr>
          <w:rFonts w:ascii="Times New Roman" w:hAnsi="Times New Roman" w:cs="Times New Roman"/>
          <w:sz w:val="23"/>
          <w:szCs w:val="23"/>
        </w:rPr>
        <w:t>Cullen and Chawner, (2021).</w:t>
      </w:r>
      <w:r>
        <w:rPr>
          <w:rFonts w:ascii="Times New Roman" w:hAnsi="Times New Roman" w:cs="Times New Roman"/>
          <w:i/>
          <w:sz w:val="23"/>
          <w:szCs w:val="23"/>
        </w:rPr>
        <w:t xml:space="preserve"> </w:t>
      </w:r>
      <w:r>
        <w:rPr>
          <w:rFonts w:ascii="Times New Roman" w:hAnsi="Times New Roman" w:cs="Times New Roman"/>
          <w:sz w:val="23"/>
          <w:szCs w:val="23"/>
        </w:rPr>
        <w:t xml:space="preserve">User acceptance of computer technology: A comparison of two theoretical models. </w:t>
      </w:r>
      <w:r>
        <w:rPr>
          <w:rFonts w:ascii="Times New Roman" w:hAnsi="Times New Roman" w:cs="Times New Roman"/>
          <w:i/>
          <w:sz w:val="23"/>
          <w:szCs w:val="23"/>
        </w:rPr>
        <w:t xml:space="preserve">Management Science 35, 982–1003, doi:10.1287/mnsc.35.8.982 </w:t>
      </w:r>
    </w:p>
    <w:p w14:paraId="0902A1A9">
      <w:pPr>
        <w:spacing w:after="0" w:line="480" w:lineRule="auto"/>
        <w:ind w:left="720" w:right="37" w:hanging="720"/>
        <w:jc w:val="both"/>
        <w:rPr>
          <w:rFonts w:ascii="Times New Roman" w:hAnsi="Times New Roman" w:cs="Times New Roman"/>
          <w:i/>
          <w:sz w:val="23"/>
          <w:szCs w:val="23"/>
        </w:rPr>
      </w:pPr>
      <w:r>
        <w:rPr>
          <w:rFonts w:ascii="Times New Roman" w:hAnsi="Times New Roman" w:cs="Times New Roman"/>
          <w:sz w:val="23"/>
          <w:szCs w:val="23"/>
        </w:rPr>
        <w:t>Davis, F. D. (2017)</w:t>
      </w:r>
      <w:r>
        <w:rPr>
          <w:rFonts w:ascii="Times New Roman" w:hAnsi="Times New Roman" w:cs="Times New Roman"/>
          <w:i/>
          <w:sz w:val="23"/>
          <w:szCs w:val="23"/>
        </w:rPr>
        <w:t xml:space="preserve">. </w:t>
      </w:r>
      <w:r>
        <w:rPr>
          <w:rFonts w:ascii="Times New Roman" w:hAnsi="Times New Roman" w:cs="Times New Roman"/>
          <w:sz w:val="23"/>
          <w:szCs w:val="23"/>
        </w:rPr>
        <w:t>Perceived usefulness, perceived ease of use, and user acceptance of information technology.</w:t>
      </w:r>
      <w:r>
        <w:rPr>
          <w:rFonts w:ascii="Times New Roman" w:hAnsi="Times New Roman" w:cs="Times New Roman"/>
          <w:i/>
          <w:sz w:val="23"/>
          <w:szCs w:val="23"/>
        </w:rPr>
        <w:t xml:space="preserve"> MIS Quarterly, 13(3), 319–340, doi:10.2307/249008 </w:t>
      </w:r>
    </w:p>
    <w:p w14:paraId="3CCFD071">
      <w:pPr>
        <w:spacing w:after="0" w:line="480" w:lineRule="auto"/>
        <w:ind w:left="720" w:right="31" w:hanging="720"/>
        <w:jc w:val="both"/>
        <w:rPr>
          <w:rFonts w:ascii="Times New Roman" w:hAnsi="Times New Roman" w:cs="Times New Roman"/>
          <w:i/>
          <w:sz w:val="23"/>
          <w:szCs w:val="23"/>
        </w:rPr>
      </w:pPr>
      <w:r>
        <w:rPr>
          <w:rFonts w:ascii="Times New Roman" w:hAnsi="Times New Roman" w:cs="Times New Roman"/>
          <w:sz w:val="23"/>
          <w:szCs w:val="23"/>
        </w:rPr>
        <w:t>Driscoll, M</w:t>
      </w:r>
      <w:r>
        <w:rPr>
          <w:rFonts w:ascii="Times New Roman" w:hAnsi="Times New Roman" w:cs="Times New Roman"/>
          <w:i/>
          <w:sz w:val="23"/>
          <w:szCs w:val="23"/>
        </w:rPr>
        <w:t xml:space="preserve">. (2015). Psychology of Learning for Instruction. Needham Heights, MA, Allyn &amp; Bacon. </w:t>
      </w:r>
    </w:p>
    <w:p w14:paraId="0C82A6BE">
      <w:pPr>
        <w:spacing w:after="0" w:line="480" w:lineRule="auto"/>
        <w:ind w:left="720" w:hanging="720"/>
        <w:jc w:val="both"/>
        <w:rPr>
          <w:rFonts w:ascii="Times New Roman" w:hAnsi="Times New Roman" w:cs="Times New Roman"/>
          <w:i/>
          <w:sz w:val="23"/>
          <w:szCs w:val="23"/>
        </w:rPr>
      </w:pPr>
      <w:r>
        <w:rPr>
          <w:rFonts w:ascii="Times New Roman" w:hAnsi="Times New Roman" w:cs="Times New Roman"/>
          <w:sz w:val="23"/>
          <w:szCs w:val="23"/>
        </w:rPr>
        <w:t>Dulle, F. W. (2018)</w:t>
      </w:r>
      <w:r>
        <w:rPr>
          <w:rFonts w:ascii="Times New Roman" w:hAnsi="Times New Roman" w:cs="Times New Roman"/>
          <w:i/>
          <w:sz w:val="23"/>
          <w:szCs w:val="23"/>
        </w:rPr>
        <w:t xml:space="preserve">. </w:t>
      </w:r>
      <w:r>
        <w:rPr>
          <w:rFonts w:ascii="Times New Roman" w:hAnsi="Times New Roman" w:cs="Times New Roman"/>
          <w:sz w:val="23"/>
          <w:szCs w:val="23"/>
        </w:rPr>
        <w:t>An analysis of open access scholarly communication in Tanzanian public universities.</w:t>
      </w:r>
      <w:r>
        <w:rPr>
          <w:rFonts w:ascii="Times New Roman" w:hAnsi="Times New Roman" w:cs="Times New Roman"/>
          <w:i/>
          <w:sz w:val="23"/>
          <w:szCs w:val="23"/>
        </w:rPr>
        <w:t xml:space="preserve"> Unpublished PhD Thesis, University of Natal (Accessed ) </w:t>
      </w:r>
    </w:p>
    <w:p w14:paraId="08B6BC4B">
      <w:pPr>
        <w:spacing w:after="0" w:line="480" w:lineRule="auto"/>
        <w:ind w:left="720" w:hanging="720"/>
        <w:jc w:val="both"/>
        <w:rPr>
          <w:rFonts w:ascii="Times New Roman" w:hAnsi="Times New Roman" w:eastAsia="Times New Roman" w:cs="Times New Roman"/>
          <w:i/>
          <w:sz w:val="23"/>
          <w:szCs w:val="23"/>
        </w:rPr>
      </w:pPr>
      <w:r>
        <w:rPr>
          <w:rFonts w:ascii="Times New Roman" w:hAnsi="Times New Roman" w:cs="Times New Roman"/>
          <w:sz w:val="23"/>
          <w:szCs w:val="23"/>
        </w:rPr>
        <w:t>Dwivedi et al., 2020</w:t>
      </w:r>
      <w:r>
        <w:rPr>
          <w:rFonts w:ascii="Times New Roman" w:hAnsi="Times New Roman" w:cs="Times New Roman"/>
          <w:i/>
          <w:sz w:val="23"/>
          <w:szCs w:val="23"/>
        </w:rPr>
        <w:t>.</w:t>
      </w:r>
      <w:r>
        <w:rPr>
          <w:rFonts w:ascii="Times New Roman" w:hAnsi="Times New Roman" w:cs="Times New Roman"/>
          <w:sz w:val="23"/>
          <w:szCs w:val="23"/>
        </w:rPr>
        <w:t xml:space="preserve"> </w:t>
      </w:r>
      <w:r>
        <w:rPr>
          <w:rFonts w:ascii="Times New Roman" w:hAnsi="Times New Roman" w:eastAsia="Times New Roman" w:cs="Times New Roman"/>
          <w:sz w:val="23"/>
          <w:szCs w:val="23"/>
        </w:rPr>
        <w:t>Digital repositories: Helping universities and colleges. JISC Briefing Paper: Higher Education Sector</w:t>
      </w:r>
      <w:r>
        <w:rPr>
          <w:rFonts w:ascii="Times New Roman" w:hAnsi="Times New Roman" w:eastAsia="Times New Roman" w:cs="Times New Roman"/>
          <w:i/>
          <w:sz w:val="23"/>
          <w:szCs w:val="23"/>
        </w:rPr>
        <w:t xml:space="preserve">. Retrieved from </w:t>
      </w:r>
      <w:r>
        <w:fldChar w:fldCharType="begin"/>
      </w:r>
      <w:r>
        <w:instrText xml:space="preserve"> HYPERLINK "http://ebib.oss.wroc.pl/2015/63/" </w:instrText>
      </w:r>
      <w:r>
        <w:fldChar w:fldCharType="separate"/>
      </w:r>
      <w:r>
        <w:rPr>
          <w:rStyle w:val="7"/>
          <w:rFonts w:eastAsia="Times New Roman"/>
          <w:i/>
          <w:color w:val="auto"/>
          <w:sz w:val="23"/>
          <w:szCs w:val="23"/>
          <w:u w:val="none"/>
        </w:rPr>
        <w:t>http://ebib.oss.wroc.pl/2015/63/</w:t>
      </w:r>
      <w:r>
        <w:rPr>
          <w:rStyle w:val="7"/>
          <w:rFonts w:eastAsia="Times New Roman"/>
          <w:i/>
          <w:color w:val="auto"/>
          <w:sz w:val="23"/>
          <w:szCs w:val="23"/>
          <w:u w:val="none"/>
        </w:rPr>
        <w:fldChar w:fldCharType="end"/>
      </w:r>
      <w:r>
        <w:rPr>
          <w:rFonts w:ascii="Times New Roman" w:hAnsi="Times New Roman" w:eastAsia="Times New Roman" w:cs="Times New Roman"/>
          <w:i/>
          <w:sz w:val="23"/>
          <w:szCs w:val="23"/>
        </w:rPr>
        <w:t xml:space="preserve"> bjork.php</w:t>
      </w:r>
    </w:p>
    <w:p w14:paraId="3F103279">
      <w:pPr>
        <w:spacing w:after="0" w:line="480" w:lineRule="auto"/>
        <w:ind w:left="720" w:right="31" w:hanging="720"/>
        <w:jc w:val="both"/>
        <w:rPr>
          <w:rFonts w:ascii="Times New Roman" w:hAnsi="Times New Roman" w:cs="Times New Roman"/>
          <w:i/>
          <w:sz w:val="23"/>
          <w:szCs w:val="23"/>
        </w:rPr>
      </w:pPr>
      <w:r>
        <w:rPr>
          <w:rFonts w:ascii="Times New Roman" w:hAnsi="Times New Roman" w:cs="Times New Roman"/>
          <w:sz w:val="23"/>
          <w:szCs w:val="23"/>
        </w:rPr>
        <w:t>Emojorho et al. (2021).</w:t>
      </w:r>
      <w:r>
        <w:rPr>
          <w:rFonts w:ascii="Times New Roman" w:hAnsi="Times New Roman" w:cs="Times New Roman"/>
          <w:i/>
          <w:sz w:val="23"/>
          <w:szCs w:val="23"/>
        </w:rPr>
        <w:t xml:space="preserve"> </w:t>
      </w:r>
      <w:r>
        <w:rPr>
          <w:rFonts w:ascii="Times New Roman" w:hAnsi="Times New Roman" w:cs="Times New Roman"/>
          <w:sz w:val="23"/>
          <w:szCs w:val="23"/>
        </w:rPr>
        <w:t>Learning and Instruction: Theory into Practice – 5</w:t>
      </w:r>
      <w:r>
        <w:rPr>
          <w:rFonts w:ascii="Times New Roman" w:hAnsi="Times New Roman" w:cs="Times New Roman"/>
          <w:sz w:val="23"/>
          <w:szCs w:val="23"/>
          <w:vertAlign w:val="superscript"/>
        </w:rPr>
        <w:t>th</w:t>
      </w:r>
      <w:r>
        <w:rPr>
          <w:rFonts w:ascii="Times New Roman" w:hAnsi="Times New Roman" w:cs="Times New Roman"/>
          <w:sz w:val="23"/>
          <w:szCs w:val="23"/>
        </w:rPr>
        <w:t xml:space="preserve"> Edition, Upper Saddle River, NJ, Pearson Education Malabar, FL: Krieger.</w:t>
      </w:r>
      <w:r>
        <w:rPr>
          <w:rFonts w:ascii="Times New Roman" w:hAnsi="Times New Roman" w:cs="Times New Roman"/>
          <w:i/>
          <w:sz w:val="23"/>
          <w:szCs w:val="23"/>
        </w:rPr>
        <w:t xml:space="preserve">  </w:t>
      </w:r>
    </w:p>
    <w:p w14:paraId="6081C203">
      <w:pPr>
        <w:spacing w:after="0" w:line="480" w:lineRule="auto"/>
        <w:ind w:left="720" w:hanging="720"/>
        <w:jc w:val="both"/>
        <w:rPr>
          <w:rFonts w:ascii="Times New Roman" w:hAnsi="Times New Roman" w:cs="Times New Roman"/>
          <w:i/>
          <w:sz w:val="23"/>
          <w:szCs w:val="23"/>
        </w:rPr>
      </w:pPr>
      <w:r>
        <w:rPr>
          <w:rFonts w:ascii="Times New Roman" w:hAnsi="Times New Roman" w:cs="Times New Roman"/>
          <w:sz w:val="23"/>
          <w:szCs w:val="23"/>
        </w:rPr>
        <w:t>Fullard, A. (2017</w:t>
      </w:r>
      <w:r>
        <w:rPr>
          <w:rFonts w:ascii="Times New Roman" w:hAnsi="Times New Roman" w:cs="Times New Roman"/>
          <w:i/>
          <w:sz w:val="23"/>
          <w:szCs w:val="23"/>
        </w:rPr>
        <w:t>)</w:t>
      </w:r>
      <w:r>
        <w:rPr>
          <w:rFonts w:ascii="Times New Roman" w:hAnsi="Times New Roman" w:cs="Times New Roman"/>
          <w:sz w:val="23"/>
          <w:szCs w:val="23"/>
        </w:rPr>
        <w:t>South African response to open access publishing: a survey of the research community</w:t>
      </w:r>
      <w:r>
        <w:rPr>
          <w:rFonts w:ascii="Times New Roman" w:hAnsi="Times New Roman" w:cs="Times New Roman"/>
          <w:i/>
          <w:sz w:val="23"/>
          <w:szCs w:val="23"/>
        </w:rPr>
        <w:t xml:space="preserve">. South African Journal of library &amp; Information Science, </w:t>
      </w:r>
    </w:p>
    <w:p w14:paraId="6EE642C4">
      <w:pPr>
        <w:spacing w:after="0" w:line="480" w:lineRule="auto"/>
        <w:ind w:left="720" w:hanging="720"/>
        <w:jc w:val="both"/>
        <w:rPr>
          <w:rFonts w:ascii="Times New Roman" w:hAnsi="Times New Roman" w:eastAsia="Times New Roman" w:cs="Times New Roman"/>
          <w:i/>
          <w:sz w:val="23"/>
          <w:szCs w:val="23"/>
        </w:rPr>
      </w:pPr>
      <w:r>
        <w:rPr>
          <w:rFonts w:ascii="Times New Roman" w:hAnsi="Times New Roman" w:eastAsia="Times New Roman" w:cs="Times New Roman"/>
          <w:sz w:val="23"/>
          <w:szCs w:val="23"/>
        </w:rPr>
        <w:t>Greenhouse associate, (2020</w:t>
      </w:r>
      <w:r>
        <w:rPr>
          <w:rFonts w:ascii="Times New Roman" w:hAnsi="Times New Roman" w:eastAsia="Times New Roman" w:cs="Times New Roman"/>
          <w:i/>
          <w:sz w:val="23"/>
          <w:szCs w:val="23"/>
        </w:rPr>
        <w:t xml:space="preserve">) </w:t>
      </w:r>
      <w:r>
        <w:rPr>
          <w:rFonts w:ascii="Times New Roman" w:hAnsi="Times New Roman" w:cs="Times New Roman"/>
          <w:sz w:val="23"/>
          <w:szCs w:val="23"/>
        </w:rPr>
        <w:t>The crises in scholarly communication: origin of the crises in scholarly communication.</w:t>
      </w:r>
      <w:r>
        <w:rPr>
          <w:rFonts w:ascii="Times New Roman" w:hAnsi="Times New Roman" w:cs="Times New Roman"/>
          <w:i/>
          <w:sz w:val="23"/>
          <w:szCs w:val="23"/>
        </w:rPr>
        <w:t xml:space="preserve"> Accessed on Sunday 10</w:t>
      </w:r>
      <w:r>
        <w:rPr>
          <w:rFonts w:ascii="Times New Roman" w:hAnsi="Times New Roman" w:cs="Times New Roman"/>
          <w:i/>
          <w:sz w:val="23"/>
          <w:szCs w:val="23"/>
          <w:vertAlign w:val="superscript"/>
        </w:rPr>
        <w:t>th</w:t>
      </w:r>
      <w:r>
        <w:rPr>
          <w:rFonts w:ascii="Times New Roman" w:hAnsi="Times New Roman" w:cs="Times New Roman"/>
          <w:i/>
          <w:sz w:val="23"/>
          <w:szCs w:val="23"/>
        </w:rPr>
        <w:t xml:space="preserve"> August, 2014 on http://guides.main.library.emory.edu/OA</w:t>
      </w:r>
    </w:p>
    <w:p w14:paraId="6CD4F436">
      <w:pPr>
        <w:autoSpaceDE w:val="0"/>
        <w:autoSpaceDN w:val="0"/>
        <w:adjustRightInd w:val="0"/>
        <w:spacing w:after="0" w:line="480" w:lineRule="auto"/>
        <w:ind w:left="720" w:hanging="720"/>
        <w:jc w:val="both"/>
        <w:rPr>
          <w:rFonts w:ascii="Times New Roman" w:hAnsi="Times New Roman" w:cs="Times New Roman"/>
          <w:i/>
          <w:sz w:val="23"/>
          <w:szCs w:val="23"/>
        </w:rPr>
      </w:pPr>
      <w:r>
        <w:rPr>
          <w:rFonts w:ascii="Times New Roman" w:hAnsi="Times New Roman" w:cs="Times New Roman"/>
          <w:i/>
          <w:sz w:val="23"/>
          <w:szCs w:val="23"/>
        </w:rPr>
        <w:t xml:space="preserve">Macklin, L. (2017). </w:t>
      </w:r>
      <w:r>
        <w:rPr>
          <w:rFonts w:ascii="Times New Roman" w:hAnsi="Times New Roman" w:cs="Times New Roman"/>
          <w:iCs/>
          <w:sz w:val="23"/>
          <w:szCs w:val="23"/>
        </w:rPr>
        <w:t xml:space="preserve">Why is open access important to everyone in the academy? </w:t>
      </w:r>
      <w:r>
        <w:rPr>
          <w:rFonts w:ascii="Times New Roman" w:hAnsi="Times New Roman" w:cs="Times New Roman"/>
          <w:i/>
          <w:sz w:val="23"/>
          <w:szCs w:val="23"/>
        </w:rPr>
        <w:t>Accessed on10th August, 2014 on http://guides.main.library.emory.edu/OA</w:t>
      </w:r>
    </w:p>
    <w:p w14:paraId="40B528F2">
      <w:pPr>
        <w:autoSpaceDE w:val="0"/>
        <w:autoSpaceDN w:val="0"/>
        <w:adjustRightInd w:val="0"/>
        <w:spacing w:after="0" w:line="480" w:lineRule="auto"/>
        <w:jc w:val="both"/>
        <w:rPr>
          <w:rFonts w:ascii="Times New Roman" w:hAnsi="Times New Roman" w:cs="Times New Roman"/>
          <w:sz w:val="23"/>
          <w:szCs w:val="23"/>
        </w:rPr>
      </w:pPr>
      <w:r>
        <w:rPr>
          <w:rFonts w:ascii="Times New Roman" w:hAnsi="Times New Roman" w:cs="Times New Roman"/>
          <w:i/>
          <w:sz w:val="23"/>
          <w:szCs w:val="23"/>
        </w:rPr>
        <w:t>Nguyen, T. (2018)</w:t>
      </w:r>
      <w:r>
        <w:rPr>
          <w:rFonts w:ascii="Times New Roman" w:hAnsi="Times New Roman" w:cs="Times New Roman"/>
          <w:sz w:val="23"/>
          <w:szCs w:val="23"/>
        </w:rPr>
        <w:t xml:space="preserve"> How Research Produces Knowledge. In J. M. Peters, P. Jarvis, &amp; </w:t>
      </w:r>
    </w:p>
    <w:p w14:paraId="15795DB4">
      <w:pPr>
        <w:spacing w:after="0" w:line="480" w:lineRule="auto"/>
        <w:ind w:left="720"/>
        <w:jc w:val="both"/>
        <w:rPr>
          <w:rFonts w:ascii="Times New Roman" w:hAnsi="Times New Roman" w:cs="Times New Roman"/>
          <w:i/>
          <w:sz w:val="23"/>
          <w:szCs w:val="23"/>
        </w:rPr>
      </w:pPr>
      <w:r>
        <w:rPr>
          <w:rFonts w:ascii="Times New Roman" w:hAnsi="Times New Roman" w:cs="Times New Roman"/>
          <w:sz w:val="23"/>
          <w:szCs w:val="23"/>
        </w:rPr>
        <w:t xml:space="preserve">Associates, Adult education: Evolution and achievements in a developing field of study. </w:t>
      </w:r>
      <w:r>
        <w:rPr>
          <w:rFonts w:ascii="Times New Roman" w:hAnsi="Times New Roman" w:cs="Times New Roman"/>
          <w:i/>
          <w:sz w:val="23"/>
          <w:szCs w:val="23"/>
        </w:rPr>
        <w:t>San Francisco: Jossey-Bass.</w:t>
      </w:r>
    </w:p>
    <w:p w14:paraId="660A5304">
      <w:pPr>
        <w:autoSpaceDE w:val="0"/>
        <w:autoSpaceDN w:val="0"/>
        <w:adjustRightInd w:val="0"/>
        <w:spacing w:after="0" w:line="480" w:lineRule="auto"/>
        <w:ind w:left="720" w:hanging="720"/>
        <w:jc w:val="both"/>
        <w:rPr>
          <w:rFonts w:ascii="Times New Roman" w:hAnsi="Times New Roman" w:cs="Times New Roman"/>
          <w:i/>
          <w:sz w:val="23"/>
          <w:szCs w:val="23"/>
        </w:rPr>
      </w:pPr>
      <w:r>
        <w:rPr>
          <w:rFonts w:ascii="Times New Roman" w:hAnsi="Times New Roman" w:cs="Times New Roman"/>
          <w:i/>
          <w:sz w:val="23"/>
          <w:szCs w:val="23"/>
        </w:rPr>
        <w:t>Obuh B. and Bozimo C. (2022).</w:t>
      </w:r>
      <w:r>
        <w:rPr>
          <w:rFonts w:ascii="Times New Roman" w:hAnsi="Times New Roman" w:cs="Times New Roman"/>
          <w:sz w:val="23"/>
          <w:szCs w:val="23"/>
        </w:rPr>
        <w:t xml:space="preserve"> Models of Learning - tools for teaching</w:t>
      </w:r>
      <w:r>
        <w:rPr>
          <w:rFonts w:ascii="Times New Roman" w:hAnsi="Times New Roman" w:cs="Times New Roman"/>
          <w:i/>
          <w:sz w:val="23"/>
          <w:szCs w:val="23"/>
        </w:rPr>
        <w:t xml:space="preserve">. Buckingham: Open University Press.  </w:t>
      </w:r>
    </w:p>
    <w:p w14:paraId="72609B57">
      <w:pPr>
        <w:autoSpaceDE w:val="0"/>
        <w:autoSpaceDN w:val="0"/>
        <w:adjustRightInd w:val="0"/>
        <w:spacing w:after="0" w:line="480" w:lineRule="auto"/>
        <w:ind w:left="720" w:hanging="720"/>
        <w:jc w:val="both"/>
        <w:rPr>
          <w:rFonts w:ascii="Times New Roman" w:hAnsi="Times New Roman" w:cs="Times New Roman"/>
          <w:i/>
          <w:sz w:val="23"/>
          <w:szCs w:val="23"/>
        </w:rPr>
      </w:pPr>
      <w:r>
        <w:rPr>
          <w:rFonts w:ascii="Times New Roman" w:hAnsi="Times New Roman" w:cs="Times New Roman"/>
          <w:i/>
          <w:sz w:val="23"/>
          <w:szCs w:val="23"/>
        </w:rPr>
        <w:t>Pandey C.R (2018)  .</w:t>
      </w:r>
      <w:r>
        <w:rPr>
          <w:rFonts w:ascii="Times New Roman" w:hAnsi="Times New Roman" w:cs="Times New Roman"/>
          <w:sz w:val="23"/>
          <w:szCs w:val="23"/>
        </w:rPr>
        <w:t xml:space="preserve"> Freedom to learn.</w:t>
      </w:r>
      <w:r>
        <w:rPr>
          <w:rFonts w:ascii="Times New Roman" w:hAnsi="Times New Roman" w:cs="Times New Roman"/>
          <w:i/>
          <w:sz w:val="23"/>
          <w:szCs w:val="23"/>
        </w:rPr>
        <w:t xml:space="preserve"> Columbus, OH: Merrill.  </w:t>
      </w:r>
    </w:p>
    <w:p w14:paraId="4DFB1309">
      <w:pPr>
        <w:autoSpaceDE w:val="0"/>
        <w:autoSpaceDN w:val="0"/>
        <w:adjustRightInd w:val="0"/>
        <w:spacing w:after="0" w:line="480" w:lineRule="auto"/>
        <w:ind w:left="720" w:hanging="720"/>
        <w:jc w:val="both"/>
        <w:rPr>
          <w:rFonts w:ascii="Times New Roman" w:hAnsi="Times New Roman" w:cs="Times New Roman"/>
          <w:sz w:val="23"/>
          <w:szCs w:val="23"/>
        </w:rPr>
      </w:pPr>
      <w:r>
        <w:rPr>
          <w:rFonts w:ascii="Times New Roman" w:hAnsi="Times New Roman" w:cs="Times New Roman"/>
          <w:i/>
          <w:sz w:val="23"/>
          <w:szCs w:val="23"/>
        </w:rPr>
        <w:t xml:space="preserve">Pavlov D. S. (2018). </w:t>
      </w:r>
      <w:r>
        <w:rPr>
          <w:rFonts w:ascii="Times New Roman" w:hAnsi="Times New Roman" w:cs="Times New Roman"/>
          <w:sz w:val="23"/>
          <w:szCs w:val="23"/>
        </w:rPr>
        <w:t xml:space="preserve">Advanced Educational Psychology. New Delhi, India. </w:t>
      </w:r>
    </w:p>
    <w:p w14:paraId="7E399E31">
      <w:pPr>
        <w:spacing w:after="0" w:line="480" w:lineRule="auto"/>
        <w:ind w:left="720"/>
        <w:jc w:val="both"/>
        <w:rPr>
          <w:rFonts w:ascii="Times New Roman" w:hAnsi="Times New Roman" w:eastAsia="Times New Roman" w:cs="Times New Roman"/>
          <w:i/>
          <w:sz w:val="23"/>
          <w:szCs w:val="23"/>
        </w:rPr>
      </w:pPr>
      <w:r>
        <w:rPr>
          <w:rFonts w:ascii="Times New Roman" w:hAnsi="Times New Roman" w:eastAsia="Times New Roman" w:cs="Times New Roman"/>
          <w:sz w:val="23"/>
          <w:szCs w:val="23"/>
        </w:rPr>
        <w:t>Philosophy and Practice.</w:t>
      </w:r>
      <w:r>
        <w:rPr>
          <w:rFonts w:ascii="Times New Roman" w:hAnsi="Times New Roman" w:eastAsia="Times New Roman" w:cs="Times New Roman"/>
          <w:i/>
          <w:sz w:val="23"/>
          <w:szCs w:val="23"/>
        </w:rPr>
        <w:t xml:space="preserve"> Retrieved from http://www.webpages.uidaho.edu/~mbolin/</w:t>
      </w:r>
    </w:p>
    <w:p w14:paraId="2E8D8E3E">
      <w:pPr>
        <w:spacing w:after="0" w:line="480" w:lineRule="auto"/>
        <w:ind w:left="720" w:right="37" w:hanging="720"/>
        <w:jc w:val="both"/>
        <w:rPr>
          <w:rFonts w:ascii="Times New Roman" w:hAnsi="Times New Roman" w:cs="Times New Roman"/>
          <w:i/>
          <w:sz w:val="23"/>
          <w:szCs w:val="23"/>
        </w:rPr>
      </w:pPr>
      <w:r>
        <w:rPr>
          <w:rFonts w:ascii="Times New Roman" w:hAnsi="Times New Roman" w:cs="Times New Roman"/>
          <w:i/>
          <w:sz w:val="23"/>
          <w:szCs w:val="23"/>
        </w:rPr>
        <w:t xml:space="preserve">Rao, P. V. (2020). </w:t>
      </w:r>
      <w:r>
        <w:rPr>
          <w:rFonts w:ascii="Times New Roman" w:hAnsi="Times New Roman" w:cs="Times New Roman"/>
          <w:sz w:val="23"/>
          <w:szCs w:val="23"/>
        </w:rPr>
        <w:t>Organizing and accessing open success resources. In: Swain, D. K. (ed.). Electronic Age Librarianship</w:t>
      </w:r>
      <w:r>
        <w:rPr>
          <w:rFonts w:ascii="Times New Roman" w:hAnsi="Times New Roman" w:cs="Times New Roman"/>
          <w:i/>
          <w:sz w:val="23"/>
          <w:szCs w:val="23"/>
        </w:rPr>
        <w:t xml:space="preserve"> New Delhi: Ane Books Pvt. Ltd,(81-89). </w:t>
      </w:r>
    </w:p>
    <w:p w14:paraId="6994A2D9">
      <w:pPr>
        <w:pStyle w:val="13"/>
        <w:spacing w:line="480" w:lineRule="auto"/>
        <w:ind w:left="720" w:hanging="720"/>
        <w:jc w:val="both"/>
        <w:rPr>
          <w:i/>
          <w:color w:val="auto"/>
          <w:sz w:val="23"/>
          <w:szCs w:val="23"/>
        </w:rPr>
      </w:pPr>
      <w:r>
        <w:rPr>
          <w:i/>
          <w:color w:val="auto"/>
          <w:sz w:val="23"/>
          <w:szCs w:val="23"/>
        </w:rPr>
        <w:t xml:space="preserve">Rossini, C. (2015). </w:t>
      </w:r>
      <w:r>
        <w:rPr>
          <w:color w:val="auto"/>
          <w:sz w:val="23"/>
          <w:szCs w:val="23"/>
        </w:rPr>
        <w:t>Budapest Open Access Initiative Launches NewRecommendations for the Next 10 Years of Open Access</w:t>
      </w:r>
      <w:r>
        <w:rPr>
          <w:i/>
          <w:color w:val="auto"/>
          <w:sz w:val="23"/>
          <w:szCs w:val="23"/>
        </w:rPr>
        <w:t>. Accessed on wwweff.org/deeplinks/2012/09/BOAI-</w:t>
      </w:r>
    </w:p>
    <w:p w14:paraId="7F966F9C">
      <w:pPr>
        <w:autoSpaceDE w:val="0"/>
        <w:autoSpaceDN w:val="0"/>
        <w:adjustRightInd w:val="0"/>
        <w:spacing w:after="0" w:line="480" w:lineRule="auto"/>
        <w:ind w:left="720" w:hanging="720"/>
        <w:jc w:val="both"/>
        <w:rPr>
          <w:rFonts w:ascii="Times New Roman" w:hAnsi="Times New Roman" w:cs="Times New Roman"/>
          <w:i/>
          <w:sz w:val="23"/>
          <w:szCs w:val="23"/>
        </w:rPr>
      </w:pPr>
      <w:r>
        <w:rPr>
          <w:rFonts w:ascii="Times New Roman" w:hAnsi="Times New Roman" w:cs="Times New Roman"/>
          <w:i/>
          <w:sz w:val="23"/>
          <w:szCs w:val="23"/>
        </w:rPr>
        <w:t>Sequeira  (2019).</w:t>
      </w:r>
      <w:r>
        <w:rPr>
          <w:rFonts w:ascii="Times New Roman" w:hAnsi="Times New Roman" w:cs="Times New Roman"/>
          <w:sz w:val="23"/>
          <w:szCs w:val="23"/>
        </w:rPr>
        <w:t xml:space="preserve"> How Research Produces Knowledge. In J. M. Peters, P. Jarvis, &amp; Associates, Adult education: Evolution and achievements in a developing field of study.</w:t>
      </w:r>
      <w:r>
        <w:rPr>
          <w:rFonts w:ascii="Times New Roman" w:hAnsi="Times New Roman" w:cs="Times New Roman"/>
          <w:i/>
          <w:sz w:val="23"/>
          <w:szCs w:val="23"/>
        </w:rPr>
        <w:t xml:space="preserve"> San Francisco: Jossey-Bass.  </w:t>
      </w:r>
    </w:p>
    <w:p w14:paraId="6EF52E92">
      <w:pPr>
        <w:spacing w:after="0" w:line="480" w:lineRule="auto"/>
        <w:ind w:left="720" w:right="31" w:hanging="720"/>
        <w:jc w:val="both"/>
        <w:rPr>
          <w:rFonts w:ascii="Times New Roman" w:hAnsi="Times New Roman" w:cs="Times New Roman"/>
          <w:i/>
          <w:sz w:val="23"/>
          <w:szCs w:val="23"/>
        </w:rPr>
      </w:pPr>
      <w:r>
        <w:rPr>
          <w:rFonts w:ascii="Times New Roman" w:hAnsi="Times New Roman" w:cs="Times New Roman"/>
          <w:i/>
          <w:sz w:val="23"/>
          <w:szCs w:val="23"/>
        </w:rPr>
        <w:t xml:space="preserve">Skinner, B. F. (2015). </w:t>
      </w:r>
      <w:r>
        <w:rPr>
          <w:rFonts w:ascii="Times New Roman" w:hAnsi="Times New Roman" w:cs="Times New Roman"/>
          <w:sz w:val="23"/>
          <w:szCs w:val="23"/>
        </w:rPr>
        <w:t>The Science of Learning and the Art of Teaching.</w:t>
      </w:r>
      <w:r>
        <w:rPr>
          <w:rFonts w:ascii="Times New Roman" w:hAnsi="Times New Roman" w:cs="Times New Roman"/>
          <w:i/>
          <w:sz w:val="23"/>
          <w:szCs w:val="23"/>
        </w:rPr>
        <w:t xml:space="preserve"> Harvard Educational Review, 24(2), 86-97.  </w:t>
      </w:r>
    </w:p>
    <w:p w14:paraId="152F09EE">
      <w:pPr>
        <w:autoSpaceDE w:val="0"/>
        <w:autoSpaceDN w:val="0"/>
        <w:adjustRightInd w:val="0"/>
        <w:spacing w:after="0" w:line="480" w:lineRule="auto"/>
        <w:ind w:left="720" w:hanging="720"/>
        <w:jc w:val="both"/>
        <w:rPr>
          <w:rFonts w:ascii="Times New Roman" w:hAnsi="Times New Roman" w:cs="Times New Roman"/>
          <w:i/>
          <w:sz w:val="23"/>
          <w:szCs w:val="23"/>
        </w:rPr>
      </w:pPr>
      <w:r>
        <w:rPr>
          <w:rFonts w:ascii="Times New Roman" w:hAnsi="Times New Roman" w:cs="Times New Roman"/>
          <w:i/>
          <w:sz w:val="23"/>
          <w:szCs w:val="23"/>
        </w:rPr>
        <w:t xml:space="preserve">Swan J. V and Brown, (2015). </w:t>
      </w:r>
      <w:r>
        <w:rPr>
          <w:rFonts w:ascii="Times New Roman" w:hAnsi="Times New Roman" w:cs="Times New Roman"/>
          <w:sz w:val="23"/>
          <w:szCs w:val="23"/>
        </w:rPr>
        <w:t>Models of Learning - tools for teaching.</w:t>
      </w:r>
      <w:r>
        <w:rPr>
          <w:rFonts w:ascii="Times New Roman" w:hAnsi="Times New Roman" w:cs="Times New Roman"/>
          <w:i/>
          <w:sz w:val="23"/>
          <w:szCs w:val="23"/>
        </w:rPr>
        <w:t xml:space="preserve"> Buckingham: Open University Press.  </w:t>
      </w:r>
    </w:p>
    <w:p w14:paraId="364C1642">
      <w:pPr>
        <w:autoSpaceDE w:val="0"/>
        <w:autoSpaceDN w:val="0"/>
        <w:adjustRightInd w:val="0"/>
        <w:spacing w:after="0" w:line="480" w:lineRule="auto"/>
        <w:ind w:left="720" w:hanging="720"/>
        <w:jc w:val="both"/>
        <w:rPr>
          <w:rFonts w:ascii="Times New Roman" w:hAnsi="Times New Roman" w:cs="Times New Roman"/>
          <w:i/>
          <w:sz w:val="23"/>
          <w:szCs w:val="23"/>
        </w:rPr>
      </w:pPr>
      <w:r>
        <w:rPr>
          <w:rFonts w:ascii="Times New Roman" w:hAnsi="Times New Roman" w:cs="Times New Roman"/>
          <w:i/>
          <w:sz w:val="23"/>
          <w:szCs w:val="23"/>
        </w:rPr>
        <w:t>Thorndike (2018), Educ</w:t>
      </w:r>
      <w:r>
        <w:rPr>
          <w:rFonts w:ascii="Times New Roman" w:hAnsi="Times New Roman" w:cs="Times New Roman"/>
          <w:sz w:val="23"/>
          <w:szCs w:val="23"/>
        </w:rPr>
        <w:t>ational Psychology: A cognitive view.</w:t>
      </w:r>
      <w:r>
        <w:rPr>
          <w:rFonts w:ascii="Times New Roman" w:hAnsi="Times New Roman" w:cs="Times New Roman"/>
          <w:i/>
          <w:sz w:val="23"/>
          <w:szCs w:val="23"/>
        </w:rPr>
        <w:t xml:space="preserve"> New York: Holt, Rinehart &amp; Winston.   University of Stellenbosch.  Available:</w:t>
      </w:r>
      <w:r>
        <w:fldChar w:fldCharType="begin"/>
      </w:r>
      <w:r>
        <w:instrText xml:space="preserve"> HYPERLINK "http://www.jenniferdebeer.net/research/DeBeerJenniferThesisMPhil2004.pdf" </w:instrText>
      </w:r>
      <w:r>
        <w:fldChar w:fldCharType="separate"/>
      </w:r>
      <w:r>
        <w:rPr>
          <w:rStyle w:val="7"/>
          <w:i/>
          <w:color w:val="auto"/>
          <w:sz w:val="23"/>
          <w:szCs w:val="23"/>
          <w:u w:val="none"/>
        </w:rPr>
        <w:t xml:space="preserve"> </w:t>
      </w:r>
      <w:r>
        <w:rPr>
          <w:rStyle w:val="7"/>
          <w:i/>
          <w:color w:val="auto"/>
          <w:sz w:val="23"/>
          <w:szCs w:val="23"/>
          <w:u w:val="none"/>
        </w:rPr>
        <w:fldChar w:fldCharType="end"/>
      </w:r>
      <w:r>
        <w:fldChar w:fldCharType="begin"/>
      </w:r>
      <w:r>
        <w:instrText xml:space="preserve"> HYPERLINK </w:instrText>
      </w:r>
      <w:r>
        <w:fldChar w:fldCharType="separate"/>
      </w:r>
      <w:r>
        <w:rPr>
          <w:rStyle w:val="7"/>
          <w:i/>
          <w:color w:val="auto"/>
          <w:sz w:val="23"/>
          <w:szCs w:val="23"/>
          <w:u w:val="none"/>
        </w:rPr>
        <w:t xml:space="preserve">http://www.jenniferdebeer. net/research/DeBeerJen </w:t>
      </w:r>
      <w:r>
        <w:rPr>
          <w:rStyle w:val="7"/>
          <w:i/>
          <w:color w:val="auto"/>
          <w:sz w:val="23"/>
          <w:szCs w:val="23"/>
          <w:u w:val="none"/>
        </w:rPr>
        <w:fldChar w:fldCharType="end"/>
      </w:r>
      <w:r>
        <w:fldChar w:fldCharType="begin"/>
      </w:r>
      <w:r>
        <w:instrText xml:space="preserve"> HYPERLINK "http://www.jenniferdebeer.net/research/DeBeerJenniferThesisMPhil2004.pdf" </w:instrText>
      </w:r>
      <w:r>
        <w:fldChar w:fldCharType="separate"/>
      </w:r>
      <w:r>
        <w:rPr>
          <w:rStyle w:val="7"/>
          <w:i/>
          <w:color w:val="auto"/>
          <w:sz w:val="23"/>
          <w:szCs w:val="23"/>
          <w:u w:val="none"/>
        </w:rPr>
        <w:t>niferThesisMPhil2004.pdf</w:t>
      </w:r>
      <w:r>
        <w:rPr>
          <w:rStyle w:val="7"/>
          <w:i/>
          <w:color w:val="auto"/>
          <w:sz w:val="23"/>
          <w:szCs w:val="23"/>
          <w:u w:val="none"/>
        </w:rPr>
        <w:fldChar w:fldCharType="end"/>
      </w:r>
      <w:r>
        <w:fldChar w:fldCharType="begin"/>
      </w:r>
      <w:r>
        <w:instrText xml:space="preserve"> HYPERLINK "http://www.jenniferdebeer.net/research/DeBeerJenniferThesisMPhil2004.pdf" </w:instrText>
      </w:r>
      <w:r>
        <w:fldChar w:fldCharType="separate"/>
      </w:r>
      <w:r>
        <w:rPr>
          <w:rStyle w:val="7"/>
          <w:i/>
          <w:color w:val="auto"/>
          <w:sz w:val="23"/>
          <w:szCs w:val="23"/>
          <w:u w:val="none"/>
        </w:rPr>
        <w:t xml:space="preserve"> </w:t>
      </w:r>
      <w:r>
        <w:rPr>
          <w:rStyle w:val="7"/>
          <w:i/>
          <w:color w:val="auto"/>
          <w:sz w:val="23"/>
          <w:szCs w:val="23"/>
          <w:u w:val="none"/>
        </w:rPr>
        <w:fldChar w:fldCharType="end"/>
      </w:r>
      <w:r>
        <w:rPr>
          <w:rFonts w:ascii="Times New Roman" w:hAnsi="Times New Roman" w:cs="Times New Roman"/>
          <w:i/>
          <w:sz w:val="23"/>
          <w:szCs w:val="23"/>
        </w:rPr>
        <w:t xml:space="preserve">(Accessed). </w:t>
      </w:r>
    </w:p>
    <w:p w14:paraId="6AE3964D">
      <w:pPr>
        <w:autoSpaceDE w:val="0"/>
        <w:autoSpaceDN w:val="0"/>
        <w:adjustRightInd w:val="0"/>
        <w:spacing w:after="0" w:line="480" w:lineRule="auto"/>
        <w:ind w:left="720" w:hanging="720"/>
        <w:jc w:val="both"/>
        <w:rPr>
          <w:rFonts w:ascii="Times New Roman" w:hAnsi="Times New Roman" w:cs="Times New Roman"/>
          <w:i/>
          <w:sz w:val="23"/>
          <w:szCs w:val="23"/>
        </w:rPr>
      </w:pPr>
      <w:r>
        <w:rPr>
          <w:rFonts w:ascii="Times New Roman" w:hAnsi="Times New Roman" w:cs="Times New Roman"/>
          <w:i/>
          <w:sz w:val="23"/>
          <w:szCs w:val="23"/>
        </w:rPr>
        <w:t>Utulu P. V and Bolarinwa O, S (2019)</w:t>
      </w:r>
      <w:r>
        <w:rPr>
          <w:rFonts w:ascii="Times New Roman" w:hAnsi="Times New Roman" w:cs="Times New Roman"/>
          <w:sz w:val="23"/>
          <w:szCs w:val="23"/>
        </w:rPr>
        <w:t>. How Research Produces Knowledge. In J. M. Peters, P. Jarvis, &amp; Associates, Adult education: Evolution and achievements in a developing field of study.</w:t>
      </w:r>
      <w:r>
        <w:rPr>
          <w:rFonts w:ascii="Times New Roman" w:hAnsi="Times New Roman" w:cs="Times New Roman"/>
          <w:i/>
          <w:sz w:val="23"/>
          <w:szCs w:val="23"/>
        </w:rPr>
        <w:t xml:space="preserve"> San Francisco: Jossey-Bass.</w:t>
      </w:r>
    </w:p>
    <w:p w14:paraId="0102A860">
      <w:pPr>
        <w:autoSpaceDE w:val="0"/>
        <w:autoSpaceDN w:val="0"/>
        <w:adjustRightInd w:val="0"/>
        <w:spacing w:after="0" w:line="480" w:lineRule="auto"/>
        <w:ind w:left="720" w:hanging="720"/>
        <w:jc w:val="both"/>
        <w:rPr>
          <w:i/>
          <w:sz w:val="23"/>
          <w:szCs w:val="23"/>
        </w:rPr>
      </w:pPr>
      <w:r>
        <w:rPr>
          <w:rFonts w:ascii="Times New Roman" w:hAnsi="Times New Roman" w:cs="Times New Roman"/>
          <w:i/>
          <w:sz w:val="23"/>
          <w:szCs w:val="23"/>
        </w:rPr>
        <w:t xml:space="preserve">Vaill, M.O, (2016), </w:t>
      </w:r>
      <w:r>
        <w:rPr>
          <w:i/>
          <w:sz w:val="23"/>
          <w:szCs w:val="23"/>
        </w:rPr>
        <w:t xml:space="preserve"> Retrieved from </w:t>
      </w:r>
      <w:r>
        <w:fldChar w:fldCharType="begin"/>
      </w:r>
      <w:r>
        <w:instrText xml:space="preserve"> HYPERLINK "http://eprints.rclis.org/22633/1/%20MainLBC.pdf" </w:instrText>
      </w:r>
      <w:r>
        <w:fldChar w:fldCharType="separate"/>
      </w:r>
      <w:r>
        <w:rPr>
          <w:rStyle w:val="7"/>
          <w:i/>
          <w:color w:val="auto"/>
          <w:sz w:val="23"/>
          <w:szCs w:val="23"/>
          <w:u w:val="none"/>
        </w:rPr>
        <w:t>http://eprints.rclis.org/22633/1/ MainLBC.pdf</w:t>
      </w:r>
      <w:r>
        <w:rPr>
          <w:rStyle w:val="7"/>
          <w:i/>
          <w:color w:val="auto"/>
          <w:sz w:val="23"/>
          <w:szCs w:val="23"/>
          <w:u w:val="none"/>
        </w:rPr>
        <w:fldChar w:fldCharType="end"/>
      </w:r>
    </w:p>
    <w:p w14:paraId="48723A36">
      <w:pPr>
        <w:spacing w:after="0" w:line="480" w:lineRule="auto"/>
        <w:ind w:left="720" w:hanging="720"/>
        <w:jc w:val="both"/>
        <w:rPr>
          <w:rFonts w:ascii="Times New Roman" w:hAnsi="Times New Roman" w:cs="Times New Roman"/>
          <w:sz w:val="23"/>
          <w:szCs w:val="23"/>
        </w:rPr>
      </w:pPr>
      <w:r>
        <w:rPr>
          <w:rFonts w:ascii="Times New Roman" w:hAnsi="Times New Roman" w:eastAsia="Times New Roman" w:cs="Times New Roman"/>
          <w:i/>
          <w:sz w:val="23"/>
          <w:szCs w:val="23"/>
        </w:rPr>
        <w:t>(Wikipedia, 2022)..</w:t>
      </w:r>
      <w:r>
        <w:rPr>
          <w:rFonts w:ascii="Times New Roman" w:hAnsi="Times New Roman" w:eastAsia="Times New Roman" w:cs="Times New Roman"/>
          <w:sz w:val="23"/>
          <w:szCs w:val="23"/>
        </w:rPr>
        <w:t xml:space="preserve"> </w:t>
      </w:r>
      <w:r>
        <w:rPr>
          <w:rFonts w:ascii="Times New Roman" w:hAnsi="Times New Roman" w:cs="Times New Roman"/>
          <w:sz w:val="23"/>
          <w:szCs w:val="23"/>
        </w:rPr>
        <w:t>Learning and Instruction: Theory into Practice – 3</w:t>
      </w:r>
      <w:r>
        <w:rPr>
          <w:rFonts w:ascii="Times New Roman" w:hAnsi="Times New Roman" w:cs="Times New Roman"/>
          <w:sz w:val="23"/>
          <w:szCs w:val="23"/>
          <w:vertAlign w:val="superscript"/>
        </w:rPr>
        <w:t>RD</w:t>
      </w:r>
      <w:r>
        <w:rPr>
          <w:rFonts w:ascii="Times New Roman" w:hAnsi="Times New Roman" w:cs="Times New Roman"/>
          <w:sz w:val="23"/>
          <w:szCs w:val="23"/>
        </w:rPr>
        <w:t xml:space="preserve">  Edition, Upper </w:t>
      </w:r>
    </w:p>
    <w:p w14:paraId="2C590EA8">
      <w:pPr>
        <w:spacing w:after="0" w:line="480" w:lineRule="auto"/>
        <w:ind w:left="720"/>
        <w:jc w:val="both"/>
        <w:rPr>
          <w:rFonts w:ascii="Times New Roman" w:hAnsi="Times New Roman" w:cs="Times New Roman"/>
          <w:i/>
          <w:sz w:val="23"/>
          <w:szCs w:val="23"/>
        </w:rPr>
      </w:pPr>
      <w:r>
        <w:rPr>
          <w:rFonts w:ascii="Times New Roman" w:hAnsi="Times New Roman" w:cs="Times New Roman"/>
          <w:i/>
          <w:sz w:val="23"/>
          <w:szCs w:val="23"/>
        </w:rPr>
        <w:t>Available:</w:t>
      </w:r>
      <w:r>
        <w:fldChar w:fldCharType="begin"/>
      </w:r>
      <w:r>
        <w:instrText xml:space="preserve"> HYPERLINK "http://eprints.rclis.org/archive/0001o749/01/SAJLIS73(1)04.pdf" </w:instrText>
      </w:r>
      <w:r>
        <w:fldChar w:fldCharType="separate"/>
      </w:r>
      <w:r>
        <w:rPr>
          <w:rStyle w:val="7"/>
          <w:i/>
          <w:color w:val="auto"/>
          <w:sz w:val="23"/>
          <w:szCs w:val="23"/>
          <w:u w:val="none"/>
        </w:rPr>
        <w:t>http://eprints.rclis.org/archive/0001o749/01/SAJLIS73(1)04.pdf</w:t>
      </w:r>
      <w:r>
        <w:rPr>
          <w:rStyle w:val="7"/>
          <w:i/>
          <w:color w:val="auto"/>
          <w:sz w:val="23"/>
          <w:szCs w:val="23"/>
          <w:u w:val="none"/>
        </w:rPr>
        <w:fldChar w:fldCharType="end"/>
      </w:r>
      <w:r>
        <w:fldChar w:fldCharType="begin"/>
      </w:r>
      <w:r>
        <w:instrText xml:space="preserve"> HYPERLINK "http://eprints.rclis.org/archive/0001o749/01/SAJLIS_73(1)04.pdf" </w:instrText>
      </w:r>
      <w:r>
        <w:fldChar w:fldCharType="separate"/>
      </w:r>
      <w:r>
        <w:rPr>
          <w:rStyle w:val="7"/>
          <w:i/>
          <w:color w:val="auto"/>
          <w:sz w:val="23"/>
          <w:szCs w:val="23"/>
          <w:u w:val="none"/>
        </w:rPr>
        <w:t xml:space="preserve"> </w:t>
      </w:r>
      <w:r>
        <w:rPr>
          <w:rStyle w:val="7"/>
          <w:i/>
          <w:color w:val="auto"/>
          <w:sz w:val="23"/>
          <w:szCs w:val="23"/>
          <w:u w:val="none"/>
        </w:rPr>
        <w:fldChar w:fldCharType="end"/>
      </w:r>
      <w:r>
        <w:rPr>
          <w:rFonts w:ascii="Times New Roman" w:hAnsi="Times New Roman" w:cs="Times New Roman"/>
          <w:i/>
          <w:sz w:val="23"/>
          <w:szCs w:val="23"/>
        </w:rPr>
        <w:t xml:space="preserve">(Accessed). </w:t>
      </w:r>
      <w:r>
        <w:rPr>
          <w:rFonts w:ascii="Times New Roman" w:hAnsi="Times New Roman" w:cs="Times New Roman"/>
          <w:sz w:val="23"/>
          <w:szCs w:val="23"/>
        </w:rPr>
        <w:t>73(1).</w:t>
      </w:r>
    </w:p>
    <w:p w14:paraId="5F4F85A5">
      <w:pPr>
        <w:spacing w:after="0" w:line="480" w:lineRule="auto"/>
        <w:ind w:left="720" w:hanging="720"/>
        <w:jc w:val="both"/>
        <w:rPr>
          <w:rFonts w:ascii="Times New Roman" w:hAnsi="Times New Roman" w:cs="Times New Roman"/>
          <w:i/>
          <w:sz w:val="23"/>
          <w:szCs w:val="23"/>
        </w:rPr>
      </w:pPr>
      <w:r>
        <w:rPr>
          <w:rFonts w:ascii="Times New Roman" w:hAnsi="Times New Roman" w:cs="Times New Roman"/>
          <w:i/>
          <w:sz w:val="23"/>
          <w:szCs w:val="23"/>
        </w:rPr>
        <w:t>Xia M.E et al., 2018. .</w:t>
      </w:r>
      <w:r>
        <w:rPr>
          <w:rFonts w:ascii="Times New Roman" w:hAnsi="Times New Roman" w:cs="Times New Roman"/>
          <w:sz w:val="23"/>
          <w:szCs w:val="23"/>
        </w:rPr>
        <w:t xml:space="preserve"> Learning and Instruction: Theory into Practice – 5</w:t>
      </w:r>
      <w:r>
        <w:rPr>
          <w:rFonts w:ascii="Times New Roman" w:hAnsi="Times New Roman" w:cs="Times New Roman"/>
          <w:sz w:val="23"/>
          <w:szCs w:val="23"/>
          <w:vertAlign w:val="superscript"/>
        </w:rPr>
        <w:t>th</w:t>
      </w:r>
      <w:r>
        <w:rPr>
          <w:rFonts w:ascii="Times New Roman" w:hAnsi="Times New Roman" w:cs="Times New Roman"/>
          <w:sz w:val="23"/>
          <w:szCs w:val="23"/>
        </w:rPr>
        <w:t xml:space="preserve"> Edition, Upper 73(1).</w:t>
      </w:r>
      <w:r>
        <w:rPr>
          <w:rFonts w:ascii="Times New Roman" w:hAnsi="Times New Roman" w:cs="Times New Roman"/>
          <w:i/>
          <w:sz w:val="23"/>
          <w:szCs w:val="23"/>
        </w:rPr>
        <w:t xml:space="preserve"> Available:</w:t>
      </w:r>
      <w:r>
        <w:fldChar w:fldCharType="begin"/>
      </w:r>
      <w:r>
        <w:instrText xml:space="preserve"> HYPERLINK "http://eprints.rclis.org/archive/0001o749/01/SAJLIS_73(1)04.pdf" </w:instrText>
      </w:r>
      <w:r>
        <w:fldChar w:fldCharType="separate"/>
      </w:r>
      <w:r>
        <w:rPr>
          <w:rStyle w:val="7"/>
          <w:i/>
          <w:color w:val="auto"/>
          <w:sz w:val="23"/>
          <w:szCs w:val="23"/>
          <w:u w:val="none"/>
        </w:rPr>
        <w:t xml:space="preserve"> </w:t>
      </w:r>
      <w:r>
        <w:rPr>
          <w:rStyle w:val="7"/>
          <w:i/>
          <w:color w:val="auto"/>
          <w:sz w:val="23"/>
          <w:szCs w:val="23"/>
          <w:u w:val="none"/>
        </w:rPr>
        <w:fldChar w:fldCharType="end"/>
      </w:r>
      <w:r>
        <w:fldChar w:fldCharType="begin"/>
      </w:r>
      <w:r>
        <w:instrText xml:space="preserve"> HYPERLINK "http://eprints.rclis.org/archive/0001o749/01/%20SAJLIS73(1)04.pdf" </w:instrText>
      </w:r>
      <w:r>
        <w:fldChar w:fldCharType="separate"/>
      </w:r>
      <w:r>
        <w:rPr>
          <w:rStyle w:val="7"/>
          <w:i/>
          <w:color w:val="auto"/>
          <w:sz w:val="23"/>
          <w:szCs w:val="23"/>
          <w:u w:val="none"/>
        </w:rPr>
        <w:t>http://eprints.rclis.org/archive/0001o749/01/ SAJLIS73(1)04.pdf</w:t>
      </w:r>
      <w:r>
        <w:rPr>
          <w:rStyle w:val="7"/>
          <w:i/>
          <w:color w:val="auto"/>
          <w:sz w:val="23"/>
          <w:szCs w:val="23"/>
          <w:u w:val="none"/>
        </w:rPr>
        <w:fldChar w:fldCharType="end"/>
      </w:r>
      <w:r>
        <w:rPr>
          <w:rFonts w:ascii="Times New Roman" w:hAnsi="Times New Roman" w:cs="Times New Roman"/>
          <w:i/>
          <w:sz w:val="23"/>
          <w:szCs w:val="23"/>
        </w:rPr>
        <w:t xml:space="preserve"> (Accessed). </w:t>
      </w:r>
    </w:p>
    <w:p w14:paraId="76F26179"/>
    <w:sectPr>
      <w:footerReference r:id="rId7" w:type="default"/>
      <w:pgSz w:w="12240" w:h="15840"/>
      <w:pgMar w:top="1440" w:right="1440" w:bottom="1440" w:left="1440" w:header="720" w:footer="720"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CB73E">
    <w:pPr>
      <w:pStyle w:val="6"/>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1539"/>
                            <w:docPartObj>
                              <w:docPartGallery w:val="autotext"/>
                            </w:docPartObj>
                          </w:sdtPr>
                          <w:sdtContent>
                            <w:p w14:paraId="0E1CB921">
                              <w:pPr>
                                <w:pStyle w:val="6"/>
                                <w:jc w:val="center"/>
                              </w:pPr>
                              <w:r>
                                <w:fldChar w:fldCharType="begin"/>
                              </w:r>
                              <w:r>
                                <w:instrText xml:space="preserve"> PAGE   \* MERGEFORMAT </w:instrText>
                              </w:r>
                              <w:r>
                                <w:fldChar w:fldCharType="separate"/>
                              </w:r>
                              <w:r>
                                <w:t>76</w:t>
                              </w:r>
                              <w:r>
                                <w:fldChar w:fldCharType="end"/>
                              </w:r>
                            </w:p>
                          </w:sdtContent>
                        </w:sdt>
                        <w:p w14:paraId="5F9034CD"/>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sdt>
                    <w:sdtPr>
                      <w:id w:val="147471539"/>
                      <w:docPartObj>
                        <w:docPartGallery w:val="autotext"/>
                      </w:docPartObj>
                    </w:sdtPr>
                    <w:sdtContent>
                      <w:p w14:paraId="0E1CB921">
                        <w:pPr>
                          <w:pStyle w:val="6"/>
                          <w:jc w:val="center"/>
                        </w:pPr>
                        <w:r>
                          <w:fldChar w:fldCharType="begin"/>
                        </w:r>
                        <w:r>
                          <w:instrText xml:space="preserve"> PAGE   \* MERGEFORMAT </w:instrText>
                        </w:r>
                        <w:r>
                          <w:fldChar w:fldCharType="separate"/>
                        </w:r>
                        <w:r>
                          <w:t>76</w:t>
                        </w:r>
                        <w:r>
                          <w:fldChar w:fldCharType="end"/>
                        </w:r>
                      </w:p>
                    </w:sdtContent>
                  </w:sdt>
                  <w:p w14:paraId="5F9034CD"/>
                </w:txbxContent>
              </v:textbox>
            </v:shape>
          </w:pict>
        </mc:Fallback>
      </mc:AlternateContent>
    </w:r>
  </w:p>
  <w:p w14:paraId="186DF5AB">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B9C70">
    <w:pPr>
      <w:pStyle w:val="6"/>
      <w:jc w:val="center"/>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7432"/>
                            <w:docPartObj>
                              <w:docPartGallery w:val="autotext"/>
                            </w:docPartObj>
                          </w:sdtPr>
                          <w:sdtContent>
                            <w:p w14:paraId="08226519">
                              <w:pPr>
                                <w:pStyle w:val="6"/>
                                <w:jc w:val="center"/>
                              </w:pPr>
                              <w:r>
                                <w:fldChar w:fldCharType="begin"/>
                              </w:r>
                              <w:r>
                                <w:instrText xml:space="preserve"> PAGE   \* MERGEFORMAT </w:instrText>
                              </w:r>
                              <w:r>
                                <w:fldChar w:fldCharType="separate"/>
                              </w:r>
                              <w:r>
                                <w:t>1</w:t>
                              </w:r>
                              <w:r>
                                <w:fldChar w:fldCharType="end"/>
                              </w:r>
                            </w:p>
                          </w:sdtContent>
                        </w:sdt>
                        <w:p w14:paraId="7508A488"/>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sdt>
                    <w:sdtPr>
                      <w:id w:val="147467432"/>
                      <w:docPartObj>
                        <w:docPartGallery w:val="autotext"/>
                      </w:docPartObj>
                    </w:sdtPr>
                    <w:sdtContent>
                      <w:p w14:paraId="08226519">
                        <w:pPr>
                          <w:pStyle w:val="6"/>
                          <w:jc w:val="center"/>
                        </w:pPr>
                        <w:r>
                          <w:fldChar w:fldCharType="begin"/>
                        </w:r>
                        <w:r>
                          <w:instrText xml:space="preserve"> PAGE   \* MERGEFORMAT </w:instrText>
                        </w:r>
                        <w:r>
                          <w:fldChar w:fldCharType="separate"/>
                        </w:r>
                        <w:r>
                          <w:t>1</w:t>
                        </w:r>
                        <w:r>
                          <w:fldChar w:fldCharType="end"/>
                        </w:r>
                      </w:p>
                    </w:sdtContent>
                  </w:sdt>
                  <w:p w14:paraId="7508A488"/>
                </w:txbxContent>
              </v:textbox>
            </v:shape>
          </w:pict>
        </mc:Fallback>
      </mc:AlternateContent>
    </w:r>
  </w:p>
  <w:p w14:paraId="430DADF5">
    <w:pPr>
      <w:pStyle w:val="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1B14B">
    <w:pPr>
      <w:pStyle w:val="6"/>
      <w:jc w:val="center"/>
    </w:pPr>
    <w:r>
      <w:rPr>
        <w:sz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1458"/>
                            <w:docPartObj>
                              <w:docPartGallery w:val="autotext"/>
                            </w:docPartObj>
                          </w:sdtPr>
                          <w:sdtContent>
                            <w:p w14:paraId="4D1B28AA">
                              <w:pPr>
                                <w:pStyle w:val="6"/>
                                <w:jc w:val="center"/>
                              </w:pPr>
                              <w:r>
                                <w:fldChar w:fldCharType="begin"/>
                              </w:r>
                              <w:r>
                                <w:instrText xml:space="preserve"> PAGE   \* MERGEFORMAT </w:instrText>
                              </w:r>
                              <w:r>
                                <w:fldChar w:fldCharType="separate"/>
                              </w:r>
                              <w:r>
                                <w:t>76</w:t>
                              </w:r>
                              <w:r>
                                <w:fldChar w:fldCharType="end"/>
                              </w:r>
                            </w:p>
                          </w:sdtContent>
                        </w:sdt>
                        <w:p w14:paraId="23BEDC0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JLuGUohAgAA&#10;YAQAAA4AAAAAAAAAAQAgAAAAHwEAAGRycy9lMm9Eb2MueG1sUEsFBgAAAAAGAAYAWQEAALIFAAAA&#10;AA==&#10;">
              <v:fill on="f" focussize="0,0"/>
              <v:stroke on="f" weight="0.5pt"/>
              <v:imagedata o:title=""/>
              <o:lock v:ext="edit" aspectratio="f"/>
              <v:textbox inset="0mm,0mm,0mm,0mm" style="mso-fit-shape-to-text:t;">
                <w:txbxContent>
                  <w:sdt>
                    <w:sdtPr>
                      <w:id w:val="147461458"/>
                      <w:docPartObj>
                        <w:docPartGallery w:val="autotext"/>
                      </w:docPartObj>
                    </w:sdtPr>
                    <w:sdtContent>
                      <w:p w14:paraId="4D1B28AA">
                        <w:pPr>
                          <w:pStyle w:val="6"/>
                          <w:jc w:val="center"/>
                        </w:pPr>
                        <w:r>
                          <w:fldChar w:fldCharType="begin"/>
                        </w:r>
                        <w:r>
                          <w:instrText xml:space="preserve"> PAGE   \* MERGEFORMAT </w:instrText>
                        </w:r>
                        <w:r>
                          <w:fldChar w:fldCharType="separate"/>
                        </w:r>
                        <w:r>
                          <w:t>76</w:t>
                        </w:r>
                        <w:r>
                          <w:fldChar w:fldCharType="end"/>
                        </w:r>
                      </w:p>
                    </w:sdtContent>
                  </w:sdt>
                  <w:p w14:paraId="23BEDC0A"/>
                </w:txbxContent>
              </v:textbox>
            </v:shape>
          </w:pict>
        </mc:Fallback>
      </mc:AlternateContent>
    </w:r>
  </w:p>
  <w:p w14:paraId="378F2793">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9112E9"/>
    <w:multiLevelType w:val="multilevel"/>
    <w:tmpl w:val="249112E9"/>
    <w:lvl w:ilvl="0" w:tentative="0">
      <w:start w:val="1"/>
      <w:numFmt w:val="lowerLetter"/>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
    <w:nsid w:val="2BAE658D"/>
    <w:multiLevelType w:val="multilevel"/>
    <w:tmpl w:val="2BAE658D"/>
    <w:lvl w:ilvl="0" w:tentative="0">
      <w:start w:val="1"/>
      <w:numFmt w:val="decimal"/>
      <w:lvlText w:val="%1."/>
      <w:lvlJc w:val="left"/>
      <w:pPr>
        <w:ind w:left="771" w:firstLine="0"/>
      </w:pPr>
      <w:rPr>
        <w:rFonts w:ascii="Times New Roman" w:hAnsi="Times New Roman" w:eastAsia="Times New Roman" w:cs="Times New Roman"/>
        <w:b w:val="0"/>
        <w:i w:val="0"/>
        <w:strike w:val="0"/>
        <w:dstrike w:val="0"/>
        <w:color w:val="000000"/>
        <w:sz w:val="20"/>
        <w:szCs w:val="20"/>
        <w:u w:val="none" w:color="000000"/>
        <w:vertAlign w:val="baseline"/>
      </w:rPr>
    </w:lvl>
    <w:lvl w:ilvl="1" w:tentative="0">
      <w:start w:val="1"/>
      <w:numFmt w:val="lowerLetter"/>
      <w:lvlText w:val="%2"/>
      <w:lvlJc w:val="left"/>
      <w:pPr>
        <w:ind w:left="1440" w:firstLine="0"/>
      </w:pPr>
      <w:rPr>
        <w:rFonts w:ascii="Times New Roman" w:hAnsi="Times New Roman" w:eastAsia="Times New Roman" w:cs="Times New Roman"/>
        <w:b w:val="0"/>
        <w:i w:val="0"/>
        <w:strike w:val="0"/>
        <w:dstrike w:val="0"/>
        <w:color w:val="000000"/>
        <w:sz w:val="20"/>
        <w:szCs w:val="20"/>
        <w:u w:val="none" w:color="000000"/>
        <w:vertAlign w:val="baseline"/>
      </w:rPr>
    </w:lvl>
    <w:lvl w:ilvl="2" w:tentative="0">
      <w:start w:val="1"/>
      <w:numFmt w:val="lowerRoman"/>
      <w:lvlText w:val="%3"/>
      <w:lvlJc w:val="left"/>
      <w:pPr>
        <w:ind w:left="2160" w:firstLine="0"/>
      </w:pPr>
      <w:rPr>
        <w:rFonts w:ascii="Times New Roman" w:hAnsi="Times New Roman" w:eastAsia="Times New Roman" w:cs="Times New Roman"/>
        <w:b w:val="0"/>
        <w:i w:val="0"/>
        <w:strike w:val="0"/>
        <w:dstrike w:val="0"/>
        <w:color w:val="000000"/>
        <w:sz w:val="20"/>
        <w:szCs w:val="20"/>
        <w:u w:val="none" w:color="000000"/>
        <w:vertAlign w:val="baseline"/>
      </w:rPr>
    </w:lvl>
    <w:lvl w:ilvl="3" w:tentative="0">
      <w:start w:val="1"/>
      <w:numFmt w:val="decimal"/>
      <w:lvlText w:val="%4"/>
      <w:lvlJc w:val="left"/>
      <w:pPr>
        <w:ind w:left="2880" w:firstLine="0"/>
      </w:pPr>
      <w:rPr>
        <w:rFonts w:ascii="Times New Roman" w:hAnsi="Times New Roman" w:eastAsia="Times New Roman" w:cs="Times New Roman"/>
        <w:b w:val="0"/>
        <w:i w:val="0"/>
        <w:strike w:val="0"/>
        <w:dstrike w:val="0"/>
        <w:color w:val="000000"/>
        <w:sz w:val="20"/>
        <w:szCs w:val="20"/>
        <w:u w:val="none" w:color="000000"/>
        <w:vertAlign w:val="baseline"/>
      </w:rPr>
    </w:lvl>
    <w:lvl w:ilvl="4" w:tentative="0">
      <w:start w:val="1"/>
      <w:numFmt w:val="lowerLetter"/>
      <w:lvlText w:val="%5"/>
      <w:lvlJc w:val="left"/>
      <w:pPr>
        <w:ind w:left="3600" w:firstLine="0"/>
      </w:pPr>
      <w:rPr>
        <w:rFonts w:ascii="Times New Roman" w:hAnsi="Times New Roman" w:eastAsia="Times New Roman" w:cs="Times New Roman"/>
        <w:b w:val="0"/>
        <w:i w:val="0"/>
        <w:strike w:val="0"/>
        <w:dstrike w:val="0"/>
        <w:color w:val="000000"/>
        <w:sz w:val="20"/>
        <w:szCs w:val="20"/>
        <w:u w:val="none" w:color="000000"/>
        <w:vertAlign w:val="baseline"/>
      </w:rPr>
    </w:lvl>
    <w:lvl w:ilvl="5" w:tentative="0">
      <w:start w:val="1"/>
      <w:numFmt w:val="lowerRoman"/>
      <w:lvlText w:val="%6"/>
      <w:lvlJc w:val="left"/>
      <w:pPr>
        <w:ind w:left="4320" w:firstLine="0"/>
      </w:pPr>
      <w:rPr>
        <w:rFonts w:ascii="Times New Roman" w:hAnsi="Times New Roman" w:eastAsia="Times New Roman" w:cs="Times New Roman"/>
        <w:b w:val="0"/>
        <w:i w:val="0"/>
        <w:strike w:val="0"/>
        <w:dstrike w:val="0"/>
        <w:color w:val="000000"/>
        <w:sz w:val="20"/>
        <w:szCs w:val="20"/>
        <w:u w:val="none" w:color="000000"/>
        <w:vertAlign w:val="baseline"/>
      </w:rPr>
    </w:lvl>
    <w:lvl w:ilvl="6" w:tentative="0">
      <w:start w:val="1"/>
      <w:numFmt w:val="decimal"/>
      <w:lvlText w:val="%7"/>
      <w:lvlJc w:val="left"/>
      <w:pPr>
        <w:ind w:left="5040" w:firstLine="0"/>
      </w:pPr>
      <w:rPr>
        <w:rFonts w:ascii="Times New Roman" w:hAnsi="Times New Roman" w:eastAsia="Times New Roman" w:cs="Times New Roman"/>
        <w:b w:val="0"/>
        <w:i w:val="0"/>
        <w:strike w:val="0"/>
        <w:dstrike w:val="0"/>
        <w:color w:val="000000"/>
        <w:sz w:val="20"/>
        <w:szCs w:val="20"/>
        <w:u w:val="none" w:color="000000"/>
        <w:vertAlign w:val="baseline"/>
      </w:rPr>
    </w:lvl>
    <w:lvl w:ilvl="7" w:tentative="0">
      <w:start w:val="1"/>
      <w:numFmt w:val="lowerLetter"/>
      <w:lvlText w:val="%8"/>
      <w:lvlJc w:val="left"/>
      <w:pPr>
        <w:ind w:left="5760" w:firstLine="0"/>
      </w:pPr>
      <w:rPr>
        <w:rFonts w:ascii="Times New Roman" w:hAnsi="Times New Roman" w:eastAsia="Times New Roman" w:cs="Times New Roman"/>
        <w:b w:val="0"/>
        <w:i w:val="0"/>
        <w:strike w:val="0"/>
        <w:dstrike w:val="0"/>
        <w:color w:val="000000"/>
        <w:sz w:val="20"/>
        <w:szCs w:val="20"/>
        <w:u w:val="none" w:color="000000"/>
        <w:vertAlign w:val="baseline"/>
      </w:rPr>
    </w:lvl>
    <w:lvl w:ilvl="8" w:tentative="0">
      <w:start w:val="1"/>
      <w:numFmt w:val="lowerRoman"/>
      <w:lvlText w:val="%9"/>
      <w:lvlJc w:val="left"/>
      <w:pPr>
        <w:ind w:left="6480" w:firstLine="0"/>
      </w:pPr>
      <w:rPr>
        <w:rFonts w:ascii="Times New Roman" w:hAnsi="Times New Roman" w:eastAsia="Times New Roman" w:cs="Times New Roman"/>
        <w:b w:val="0"/>
        <w:i w:val="0"/>
        <w:strike w:val="0"/>
        <w:dstrike w:val="0"/>
        <w:color w:val="000000"/>
        <w:sz w:val="20"/>
        <w:szCs w:val="20"/>
        <w:u w:val="none" w:color="000000"/>
        <w:vertAlign w:val="baseline"/>
      </w:rPr>
    </w:lvl>
  </w:abstractNum>
  <w:abstractNum w:abstractNumId="2">
    <w:nsid w:val="4203340B"/>
    <w:multiLevelType w:val="multilevel"/>
    <w:tmpl w:val="4203340B"/>
    <w:lvl w:ilvl="0" w:tentative="0">
      <w:start w:val="2"/>
      <w:numFmt w:val="lowerRoman"/>
      <w:lvlText w:val="%1."/>
      <w:lvlJc w:val="left"/>
      <w:pPr>
        <w:ind w:left="810" w:hanging="720"/>
      </w:pPr>
      <w:rPr>
        <w:rFonts w:hint="default"/>
      </w:rPr>
    </w:lvl>
    <w:lvl w:ilvl="1" w:tentative="0">
      <w:start w:val="1"/>
      <w:numFmt w:val="lowerLetter"/>
      <w:lvlText w:val="%2."/>
      <w:lvlJc w:val="left"/>
      <w:pPr>
        <w:ind w:left="1170" w:hanging="360"/>
      </w:pPr>
    </w:lvl>
    <w:lvl w:ilvl="2" w:tentative="0">
      <w:start w:val="1"/>
      <w:numFmt w:val="lowerRoman"/>
      <w:lvlText w:val="%3."/>
      <w:lvlJc w:val="right"/>
      <w:pPr>
        <w:ind w:left="1890" w:hanging="180"/>
      </w:pPr>
    </w:lvl>
    <w:lvl w:ilvl="3" w:tentative="0">
      <w:start w:val="1"/>
      <w:numFmt w:val="decimal"/>
      <w:lvlText w:val="%4."/>
      <w:lvlJc w:val="left"/>
      <w:pPr>
        <w:ind w:left="2610" w:hanging="360"/>
      </w:pPr>
    </w:lvl>
    <w:lvl w:ilvl="4" w:tentative="0">
      <w:start w:val="1"/>
      <w:numFmt w:val="lowerLetter"/>
      <w:lvlText w:val="%5."/>
      <w:lvlJc w:val="left"/>
      <w:pPr>
        <w:ind w:left="3330" w:hanging="360"/>
      </w:pPr>
    </w:lvl>
    <w:lvl w:ilvl="5" w:tentative="0">
      <w:start w:val="1"/>
      <w:numFmt w:val="lowerRoman"/>
      <w:lvlText w:val="%6."/>
      <w:lvlJc w:val="right"/>
      <w:pPr>
        <w:ind w:left="4050" w:hanging="180"/>
      </w:pPr>
    </w:lvl>
    <w:lvl w:ilvl="6" w:tentative="0">
      <w:start w:val="1"/>
      <w:numFmt w:val="decimal"/>
      <w:lvlText w:val="%7."/>
      <w:lvlJc w:val="left"/>
      <w:pPr>
        <w:ind w:left="4770" w:hanging="360"/>
      </w:pPr>
    </w:lvl>
    <w:lvl w:ilvl="7" w:tentative="0">
      <w:start w:val="1"/>
      <w:numFmt w:val="lowerLetter"/>
      <w:lvlText w:val="%8."/>
      <w:lvlJc w:val="left"/>
      <w:pPr>
        <w:ind w:left="5490" w:hanging="360"/>
      </w:pPr>
    </w:lvl>
    <w:lvl w:ilvl="8" w:tentative="0">
      <w:start w:val="1"/>
      <w:numFmt w:val="lowerRoman"/>
      <w:lvlText w:val="%9."/>
      <w:lvlJc w:val="right"/>
      <w:pPr>
        <w:ind w:left="6210" w:hanging="180"/>
      </w:pPr>
    </w:lvl>
  </w:abstractNum>
  <w:abstractNum w:abstractNumId="3">
    <w:nsid w:val="50CA0C37"/>
    <w:multiLevelType w:val="multilevel"/>
    <w:tmpl w:val="50CA0C37"/>
    <w:lvl w:ilvl="0" w:tentative="0">
      <w:start w:val="1"/>
      <w:numFmt w:val="lowerRoman"/>
      <w:lvlText w:val="%1."/>
      <w:lvlJc w:val="righ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D872DCB"/>
    <w:multiLevelType w:val="multilevel"/>
    <w:tmpl w:val="6D872DCB"/>
    <w:lvl w:ilvl="0" w:tentative="0">
      <w:start w:val="1"/>
      <w:numFmt w:val="decimal"/>
      <w:lvlText w:val="%1"/>
      <w:lvlJc w:val="left"/>
      <w:pPr>
        <w:ind w:left="360" w:hanging="360"/>
      </w:pPr>
      <w:rPr>
        <w:rFonts w:hint="default"/>
      </w:rPr>
    </w:lvl>
    <w:lvl w:ilvl="1" w:tentative="0">
      <w:start w:val="3"/>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5">
    <w:nsid w:val="72D10A18"/>
    <w:multiLevelType w:val="multilevel"/>
    <w:tmpl w:val="72D10A18"/>
    <w:lvl w:ilvl="0" w:tentative="0">
      <w:start w:val="1"/>
      <w:numFmt w:val="lowerRoman"/>
      <w:lvlText w:val="%1."/>
      <w:lvlJc w:val="right"/>
      <w:pPr>
        <w:ind w:left="1620" w:hanging="360"/>
      </w:pPr>
    </w:lvl>
    <w:lvl w:ilvl="1" w:tentative="0">
      <w:start w:val="1"/>
      <w:numFmt w:val="lowerLetter"/>
      <w:lvlText w:val="%2."/>
      <w:lvlJc w:val="left"/>
      <w:pPr>
        <w:ind w:left="2340" w:hanging="360"/>
      </w:pPr>
    </w:lvl>
    <w:lvl w:ilvl="2" w:tentative="0">
      <w:start w:val="1"/>
      <w:numFmt w:val="lowerRoman"/>
      <w:lvlText w:val="%3."/>
      <w:lvlJc w:val="right"/>
      <w:pPr>
        <w:ind w:left="3060" w:hanging="180"/>
      </w:pPr>
    </w:lvl>
    <w:lvl w:ilvl="3" w:tentative="0">
      <w:start w:val="1"/>
      <w:numFmt w:val="decimal"/>
      <w:lvlText w:val="%4."/>
      <w:lvlJc w:val="left"/>
      <w:pPr>
        <w:ind w:left="3780" w:hanging="360"/>
      </w:pPr>
    </w:lvl>
    <w:lvl w:ilvl="4" w:tentative="0">
      <w:start w:val="1"/>
      <w:numFmt w:val="lowerLetter"/>
      <w:lvlText w:val="%5."/>
      <w:lvlJc w:val="left"/>
      <w:pPr>
        <w:ind w:left="4500" w:hanging="360"/>
      </w:pPr>
    </w:lvl>
    <w:lvl w:ilvl="5" w:tentative="0">
      <w:start w:val="1"/>
      <w:numFmt w:val="lowerRoman"/>
      <w:lvlText w:val="%6."/>
      <w:lvlJc w:val="right"/>
      <w:pPr>
        <w:ind w:left="5220" w:hanging="180"/>
      </w:pPr>
    </w:lvl>
    <w:lvl w:ilvl="6" w:tentative="0">
      <w:start w:val="1"/>
      <w:numFmt w:val="decimal"/>
      <w:lvlText w:val="%7."/>
      <w:lvlJc w:val="left"/>
      <w:pPr>
        <w:ind w:left="5940" w:hanging="360"/>
      </w:pPr>
    </w:lvl>
    <w:lvl w:ilvl="7" w:tentative="0">
      <w:start w:val="1"/>
      <w:numFmt w:val="lowerLetter"/>
      <w:lvlText w:val="%8."/>
      <w:lvlJc w:val="left"/>
      <w:pPr>
        <w:ind w:left="6660" w:hanging="360"/>
      </w:pPr>
    </w:lvl>
    <w:lvl w:ilvl="8" w:tentative="0">
      <w:start w:val="1"/>
      <w:numFmt w:val="lowerRoman"/>
      <w:lvlText w:val="%9."/>
      <w:lvlJc w:val="right"/>
      <w:pPr>
        <w:ind w:left="7380" w:hanging="180"/>
      </w:pPr>
    </w:lvl>
  </w:abstractNum>
  <w:abstractNum w:abstractNumId="6">
    <w:nsid w:val="78E542E1"/>
    <w:multiLevelType w:val="multilevel"/>
    <w:tmpl w:val="78E542E1"/>
    <w:lvl w:ilvl="0" w:tentative="0">
      <w:start w:val="1"/>
      <w:numFmt w:val="decimal"/>
      <w:lvlText w:val="%1"/>
      <w:lvlJc w:val="left"/>
      <w:pPr>
        <w:ind w:left="360" w:hanging="360"/>
      </w:pPr>
      <w:rPr>
        <w:rFonts w:hint="default"/>
      </w:rPr>
    </w:lvl>
    <w:lvl w:ilvl="1" w:tentative="0">
      <w:start w:val="7"/>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4"/>
  </w:num>
  <w:num w:numId="2">
    <w:abstractNumId w:val="2"/>
  </w:num>
  <w:num w:numId="3">
    <w:abstractNumId w:val="5"/>
  </w:num>
  <w:num w:numId="4">
    <w:abstractNumId w:val="6"/>
  </w:num>
  <w:num w:numId="5">
    <w:abstractNumId w:val="3"/>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7DA"/>
    <w:rsid w:val="000C5890"/>
    <w:rsid w:val="0019415C"/>
    <w:rsid w:val="00433526"/>
    <w:rsid w:val="00444DE2"/>
    <w:rsid w:val="004527DA"/>
    <w:rsid w:val="00587F9A"/>
    <w:rsid w:val="00693A1F"/>
    <w:rsid w:val="00D32AD6"/>
    <w:rsid w:val="00DC0477"/>
    <w:rsid w:val="00DD7E00"/>
    <w:rsid w:val="015A60C5"/>
    <w:rsid w:val="02053BC7"/>
    <w:rsid w:val="04AF3F3E"/>
    <w:rsid w:val="07AA4BA0"/>
    <w:rsid w:val="07DB536F"/>
    <w:rsid w:val="08221747"/>
    <w:rsid w:val="09721F8E"/>
    <w:rsid w:val="097D5DA0"/>
    <w:rsid w:val="0A1B1122"/>
    <w:rsid w:val="0A8B5655"/>
    <w:rsid w:val="0B044923"/>
    <w:rsid w:val="0C464F2F"/>
    <w:rsid w:val="0D257E20"/>
    <w:rsid w:val="11621092"/>
    <w:rsid w:val="125D1429"/>
    <w:rsid w:val="125D2363"/>
    <w:rsid w:val="13864617"/>
    <w:rsid w:val="13D42198"/>
    <w:rsid w:val="13EC2C41"/>
    <w:rsid w:val="180C2802"/>
    <w:rsid w:val="1A755EDD"/>
    <w:rsid w:val="2085546A"/>
    <w:rsid w:val="221435F7"/>
    <w:rsid w:val="243D2FDA"/>
    <w:rsid w:val="27983C83"/>
    <w:rsid w:val="27B81FB9"/>
    <w:rsid w:val="28420898"/>
    <w:rsid w:val="286E187F"/>
    <w:rsid w:val="29560760"/>
    <w:rsid w:val="29AF01E9"/>
    <w:rsid w:val="2C971B37"/>
    <w:rsid w:val="2CAD4D78"/>
    <w:rsid w:val="2E2831C7"/>
    <w:rsid w:val="31971BEA"/>
    <w:rsid w:val="376C67FD"/>
    <w:rsid w:val="385F3DB0"/>
    <w:rsid w:val="38AB7897"/>
    <w:rsid w:val="39E2013E"/>
    <w:rsid w:val="3D5173DF"/>
    <w:rsid w:val="417D09B6"/>
    <w:rsid w:val="4216717B"/>
    <w:rsid w:val="426C1DC2"/>
    <w:rsid w:val="44551C28"/>
    <w:rsid w:val="4AB42F1C"/>
    <w:rsid w:val="4DAA5C11"/>
    <w:rsid w:val="4E8F5AAA"/>
    <w:rsid w:val="4ED571E4"/>
    <w:rsid w:val="4F051F32"/>
    <w:rsid w:val="4F8F56D8"/>
    <w:rsid w:val="531150BD"/>
    <w:rsid w:val="53C23AF9"/>
    <w:rsid w:val="54922ECD"/>
    <w:rsid w:val="5545175C"/>
    <w:rsid w:val="5A802C08"/>
    <w:rsid w:val="5C950E9B"/>
    <w:rsid w:val="5F684CC6"/>
    <w:rsid w:val="5FDF50C0"/>
    <w:rsid w:val="62DD013F"/>
    <w:rsid w:val="641414C0"/>
    <w:rsid w:val="644D709C"/>
    <w:rsid w:val="673D4AD2"/>
    <w:rsid w:val="676F59BF"/>
    <w:rsid w:val="67E7151E"/>
    <w:rsid w:val="6AD846D7"/>
    <w:rsid w:val="6CEB0440"/>
    <w:rsid w:val="6F7B3739"/>
    <w:rsid w:val="70AB4FC9"/>
    <w:rsid w:val="729F1A9A"/>
    <w:rsid w:val="733F3BA1"/>
    <w:rsid w:val="74C936A8"/>
    <w:rsid w:val="751E0BB4"/>
    <w:rsid w:val="755C10A8"/>
    <w:rsid w:val="76D336D6"/>
    <w:rsid w:val="77CE2CAE"/>
    <w:rsid w:val="79C9375B"/>
    <w:rsid w:val="7BF42DEB"/>
    <w:rsid w:val="7E921135"/>
    <w:rsid w:val="7E9520BA"/>
    <w:rsid w:val="7FA038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kern w:val="0"/>
      <w:sz w:val="22"/>
      <w:szCs w:val="22"/>
      <w:lang w:val="en-US" w:eastAsia="en-US" w:bidi="ar-SA"/>
      <w14:ligatures w14:val="none"/>
    </w:rPr>
  </w:style>
  <w:style w:type="paragraph" w:styleId="2">
    <w:name w:val="heading 1"/>
    <w:basedOn w:val="1"/>
    <w:next w:val="1"/>
    <w:qFormat/>
    <w:uiPriority w:val="9"/>
    <w:pPr>
      <w:keepNext/>
      <w:keepLines/>
      <w:spacing w:before="480" w:after="0"/>
      <w:outlineLvl w:val="0"/>
    </w:pPr>
    <w:rPr>
      <w:rFonts w:asciiTheme="majorHAnsi" w:hAnsiTheme="majorHAnsi" w:eastAsiaTheme="majorEastAsia" w:cstheme="majorBidi"/>
      <w:b/>
      <w:bCs/>
      <w:color w:val="2E75B6" w:themeColor="accent1" w:themeShade="BF"/>
      <w:sz w:val="28"/>
      <w:szCs w:val="28"/>
      <w:lang w:val="en-GB"/>
    </w:rPr>
  </w:style>
  <w:style w:type="paragraph" w:styleId="3">
    <w:name w:val="heading 2"/>
    <w:next w:val="1"/>
    <w:unhideWhenUsed/>
    <w:qFormat/>
    <w:uiPriority w:val="9"/>
    <w:pPr>
      <w:keepNext/>
      <w:keepLines/>
      <w:spacing w:after="71" w:line="256" w:lineRule="auto"/>
      <w:ind w:left="715" w:hanging="10"/>
      <w:outlineLvl w:val="1"/>
    </w:pPr>
    <w:rPr>
      <w:rFonts w:ascii="Times New Roman" w:hAnsi="Times New Roman" w:eastAsia="Times New Roman" w:cs="Times New Roman"/>
      <w:b/>
      <w:color w:val="221F1F"/>
      <w:sz w:val="20"/>
      <w:szCs w:val="22"/>
      <w:lang w:val="en-US" w:eastAsia="en-US"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footer"/>
    <w:basedOn w:val="1"/>
    <w:unhideWhenUsed/>
    <w:qFormat/>
    <w:uiPriority w:val="99"/>
    <w:pPr>
      <w:tabs>
        <w:tab w:val="center" w:pos="4680"/>
        <w:tab w:val="right" w:pos="9360"/>
      </w:tabs>
      <w:spacing w:after="0" w:line="240" w:lineRule="auto"/>
    </w:pPr>
  </w:style>
  <w:style w:type="character" w:styleId="7">
    <w:name w:val="Hyperlink"/>
    <w:basedOn w:val="4"/>
    <w:unhideWhenUsed/>
    <w:qFormat/>
    <w:uiPriority w:val="99"/>
    <w:rPr>
      <w:color w:val="0563C1" w:themeColor="hyperlink"/>
      <w:u w:val="single"/>
      <w14:textFill>
        <w14:solidFill>
          <w14:schemeClr w14:val="hlink"/>
        </w14:solidFill>
      </w14:textFill>
    </w:rPr>
  </w:style>
  <w:style w:type="paragraph" w:styleId="8">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9">
    <w:name w:val="Strong"/>
    <w:basedOn w:val="4"/>
    <w:qFormat/>
    <w:uiPriority w:val="22"/>
    <w:rPr>
      <w:b/>
      <w:bCs/>
    </w:rPr>
  </w:style>
  <w:style w:type="table" w:styleId="10">
    <w:name w:val="Table Grid"/>
    <w:basedOn w:val="5"/>
    <w:qFormat/>
    <w:uiPriority w:val="59"/>
    <w:pPr>
      <w:spacing w:after="0" w:line="240" w:lineRule="auto"/>
    </w:pPr>
    <w:rPr>
      <w:rFonts w:ascii="Calibri" w:hAnsi="Calibri" w:eastAsia="Calibri" w:cs="SimSun"/>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1">
    <w:name w:val="fontstyle01"/>
    <w:basedOn w:val="4"/>
    <w:qFormat/>
    <w:uiPriority w:val="0"/>
    <w:rPr>
      <w:rFonts w:hint="default" w:ascii="Times New Roman" w:hAnsi="Times New Roman" w:cs="Times New Roman"/>
      <w:color w:val="000000"/>
      <w:sz w:val="24"/>
      <w:szCs w:val="24"/>
    </w:rPr>
  </w:style>
  <w:style w:type="paragraph" w:styleId="12">
    <w:name w:val="List Paragraph"/>
    <w:basedOn w:val="1"/>
    <w:qFormat/>
    <w:uiPriority w:val="34"/>
    <w:pPr>
      <w:ind w:left="720"/>
      <w:contextualSpacing/>
    </w:pPr>
    <w:rPr>
      <w:lang w:val="en-GB"/>
    </w:rPr>
  </w:style>
  <w:style w:type="paragraph" w:customStyle="1" w:styleId="13">
    <w:name w:val="Default"/>
    <w:qFormat/>
    <w:uiPriority w:val="0"/>
    <w:pPr>
      <w:autoSpaceDE w:val="0"/>
      <w:autoSpaceDN w:val="0"/>
      <w:adjustRightInd w:val="0"/>
      <w:spacing w:after="0" w:line="240" w:lineRule="auto"/>
    </w:pPr>
    <w:rPr>
      <w:rFonts w:ascii="Times New Roman" w:hAnsi="Times New Roman" w:cs="Times New Roman" w:eastAsiaTheme="minorHAnsi"/>
      <w:color w:val="000000"/>
      <w:kern w:val="0"/>
      <w:sz w:val="24"/>
      <w:szCs w:val="24"/>
      <w:lang w:val="en-GB" w:eastAsia="en-US" w:bidi="ar-SA"/>
      <w14:ligatures w14:val="none"/>
    </w:rPr>
  </w:style>
  <w:style w:type="paragraph" w:styleId="14">
    <w:name w:val="No Spacing"/>
    <w:qFormat/>
    <w:uiPriority w:val="1"/>
    <w:pPr>
      <w:spacing w:after="0" w:line="240" w:lineRule="auto"/>
    </w:pPr>
    <w:rPr>
      <w:rFonts w:asciiTheme="minorHAnsi" w:hAnsiTheme="minorHAnsi" w:eastAsiaTheme="minorHAnsi" w:cstheme="minorBidi"/>
      <w:kern w:val="0"/>
      <w:sz w:val="22"/>
      <w:szCs w:val="22"/>
      <w:lang w:val="en-GB" w:eastAsia="en-US" w:bidi="ar-SA"/>
      <w14:ligatures w14: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2564</Words>
  <Characters>13974</Characters>
  <Lines>225</Lines>
  <Paragraphs>94</Paragraphs>
  <TotalTime>68</TotalTime>
  <ScaleCrop>false</ScaleCrop>
  <LinksUpToDate>false</LinksUpToDate>
  <CharactersWithSpaces>16444</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2025-01-13T14:46:00Z</dcterms:created>
  <dc:creator>HP</dc:creator>
  <cp:lastModifiedBy>WPS_1617172529</cp:lastModifiedBy>
  <dcterms:modified xsi:type="dcterms:W3CDTF">2025-06-30T15:30:14Z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e273c72a-ffd6-43ed-8f33-bfc9f982d01c</vt:lpwstr>
  </property>
  <property fmtid="{D5CDD505-2E9C-101B-9397-08002B2CF9AE}" pid="3" name="KSOProductBuildVer">
    <vt:lpwstr>1033-12.2.0.20326</vt:lpwstr>
  </property>
  <property fmtid="{D5CDD505-2E9C-101B-9397-08002B2CF9AE}" pid="4" name="ICV">
    <vt:lpwstr>58F33DE01C834314AA51BF347DBD5344_12</vt:lpwstr>
  </property>
</Properties>
</file>