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12CC7" w14:textId="77777777" w:rsidR="00D0404F" w:rsidRPr="0070612E" w:rsidRDefault="00D0404F" w:rsidP="0070612E">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70612E">
        <w:rPr>
          <w:rFonts w:ascii="Times New Roman" w:eastAsia="Times New Roman" w:hAnsi="Times New Roman" w:cs="Times New Roman"/>
          <w:b/>
          <w:bCs/>
          <w:sz w:val="24"/>
          <w:szCs w:val="24"/>
        </w:rPr>
        <w:t>CHAPTER ONE</w:t>
      </w:r>
    </w:p>
    <w:p w14:paraId="778F94F3" w14:textId="77777777" w:rsidR="008F240E" w:rsidRPr="0070612E" w:rsidRDefault="00830D41" w:rsidP="0070612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0612E">
        <w:rPr>
          <w:rFonts w:ascii="Times New Roman" w:eastAsia="Times New Roman" w:hAnsi="Times New Roman" w:cs="Times New Roman"/>
          <w:b/>
          <w:bCs/>
          <w:sz w:val="24"/>
          <w:szCs w:val="24"/>
        </w:rPr>
        <w:t>1.0</w:t>
      </w:r>
      <w:r w:rsidRPr="0070612E">
        <w:rPr>
          <w:rFonts w:ascii="Times New Roman" w:eastAsia="Times New Roman" w:hAnsi="Times New Roman" w:cs="Times New Roman"/>
          <w:b/>
          <w:bCs/>
          <w:sz w:val="24"/>
          <w:szCs w:val="24"/>
        </w:rPr>
        <w:tab/>
        <w:t>INTRODUCTION</w:t>
      </w:r>
    </w:p>
    <w:p w14:paraId="5A521321" w14:textId="77777777" w:rsidR="00414237" w:rsidRPr="0070612E" w:rsidRDefault="00414237" w:rsidP="0070612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0612E">
        <w:rPr>
          <w:rFonts w:ascii="Times New Roman" w:eastAsia="Times New Roman" w:hAnsi="Times New Roman" w:cs="Times New Roman"/>
          <w:b/>
          <w:bCs/>
          <w:sz w:val="24"/>
          <w:szCs w:val="24"/>
        </w:rPr>
        <w:t>1.1</w:t>
      </w:r>
      <w:r w:rsidRPr="0070612E">
        <w:rPr>
          <w:rFonts w:ascii="Times New Roman" w:eastAsia="Times New Roman" w:hAnsi="Times New Roman" w:cs="Times New Roman"/>
          <w:b/>
          <w:bCs/>
          <w:sz w:val="24"/>
          <w:szCs w:val="24"/>
        </w:rPr>
        <w:tab/>
        <w:t xml:space="preserve">Background of </w:t>
      </w:r>
      <w:r w:rsidR="00934F8D" w:rsidRPr="0070612E">
        <w:rPr>
          <w:rFonts w:ascii="Times New Roman" w:eastAsia="Times New Roman" w:hAnsi="Times New Roman" w:cs="Times New Roman"/>
          <w:b/>
          <w:bCs/>
          <w:sz w:val="24"/>
          <w:szCs w:val="24"/>
        </w:rPr>
        <w:t xml:space="preserve">the </w:t>
      </w:r>
      <w:r w:rsidRPr="0070612E">
        <w:rPr>
          <w:rFonts w:ascii="Times New Roman" w:eastAsia="Times New Roman" w:hAnsi="Times New Roman" w:cs="Times New Roman"/>
          <w:b/>
          <w:bCs/>
          <w:sz w:val="24"/>
          <w:szCs w:val="24"/>
        </w:rPr>
        <w:t>Study</w:t>
      </w:r>
    </w:p>
    <w:p w14:paraId="19B4C5B6" w14:textId="77777777" w:rsidR="008F240E" w:rsidRPr="0070612E" w:rsidRDefault="008F240E" w:rsidP="0070612E">
      <w:pPr>
        <w:spacing w:before="100" w:beforeAutospacing="1" w:after="100" w:afterAutospacing="1" w:line="360" w:lineRule="auto"/>
        <w:jc w:val="both"/>
        <w:rPr>
          <w:rFonts w:ascii="Times New Roman" w:eastAsia="Times New Roman" w:hAnsi="Times New Roman" w:cs="Times New Roman"/>
          <w:sz w:val="24"/>
          <w:szCs w:val="24"/>
        </w:rPr>
      </w:pPr>
      <w:r w:rsidRPr="0070612E">
        <w:rPr>
          <w:rFonts w:ascii="Times New Roman" w:eastAsia="Times New Roman" w:hAnsi="Times New Roman" w:cs="Times New Roman"/>
          <w:sz w:val="24"/>
          <w:szCs w:val="24"/>
        </w:rPr>
        <w:t>The banking sector is widely recognized as a fundamental pillar of economic development due to its critical role in the mobilization of savings and the efficient allocation of financial resources. This function is especially significant in developing economies like Nigeria, where small-scale enterprises (SSEs) constitute over 80% of businesses and contribute significantly to employment generation, innovation, and poverty alleviation (</w:t>
      </w:r>
      <w:proofErr w:type="spellStart"/>
      <w:r w:rsidRPr="0070612E">
        <w:rPr>
          <w:rFonts w:ascii="Times New Roman" w:eastAsia="Times New Roman" w:hAnsi="Times New Roman" w:cs="Times New Roman"/>
          <w:sz w:val="24"/>
          <w:szCs w:val="24"/>
        </w:rPr>
        <w:t>Ariyo</w:t>
      </w:r>
      <w:proofErr w:type="spellEnd"/>
      <w:r w:rsidRPr="0070612E">
        <w:rPr>
          <w:rFonts w:ascii="Times New Roman" w:eastAsia="Times New Roman" w:hAnsi="Times New Roman" w:cs="Times New Roman"/>
          <w:sz w:val="24"/>
          <w:szCs w:val="24"/>
        </w:rPr>
        <w:t>&amp; Jerome, 2020). In such contexts, a sound and resilient banking system is essential to facilitate access to capital for these enterprises and stimulate inclusive economic growth.</w:t>
      </w:r>
    </w:p>
    <w:p w14:paraId="4711A019" w14:textId="77777777" w:rsidR="008F240E" w:rsidRPr="0070612E" w:rsidRDefault="008F240E" w:rsidP="0070612E">
      <w:pPr>
        <w:spacing w:before="100" w:beforeAutospacing="1" w:after="100" w:afterAutospacing="1" w:line="360" w:lineRule="auto"/>
        <w:jc w:val="both"/>
        <w:rPr>
          <w:rFonts w:ascii="Times New Roman" w:eastAsia="Times New Roman" w:hAnsi="Times New Roman" w:cs="Times New Roman"/>
          <w:sz w:val="24"/>
          <w:szCs w:val="24"/>
        </w:rPr>
      </w:pPr>
      <w:r w:rsidRPr="0070612E">
        <w:rPr>
          <w:rFonts w:ascii="Times New Roman" w:eastAsia="Times New Roman" w:hAnsi="Times New Roman" w:cs="Times New Roman"/>
          <w:sz w:val="24"/>
          <w:szCs w:val="24"/>
        </w:rPr>
        <w:t>Over the past two decades, the Nigerian banking sector has undergone several reforms aimed at strengthening its stability, transparency, and contribution to national development. Among the most transformative of these reforms is the bank recapitalization policy, which seeks to enhance the financial base of banks to ensure solvency, reduce systemic risks, and improve lending capacity. According to Soludo (2004), the former Governor of the Central Bank of Nigeria (CBN), recapitalization is a proactive measure intended to build strong and competitive banks capable of supporting the real economy, especially through increased credit availability.</w:t>
      </w:r>
    </w:p>
    <w:p w14:paraId="0A37B5C7" w14:textId="77777777" w:rsidR="008F240E" w:rsidRPr="0070612E" w:rsidRDefault="008F240E" w:rsidP="0070612E">
      <w:pPr>
        <w:spacing w:before="100" w:beforeAutospacing="1" w:after="100" w:afterAutospacing="1" w:line="360" w:lineRule="auto"/>
        <w:jc w:val="both"/>
        <w:rPr>
          <w:rFonts w:ascii="Times New Roman" w:eastAsia="Times New Roman" w:hAnsi="Times New Roman" w:cs="Times New Roman"/>
          <w:sz w:val="24"/>
          <w:szCs w:val="24"/>
        </w:rPr>
      </w:pPr>
      <w:r w:rsidRPr="0070612E">
        <w:rPr>
          <w:rFonts w:ascii="Times New Roman" w:eastAsia="Times New Roman" w:hAnsi="Times New Roman" w:cs="Times New Roman"/>
          <w:sz w:val="24"/>
          <w:szCs w:val="24"/>
        </w:rPr>
        <w:t>The most significant wave of bank recapitalization occurred in 2005, when the CBN raised the minimum capital base for commercial banks from ₦2 billion to ₦25 billion. This policy led to a wave of mergers and acquisitions, reducing the number of commercial banks from 89 to 25 and strengthening the overall capital adequacy of the banking sector (Sanusi, 2010). Subsequent recapitalization and prudential measures have continued to shape the structure and behavior of Nigerian banks, including the recent push for another round of recapitalization in 2024 to align with inflation-adjusted capital needs and global regulatory standards (CBN, 2024).</w:t>
      </w:r>
    </w:p>
    <w:p w14:paraId="16454CD7" w14:textId="77777777" w:rsidR="00F65FC5" w:rsidRPr="0070612E" w:rsidRDefault="008F240E" w:rsidP="0070612E">
      <w:pPr>
        <w:spacing w:before="100" w:beforeAutospacing="1" w:after="100" w:afterAutospacing="1" w:line="360" w:lineRule="auto"/>
        <w:jc w:val="both"/>
        <w:rPr>
          <w:rFonts w:ascii="Times New Roman" w:eastAsia="Times New Roman" w:hAnsi="Times New Roman" w:cs="Times New Roman"/>
          <w:sz w:val="24"/>
          <w:szCs w:val="24"/>
        </w:rPr>
      </w:pPr>
      <w:r w:rsidRPr="0070612E">
        <w:rPr>
          <w:rFonts w:ascii="Times New Roman" w:eastAsia="Times New Roman" w:hAnsi="Times New Roman" w:cs="Times New Roman"/>
          <w:sz w:val="24"/>
          <w:szCs w:val="24"/>
        </w:rPr>
        <w:lastRenderedPageBreak/>
        <w:t xml:space="preserve">Despite these capital-enhancing policies, the financing gap for small-scale enterprises remains substantial. Many SSEs in Nigeria still encounter considerable hurdles in securing credit, including high collateral demands, elevated interest rates, and risk-averse lending practices by banks. Empirical studies by </w:t>
      </w:r>
      <w:proofErr w:type="spellStart"/>
      <w:r w:rsidRPr="0070612E">
        <w:rPr>
          <w:rFonts w:ascii="Times New Roman" w:eastAsia="Times New Roman" w:hAnsi="Times New Roman" w:cs="Times New Roman"/>
          <w:sz w:val="24"/>
          <w:szCs w:val="24"/>
        </w:rPr>
        <w:t>Nwaeze</w:t>
      </w:r>
      <w:proofErr w:type="spellEnd"/>
      <w:r w:rsidRPr="0070612E">
        <w:rPr>
          <w:rFonts w:ascii="Times New Roman" w:eastAsia="Times New Roman" w:hAnsi="Times New Roman" w:cs="Times New Roman"/>
          <w:sz w:val="24"/>
          <w:szCs w:val="24"/>
        </w:rPr>
        <w:t xml:space="preserve">, </w:t>
      </w:r>
      <w:proofErr w:type="spellStart"/>
      <w:r w:rsidRPr="0070612E">
        <w:rPr>
          <w:rFonts w:ascii="Times New Roman" w:eastAsia="Times New Roman" w:hAnsi="Times New Roman" w:cs="Times New Roman"/>
          <w:sz w:val="24"/>
          <w:szCs w:val="24"/>
        </w:rPr>
        <w:t>Ofor</w:t>
      </w:r>
      <w:proofErr w:type="spellEnd"/>
      <w:r w:rsidR="0008307E">
        <w:rPr>
          <w:rFonts w:ascii="Times New Roman" w:eastAsia="Times New Roman" w:hAnsi="Times New Roman" w:cs="Times New Roman"/>
          <w:sz w:val="24"/>
          <w:szCs w:val="24"/>
        </w:rPr>
        <w:t xml:space="preserve"> </w:t>
      </w:r>
      <w:r w:rsidRPr="0070612E">
        <w:rPr>
          <w:rFonts w:ascii="Times New Roman" w:eastAsia="Times New Roman" w:hAnsi="Times New Roman" w:cs="Times New Roman"/>
          <w:sz w:val="24"/>
          <w:szCs w:val="24"/>
        </w:rPr>
        <w:t xml:space="preserve">&amp; Emmanuel (2021) and Okafor &amp; Chukwuemeka (2023) highlight that, while recapitalization has improved the health of the banking sector, its translation into enhanced credit support for SSEs has been inconsistent and often limited by banks' preference for low-risk, high-return lending.This disconnect underscores a critical policy dilemma: whether the recapitalization of banks has truly enhanced the ability and willingness of Nigerian banks to provide adequate and affordable financing to small-scale enterprises. </w:t>
      </w:r>
    </w:p>
    <w:p w14:paraId="7BA19AC2" w14:textId="77777777" w:rsidR="008F240E" w:rsidRPr="0070612E" w:rsidRDefault="008F240E" w:rsidP="0070612E">
      <w:pPr>
        <w:spacing w:before="100" w:beforeAutospacing="1" w:after="100" w:afterAutospacing="1" w:line="360" w:lineRule="auto"/>
        <w:jc w:val="both"/>
        <w:rPr>
          <w:rFonts w:ascii="Times New Roman" w:eastAsia="Times New Roman" w:hAnsi="Times New Roman" w:cs="Times New Roman"/>
          <w:sz w:val="24"/>
          <w:szCs w:val="24"/>
        </w:rPr>
      </w:pPr>
      <w:r w:rsidRPr="0070612E">
        <w:rPr>
          <w:rFonts w:ascii="Times New Roman" w:eastAsia="Times New Roman" w:hAnsi="Times New Roman" w:cs="Times New Roman"/>
          <w:sz w:val="24"/>
          <w:szCs w:val="24"/>
        </w:rPr>
        <w:t>First Bank of Nigeria Plc, as one of the most capitalized and oldest financial institutions in the country, serves as an ideal case study for this inquiry. With its widespread network, historic role in financing development, and involvement in all major recapitalization waves, First Bank offers a practical context to assess how these policies impact SME financing on the ground.</w:t>
      </w:r>
    </w:p>
    <w:p w14:paraId="01BB0FB3" w14:textId="77777777" w:rsidR="008F240E" w:rsidRPr="0070612E" w:rsidRDefault="008F240E" w:rsidP="0070612E">
      <w:pPr>
        <w:spacing w:before="100" w:beforeAutospacing="1" w:after="100" w:afterAutospacing="1" w:line="360" w:lineRule="auto"/>
        <w:jc w:val="both"/>
        <w:rPr>
          <w:rFonts w:ascii="Times New Roman" w:eastAsia="Times New Roman" w:hAnsi="Times New Roman" w:cs="Times New Roman"/>
          <w:sz w:val="24"/>
          <w:szCs w:val="24"/>
        </w:rPr>
      </w:pPr>
      <w:r w:rsidRPr="0070612E">
        <w:rPr>
          <w:rFonts w:ascii="Times New Roman" w:eastAsia="Times New Roman" w:hAnsi="Times New Roman" w:cs="Times New Roman"/>
          <w:sz w:val="24"/>
          <w:szCs w:val="24"/>
        </w:rPr>
        <w:t>As Nigeria moves toward a more digitized and capital-intensive banking environment, it is essential to evaluate the real-world implications of these reforms on financial inclusion and SME development. The findings from this study could offer critical insights for policymakers, banks, and small business stakeholders seeking to bridge the gap between capital availability and enterprise-level financing.</w:t>
      </w:r>
    </w:p>
    <w:p w14:paraId="0055E607" w14:textId="77777777" w:rsidR="008635CF" w:rsidRPr="0070612E" w:rsidRDefault="008635CF" w:rsidP="0070612E">
      <w:pPr>
        <w:spacing w:before="100" w:beforeAutospacing="1" w:after="100" w:afterAutospacing="1" w:line="360" w:lineRule="auto"/>
        <w:jc w:val="both"/>
        <w:rPr>
          <w:rFonts w:ascii="Times New Roman" w:eastAsia="Times New Roman" w:hAnsi="Times New Roman" w:cs="Times New Roman"/>
          <w:sz w:val="24"/>
          <w:szCs w:val="24"/>
        </w:rPr>
      </w:pPr>
      <w:r w:rsidRPr="0070612E">
        <w:rPr>
          <w:rFonts w:ascii="Times New Roman" w:eastAsia="Times New Roman" w:hAnsi="Times New Roman" w:cs="Times New Roman"/>
          <w:sz w:val="24"/>
          <w:szCs w:val="24"/>
        </w:rPr>
        <w:t>Furthermore, the structure and regulatory environment of the Nigerian financial sector have significantly influenced the capacity of banks to engage in long-term financing. Even after recapitalization, many banks tend to focus on short-term, low-risk investments such as government securities rather than extending credit to high-risk sectors like small-scale enterprises. This behavior is often rooted in structural inefficiencies, risk management concerns, and a lack of robust credit evaluation frameworks for small businesses (</w:t>
      </w:r>
      <w:proofErr w:type="spellStart"/>
      <w:r w:rsidRPr="0070612E">
        <w:rPr>
          <w:rFonts w:ascii="Times New Roman" w:eastAsia="Times New Roman" w:hAnsi="Times New Roman" w:cs="Times New Roman"/>
          <w:sz w:val="24"/>
          <w:szCs w:val="24"/>
        </w:rPr>
        <w:t>Obamuyi</w:t>
      </w:r>
      <w:proofErr w:type="spellEnd"/>
      <w:r w:rsidRPr="0070612E">
        <w:rPr>
          <w:rFonts w:ascii="Times New Roman" w:eastAsia="Times New Roman" w:hAnsi="Times New Roman" w:cs="Times New Roman"/>
          <w:sz w:val="24"/>
          <w:szCs w:val="24"/>
        </w:rPr>
        <w:t xml:space="preserve">, 2019). These challenges continue to limit the extent to which recapitalization translates into improved credit </w:t>
      </w:r>
      <w:r w:rsidRPr="0070612E">
        <w:rPr>
          <w:rFonts w:ascii="Times New Roman" w:eastAsia="Times New Roman" w:hAnsi="Times New Roman" w:cs="Times New Roman"/>
          <w:sz w:val="24"/>
          <w:szCs w:val="24"/>
        </w:rPr>
        <w:lastRenderedPageBreak/>
        <w:t>flow to the SME sector, which is in dire need of affordable and accessible financing options for expansion and innovation.</w:t>
      </w:r>
    </w:p>
    <w:p w14:paraId="7A663D29" w14:textId="77777777" w:rsidR="008635CF" w:rsidRPr="0070612E" w:rsidRDefault="008635CF" w:rsidP="0070612E">
      <w:pPr>
        <w:spacing w:before="100" w:beforeAutospacing="1" w:after="100" w:afterAutospacing="1" w:line="360" w:lineRule="auto"/>
        <w:jc w:val="both"/>
        <w:rPr>
          <w:rFonts w:ascii="Times New Roman" w:eastAsia="Times New Roman" w:hAnsi="Times New Roman" w:cs="Times New Roman"/>
          <w:sz w:val="24"/>
          <w:szCs w:val="24"/>
        </w:rPr>
      </w:pPr>
      <w:r w:rsidRPr="0070612E">
        <w:rPr>
          <w:rFonts w:ascii="Times New Roman" w:eastAsia="Times New Roman" w:hAnsi="Times New Roman" w:cs="Times New Roman"/>
          <w:sz w:val="24"/>
          <w:szCs w:val="24"/>
        </w:rPr>
        <w:t xml:space="preserve">Additionally, government-backed initiatives like the Small and Medium Enterprises Credit Guarantee Scheme (SMECGS), the Anchor Borrowers’ </w:t>
      </w:r>
      <w:proofErr w:type="spellStart"/>
      <w:r w:rsidRPr="0070612E">
        <w:rPr>
          <w:rFonts w:ascii="Times New Roman" w:eastAsia="Times New Roman" w:hAnsi="Times New Roman" w:cs="Times New Roman"/>
          <w:sz w:val="24"/>
          <w:szCs w:val="24"/>
        </w:rPr>
        <w:t>Programme</w:t>
      </w:r>
      <w:proofErr w:type="spellEnd"/>
      <w:r w:rsidRPr="0070612E">
        <w:rPr>
          <w:rFonts w:ascii="Times New Roman" w:eastAsia="Times New Roman" w:hAnsi="Times New Roman" w:cs="Times New Roman"/>
          <w:sz w:val="24"/>
          <w:szCs w:val="24"/>
        </w:rPr>
        <w:t xml:space="preserve"> (ABP), and the Development Bank of Nigeria (DBN) have attempted to complement commercial bank lending through policy interventions. However, the success of these initiatives is often contingent on the cooperation and active involvement of commercial banks, whose lending priorities may not always align with developmental goals. Recent findings by Adebayo and Ibrahim (2022) suggest that recapitalized banks still prioritize profit maximization over developmental finance, making it difficult for such schemes to fully penetrate the small enterprise landscape. As such, understanding how recapitalized banks like First Bank respond to policy incentives and manage lending to small enterprises becomes vital to evaluating broader policy effectiveness.</w:t>
      </w:r>
    </w:p>
    <w:p w14:paraId="3F453B96" w14:textId="77777777" w:rsidR="008635CF" w:rsidRPr="0070612E" w:rsidRDefault="008635CF" w:rsidP="0070612E">
      <w:pPr>
        <w:spacing w:before="100" w:beforeAutospacing="1" w:after="100" w:afterAutospacing="1" w:line="360" w:lineRule="auto"/>
        <w:jc w:val="both"/>
        <w:rPr>
          <w:rFonts w:ascii="Times New Roman" w:eastAsia="Times New Roman" w:hAnsi="Times New Roman" w:cs="Times New Roman"/>
          <w:sz w:val="24"/>
          <w:szCs w:val="24"/>
        </w:rPr>
      </w:pPr>
      <w:r w:rsidRPr="0070612E">
        <w:rPr>
          <w:rFonts w:ascii="Times New Roman" w:eastAsia="Times New Roman" w:hAnsi="Times New Roman" w:cs="Times New Roman"/>
          <w:sz w:val="24"/>
          <w:szCs w:val="24"/>
        </w:rPr>
        <w:t>Moreover, the current push for another round of recapitalization, as announced by the CBN in 2024, has reignited debates among scholars, financial analysts, and business owners about the implications for credit availability, especially for underserved segments like SSEs. This study is therefore timely, as it will provide empirical evidence on the real impacts of past recapitalization efforts and offer insights into the likely outcomes of the impending reforms. -scale enterprises.</w:t>
      </w:r>
    </w:p>
    <w:p w14:paraId="5E0BB026" w14:textId="77777777" w:rsidR="001E5C97" w:rsidRPr="0070612E" w:rsidRDefault="00414237" w:rsidP="0070612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0612E">
        <w:rPr>
          <w:rFonts w:ascii="Times New Roman" w:eastAsia="Times New Roman" w:hAnsi="Times New Roman" w:cs="Times New Roman"/>
          <w:b/>
          <w:bCs/>
          <w:sz w:val="24"/>
          <w:szCs w:val="24"/>
        </w:rPr>
        <w:t>1.</w:t>
      </w:r>
      <w:r w:rsidR="00F26489" w:rsidRPr="0070612E">
        <w:rPr>
          <w:rFonts w:ascii="Times New Roman" w:eastAsia="Times New Roman" w:hAnsi="Times New Roman" w:cs="Times New Roman"/>
          <w:b/>
          <w:bCs/>
          <w:sz w:val="24"/>
          <w:szCs w:val="24"/>
        </w:rPr>
        <w:t>2</w:t>
      </w:r>
      <w:r w:rsidR="00F26489" w:rsidRPr="0070612E">
        <w:rPr>
          <w:rFonts w:ascii="Times New Roman" w:eastAsia="Times New Roman" w:hAnsi="Times New Roman" w:cs="Times New Roman"/>
          <w:b/>
          <w:bCs/>
          <w:sz w:val="24"/>
          <w:szCs w:val="24"/>
        </w:rPr>
        <w:tab/>
      </w:r>
      <w:r w:rsidR="001E5C97" w:rsidRPr="0070612E">
        <w:rPr>
          <w:rFonts w:ascii="Times New Roman" w:eastAsia="Times New Roman" w:hAnsi="Times New Roman" w:cs="Times New Roman"/>
          <w:b/>
          <w:bCs/>
          <w:sz w:val="24"/>
          <w:szCs w:val="24"/>
        </w:rPr>
        <w:t>Statement of the Problem</w:t>
      </w:r>
    </w:p>
    <w:p w14:paraId="017186AA" w14:textId="77777777" w:rsidR="00F26489" w:rsidRPr="0070612E" w:rsidRDefault="00F26489" w:rsidP="0070612E">
      <w:pPr>
        <w:pStyle w:val="NormalWeb"/>
        <w:spacing w:line="360" w:lineRule="auto"/>
        <w:jc w:val="both"/>
      </w:pPr>
      <w:r w:rsidRPr="0070612E">
        <w:t xml:space="preserve">Access to finance is universally recognized as a critical driver of small-scale enterprise (SSE) growth, innovation, competitiveness, and long-term sustainability. Small-scale enterprises serve as catalysts for economic diversification, industrialization, and employment generation, particularly in emerging economies like Nigeria. Nevertheless, despite several banking sector reforms, particularly the landmark recapitalization policy of 2005 and the recently proposed 2024 recapitalization initiative by the Central Bank of Nigeria (CBN), many SSEs continue to face severe financial constraints that inhibit their growth potential. The principal aim of these </w:t>
      </w:r>
      <w:r w:rsidRPr="0070612E">
        <w:lastRenderedPageBreak/>
        <w:t>recapitalization efforts was to fortify banks' financial soundness, enhance their liquidity positions, and improve their risk-bearing capacities, thereby fostering a more robust and inclusive credit environment for the productive sectors of the economy, notably small businesses (</w:t>
      </w:r>
      <w:proofErr w:type="spellStart"/>
      <w:r w:rsidRPr="0070612E">
        <w:t>Ariyo</w:t>
      </w:r>
      <w:proofErr w:type="spellEnd"/>
      <w:r w:rsidRPr="0070612E">
        <w:t>&amp; Jerome, 2020).</w:t>
      </w:r>
    </w:p>
    <w:p w14:paraId="7B47C799" w14:textId="77777777" w:rsidR="00F26489" w:rsidRPr="0070612E" w:rsidRDefault="00F26489" w:rsidP="006D4E06">
      <w:pPr>
        <w:pStyle w:val="NormalWeb"/>
        <w:spacing w:line="360" w:lineRule="auto"/>
        <w:jc w:val="both"/>
      </w:pPr>
      <w:r w:rsidRPr="0070612E">
        <w:t>However, empirical studies and practical observations reveal a troubling paradox. Despite stronger capital positions, many Nigerian banks, including First Bank of Nigeria Plc, have not significantly broadened their credit portfolios to include a substantial volume of loans targeted at small-scale enterprises (</w:t>
      </w:r>
      <w:proofErr w:type="spellStart"/>
      <w:r w:rsidRPr="0070612E">
        <w:t>Nwaeze</w:t>
      </w:r>
      <w:proofErr w:type="spellEnd"/>
      <w:r w:rsidRPr="0070612E">
        <w:t xml:space="preserve"> et al., 2021; Okafor &amp; Chukwuemeka, 2023). Instead, small business operators continue to encounter significant barriers such as exorbitant lending rates, stringent collateral demands, bureaucratic loan application procedures, and overall risk-averse attitudes from banks. These challenges indicate that increased bank capitalization, while necessary for systemic stability, does not automatically translate into enhanced credit flows to small-scale businesses. </w:t>
      </w:r>
    </w:p>
    <w:p w14:paraId="0BC1405B" w14:textId="77777777" w:rsidR="00F26489" w:rsidRPr="0070612E" w:rsidRDefault="00F26489" w:rsidP="006D4E06">
      <w:pPr>
        <w:pStyle w:val="NormalWeb"/>
        <w:spacing w:line="360" w:lineRule="auto"/>
        <w:jc w:val="both"/>
      </w:pPr>
      <w:r w:rsidRPr="0070612E">
        <w:t xml:space="preserve">This persistent disconnect between the policy expectations of recapitalization and the practical realities on the ground raises important policy, operational, and developmental questions. If banks, even after being financially strengthened, remain hesitant to lend to small enterprises viewing them as high-risk and low-return clientele then the broader national objectives of inclusive economic growth, mass job creation, poverty reduction, and financial inclusion are at risk of being derailed. </w:t>
      </w:r>
    </w:p>
    <w:p w14:paraId="0FCEA72C" w14:textId="77777777" w:rsidR="001E5C97" w:rsidRPr="0070612E" w:rsidRDefault="00F26489" w:rsidP="0089320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70612E">
        <w:rPr>
          <w:rFonts w:ascii="Times New Roman" w:eastAsia="Times New Roman" w:hAnsi="Times New Roman" w:cs="Times New Roman"/>
          <w:b/>
          <w:bCs/>
          <w:sz w:val="24"/>
          <w:szCs w:val="24"/>
        </w:rPr>
        <w:t>1.3</w:t>
      </w:r>
      <w:r w:rsidRPr="0070612E">
        <w:rPr>
          <w:rFonts w:ascii="Times New Roman" w:eastAsia="Times New Roman" w:hAnsi="Times New Roman" w:cs="Times New Roman"/>
          <w:b/>
          <w:bCs/>
          <w:sz w:val="24"/>
          <w:szCs w:val="24"/>
        </w:rPr>
        <w:tab/>
      </w:r>
      <w:r w:rsidR="001E5C97" w:rsidRPr="0070612E">
        <w:rPr>
          <w:rFonts w:ascii="Times New Roman" w:eastAsia="Times New Roman" w:hAnsi="Times New Roman" w:cs="Times New Roman"/>
          <w:b/>
          <w:bCs/>
          <w:sz w:val="24"/>
          <w:szCs w:val="24"/>
        </w:rPr>
        <w:t>Research Questions</w:t>
      </w:r>
    </w:p>
    <w:p w14:paraId="05EFFABC" w14:textId="77777777" w:rsidR="001E5C97" w:rsidRPr="0070612E" w:rsidRDefault="00F65FC5" w:rsidP="00893202">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70612E">
        <w:rPr>
          <w:rFonts w:ascii="Times New Roman" w:eastAsia="Times New Roman" w:hAnsi="Times New Roman" w:cs="Times New Roman"/>
          <w:sz w:val="24"/>
          <w:szCs w:val="24"/>
        </w:rPr>
        <w:t>i</w:t>
      </w:r>
      <w:proofErr w:type="spellEnd"/>
      <w:r w:rsidRPr="0070612E">
        <w:rPr>
          <w:rFonts w:ascii="Times New Roman" w:eastAsia="Times New Roman" w:hAnsi="Times New Roman" w:cs="Times New Roman"/>
          <w:sz w:val="24"/>
          <w:szCs w:val="24"/>
        </w:rPr>
        <w:t>.</w:t>
      </w:r>
      <w:r w:rsidRPr="0070612E">
        <w:rPr>
          <w:rFonts w:ascii="Times New Roman" w:eastAsia="Times New Roman" w:hAnsi="Times New Roman" w:cs="Times New Roman"/>
          <w:sz w:val="24"/>
          <w:szCs w:val="24"/>
        </w:rPr>
        <w:tab/>
      </w:r>
      <w:r w:rsidR="001E5C97" w:rsidRPr="0070612E">
        <w:rPr>
          <w:rFonts w:ascii="Times New Roman" w:eastAsia="Times New Roman" w:hAnsi="Times New Roman" w:cs="Times New Roman"/>
          <w:sz w:val="24"/>
          <w:szCs w:val="24"/>
        </w:rPr>
        <w:t>How has the bank recapitalization policy influenced the credit accessibility of small-scale enterprises in Nigeria?</w:t>
      </w:r>
    </w:p>
    <w:p w14:paraId="6272B72A" w14:textId="77777777" w:rsidR="001E5C97" w:rsidRPr="0070612E" w:rsidRDefault="00F34824" w:rsidP="00893202">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70612E">
        <w:rPr>
          <w:rFonts w:ascii="Times New Roman" w:eastAsia="Times New Roman" w:hAnsi="Times New Roman" w:cs="Times New Roman"/>
          <w:sz w:val="24"/>
          <w:szCs w:val="24"/>
        </w:rPr>
        <w:t>ii.</w:t>
      </w:r>
      <w:r w:rsidRPr="0070612E">
        <w:rPr>
          <w:rFonts w:ascii="Times New Roman" w:eastAsia="Times New Roman" w:hAnsi="Times New Roman" w:cs="Times New Roman"/>
          <w:sz w:val="24"/>
          <w:szCs w:val="24"/>
        </w:rPr>
        <w:tab/>
      </w:r>
      <w:r w:rsidR="001E5C97" w:rsidRPr="0070612E">
        <w:rPr>
          <w:rFonts w:ascii="Times New Roman" w:eastAsia="Times New Roman" w:hAnsi="Times New Roman" w:cs="Times New Roman"/>
          <w:sz w:val="24"/>
          <w:szCs w:val="24"/>
        </w:rPr>
        <w:t>What are the challenges faced by SSEs in securing loans from First Bank of Nigeria Plc after recapitalization?</w:t>
      </w:r>
    </w:p>
    <w:p w14:paraId="65E9C14A" w14:textId="77777777" w:rsidR="001E5C97" w:rsidRPr="0070612E" w:rsidRDefault="00F34824" w:rsidP="00893202">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70612E">
        <w:rPr>
          <w:rFonts w:ascii="Times New Roman" w:eastAsia="Times New Roman" w:hAnsi="Times New Roman" w:cs="Times New Roman"/>
          <w:sz w:val="24"/>
          <w:szCs w:val="24"/>
        </w:rPr>
        <w:t>iii.</w:t>
      </w:r>
      <w:r w:rsidRPr="0070612E">
        <w:rPr>
          <w:rFonts w:ascii="Times New Roman" w:eastAsia="Times New Roman" w:hAnsi="Times New Roman" w:cs="Times New Roman"/>
          <w:sz w:val="24"/>
          <w:szCs w:val="24"/>
        </w:rPr>
        <w:tab/>
      </w:r>
      <w:r w:rsidR="001E5C97" w:rsidRPr="0070612E">
        <w:rPr>
          <w:rFonts w:ascii="Times New Roman" w:eastAsia="Times New Roman" w:hAnsi="Times New Roman" w:cs="Times New Roman"/>
          <w:sz w:val="24"/>
          <w:szCs w:val="24"/>
        </w:rPr>
        <w:t>To what extent has bank recapitalization enhanced First Bank’s capacity to finance small-scale enterprises?</w:t>
      </w:r>
    </w:p>
    <w:p w14:paraId="53A91776" w14:textId="77777777" w:rsidR="001E5C97" w:rsidRPr="0070612E" w:rsidRDefault="00F26489" w:rsidP="0070612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0612E">
        <w:rPr>
          <w:rFonts w:ascii="Times New Roman" w:eastAsia="Times New Roman" w:hAnsi="Times New Roman" w:cs="Times New Roman"/>
          <w:b/>
          <w:bCs/>
          <w:sz w:val="24"/>
          <w:szCs w:val="24"/>
        </w:rPr>
        <w:lastRenderedPageBreak/>
        <w:t>1.4</w:t>
      </w:r>
      <w:r w:rsidRPr="0070612E">
        <w:rPr>
          <w:rFonts w:ascii="Times New Roman" w:eastAsia="Times New Roman" w:hAnsi="Times New Roman" w:cs="Times New Roman"/>
          <w:b/>
          <w:bCs/>
          <w:sz w:val="24"/>
          <w:szCs w:val="24"/>
        </w:rPr>
        <w:tab/>
      </w:r>
      <w:r w:rsidR="001E5C97" w:rsidRPr="0070612E">
        <w:rPr>
          <w:rFonts w:ascii="Times New Roman" w:eastAsia="Times New Roman" w:hAnsi="Times New Roman" w:cs="Times New Roman"/>
          <w:b/>
          <w:bCs/>
          <w:sz w:val="24"/>
          <w:szCs w:val="24"/>
        </w:rPr>
        <w:t>Objectives of the Study</w:t>
      </w:r>
    </w:p>
    <w:p w14:paraId="18F5F312" w14:textId="77777777" w:rsidR="001E5C97" w:rsidRPr="0070612E" w:rsidRDefault="00DE375A" w:rsidP="0070612E">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70612E">
        <w:rPr>
          <w:rFonts w:ascii="Times New Roman" w:eastAsia="Times New Roman" w:hAnsi="Times New Roman" w:cs="Times New Roman"/>
          <w:sz w:val="24"/>
          <w:szCs w:val="24"/>
        </w:rPr>
        <w:t>i</w:t>
      </w:r>
      <w:proofErr w:type="spellEnd"/>
      <w:r w:rsidRPr="0070612E">
        <w:rPr>
          <w:rFonts w:ascii="Times New Roman" w:eastAsia="Times New Roman" w:hAnsi="Times New Roman" w:cs="Times New Roman"/>
          <w:sz w:val="24"/>
          <w:szCs w:val="24"/>
        </w:rPr>
        <w:t>.</w:t>
      </w:r>
      <w:r w:rsidRPr="0070612E">
        <w:rPr>
          <w:rFonts w:ascii="Times New Roman" w:eastAsia="Times New Roman" w:hAnsi="Times New Roman" w:cs="Times New Roman"/>
          <w:sz w:val="24"/>
          <w:szCs w:val="24"/>
        </w:rPr>
        <w:tab/>
      </w:r>
      <w:r w:rsidR="001E5C97" w:rsidRPr="0070612E">
        <w:rPr>
          <w:rFonts w:ascii="Times New Roman" w:eastAsia="Times New Roman" w:hAnsi="Times New Roman" w:cs="Times New Roman"/>
          <w:sz w:val="24"/>
          <w:szCs w:val="24"/>
        </w:rPr>
        <w:t>Evaluate the impact of recapitalization on the credit accessibility of SSEs.</w:t>
      </w:r>
    </w:p>
    <w:p w14:paraId="2E7AADEA" w14:textId="77777777" w:rsidR="001E5C97" w:rsidRPr="0070612E" w:rsidRDefault="00DE375A" w:rsidP="0070612E">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0612E">
        <w:rPr>
          <w:rFonts w:ascii="Times New Roman" w:eastAsia="Times New Roman" w:hAnsi="Times New Roman" w:cs="Times New Roman"/>
          <w:sz w:val="24"/>
          <w:szCs w:val="24"/>
        </w:rPr>
        <w:t>ii.</w:t>
      </w:r>
      <w:r w:rsidRPr="0070612E">
        <w:rPr>
          <w:rFonts w:ascii="Times New Roman" w:eastAsia="Times New Roman" w:hAnsi="Times New Roman" w:cs="Times New Roman"/>
          <w:sz w:val="24"/>
          <w:szCs w:val="24"/>
        </w:rPr>
        <w:tab/>
      </w:r>
      <w:r w:rsidR="001E5C97" w:rsidRPr="0070612E">
        <w:rPr>
          <w:rFonts w:ascii="Times New Roman" w:eastAsia="Times New Roman" w:hAnsi="Times New Roman" w:cs="Times New Roman"/>
          <w:sz w:val="24"/>
          <w:szCs w:val="24"/>
        </w:rPr>
        <w:t>Identify the constraints faced by SSEs in accessing loans from First Bank post-recapitalization.</w:t>
      </w:r>
    </w:p>
    <w:p w14:paraId="336EC293" w14:textId="77777777" w:rsidR="001E5C97" w:rsidRPr="0070612E" w:rsidRDefault="00DE375A" w:rsidP="0070612E">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0612E">
        <w:rPr>
          <w:rFonts w:ascii="Times New Roman" w:eastAsia="Times New Roman" w:hAnsi="Times New Roman" w:cs="Times New Roman"/>
          <w:sz w:val="24"/>
          <w:szCs w:val="24"/>
        </w:rPr>
        <w:t>iii.</w:t>
      </w:r>
      <w:r w:rsidRPr="0070612E">
        <w:rPr>
          <w:rFonts w:ascii="Times New Roman" w:eastAsia="Times New Roman" w:hAnsi="Times New Roman" w:cs="Times New Roman"/>
          <w:sz w:val="24"/>
          <w:szCs w:val="24"/>
        </w:rPr>
        <w:tab/>
      </w:r>
      <w:r w:rsidR="001E5C97" w:rsidRPr="0070612E">
        <w:rPr>
          <w:rFonts w:ascii="Times New Roman" w:eastAsia="Times New Roman" w:hAnsi="Times New Roman" w:cs="Times New Roman"/>
          <w:sz w:val="24"/>
          <w:szCs w:val="24"/>
        </w:rPr>
        <w:t>Determine the extent to which First Bank’s recapitalization has improved its financing support to SSEs.</w:t>
      </w:r>
    </w:p>
    <w:p w14:paraId="3B2B4FB4" w14:textId="77777777" w:rsidR="001E5C97" w:rsidRPr="0070612E" w:rsidRDefault="00F26489" w:rsidP="0070612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0612E">
        <w:rPr>
          <w:rFonts w:ascii="Times New Roman" w:eastAsia="Times New Roman" w:hAnsi="Times New Roman" w:cs="Times New Roman"/>
          <w:b/>
          <w:bCs/>
          <w:sz w:val="24"/>
          <w:szCs w:val="24"/>
        </w:rPr>
        <w:t>1.5</w:t>
      </w:r>
      <w:r w:rsidRPr="0070612E">
        <w:rPr>
          <w:rFonts w:ascii="Times New Roman" w:eastAsia="Times New Roman" w:hAnsi="Times New Roman" w:cs="Times New Roman"/>
          <w:b/>
          <w:bCs/>
          <w:sz w:val="24"/>
          <w:szCs w:val="24"/>
        </w:rPr>
        <w:tab/>
      </w:r>
      <w:r w:rsidR="001E5C97" w:rsidRPr="0070612E">
        <w:rPr>
          <w:rFonts w:ascii="Times New Roman" w:eastAsia="Times New Roman" w:hAnsi="Times New Roman" w:cs="Times New Roman"/>
          <w:b/>
          <w:bCs/>
          <w:sz w:val="24"/>
          <w:szCs w:val="24"/>
        </w:rPr>
        <w:t>Research Hypotheses</w:t>
      </w:r>
    </w:p>
    <w:p w14:paraId="079D7F1D" w14:textId="77777777" w:rsidR="001E5C97" w:rsidRPr="0070612E" w:rsidRDefault="001E5C97" w:rsidP="0070612E">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0612E">
        <w:rPr>
          <w:rFonts w:ascii="Times New Roman" w:eastAsia="Times New Roman" w:hAnsi="Times New Roman" w:cs="Times New Roman"/>
          <w:b/>
          <w:bCs/>
          <w:sz w:val="24"/>
          <w:szCs w:val="24"/>
        </w:rPr>
        <w:t>H₀₁</w:t>
      </w:r>
      <w:r w:rsidRPr="0070612E">
        <w:rPr>
          <w:rFonts w:ascii="Times New Roman" w:eastAsia="Times New Roman" w:hAnsi="Times New Roman" w:cs="Times New Roman"/>
          <w:sz w:val="24"/>
          <w:szCs w:val="24"/>
        </w:rPr>
        <w:t xml:space="preserve">: </w:t>
      </w:r>
      <w:r w:rsidR="00AF5618" w:rsidRPr="0070612E">
        <w:rPr>
          <w:rFonts w:ascii="Times New Roman" w:eastAsia="Times New Roman" w:hAnsi="Times New Roman" w:cs="Times New Roman"/>
          <w:sz w:val="24"/>
          <w:szCs w:val="24"/>
        </w:rPr>
        <w:tab/>
      </w:r>
      <w:r w:rsidRPr="0070612E">
        <w:rPr>
          <w:rFonts w:ascii="Times New Roman" w:eastAsia="Times New Roman" w:hAnsi="Times New Roman" w:cs="Times New Roman"/>
          <w:sz w:val="24"/>
          <w:szCs w:val="24"/>
        </w:rPr>
        <w:t>Bank recapitalization policy has no significant effect on the credit accessibility of small-scale enterprises in Nigeria.</w:t>
      </w:r>
    </w:p>
    <w:p w14:paraId="40224364" w14:textId="77777777" w:rsidR="001E5C97" w:rsidRPr="0070612E" w:rsidRDefault="001E5C97" w:rsidP="0070612E">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0612E">
        <w:rPr>
          <w:rFonts w:ascii="Times New Roman" w:eastAsia="Times New Roman" w:hAnsi="Times New Roman" w:cs="Times New Roman"/>
          <w:b/>
          <w:bCs/>
          <w:sz w:val="24"/>
          <w:szCs w:val="24"/>
        </w:rPr>
        <w:t>H₀₂</w:t>
      </w:r>
      <w:r w:rsidRPr="0070612E">
        <w:rPr>
          <w:rFonts w:ascii="Times New Roman" w:eastAsia="Times New Roman" w:hAnsi="Times New Roman" w:cs="Times New Roman"/>
          <w:sz w:val="24"/>
          <w:szCs w:val="24"/>
        </w:rPr>
        <w:t xml:space="preserve">: </w:t>
      </w:r>
      <w:r w:rsidR="00AF5618" w:rsidRPr="0070612E">
        <w:rPr>
          <w:rFonts w:ascii="Times New Roman" w:eastAsia="Times New Roman" w:hAnsi="Times New Roman" w:cs="Times New Roman"/>
          <w:sz w:val="24"/>
          <w:szCs w:val="24"/>
        </w:rPr>
        <w:tab/>
      </w:r>
      <w:r w:rsidRPr="0070612E">
        <w:rPr>
          <w:rFonts w:ascii="Times New Roman" w:eastAsia="Times New Roman" w:hAnsi="Times New Roman" w:cs="Times New Roman"/>
          <w:sz w:val="24"/>
          <w:szCs w:val="24"/>
        </w:rPr>
        <w:t>There is no significant relationship between bank recapitalization and the capacity of First Bank of Nigeria Plc to finance small-scale enterprises.</w:t>
      </w:r>
    </w:p>
    <w:p w14:paraId="7D803495" w14:textId="77777777" w:rsidR="001E5C97" w:rsidRPr="0070612E" w:rsidRDefault="001E5C97" w:rsidP="0070612E">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0612E">
        <w:rPr>
          <w:rFonts w:ascii="Times New Roman" w:eastAsia="Times New Roman" w:hAnsi="Times New Roman" w:cs="Times New Roman"/>
          <w:b/>
          <w:bCs/>
          <w:sz w:val="24"/>
          <w:szCs w:val="24"/>
        </w:rPr>
        <w:t>H₀₃</w:t>
      </w:r>
      <w:r w:rsidRPr="0070612E">
        <w:rPr>
          <w:rFonts w:ascii="Times New Roman" w:eastAsia="Times New Roman" w:hAnsi="Times New Roman" w:cs="Times New Roman"/>
          <w:sz w:val="24"/>
          <w:szCs w:val="24"/>
        </w:rPr>
        <w:t xml:space="preserve">: </w:t>
      </w:r>
      <w:r w:rsidR="00AF5618" w:rsidRPr="0070612E">
        <w:rPr>
          <w:rFonts w:ascii="Times New Roman" w:eastAsia="Times New Roman" w:hAnsi="Times New Roman" w:cs="Times New Roman"/>
          <w:sz w:val="24"/>
          <w:szCs w:val="24"/>
        </w:rPr>
        <w:tab/>
      </w:r>
      <w:r w:rsidRPr="0070612E">
        <w:rPr>
          <w:rFonts w:ascii="Times New Roman" w:eastAsia="Times New Roman" w:hAnsi="Times New Roman" w:cs="Times New Roman"/>
          <w:sz w:val="24"/>
          <w:szCs w:val="24"/>
        </w:rPr>
        <w:t>There is no significant change in the perception of small-scale business owners about financing support from banks after recapitalization.</w:t>
      </w:r>
    </w:p>
    <w:p w14:paraId="3A6E2F7E" w14:textId="77777777" w:rsidR="001E5C97" w:rsidRPr="0070612E" w:rsidRDefault="00F26489" w:rsidP="0070612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0612E">
        <w:rPr>
          <w:rFonts w:ascii="Times New Roman" w:eastAsia="Times New Roman" w:hAnsi="Times New Roman" w:cs="Times New Roman"/>
          <w:b/>
          <w:bCs/>
          <w:sz w:val="24"/>
          <w:szCs w:val="24"/>
        </w:rPr>
        <w:t>1.6</w:t>
      </w:r>
      <w:r w:rsidRPr="0070612E">
        <w:rPr>
          <w:rFonts w:ascii="Times New Roman" w:eastAsia="Times New Roman" w:hAnsi="Times New Roman" w:cs="Times New Roman"/>
          <w:b/>
          <w:bCs/>
          <w:sz w:val="24"/>
          <w:szCs w:val="24"/>
        </w:rPr>
        <w:tab/>
      </w:r>
      <w:r w:rsidR="001E5C97" w:rsidRPr="0070612E">
        <w:rPr>
          <w:rFonts w:ascii="Times New Roman" w:eastAsia="Times New Roman" w:hAnsi="Times New Roman" w:cs="Times New Roman"/>
          <w:b/>
          <w:bCs/>
          <w:sz w:val="24"/>
          <w:szCs w:val="24"/>
        </w:rPr>
        <w:t>Significance of the Study</w:t>
      </w:r>
    </w:p>
    <w:p w14:paraId="3020B5E3" w14:textId="77777777" w:rsidR="003242CC" w:rsidRPr="0070612E" w:rsidRDefault="001E5C97" w:rsidP="0070612E">
      <w:pPr>
        <w:pStyle w:val="NormalWeb"/>
        <w:spacing w:line="360" w:lineRule="auto"/>
        <w:jc w:val="both"/>
        <w:rPr>
          <w:b/>
          <w:bCs/>
        </w:rPr>
      </w:pPr>
      <w:r w:rsidRPr="0070612E">
        <w:t>This study is significant in several ways</w:t>
      </w:r>
      <w:r w:rsidR="003242CC" w:rsidRPr="0070612E">
        <w:t>:</w:t>
      </w:r>
    </w:p>
    <w:p w14:paraId="71EE9962" w14:textId="77777777" w:rsidR="00F26489" w:rsidRPr="0070612E" w:rsidRDefault="003242CC" w:rsidP="0070612E">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70612E">
        <w:rPr>
          <w:rFonts w:ascii="Times New Roman" w:eastAsia="Times New Roman" w:hAnsi="Times New Roman" w:cs="Times New Roman"/>
          <w:b/>
          <w:bCs/>
          <w:sz w:val="24"/>
          <w:szCs w:val="24"/>
        </w:rPr>
        <w:t>i</w:t>
      </w:r>
      <w:proofErr w:type="spellEnd"/>
      <w:r w:rsidRPr="0070612E">
        <w:rPr>
          <w:rFonts w:ascii="Times New Roman" w:eastAsia="Times New Roman" w:hAnsi="Times New Roman" w:cs="Times New Roman"/>
          <w:b/>
          <w:bCs/>
          <w:sz w:val="24"/>
          <w:szCs w:val="24"/>
        </w:rPr>
        <w:t>.</w:t>
      </w:r>
      <w:r w:rsidRPr="0070612E">
        <w:rPr>
          <w:rFonts w:ascii="Times New Roman" w:eastAsia="Times New Roman" w:hAnsi="Times New Roman" w:cs="Times New Roman"/>
          <w:b/>
          <w:bCs/>
          <w:sz w:val="24"/>
          <w:szCs w:val="24"/>
        </w:rPr>
        <w:tab/>
        <w:t xml:space="preserve">For </w:t>
      </w:r>
      <w:r w:rsidR="00F26489" w:rsidRPr="0070612E">
        <w:rPr>
          <w:rFonts w:ascii="Times New Roman" w:eastAsia="Times New Roman" w:hAnsi="Times New Roman" w:cs="Times New Roman"/>
          <w:b/>
          <w:bCs/>
          <w:sz w:val="24"/>
          <w:szCs w:val="24"/>
        </w:rPr>
        <w:t>Policymakers</w:t>
      </w:r>
      <w:r w:rsidRPr="0070612E">
        <w:rPr>
          <w:rFonts w:ascii="Times New Roman" w:eastAsia="Times New Roman" w:hAnsi="Times New Roman" w:cs="Times New Roman"/>
          <w:b/>
          <w:bCs/>
          <w:sz w:val="24"/>
          <w:szCs w:val="24"/>
        </w:rPr>
        <w:t xml:space="preserve">: </w:t>
      </w:r>
      <w:r w:rsidR="00F26489" w:rsidRPr="0070612E">
        <w:rPr>
          <w:rFonts w:ascii="Times New Roman" w:eastAsia="Times New Roman" w:hAnsi="Times New Roman" w:cs="Times New Roman"/>
          <w:sz w:val="24"/>
          <w:szCs w:val="24"/>
        </w:rPr>
        <w:t xml:space="preserve">This study offers valuable insights for policymakers into the actual outcomes of bank recapitalization policies, particularly regarding their effectiveness in improving financial access for small-scale enterprises. By critically evaluating the lending behavior of a major commercial bank like First Bank Plc post-recapitalization, the research provides empirical evidence that can guide the formulation of more targeted, inclusive, and effective financial sector reforms. </w:t>
      </w:r>
    </w:p>
    <w:p w14:paraId="697F2F39" w14:textId="77777777" w:rsidR="00F26489" w:rsidRPr="0070612E" w:rsidRDefault="003242CC" w:rsidP="0070612E">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0612E">
        <w:rPr>
          <w:rFonts w:ascii="Times New Roman" w:eastAsia="Times New Roman" w:hAnsi="Times New Roman" w:cs="Times New Roman"/>
          <w:b/>
          <w:bCs/>
          <w:sz w:val="24"/>
          <w:szCs w:val="24"/>
        </w:rPr>
        <w:lastRenderedPageBreak/>
        <w:t>ii.</w:t>
      </w:r>
      <w:r w:rsidRPr="0070612E">
        <w:rPr>
          <w:rFonts w:ascii="Times New Roman" w:eastAsia="Times New Roman" w:hAnsi="Times New Roman" w:cs="Times New Roman"/>
          <w:b/>
          <w:bCs/>
          <w:sz w:val="24"/>
          <w:szCs w:val="24"/>
        </w:rPr>
        <w:tab/>
      </w:r>
      <w:r w:rsidR="00F26489" w:rsidRPr="0070612E">
        <w:rPr>
          <w:rFonts w:ascii="Times New Roman" w:eastAsia="Times New Roman" w:hAnsi="Times New Roman" w:cs="Times New Roman"/>
          <w:b/>
          <w:bCs/>
          <w:sz w:val="24"/>
          <w:szCs w:val="24"/>
        </w:rPr>
        <w:t>For Financial Institutions (especially First Bank Plc)</w:t>
      </w:r>
      <w:r w:rsidRPr="0070612E">
        <w:rPr>
          <w:rFonts w:ascii="Times New Roman" w:eastAsia="Times New Roman" w:hAnsi="Times New Roman" w:cs="Times New Roman"/>
          <w:sz w:val="24"/>
          <w:szCs w:val="24"/>
        </w:rPr>
        <w:t xml:space="preserve">: </w:t>
      </w:r>
      <w:r w:rsidR="00F26489" w:rsidRPr="0070612E">
        <w:rPr>
          <w:rFonts w:ascii="Times New Roman" w:eastAsia="Times New Roman" w:hAnsi="Times New Roman" w:cs="Times New Roman"/>
          <w:sz w:val="24"/>
          <w:szCs w:val="24"/>
        </w:rPr>
        <w:t xml:space="preserve">For financial institutions, and specifically First Bank of Nigeria Plc, this study serves as an important feedback mechanism. It highlights key areas where operational practices and credit delivery mechanisms could be enhanced to better serve the small business sector. The findings may encourage banks to adopt more SME-friendly lending models, restructure their credit evaluation frameworks, and invest in capacity-building initiatives aimed at supporting small-scale enterprises more effectively. </w:t>
      </w:r>
    </w:p>
    <w:p w14:paraId="4F4389D4" w14:textId="77777777" w:rsidR="00F26489" w:rsidRPr="0070612E" w:rsidRDefault="003242CC" w:rsidP="0070612E">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0612E">
        <w:rPr>
          <w:rFonts w:ascii="Times New Roman" w:eastAsia="Times New Roman" w:hAnsi="Times New Roman" w:cs="Times New Roman"/>
          <w:b/>
          <w:bCs/>
          <w:sz w:val="24"/>
          <w:szCs w:val="24"/>
        </w:rPr>
        <w:t>iii.</w:t>
      </w:r>
      <w:r w:rsidR="00EB1D31" w:rsidRPr="0070612E">
        <w:rPr>
          <w:rFonts w:ascii="Times New Roman" w:eastAsia="Times New Roman" w:hAnsi="Times New Roman" w:cs="Times New Roman"/>
          <w:b/>
          <w:bCs/>
          <w:sz w:val="24"/>
          <w:szCs w:val="24"/>
        </w:rPr>
        <w:tab/>
      </w:r>
      <w:r w:rsidR="00F26489" w:rsidRPr="0070612E">
        <w:rPr>
          <w:rFonts w:ascii="Times New Roman" w:eastAsia="Times New Roman" w:hAnsi="Times New Roman" w:cs="Times New Roman"/>
          <w:b/>
          <w:bCs/>
          <w:sz w:val="24"/>
          <w:szCs w:val="24"/>
        </w:rPr>
        <w:t>For Entrepreneurs and Small Business Owners</w:t>
      </w:r>
      <w:r w:rsidR="00F26489" w:rsidRPr="0070612E">
        <w:rPr>
          <w:rFonts w:ascii="Times New Roman" w:eastAsia="Times New Roman" w:hAnsi="Times New Roman" w:cs="Times New Roman"/>
          <w:sz w:val="24"/>
          <w:szCs w:val="24"/>
        </w:rPr>
        <w:t xml:space="preserve">Entrepreneurs and small business owners, who are the primary targets of enhanced banking support, will greatly benefit from the study by gaining deeper insights into how recapitalization impacts their access to finance. By understanding the dynamics of post-recapitalization bank operations, small business operators can better position themselves to meet bank requirements, improve their creditworthiness, and tap into available funding opportunities. </w:t>
      </w:r>
    </w:p>
    <w:p w14:paraId="6D0B67F9" w14:textId="77777777" w:rsidR="00F26489" w:rsidRPr="0070612E" w:rsidRDefault="00EB1D31" w:rsidP="003565F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0612E">
        <w:rPr>
          <w:rFonts w:ascii="Times New Roman" w:eastAsia="Times New Roman" w:hAnsi="Times New Roman" w:cs="Times New Roman"/>
          <w:b/>
          <w:bCs/>
          <w:sz w:val="24"/>
          <w:szCs w:val="24"/>
        </w:rPr>
        <w:t>iv.</w:t>
      </w:r>
      <w:r w:rsidRPr="0070612E">
        <w:rPr>
          <w:rFonts w:ascii="Times New Roman" w:eastAsia="Times New Roman" w:hAnsi="Times New Roman" w:cs="Times New Roman"/>
          <w:b/>
          <w:bCs/>
          <w:sz w:val="24"/>
          <w:szCs w:val="24"/>
        </w:rPr>
        <w:tab/>
      </w:r>
      <w:r w:rsidR="00F26489" w:rsidRPr="0070612E">
        <w:rPr>
          <w:rFonts w:ascii="Times New Roman" w:eastAsia="Times New Roman" w:hAnsi="Times New Roman" w:cs="Times New Roman"/>
          <w:b/>
          <w:bCs/>
          <w:sz w:val="24"/>
          <w:szCs w:val="24"/>
        </w:rPr>
        <w:t>For Scholars and Researchers</w:t>
      </w:r>
      <w:r w:rsidRPr="0070612E">
        <w:rPr>
          <w:rFonts w:ascii="Times New Roman" w:eastAsia="Times New Roman" w:hAnsi="Times New Roman" w:cs="Times New Roman"/>
          <w:sz w:val="24"/>
          <w:szCs w:val="24"/>
        </w:rPr>
        <w:t xml:space="preserve">: </w:t>
      </w:r>
      <w:r w:rsidR="00F26489" w:rsidRPr="0070612E">
        <w:rPr>
          <w:rFonts w:ascii="Times New Roman" w:eastAsia="Times New Roman" w:hAnsi="Times New Roman" w:cs="Times New Roman"/>
          <w:sz w:val="24"/>
          <w:szCs w:val="24"/>
        </w:rPr>
        <w:t xml:space="preserve">From an academic standpoint, this research contributes to the growing body of knowledge on the relationship between financial sector reforms and enterprise development in emerging economies. It provides a strong empirical foundation for further studies on banking policies, SME financing, and economic development in Nigeria and similar contexts. Future researchers can build on the findings to explore related themes, conduct comparative studies across different banks, or assess the long-term impacts of the latest (2024) recapitalization wave. </w:t>
      </w:r>
    </w:p>
    <w:p w14:paraId="69A0B31E" w14:textId="77777777" w:rsidR="0058222D" w:rsidRPr="0070612E" w:rsidRDefault="0058222D" w:rsidP="003565FD">
      <w:pPr>
        <w:pStyle w:val="Heading3"/>
        <w:jc w:val="both"/>
        <w:rPr>
          <w:sz w:val="24"/>
          <w:szCs w:val="24"/>
        </w:rPr>
      </w:pPr>
      <w:r w:rsidRPr="0070612E">
        <w:rPr>
          <w:rStyle w:val="Strong"/>
          <w:b/>
          <w:bCs/>
          <w:sz w:val="24"/>
          <w:szCs w:val="24"/>
        </w:rPr>
        <w:t xml:space="preserve">1.7 </w:t>
      </w:r>
      <w:r w:rsidR="00EB1D31" w:rsidRPr="0070612E">
        <w:rPr>
          <w:rStyle w:val="Strong"/>
          <w:b/>
          <w:bCs/>
          <w:sz w:val="24"/>
          <w:szCs w:val="24"/>
        </w:rPr>
        <w:tab/>
      </w:r>
      <w:r w:rsidRPr="0070612E">
        <w:rPr>
          <w:rStyle w:val="Strong"/>
          <w:b/>
          <w:bCs/>
          <w:sz w:val="24"/>
          <w:szCs w:val="24"/>
        </w:rPr>
        <w:t>Scope and Limitations of the Study</w:t>
      </w:r>
    </w:p>
    <w:p w14:paraId="550462E2" w14:textId="77777777" w:rsidR="0058222D" w:rsidRPr="0070612E" w:rsidRDefault="0058222D" w:rsidP="0070612E">
      <w:pPr>
        <w:pStyle w:val="NormalWeb"/>
        <w:spacing w:line="360" w:lineRule="auto"/>
        <w:jc w:val="both"/>
      </w:pPr>
      <w:r w:rsidRPr="0070612E">
        <w:t xml:space="preserve">This study is centered exclusively on </w:t>
      </w:r>
      <w:r w:rsidRPr="0070612E">
        <w:rPr>
          <w:rStyle w:val="Strong"/>
          <w:b w:val="0"/>
          <w:bCs w:val="0"/>
        </w:rPr>
        <w:t>First Bank of Nigeria Pl</w:t>
      </w:r>
      <w:r w:rsidRPr="0070612E">
        <w:rPr>
          <w:rStyle w:val="Strong"/>
        </w:rPr>
        <w:t>c</w:t>
      </w:r>
      <w:r w:rsidRPr="0070612E">
        <w:t xml:space="preserve">, with the primary objective of assessing the effects of bank recapitalization policies on the financing of small-scale enterprises (SSEs) in Nigeria. The scope of the research is confined to the post-recapitalization era, beginning from the major 2005 banking sector reform initiated by the Central Bank of Nigeria </w:t>
      </w:r>
      <w:r w:rsidRPr="0070612E">
        <w:lastRenderedPageBreak/>
        <w:t>(CBN), and covering developments up to and including the latest 2024 recapitalization directive. Specifically, the research investigates First Bank's lending behavior, credit accessibility, risk appetite, and financial support strategies toward SSEs during this period.</w:t>
      </w:r>
    </w:p>
    <w:p w14:paraId="245261E7" w14:textId="77777777" w:rsidR="00FA7287" w:rsidRPr="0070612E" w:rsidRDefault="00FA7287" w:rsidP="0070612E">
      <w:pPr>
        <w:pStyle w:val="NormalWeb"/>
        <w:spacing w:line="360" w:lineRule="auto"/>
        <w:jc w:val="both"/>
        <w:rPr>
          <w:b/>
          <w:bCs/>
        </w:rPr>
      </w:pPr>
      <w:r w:rsidRPr="0070612E">
        <w:rPr>
          <w:b/>
          <w:bCs/>
        </w:rPr>
        <w:t xml:space="preserve">Limitation of the Study  </w:t>
      </w:r>
    </w:p>
    <w:p w14:paraId="0782A0AE" w14:textId="77777777" w:rsidR="0058222D" w:rsidRPr="0070612E" w:rsidRDefault="0058222D" w:rsidP="0070612E">
      <w:pPr>
        <w:pStyle w:val="NormalWeb"/>
        <w:spacing w:line="360" w:lineRule="auto"/>
        <w:jc w:val="both"/>
      </w:pPr>
      <w:r w:rsidRPr="0070612E">
        <w:t>While this study aims to provide a comprehensive analysis, it is important to acknowledge certain limitations:</w:t>
      </w:r>
    </w:p>
    <w:p w14:paraId="395AEACF" w14:textId="77777777" w:rsidR="0058222D" w:rsidRPr="0070612E" w:rsidRDefault="00FA7287" w:rsidP="0070612E">
      <w:pPr>
        <w:pStyle w:val="NormalWeb"/>
        <w:spacing w:line="360" w:lineRule="auto"/>
        <w:ind w:left="720" w:hanging="720"/>
        <w:jc w:val="both"/>
      </w:pPr>
      <w:proofErr w:type="spellStart"/>
      <w:r w:rsidRPr="0070612E">
        <w:rPr>
          <w:rStyle w:val="Strong"/>
        </w:rPr>
        <w:t>i</w:t>
      </w:r>
      <w:proofErr w:type="spellEnd"/>
      <w:r w:rsidRPr="0070612E">
        <w:rPr>
          <w:rStyle w:val="Strong"/>
        </w:rPr>
        <w:t>.</w:t>
      </w:r>
      <w:r w:rsidRPr="0070612E">
        <w:rPr>
          <w:rStyle w:val="Strong"/>
        </w:rPr>
        <w:tab/>
      </w:r>
      <w:r w:rsidR="0058222D" w:rsidRPr="0070612E">
        <w:rPr>
          <w:rStyle w:val="Strong"/>
        </w:rPr>
        <w:t>Institutional Limitation:</w:t>
      </w:r>
      <w:r w:rsidR="0058222D" w:rsidRPr="0070612E">
        <w:t xml:space="preserve"> Focusing solely on First Bank of Nigeria Plc means that findings may not be fully generalizable to other banks or financial institutions within Nigeria’s broader banking sector.</w:t>
      </w:r>
    </w:p>
    <w:p w14:paraId="6FEED87E" w14:textId="77777777" w:rsidR="0058222D" w:rsidRPr="0070612E" w:rsidRDefault="00FA7287" w:rsidP="0070612E">
      <w:pPr>
        <w:pStyle w:val="NormalWeb"/>
        <w:spacing w:line="360" w:lineRule="auto"/>
        <w:ind w:left="720" w:hanging="720"/>
        <w:jc w:val="both"/>
      </w:pPr>
      <w:r w:rsidRPr="0070612E">
        <w:rPr>
          <w:rStyle w:val="Strong"/>
        </w:rPr>
        <w:t>ii.</w:t>
      </w:r>
      <w:r w:rsidRPr="0070612E">
        <w:rPr>
          <w:rStyle w:val="Strong"/>
        </w:rPr>
        <w:tab/>
      </w:r>
      <w:r w:rsidR="0058222D" w:rsidRPr="0070612E">
        <w:rPr>
          <w:rStyle w:val="Strong"/>
        </w:rPr>
        <w:t>Geographical Limitation:</w:t>
      </w:r>
      <w:r w:rsidR="0058222D" w:rsidRPr="0070612E">
        <w:t xml:space="preserve"> Although efforts are made to select diverse urban and semi-urban branches, rural areas where banking dynamics might differ considerably are not the primary focus of this research.</w:t>
      </w:r>
    </w:p>
    <w:p w14:paraId="38F45D0C" w14:textId="77777777" w:rsidR="0058222D" w:rsidRPr="0070612E" w:rsidRDefault="00FA7287" w:rsidP="0070612E">
      <w:pPr>
        <w:pStyle w:val="NormalWeb"/>
        <w:spacing w:line="360" w:lineRule="auto"/>
        <w:ind w:left="720" w:hanging="720"/>
        <w:jc w:val="both"/>
      </w:pPr>
      <w:r w:rsidRPr="0070612E">
        <w:rPr>
          <w:rStyle w:val="Strong"/>
        </w:rPr>
        <w:t>iii.</w:t>
      </w:r>
      <w:r w:rsidRPr="0070612E">
        <w:rPr>
          <w:rStyle w:val="Strong"/>
        </w:rPr>
        <w:tab/>
      </w:r>
      <w:r w:rsidR="0058222D" w:rsidRPr="0070612E">
        <w:rPr>
          <w:rStyle w:val="Strong"/>
        </w:rPr>
        <w:t>Temporal Limitation:</w:t>
      </w:r>
      <w:r w:rsidR="0058222D" w:rsidRPr="0070612E">
        <w:t xml:space="preserve"> The study examines the period from 2005 to 2024, meaning that emerging developments beyond 2024 may not be captured within the research findings.</w:t>
      </w:r>
    </w:p>
    <w:p w14:paraId="11A27831" w14:textId="77777777" w:rsidR="0058222D" w:rsidRPr="0070612E" w:rsidRDefault="00FA7287" w:rsidP="0070612E">
      <w:pPr>
        <w:pStyle w:val="NormalWeb"/>
        <w:spacing w:line="360" w:lineRule="auto"/>
        <w:ind w:left="720" w:hanging="720"/>
        <w:jc w:val="both"/>
      </w:pPr>
      <w:r w:rsidRPr="0070612E">
        <w:rPr>
          <w:rStyle w:val="Strong"/>
        </w:rPr>
        <w:t>iv.</w:t>
      </w:r>
      <w:r w:rsidRPr="0070612E">
        <w:rPr>
          <w:rStyle w:val="Strong"/>
        </w:rPr>
        <w:tab/>
      </w:r>
      <w:r w:rsidR="0058222D" w:rsidRPr="0070612E">
        <w:rPr>
          <w:rStyle w:val="Strong"/>
        </w:rPr>
        <w:t>Data Accessibility:</w:t>
      </w:r>
      <w:r w:rsidR="0058222D" w:rsidRPr="0070612E">
        <w:t xml:space="preserve"> Access to proprietary or sensitive financial data from First Bank could be restricted, potentially limiting the depth of quantitative analysis.</w:t>
      </w:r>
    </w:p>
    <w:p w14:paraId="20E9B9AF" w14:textId="77777777" w:rsidR="0058222D" w:rsidRPr="0070612E" w:rsidRDefault="00FA7287" w:rsidP="0070612E">
      <w:pPr>
        <w:pStyle w:val="NormalWeb"/>
        <w:spacing w:line="360" w:lineRule="auto"/>
        <w:ind w:left="720" w:hanging="720"/>
        <w:jc w:val="both"/>
      </w:pPr>
      <w:r w:rsidRPr="0070612E">
        <w:rPr>
          <w:rStyle w:val="Strong"/>
        </w:rPr>
        <w:t>v.</w:t>
      </w:r>
      <w:r w:rsidRPr="0070612E">
        <w:rPr>
          <w:rStyle w:val="Strong"/>
        </w:rPr>
        <w:tab/>
      </w:r>
      <w:r w:rsidR="0058222D" w:rsidRPr="0070612E">
        <w:rPr>
          <w:rStyle w:val="Strong"/>
        </w:rPr>
        <w:t>Respondent Bias:</w:t>
      </w:r>
      <w:r w:rsidR="0058222D" w:rsidRPr="0070612E">
        <w:t xml:space="preserve"> Interviews or surveys with bank officials and small business owners may be influenced by personal experiences or biases, which could affect the objectivity of responses.</w:t>
      </w:r>
    </w:p>
    <w:p w14:paraId="418525CC" w14:textId="77777777" w:rsidR="0058222D" w:rsidRPr="0070612E" w:rsidRDefault="0058222D" w:rsidP="0070612E">
      <w:pPr>
        <w:pStyle w:val="NormalWeb"/>
        <w:spacing w:line="360" w:lineRule="auto"/>
        <w:jc w:val="both"/>
      </w:pPr>
      <w:r w:rsidRPr="0070612E">
        <w:t>Despite these limitations, the study strives to offer valuable insights into the real-world impact of bank recapitalization on small-scale enterprise financing, contributing to a more nuanced understanding of financial sector reforms in Nigeria.</w:t>
      </w:r>
    </w:p>
    <w:p w14:paraId="2C07D7EE" w14:textId="77777777" w:rsidR="00911D0C" w:rsidRPr="0070612E" w:rsidRDefault="00911D0C" w:rsidP="0070612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0612E">
        <w:rPr>
          <w:rFonts w:ascii="Times New Roman" w:eastAsia="Times New Roman" w:hAnsi="Times New Roman" w:cs="Times New Roman"/>
          <w:b/>
          <w:bCs/>
          <w:sz w:val="24"/>
          <w:szCs w:val="24"/>
        </w:rPr>
        <w:lastRenderedPageBreak/>
        <w:t xml:space="preserve">1.8 </w:t>
      </w:r>
      <w:r w:rsidR="00FA7287" w:rsidRPr="0070612E">
        <w:rPr>
          <w:rFonts w:ascii="Times New Roman" w:eastAsia="Times New Roman" w:hAnsi="Times New Roman" w:cs="Times New Roman"/>
          <w:b/>
          <w:bCs/>
          <w:sz w:val="24"/>
          <w:szCs w:val="24"/>
        </w:rPr>
        <w:tab/>
      </w:r>
      <w:r w:rsidRPr="0070612E">
        <w:rPr>
          <w:rFonts w:ascii="Times New Roman" w:eastAsia="Times New Roman" w:hAnsi="Times New Roman" w:cs="Times New Roman"/>
          <w:b/>
          <w:bCs/>
          <w:sz w:val="24"/>
          <w:szCs w:val="24"/>
        </w:rPr>
        <w:t>Definition of Terms</w:t>
      </w:r>
    </w:p>
    <w:p w14:paraId="43F3909D" w14:textId="77777777" w:rsidR="00911D0C" w:rsidRPr="0070612E" w:rsidRDefault="00FA7287" w:rsidP="0070612E">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70612E">
        <w:rPr>
          <w:rFonts w:ascii="Times New Roman" w:eastAsia="Times New Roman" w:hAnsi="Times New Roman" w:cs="Times New Roman"/>
          <w:b/>
          <w:bCs/>
          <w:sz w:val="24"/>
          <w:szCs w:val="24"/>
        </w:rPr>
        <w:t>i</w:t>
      </w:r>
      <w:proofErr w:type="spellEnd"/>
      <w:r w:rsidRPr="0070612E">
        <w:rPr>
          <w:rFonts w:ascii="Times New Roman" w:eastAsia="Times New Roman" w:hAnsi="Times New Roman" w:cs="Times New Roman"/>
          <w:b/>
          <w:bCs/>
          <w:sz w:val="24"/>
          <w:szCs w:val="24"/>
        </w:rPr>
        <w:t>.</w:t>
      </w:r>
      <w:r w:rsidRPr="0070612E">
        <w:rPr>
          <w:rFonts w:ascii="Times New Roman" w:eastAsia="Times New Roman" w:hAnsi="Times New Roman" w:cs="Times New Roman"/>
          <w:b/>
          <w:bCs/>
          <w:sz w:val="24"/>
          <w:szCs w:val="24"/>
        </w:rPr>
        <w:tab/>
      </w:r>
      <w:r w:rsidR="00911D0C" w:rsidRPr="0070612E">
        <w:rPr>
          <w:rFonts w:ascii="Times New Roman" w:eastAsia="Times New Roman" w:hAnsi="Times New Roman" w:cs="Times New Roman"/>
          <w:b/>
          <w:bCs/>
          <w:sz w:val="24"/>
          <w:szCs w:val="24"/>
        </w:rPr>
        <w:t>Bank Recapitalization:</w:t>
      </w:r>
      <w:r w:rsidR="00911D0C" w:rsidRPr="0070612E">
        <w:rPr>
          <w:rFonts w:ascii="Times New Roman" w:eastAsia="Times New Roman" w:hAnsi="Times New Roman" w:cs="Times New Roman"/>
          <w:sz w:val="24"/>
          <w:szCs w:val="24"/>
        </w:rPr>
        <w:t>The process by which banks are required to increase their minimum capital base to ensure financial stability, enhance lending capacity, and improve resilience against systemic shocks. In Nigeria, major recapitalization efforts took place in 2005 and are proposed again in 2024.</w:t>
      </w:r>
    </w:p>
    <w:p w14:paraId="71FFB7FD" w14:textId="77777777" w:rsidR="00911D0C" w:rsidRPr="0070612E" w:rsidRDefault="00FA7287" w:rsidP="0070612E">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0612E">
        <w:rPr>
          <w:rFonts w:ascii="Times New Roman" w:eastAsia="Times New Roman" w:hAnsi="Times New Roman" w:cs="Times New Roman"/>
          <w:b/>
          <w:bCs/>
          <w:sz w:val="24"/>
          <w:szCs w:val="24"/>
        </w:rPr>
        <w:t>ii.</w:t>
      </w:r>
      <w:r w:rsidRPr="0070612E">
        <w:rPr>
          <w:rFonts w:ascii="Times New Roman" w:eastAsia="Times New Roman" w:hAnsi="Times New Roman" w:cs="Times New Roman"/>
          <w:b/>
          <w:bCs/>
          <w:sz w:val="24"/>
          <w:szCs w:val="24"/>
        </w:rPr>
        <w:tab/>
      </w:r>
      <w:r w:rsidR="00911D0C" w:rsidRPr="0070612E">
        <w:rPr>
          <w:rFonts w:ascii="Times New Roman" w:eastAsia="Times New Roman" w:hAnsi="Times New Roman" w:cs="Times New Roman"/>
          <w:b/>
          <w:bCs/>
          <w:sz w:val="24"/>
          <w:szCs w:val="24"/>
        </w:rPr>
        <w:t>Small-Scale Enterprises (SSEs):</w:t>
      </w:r>
      <w:r w:rsidR="00911D0C" w:rsidRPr="0070612E">
        <w:rPr>
          <w:rFonts w:ascii="Times New Roman" w:eastAsia="Times New Roman" w:hAnsi="Times New Roman" w:cs="Times New Roman"/>
          <w:sz w:val="24"/>
          <w:szCs w:val="24"/>
        </w:rPr>
        <w:t>Businesses characterized by a relatively small number of employees, low asset base, and modest revenue generation, often operating within local markets and crucial for employment generation and economic development.</w:t>
      </w:r>
    </w:p>
    <w:p w14:paraId="7A4266C2" w14:textId="77777777" w:rsidR="00911D0C" w:rsidRPr="0070612E" w:rsidRDefault="0084234F" w:rsidP="0070612E">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0612E">
        <w:rPr>
          <w:rFonts w:ascii="Times New Roman" w:eastAsia="Times New Roman" w:hAnsi="Times New Roman" w:cs="Times New Roman"/>
          <w:b/>
          <w:bCs/>
          <w:sz w:val="24"/>
          <w:szCs w:val="24"/>
        </w:rPr>
        <w:t>iii.</w:t>
      </w:r>
      <w:r w:rsidRPr="0070612E">
        <w:rPr>
          <w:rFonts w:ascii="Times New Roman" w:eastAsia="Times New Roman" w:hAnsi="Times New Roman" w:cs="Times New Roman"/>
          <w:b/>
          <w:bCs/>
          <w:sz w:val="24"/>
          <w:szCs w:val="24"/>
        </w:rPr>
        <w:tab/>
      </w:r>
      <w:r w:rsidR="00911D0C" w:rsidRPr="0070612E">
        <w:rPr>
          <w:rFonts w:ascii="Times New Roman" w:eastAsia="Times New Roman" w:hAnsi="Times New Roman" w:cs="Times New Roman"/>
          <w:b/>
          <w:bCs/>
          <w:sz w:val="24"/>
          <w:szCs w:val="24"/>
        </w:rPr>
        <w:t>Financing:</w:t>
      </w:r>
      <w:r w:rsidR="00911D0C" w:rsidRPr="0070612E">
        <w:rPr>
          <w:rFonts w:ascii="Times New Roman" w:eastAsia="Times New Roman" w:hAnsi="Times New Roman" w:cs="Times New Roman"/>
          <w:sz w:val="24"/>
          <w:szCs w:val="24"/>
        </w:rPr>
        <w:t>The act of providing funds or capital to individuals, businesses, or projects, often through loans, equity investments, or other credit facilities.</w:t>
      </w:r>
    </w:p>
    <w:p w14:paraId="606D186F" w14:textId="77777777" w:rsidR="00911D0C" w:rsidRPr="0070612E" w:rsidRDefault="00FC5167" w:rsidP="0070612E">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0612E">
        <w:rPr>
          <w:rFonts w:ascii="Times New Roman" w:eastAsia="Times New Roman" w:hAnsi="Times New Roman" w:cs="Times New Roman"/>
          <w:b/>
          <w:bCs/>
          <w:sz w:val="24"/>
          <w:szCs w:val="24"/>
        </w:rPr>
        <w:t>iv.</w:t>
      </w:r>
      <w:r w:rsidRPr="0070612E">
        <w:rPr>
          <w:rFonts w:ascii="Times New Roman" w:eastAsia="Times New Roman" w:hAnsi="Times New Roman" w:cs="Times New Roman"/>
          <w:b/>
          <w:bCs/>
          <w:sz w:val="24"/>
          <w:szCs w:val="24"/>
        </w:rPr>
        <w:tab/>
      </w:r>
      <w:r w:rsidR="00911D0C" w:rsidRPr="0070612E">
        <w:rPr>
          <w:rFonts w:ascii="Times New Roman" w:eastAsia="Times New Roman" w:hAnsi="Times New Roman" w:cs="Times New Roman"/>
          <w:b/>
          <w:bCs/>
          <w:sz w:val="24"/>
          <w:szCs w:val="24"/>
        </w:rPr>
        <w:t>First Bank of Nigeria Plc:</w:t>
      </w:r>
      <w:r w:rsidR="00911D0C" w:rsidRPr="0070612E">
        <w:rPr>
          <w:rFonts w:ascii="Times New Roman" w:eastAsia="Times New Roman" w:hAnsi="Times New Roman" w:cs="Times New Roman"/>
          <w:sz w:val="24"/>
          <w:szCs w:val="24"/>
        </w:rPr>
        <w:t>One of Nigeria’s oldest and largest commercial banks, serving as a case study for this research. First Bank has a significant role in providing financial services to businesses, including small-scale enterprises.</w:t>
      </w:r>
    </w:p>
    <w:p w14:paraId="544F532F" w14:textId="77777777" w:rsidR="00911D0C" w:rsidRPr="0070612E" w:rsidRDefault="00FC5167" w:rsidP="0070612E">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0612E">
        <w:rPr>
          <w:rFonts w:ascii="Times New Roman" w:eastAsia="Times New Roman" w:hAnsi="Times New Roman" w:cs="Times New Roman"/>
          <w:b/>
          <w:bCs/>
          <w:sz w:val="24"/>
          <w:szCs w:val="24"/>
        </w:rPr>
        <w:t>v.</w:t>
      </w:r>
      <w:r w:rsidRPr="0070612E">
        <w:rPr>
          <w:rFonts w:ascii="Times New Roman" w:eastAsia="Times New Roman" w:hAnsi="Times New Roman" w:cs="Times New Roman"/>
          <w:b/>
          <w:bCs/>
          <w:sz w:val="24"/>
          <w:szCs w:val="24"/>
        </w:rPr>
        <w:tab/>
      </w:r>
      <w:r w:rsidR="00911D0C" w:rsidRPr="0070612E">
        <w:rPr>
          <w:rFonts w:ascii="Times New Roman" w:eastAsia="Times New Roman" w:hAnsi="Times New Roman" w:cs="Times New Roman"/>
          <w:b/>
          <w:bCs/>
          <w:sz w:val="24"/>
          <w:szCs w:val="24"/>
        </w:rPr>
        <w:t>Credit Accessibility:</w:t>
      </w:r>
      <w:r w:rsidR="00911D0C" w:rsidRPr="0070612E">
        <w:rPr>
          <w:rFonts w:ascii="Times New Roman" w:eastAsia="Times New Roman" w:hAnsi="Times New Roman" w:cs="Times New Roman"/>
          <w:sz w:val="24"/>
          <w:szCs w:val="24"/>
        </w:rPr>
        <w:t>The ease or difficulty experienced by businesses, particularly small enterprises, in obtaining loans or credit facilities from banks and financial institutions.</w:t>
      </w:r>
    </w:p>
    <w:p w14:paraId="02370B65" w14:textId="77777777" w:rsidR="00911D0C" w:rsidRPr="0070612E" w:rsidRDefault="00FC5167" w:rsidP="0070612E">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0612E">
        <w:rPr>
          <w:rFonts w:ascii="Times New Roman" w:eastAsia="Times New Roman" w:hAnsi="Times New Roman" w:cs="Times New Roman"/>
          <w:b/>
          <w:bCs/>
          <w:sz w:val="24"/>
          <w:szCs w:val="24"/>
        </w:rPr>
        <w:t>vi.</w:t>
      </w:r>
      <w:r w:rsidRPr="0070612E">
        <w:rPr>
          <w:rFonts w:ascii="Times New Roman" w:eastAsia="Times New Roman" w:hAnsi="Times New Roman" w:cs="Times New Roman"/>
          <w:b/>
          <w:bCs/>
          <w:sz w:val="24"/>
          <w:szCs w:val="24"/>
        </w:rPr>
        <w:tab/>
      </w:r>
      <w:r w:rsidR="00911D0C" w:rsidRPr="0070612E">
        <w:rPr>
          <w:rFonts w:ascii="Times New Roman" w:eastAsia="Times New Roman" w:hAnsi="Times New Roman" w:cs="Times New Roman"/>
          <w:b/>
          <w:bCs/>
          <w:sz w:val="24"/>
          <w:szCs w:val="24"/>
        </w:rPr>
        <w:t>Central Bank of Nigeria (CBN):</w:t>
      </w:r>
      <w:r w:rsidR="00911D0C" w:rsidRPr="0070612E">
        <w:rPr>
          <w:rFonts w:ascii="Times New Roman" w:eastAsia="Times New Roman" w:hAnsi="Times New Roman" w:cs="Times New Roman"/>
          <w:sz w:val="24"/>
          <w:szCs w:val="24"/>
        </w:rPr>
        <w:t>The apex regulatory authority responsible for monetary policy formulation, banking regulation, and supervision in Nigeria, including implementing recapitalization directives.</w:t>
      </w:r>
    </w:p>
    <w:p w14:paraId="14BCC297" w14:textId="77777777" w:rsidR="00911D0C" w:rsidRPr="0070612E" w:rsidRDefault="00CF6CC8" w:rsidP="0070612E">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0612E">
        <w:rPr>
          <w:rFonts w:ascii="Times New Roman" w:eastAsia="Times New Roman" w:hAnsi="Times New Roman" w:cs="Times New Roman"/>
          <w:b/>
          <w:bCs/>
          <w:sz w:val="24"/>
          <w:szCs w:val="24"/>
        </w:rPr>
        <w:t>vii.</w:t>
      </w:r>
      <w:r w:rsidRPr="0070612E">
        <w:rPr>
          <w:rFonts w:ascii="Times New Roman" w:eastAsia="Times New Roman" w:hAnsi="Times New Roman" w:cs="Times New Roman"/>
          <w:b/>
          <w:bCs/>
          <w:sz w:val="24"/>
          <w:szCs w:val="24"/>
        </w:rPr>
        <w:tab/>
      </w:r>
      <w:r w:rsidR="00911D0C" w:rsidRPr="0070612E">
        <w:rPr>
          <w:rFonts w:ascii="Times New Roman" w:eastAsia="Times New Roman" w:hAnsi="Times New Roman" w:cs="Times New Roman"/>
          <w:b/>
          <w:bCs/>
          <w:sz w:val="24"/>
          <w:szCs w:val="24"/>
        </w:rPr>
        <w:t>Financial Intermediation:</w:t>
      </w:r>
      <w:r w:rsidR="00911D0C" w:rsidRPr="0070612E">
        <w:rPr>
          <w:rFonts w:ascii="Times New Roman" w:eastAsia="Times New Roman" w:hAnsi="Times New Roman" w:cs="Times New Roman"/>
          <w:sz w:val="24"/>
          <w:szCs w:val="24"/>
        </w:rPr>
        <w:t>The process by which financial institutions, like banks, channel funds from savers to borrowers, thereby facilitating investment, production, and economic growth.</w:t>
      </w:r>
    </w:p>
    <w:p w14:paraId="2881C45F" w14:textId="77777777" w:rsidR="00911D0C" w:rsidRPr="0070612E" w:rsidRDefault="00CF6CC8" w:rsidP="0070612E">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0612E">
        <w:rPr>
          <w:rFonts w:ascii="Times New Roman" w:eastAsia="Times New Roman" w:hAnsi="Times New Roman" w:cs="Times New Roman"/>
          <w:b/>
          <w:bCs/>
          <w:sz w:val="24"/>
          <w:szCs w:val="24"/>
        </w:rPr>
        <w:lastRenderedPageBreak/>
        <w:t>viii.</w:t>
      </w:r>
      <w:r w:rsidRPr="0070612E">
        <w:rPr>
          <w:rFonts w:ascii="Times New Roman" w:eastAsia="Times New Roman" w:hAnsi="Times New Roman" w:cs="Times New Roman"/>
          <w:b/>
          <w:bCs/>
          <w:sz w:val="24"/>
          <w:szCs w:val="24"/>
        </w:rPr>
        <w:tab/>
      </w:r>
      <w:r w:rsidR="00911D0C" w:rsidRPr="0070612E">
        <w:rPr>
          <w:rFonts w:ascii="Times New Roman" w:eastAsia="Times New Roman" w:hAnsi="Times New Roman" w:cs="Times New Roman"/>
          <w:b/>
          <w:bCs/>
          <w:sz w:val="24"/>
          <w:szCs w:val="24"/>
        </w:rPr>
        <w:t>Collateral Requirements:</w:t>
      </w:r>
      <w:r w:rsidR="00911D0C" w:rsidRPr="0070612E">
        <w:rPr>
          <w:rFonts w:ascii="Times New Roman" w:eastAsia="Times New Roman" w:hAnsi="Times New Roman" w:cs="Times New Roman"/>
          <w:sz w:val="24"/>
          <w:szCs w:val="24"/>
        </w:rPr>
        <w:t>Assets or guarantees that borrowers must pledge to banks as security for loans, which serve to protect lenders against potential default risks.</w:t>
      </w:r>
    </w:p>
    <w:p w14:paraId="15572CC2" w14:textId="77777777" w:rsidR="00911D0C" w:rsidRPr="0070612E" w:rsidRDefault="00CF6CC8" w:rsidP="0070612E">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0612E">
        <w:rPr>
          <w:rFonts w:ascii="Times New Roman" w:eastAsia="Times New Roman" w:hAnsi="Times New Roman" w:cs="Times New Roman"/>
          <w:b/>
          <w:bCs/>
          <w:sz w:val="24"/>
          <w:szCs w:val="24"/>
        </w:rPr>
        <w:t>ix.</w:t>
      </w:r>
      <w:r w:rsidRPr="0070612E">
        <w:rPr>
          <w:rFonts w:ascii="Times New Roman" w:eastAsia="Times New Roman" w:hAnsi="Times New Roman" w:cs="Times New Roman"/>
          <w:b/>
          <w:bCs/>
          <w:sz w:val="24"/>
          <w:szCs w:val="24"/>
        </w:rPr>
        <w:tab/>
      </w:r>
      <w:r w:rsidR="00911D0C" w:rsidRPr="0070612E">
        <w:rPr>
          <w:rFonts w:ascii="Times New Roman" w:eastAsia="Times New Roman" w:hAnsi="Times New Roman" w:cs="Times New Roman"/>
          <w:b/>
          <w:bCs/>
          <w:sz w:val="24"/>
          <w:szCs w:val="24"/>
        </w:rPr>
        <w:t>Risk Aversion:</w:t>
      </w:r>
      <w:r w:rsidR="00911D0C" w:rsidRPr="0070612E">
        <w:rPr>
          <w:rFonts w:ascii="Times New Roman" w:eastAsia="Times New Roman" w:hAnsi="Times New Roman" w:cs="Times New Roman"/>
          <w:sz w:val="24"/>
          <w:szCs w:val="24"/>
        </w:rPr>
        <w:t>The tendency of banks or investors to avoid high-risk lending or investment activities, often leading to stricter lending conditions for small businesses perceived as risky.</w:t>
      </w:r>
    </w:p>
    <w:p w14:paraId="4C5CC373" w14:textId="77777777" w:rsidR="00911D0C" w:rsidRPr="0070612E" w:rsidRDefault="00755B1C" w:rsidP="0070612E">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0612E">
        <w:rPr>
          <w:rFonts w:ascii="Times New Roman" w:eastAsia="Times New Roman" w:hAnsi="Times New Roman" w:cs="Times New Roman"/>
          <w:b/>
          <w:bCs/>
          <w:sz w:val="24"/>
          <w:szCs w:val="24"/>
        </w:rPr>
        <w:t>x.</w:t>
      </w:r>
      <w:r w:rsidRPr="0070612E">
        <w:rPr>
          <w:rFonts w:ascii="Times New Roman" w:eastAsia="Times New Roman" w:hAnsi="Times New Roman" w:cs="Times New Roman"/>
          <w:b/>
          <w:bCs/>
          <w:sz w:val="24"/>
          <w:szCs w:val="24"/>
        </w:rPr>
        <w:tab/>
      </w:r>
      <w:r w:rsidR="00911D0C" w:rsidRPr="0070612E">
        <w:rPr>
          <w:rFonts w:ascii="Times New Roman" w:eastAsia="Times New Roman" w:hAnsi="Times New Roman" w:cs="Times New Roman"/>
          <w:b/>
          <w:bCs/>
          <w:sz w:val="24"/>
          <w:szCs w:val="24"/>
        </w:rPr>
        <w:t>Economic Diversification:</w:t>
      </w:r>
      <w:r w:rsidR="00911D0C" w:rsidRPr="0070612E">
        <w:rPr>
          <w:rFonts w:ascii="Times New Roman" w:eastAsia="Times New Roman" w:hAnsi="Times New Roman" w:cs="Times New Roman"/>
          <w:sz w:val="24"/>
          <w:szCs w:val="24"/>
        </w:rPr>
        <w:t>The process of broadening an economy’s production and revenue base by reducing dependence on a single sector (such as oil) and promoting multiple sectors like agriculture, manufacturing, and services, often supported by SSEs.</w:t>
      </w:r>
    </w:p>
    <w:p w14:paraId="1DC2FCBA" w14:textId="77777777" w:rsidR="001E5C97" w:rsidRPr="0070612E" w:rsidRDefault="00755B1C" w:rsidP="0070612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0612E">
        <w:rPr>
          <w:rFonts w:ascii="Times New Roman" w:eastAsia="Times New Roman" w:hAnsi="Times New Roman" w:cs="Times New Roman"/>
          <w:b/>
          <w:bCs/>
          <w:sz w:val="24"/>
          <w:szCs w:val="24"/>
        </w:rPr>
        <w:t>1.9</w:t>
      </w:r>
      <w:r w:rsidRPr="0070612E">
        <w:rPr>
          <w:rFonts w:ascii="Times New Roman" w:eastAsia="Times New Roman" w:hAnsi="Times New Roman" w:cs="Times New Roman"/>
          <w:b/>
          <w:bCs/>
          <w:sz w:val="24"/>
          <w:szCs w:val="24"/>
        </w:rPr>
        <w:tab/>
      </w:r>
      <w:r w:rsidR="001E5C97" w:rsidRPr="0070612E">
        <w:rPr>
          <w:rFonts w:ascii="Times New Roman" w:eastAsia="Times New Roman" w:hAnsi="Times New Roman" w:cs="Times New Roman"/>
          <w:b/>
          <w:bCs/>
          <w:sz w:val="24"/>
          <w:szCs w:val="24"/>
        </w:rPr>
        <w:t>Plan of the Study</w:t>
      </w:r>
    </w:p>
    <w:p w14:paraId="5C663F44" w14:textId="77777777" w:rsidR="001E5C97" w:rsidRPr="0070612E" w:rsidRDefault="001E5C97" w:rsidP="0070612E">
      <w:pPr>
        <w:spacing w:before="100" w:beforeAutospacing="1" w:after="100" w:afterAutospacing="1" w:line="360" w:lineRule="auto"/>
        <w:jc w:val="both"/>
        <w:rPr>
          <w:rFonts w:ascii="Times New Roman" w:eastAsia="Times New Roman" w:hAnsi="Times New Roman" w:cs="Times New Roman"/>
          <w:sz w:val="24"/>
          <w:szCs w:val="24"/>
        </w:rPr>
      </w:pPr>
      <w:r w:rsidRPr="0070612E">
        <w:rPr>
          <w:rFonts w:ascii="Times New Roman" w:eastAsia="Times New Roman" w:hAnsi="Times New Roman" w:cs="Times New Roman"/>
          <w:sz w:val="24"/>
          <w:szCs w:val="24"/>
        </w:rPr>
        <w:t>The study will be structured as follows:</w:t>
      </w:r>
    </w:p>
    <w:p w14:paraId="5995E96B" w14:textId="77777777" w:rsidR="008F240E" w:rsidRPr="0070612E" w:rsidRDefault="008F240E" w:rsidP="0070612E">
      <w:pPr>
        <w:spacing w:after="200" w:line="360" w:lineRule="auto"/>
        <w:jc w:val="both"/>
        <w:rPr>
          <w:rFonts w:ascii="Times New Roman" w:hAnsi="Times New Roman"/>
          <w:sz w:val="24"/>
          <w:szCs w:val="24"/>
        </w:rPr>
      </w:pPr>
      <w:r w:rsidRPr="0070612E">
        <w:rPr>
          <w:rFonts w:ascii="Times New Roman" w:hAnsi="Times New Roman"/>
          <w:b/>
          <w:bCs/>
          <w:sz w:val="24"/>
          <w:szCs w:val="24"/>
        </w:rPr>
        <w:t>Chapter One:</w:t>
      </w:r>
      <w:r w:rsidRPr="0070612E">
        <w:rPr>
          <w:rFonts w:ascii="Times New Roman" w:hAnsi="Times New Roman"/>
          <w:sz w:val="24"/>
          <w:szCs w:val="24"/>
        </w:rPr>
        <w:t xml:space="preserve"> which includes the Introduction, Statement of Problem, Research Questions, Research objectives, Research Hypothesis, significance of the study, Scope and Limitation of the study, Definition of Terms</w:t>
      </w:r>
    </w:p>
    <w:p w14:paraId="6728A647" w14:textId="77777777" w:rsidR="008F240E" w:rsidRPr="0070612E" w:rsidRDefault="008F240E" w:rsidP="0070612E">
      <w:pPr>
        <w:spacing w:after="200" w:line="360" w:lineRule="auto"/>
        <w:jc w:val="both"/>
        <w:rPr>
          <w:rFonts w:ascii="Times New Roman" w:hAnsi="Times New Roman"/>
          <w:sz w:val="24"/>
          <w:szCs w:val="24"/>
        </w:rPr>
      </w:pPr>
      <w:r w:rsidRPr="0070612E">
        <w:rPr>
          <w:rFonts w:ascii="Times New Roman" w:hAnsi="Times New Roman"/>
          <w:b/>
          <w:bCs/>
          <w:sz w:val="24"/>
          <w:szCs w:val="24"/>
        </w:rPr>
        <w:t xml:space="preserve">Chapter Two: </w:t>
      </w:r>
      <w:r w:rsidRPr="0070612E">
        <w:rPr>
          <w:rFonts w:ascii="Times New Roman" w:hAnsi="Times New Roman"/>
          <w:sz w:val="24"/>
          <w:szCs w:val="24"/>
        </w:rPr>
        <w:t xml:space="preserve">Literature review, covering Conceptual Review, Theoretical frameworks, Empirical review, Gap in literature    </w:t>
      </w:r>
    </w:p>
    <w:p w14:paraId="1D7FEE07" w14:textId="77777777" w:rsidR="008F240E" w:rsidRPr="0070612E" w:rsidRDefault="008F240E" w:rsidP="0070612E">
      <w:pPr>
        <w:spacing w:after="200" w:line="360" w:lineRule="auto"/>
        <w:jc w:val="both"/>
        <w:rPr>
          <w:rFonts w:ascii="Times New Roman" w:hAnsi="Times New Roman"/>
          <w:sz w:val="24"/>
          <w:szCs w:val="24"/>
        </w:rPr>
      </w:pPr>
      <w:r w:rsidRPr="0070612E">
        <w:rPr>
          <w:rFonts w:ascii="Times New Roman" w:hAnsi="Times New Roman"/>
          <w:b/>
          <w:bCs/>
          <w:sz w:val="24"/>
          <w:szCs w:val="24"/>
        </w:rPr>
        <w:t>Chapter Three:</w:t>
      </w:r>
      <w:r w:rsidRPr="0070612E">
        <w:rPr>
          <w:rFonts w:ascii="Times New Roman" w:hAnsi="Times New Roman"/>
          <w:sz w:val="24"/>
          <w:szCs w:val="24"/>
        </w:rPr>
        <w:t xml:space="preserve"> Methodology, detailing the Research design, Population of the study, Sampling size and sampling techniques, Methods of data collection, Method of data analysis    </w:t>
      </w:r>
    </w:p>
    <w:p w14:paraId="4FDB3C2A" w14:textId="77777777" w:rsidR="008F240E" w:rsidRPr="0070612E" w:rsidRDefault="008F240E" w:rsidP="0070612E">
      <w:pPr>
        <w:spacing w:after="200" w:line="360" w:lineRule="auto"/>
        <w:jc w:val="both"/>
        <w:rPr>
          <w:rFonts w:ascii="Times New Roman" w:hAnsi="Times New Roman"/>
          <w:sz w:val="24"/>
          <w:szCs w:val="24"/>
        </w:rPr>
      </w:pPr>
      <w:r w:rsidRPr="0070612E">
        <w:rPr>
          <w:rFonts w:ascii="Times New Roman" w:hAnsi="Times New Roman"/>
          <w:b/>
          <w:bCs/>
          <w:sz w:val="24"/>
          <w:szCs w:val="24"/>
        </w:rPr>
        <w:t xml:space="preserve">Chapter Four: </w:t>
      </w:r>
      <w:r w:rsidRPr="0070612E">
        <w:rPr>
          <w:rFonts w:ascii="Times New Roman" w:hAnsi="Times New Roman"/>
          <w:sz w:val="24"/>
          <w:szCs w:val="24"/>
        </w:rPr>
        <w:t xml:space="preserve">Data Presentation, Analysis, and Interpretation of findings </w:t>
      </w:r>
    </w:p>
    <w:p w14:paraId="289FE4E3" w14:textId="77777777" w:rsidR="008F240E" w:rsidRPr="0070612E" w:rsidRDefault="008F240E" w:rsidP="0070612E">
      <w:pPr>
        <w:spacing w:after="200" w:line="360" w:lineRule="auto"/>
        <w:jc w:val="both"/>
        <w:rPr>
          <w:rFonts w:ascii="Times New Roman" w:hAnsi="Times New Roman"/>
          <w:sz w:val="24"/>
          <w:szCs w:val="24"/>
        </w:rPr>
      </w:pPr>
      <w:r w:rsidRPr="0070612E">
        <w:rPr>
          <w:rFonts w:ascii="Times New Roman" w:hAnsi="Times New Roman"/>
          <w:b/>
          <w:bCs/>
          <w:sz w:val="24"/>
          <w:szCs w:val="24"/>
        </w:rPr>
        <w:t>Chapter Five:</w:t>
      </w:r>
      <w:r w:rsidRPr="0070612E">
        <w:rPr>
          <w:rFonts w:ascii="Times New Roman" w:hAnsi="Times New Roman"/>
          <w:sz w:val="24"/>
          <w:szCs w:val="24"/>
        </w:rPr>
        <w:t xml:space="preserve"> Summary, Conclusion, and Recommendations</w:t>
      </w:r>
    </w:p>
    <w:p w14:paraId="191C92D6" w14:textId="77777777" w:rsidR="008F240E" w:rsidRPr="0070612E" w:rsidRDefault="008F240E" w:rsidP="0070612E">
      <w:pPr>
        <w:spacing w:after="200" w:line="360" w:lineRule="auto"/>
        <w:jc w:val="both"/>
        <w:rPr>
          <w:rFonts w:ascii="Times New Roman" w:hAnsi="Times New Roman"/>
          <w:sz w:val="24"/>
          <w:szCs w:val="24"/>
        </w:rPr>
      </w:pPr>
      <w:r w:rsidRPr="0070612E">
        <w:rPr>
          <w:rFonts w:ascii="Times New Roman" w:hAnsi="Times New Roman"/>
          <w:sz w:val="24"/>
          <w:szCs w:val="24"/>
        </w:rPr>
        <w:t xml:space="preserve">Reference   </w:t>
      </w:r>
    </w:p>
    <w:p w14:paraId="7839E252" w14:textId="77777777" w:rsidR="001E5C97" w:rsidRPr="0070612E" w:rsidRDefault="001E5C97" w:rsidP="0070612E">
      <w:pPr>
        <w:spacing w:line="360" w:lineRule="auto"/>
        <w:jc w:val="both"/>
        <w:rPr>
          <w:rFonts w:ascii="Times New Roman" w:hAnsi="Times New Roman"/>
          <w:sz w:val="24"/>
          <w:szCs w:val="24"/>
        </w:rPr>
      </w:pPr>
    </w:p>
    <w:p w14:paraId="5FAC6809" w14:textId="77777777" w:rsidR="00206E00" w:rsidRPr="0070612E" w:rsidRDefault="00206E00" w:rsidP="0070612E">
      <w:pPr>
        <w:pStyle w:val="Heading1"/>
        <w:spacing w:line="360" w:lineRule="auto"/>
        <w:jc w:val="center"/>
        <w:rPr>
          <w:rFonts w:ascii="Times New Roman" w:hAnsi="Times New Roman"/>
          <w:color w:val="auto"/>
          <w:sz w:val="24"/>
          <w:szCs w:val="24"/>
        </w:rPr>
      </w:pPr>
      <w:r w:rsidRPr="0070612E">
        <w:rPr>
          <w:rStyle w:val="Strong"/>
          <w:rFonts w:ascii="Times New Roman" w:hAnsi="Times New Roman"/>
          <w:color w:val="auto"/>
          <w:sz w:val="24"/>
          <w:szCs w:val="24"/>
        </w:rPr>
        <w:lastRenderedPageBreak/>
        <w:t>CHAPTER TWO</w:t>
      </w:r>
    </w:p>
    <w:p w14:paraId="74201209" w14:textId="77777777" w:rsidR="00206E00" w:rsidRPr="0070612E" w:rsidRDefault="00CD669C" w:rsidP="00893202">
      <w:pPr>
        <w:pStyle w:val="Heading1"/>
        <w:spacing w:line="360" w:lineRule="auto"/>
        <w:jc w:val="both"/>
        <w:rPr>
          <w:rFonts w:ascii="Times New Roman" w:hAnsi="Times New Roman"/>
          <w:color w:val="auto"/>
          <w:sz w:val="24"/>
          <w:szCs w:val="24"/>
        </w:rPr>
      </w:pPr>
      <w:r w:rsidRPr="0070612E">
        <w:rPr>
          <w:rStyle w:val="Strong"/>
          <w:rFonts w:ascii="Times New Roman" w:hAnsi="Times New Roman"/>
          <w:color w:val="auto"/>
          <w:sz w:val="24"/>
          <w:szCs w:val="24"/>
        </w:rPr>
        <w:t>2.0</w:t>
      </w:r>
      <w:r w:rsidRPr="0070612E">
        <w:rPr>
          <w:rStyle w:val="Strong"/>
          <w:rFonts w:ascii="Times New Roman" w:hAnsi="Times New Roman"/>
          <w:color w:val="auto"/>
          <w:sz w:val="24"/>
          <w:szCs w:val="24"/>
        </w:rPr>
        <w:tab/>
      </w:r>
      <w:r w:rsidR="00206E00" w:rsidRPr="0070612E">
        <w:rPr>
          <w:rStyle w:val="Strong"/>
          <w:rFonts w:ascii="Times New Roman" w:hAnsi="Times New Roman"/>
          <w:color w:val="auto"/>
          <w:sz w:val="24"/>
          <w:szCs w:val="24"/>
        </w:rPr>
        <w:t>LITERATURE REVIEW</w:t>
      </w:r>
    </w:p>
    <w:p w14:paraId="0D60CB46" w14:textId="77777777" w:rsidR="00206E00" w:rsidRPr="0070612E" w:rsidRDefault="00206E00" w:rsidP="00893202">
      <w:pPr>
        <w:pStyle w:val="Heading2"/>
        <w:spacing w:line="360" w:lineRule="auto"/>
        <w:jc w:val="both"/>
        <w:rPr>
          <w:rFonts w:ascii="Times New Roman" w:hAnsi="Times New Roman"/>
          <w:color w:val="auto"/>
          <w:sz w:val="24"/>
          <w:szCs w:val="24"/>
        </w:rPr>
      </w:pPr>
      <w:r w:rsidRPr="0070612E">
        <w:rPr>
          <w:rStyle w:val="Strong"/>
          <w:rFonts w:ascii="Times New Roman" w:hAnsi="Times New Roman"/>
          <w:color w:val="auto"/>
          <w:sz w:val="24"/>
          <w:szCs w:val="24"/>
        </w:rPr>
        <w:t>2.</w:t>
      </w:r>
      <w:r w:rsidR="00CD669C" w:rsidRPr="0070612E">
        <w:rPr>
          <w:rStyle w:val="Strong"/>
          <w:rFonts w:ascii="Times New Roman" w:hAnsi="Times New Roman"/>
          <w:color w:val="auto"/>
          <w:sz w:val="24"/>
          <w:szCs w:val="24"/>
        </w:rPr>
        <w:t>1</w:t>
      </w:r>
      <w:r w:rsidR="00CD669C" w:rsidRPr="0070612E">
        <w:rPr>
          <w:rStyle w:val="Strong"/>
          <w:rFonts w:ascii="Times New Roman" w:hAnsi="Times New Roman"/>
          <w:color w:val="auto"/>
          <w:sz w:val="24"/>
          <w:szCs w:val="24"/>
        </w:rPr>
        <w:tab/>
      </w:r>
      <w:r w:rsidRPr="0070612E">
        <w:rPr>
          <w:rStyle w:val="Strong"/>
          <w:rFonts w:ascii="Times New Roman" w:hAnsi="Times New Roman"/>
          <w:color w:val="auto"/>
          <w:sz w:val="24"/>
          <w:szCs w:val="24"/>
        </w:rPr>
        <w:t>Conceptual Review</w:t>
      </w:r>
    </w:p>
    <w:p w14:paraId="5562F466" w14:textId="77777777" w:rsidR="00206E00" w:rsidRPr="0070612E" w:rsidRDefault="00206E00" w:rsidP="00893202">
      <w:pPr>
        <w:pStyle w:val="NormalWeb"/>
        <w:spacing w:line="360" w:lineRule="auto"/>
        <w:jc w:val="both"/>
      </w:pPr>
      <w:r w:rsidRPr="0070612E">
        <w:t xml:space="preserve">The conceptual framework of a study provides a clear understanding of the key concepts underpinning the research. In exploring the effects of bank recapitalization policies on the financing of small-scale enterprises (SSEs) in Nigeria, it is critical to define and discuss fundamental concepts such as bank recapitalization, small-scale enterprises, access to finance, and the post-recapitalization banking environment. </w:t>
      </w:r>
    </w:p>
    <w:p w14:paraId="5046E131" w14:textId="77777777" w:rsidR="00206E00" w:rsidRPr="0070612E" w:rsidRDefault="00206E00" w:rsidP="0070612E">
      <w:pPr>
        <w:pStyle w:val="Heading1"/>
        <w:spacing w:line="360" w:lineRule="auto"/>
        <w:jc w:val="both"/>
        <w:rPr>
          <w:rFonts w:ascii="Times New Roman" w:hAnsi="Times New Roman"/>
          <w:color w:val="auto"/>
          <w:sz w:val="24"/>
          <w:szCs w:val="24"/>
        </w:rPr>
      </w:pPr>
      <w:r w:rsidRPr="0070612E">
        <w:rPr>
          <w:rStyle w:val="Strong"/>
          <w:rFonts w:ascii="Times New Roman" w:hAnsi="Times New Roman"/>
          <w:color w:val="auto"/>
          <w:sz w:val="24"/>
          <w:szCs w:val="24"/>
        </w:rPr>
        <w:t xml:space="preserve">2.1.1 </w:t>
      </w:r>
      <w:r w:rsidR="00B12BBA" w:rsidRPr="0070612E">
        <w:rPr>
          <w:rStyle w:val="Strong"/>
          <w:rFonts w:ascii="Times New Roman" w:hAnsi="Times New Roman"/>
          <w:color w:val="auto"/>
          <w:sz w:val="24"/>
          <w:szCs w:val="24"/>
        </w:rPr>
        <w:tab/>
      </w:r>
      <w:r w:rsidRPr="0070612E">
        <w:rPr>
          <w:rStyle w:val="Strong"/>
          <w:rFonts w:ascii="Times New Roman" w:hAnsi="Times New Roman"/>
          <w:color w:val="auto"/>
          <w:sz w:val="24"/>
          <w:szCs w:val="24"/>
        </w:rPr>
        <w:t xml:space="preserve">Bank Recapitalization </w:t>
      </w:r>
    </w:p>
    <w:p w14:paraId="4A3A0378" w14:textId="77777777" w:rsidR="00206E00" w:rsidRPr="0070612E" w:rsidRDefault="00206E00" w:rsidP="0070612E">
      <w:pPr>
        <w:pStyle w:val="NormalWeb"/>
        <w:spacing w:line="360" w:lineRule="auto"/>
        <w:jc w:val="both"/>
      </w:pPr>
      <w:r w:rsidRPr="0070612E">
        <w:t>Bank recapitalization refers to deliberate regulatory actions aimed at strengthening the financial base and operational capacity of banks through the increase of their minimum required capital. It is a policy instrument employed by monetary authorities to promote banking sector stability, solvency, and improved financial intermediation.According to Soludo (2004), the 2005 banking sector reform in Nigeria, which mandated an upward review of banks’ minimum capital requirement from ₦2 billion to ₦25 billion, was intended to consolidate the industry, reduce systemic risks, and create robust financial institutions capable of supporting economic development.</w:t>
      </w:r>
    </w:p>
    <w:p w14:paraId="2EA3F74C" w14:textId="77777777" w:rsidR="00206E00" w:rsidRPr="0070612E" w:rsidRDefault="00206E00" w:rsidP="0070612E">
      <w:pPr>
        <w:pStyle w:val="NormalWeb"/>
        <w:spacing w:line="360" w:lineRule="auto"/>
        <w:jc w:val="both"/>
      </w:pPr>
      <w:r w:rsidRPr="0070612E">
        <w:t>The 2005 recapitalization exercise led to a significant reduction in the number of commercial banks from 89 to 25 through mergers, acquisitions, and strategic alliances, effectively enhancing the sector's operational efficiency and financial soundness (Sanusi, 2010). In the aftermath, Nigerian banks were better positioned to finance large-scale projects, but their support for small-scale enterprises remained a subject of debate.</w:t>
      </w:r>
    </w:p>
    <w:p w14:paraId="6352FD3E" w14:textId="77777777" w:rsidR="00206E00" w:rsidRPr="0070612E" w:rsidRDefault="00206E00" w:rsidP="0070612E">
      <w:pPr>
        <w:pStyle w:val="NormalWeb"/>
        <w:spacing w:line="360" w:lineRule="auto"/>
        <w:jc w:val="both"/>
      </w:pPr>
      <w:r w:rsidRPr="0070612E">
        <w:t xml:space="preserve">Recognizing ongoing macroeconomic challenges and the need for stronger banking institutions to finance Nigeria's development aspirations, the Central Bank of Nigeria (CBN) in March 2024 </w:t>
      </w:r>
      <w:r w:rsidRPr="0070612E">
        <w:lastRenderedPageBreak/>
        <w:t>announced a new recapitalization directive. This new policy requires banks to significantly increase their capital base once again to better withstand global economic shocks, align with Basel III standards, and finance the real sector more effectively (CBN, 2024).</w:t>
      </w:r>
    </w:p>
    <w:p w14:paraId="01CA1D2D" w14:textId="77777777" w:rsidR="00206E00" w:rsidRPr="0070612E" w:rsidRDefault="00206E00" w:rsidP="0070612E">
      <w:pPr>
        <w:pStyle w:val="NormalWeb"/>
        <w:spacing w:line="360" w:lineRule="auto"/>
        <w:jc w:val="both"/>
      </w:pPr>
      <w:r w:rsidRPr="0070612E">
        <w:t>Bank recapitalization is thus not a one-time event but an ongoing strategic necessity in a dynamic economic environment. However, while enhanced capitalization strengthens banks' balance sheets, it does not automatically translate into greater willingness to lend to higher-risk sectors such as SSEs, unless complemented by targeted policies and incentives.</w:t>
      </w:r>
    </w:p>
    <w:p w14:paraId="41CDFF2B" w14:textId="77777777" w:rsidR="00206E00" w:rsidRPr="0070612E" w:rsidRDefault="00206E00" w:rsidP="0070612E">
      <w:pPr>
        <w:pStyle w:val="Heading1"/>
        <w:spacing w:line="360" w:lineRule="auto"/>
        <w:jc w:val="both"/>
        <w:rPr>
          <w:rFonts w:ascii="Times New Roman" w:hAnsi="Times New Roman"/>
          <w:color w:val="auto"/>
          <w:sz w:val="24"/>
          <w:szCs w:val="24"/>
        </w:rPr>
      </w:pPr>
      <w:r w:rsidRPr="0070612E">
        <w:rPr>
          <w:rStyle w:val="Strong"/>
          <w:rFonts w:ascii="Times New Roman" w:hAnsi="Times New Roman"/>
          <w:color w:val="auto"/>
          <w:sz w:val="24"/>
          <w:szCs w:val="24"/>
        </w:rPr>
        <w:t xml:space="preserve">2.1.2 </w:t>
      </w:r>
      <w:r w:rsidR="00A2189E" w:rsidRPr="0070612E">
        <w:rPr>
          <w:rStyle w:val="Strong"/>
          <w:rFonts w:ascii="Times New Roman" w:hAnsi="Times New Roman"/>
          <w:color w:val="auto"/>
          <w:sz w:val="24"/>
          <w:szCs w:val="24"/>
        </w:rPr>
        <w:tab/>
      </w:r>
      <w:r w:rsidRPr="0070612E">
        <w:rPr>
          <w:rStyle w:val="Strong"/>
          <w:rFonts w:ascii="Times New Roman" w:hAnsi="Times New Roman"/>
          <w:color w:val="auto"/>
          <w:sz w:val="24"/>
          <w:szCs w:val="24"/>
        </w:rPr>
        <w:t>Small-Scale Enterprises (SSEs)</w:t>
      </w:r>
    </w:p>
    <w:p w14:paraId="16C2FAD4" w14:textId="77777777" w:rsidR="00206E00" w:rsidRPr="0070612E" w:rsidRDefault="00206E00" w:rsidP="0070612E">
      <w:pPr>
        <w:pStyle w:val="NormalWeb"/>
        <w:spacing w:line="360" w:lineRule="auto"/>
        <w:jc w:val="both"/>
      </w:pPr>
      <w:r w:rsidRPr="0070612E">
        <w:t xml:space="preserve">Small-Scale Enterprises (SSEs) are typically defined as business organizations characterized by limited operational scale, small workforce size, modest investment in capital assets, and relatively low turnover rates. According to </w:t>
      </w:r>
      <w:proofErr w:type="spellStart"/>
      <w:r w:rsidRPr="0070612E">
        <w:t>Ariyo</w:t>
      </w:r>
      <w:proofErr w:type="spellEnd"/>
      <w:r w:rsidRPr="0070612E">
        <w:t xml:space="preserve"> and Jerome (2020), SSEs in Nigeria are classified based on criteria such as the number of employees (typically fewer than 50 workers), total assets (excluding land and buildings), and annual turnover, often falling below ₦100 million. These enterprises include businesses across diverse sectors such as agriculture, manufacturing, services, and retail trade.</w:t>
      </w:r>
    </w:p>
    <w:p w14:paraId="511D5834" w14:textId="77777777" w:rsidR="00206E00" w:rsidRPr="0070612E" w:rsidRDefault="00206E00" w:rsidP="0070612E">
      <w:pPr>
        <w:pStyle w:val="NormalWeb"/>
        <w:spacing w:line="360" w:lineRule="auto"/>
        <w:jc w:val="both"/>
      </w:pPr>
      <w:r w:rsidRPr="0070612E">
        <w:t>SSEs play a pivotal role in economic development, particularly in emerging economies like Nigeria. They are widely recognized for their contributions to employment generation, poverty alleviation, innovation promotion, and economic diversification (</w:t>
      </w:r>
      <w:proofErr w:type="spellStart"/>
      <w:r w:rsidRPr="0070612E">
        <w:t>Aremu</w:t>
      </w:r>
      <w:proofErr w:type="spellEnd"/>
      <w:r w:rsidRPr="0070612E">
        <w:t>&amp; Adeyemi, 2019). As engines of grassroots economic empowerment, SSEs help to absorb a significant portion of the labor force that would otherwise remain unemployed, especially in urban and semi-urban centers.</w:t>
      </w:r>
    </w:p>
    <w:p w14:paraId="6DCD9DC7" w14:textId="77777777" w:rsidR="00206E00" w:rsidRPr="0070612E" w:rsidRDefault="00206E00" w:rsidP="0070612E">
      <w:pPr>
        <w:pStyle w:val="NormalWeb"/>
        <w:spacing w:line="360" w:lineRule="auto"/>
        <w:jc w:val="both"/>
      </w:pPr>
      <w:r w:rsidRPr="0070612E">
        <w:t xml:space="preserve">In addition to providing employment opportunities, SSEs foster entrepreneurial skills development and contribute to the broadening of the industrial base by supplying larger firms with inputs, services, and specialized components. </w:t>
      </w:r>
    </w:p>
    <w:p w14:paraId="042AC1CD" w14:textId="77777777" w:rsidR="00206E00" w:rsidRPr="0070612E" w:rsidRDefault="00206E00" w:rsidP="0070612E">
      <w:pPr>
        <w:pStyle w:val="NormalWeb"/>
        <w:spacing w:line="360" w:lineRule="auto"/>
        <w:jc w:val="both"/>
      </w:pPr>
      <w:r w:rsidRPr="0070612E">
        <w:lastRenderedPageBreak/>
        <w:t>Despite their economic significance, SSEs in Nigeria face persistent structural and operational challenges. Chief among these is limited access to finance, which constrains their ability to innovate, expand operations, and enhance productivity. Factors contributing to their financial exclusion include inadequate collateral, high lending interest rates, limited financial literacy, perceived higher default risks by banks, and the lack of tailored financial products (</w:t>
      </w:r>
      <w:proofErr w:type="spellStart"/>
      <w:r w:rsidRPr="0070612E">
        <w:t>Ogujiuba</w:t>
      </w:r>
      <w:proofErr w:type="spellEnd"/>
      <w:r w:rsidRPr="0070612E">
        <w:t xml:space="preserve">, </w:t>
      </w:r>
      <w:proofErr w:type="spellStart"/>
      <w:r w:rsidRPr="0070612E">
        <w:t>Ohuche</w:t>
      </w:r>
      <w:proofErr w:type="spellEnd"/>
      <w:r w:rsidRPr="0070612E">
        <w:t>, &amp; Adenuga, 2004).</w:t>
      </w:r>
    </w:p>
    <w:p w14:paraId="7759752A" w14:textId="77777777" w:rsidR="00206E00" w:rsidRPr="0070612E" w:rsidRDefault="00206E00" w:rsidP="0070612E">
      <w:pPr>
        <w:pStyle w:val="NormalWeb"/>
        <w:spacing w:line="360" w:lineRule="auto"/>
        <w:jc w:val="both"/>
      </w:pPr>
      <w:r w:rsidRPr="0070612E">
        <w:t xml:space="preserve">Moreover, regulatory frameworks often fail to adequately support the peculiar needs of SSEs, and macroeconomic volatilitysuch as inflation, currency devaluation, and policy inconsistencyfurther compounds their vulnerability. As noted by Olowe, </w:t>
      </w:r>
      <w:proofErr w:type="spellStart"/>
      <w:r w:rsidRPr="0070612E">
        <w:t>Moradeyo</w:t>
      </w:r>
      <w:proofErr w:type="spellEnd"/>
      <w:r w:rsidRPr="0070612E">
        <w:t>, and Babalola (2013), the high mortality rate of small businesses in Nigeria is closely linked to financing constraints and insufficient institutional support.</w:t>
      </w:r>
    </w:p>
    <w:p w14:paraId="3DF0C617" w14:textId="77777777" w:rsidR="009418BF" w:rsidRPr="0070612E" w:rsidRDefault="00206E00" w:rsidP="0070612E">
      <w:pPr>
        <w:pStyle w:val="NormalWeb"/>
        <w:spacing w:line="360" w:lineRule="auto"/>
        <w:jc w:val="both"/>
      </w:pPr>
      <w:r w:rsidRPr="0070612E">
        <w:t xml:space="preserve">Thus, strengthening the financial linkages between the banking sector and SSEs remains crucial for sustainable economic growth. Recapitalization of banks was envisioned as a strategy to empower financial institutions to better service this important segment. </w:t>
      </w:r>
    </w:p>
    <w:p w14:paraId="58EC47AE" w14:textId="77777777" w:rsidR="009418BF" w:rsidRPr="0070612E" w:rsidRDefault="009418BF" w:rsidP="00893202">
      <w:pPr>
        <w:pStyle w:val="Heading1"/>
        <w:spacing w:line="240" w:lineRule="auto"/>
        <w:jc w:val="both"/>
        <w:rPr>
          <w:rFonts w:ascii="Times New Roman" w:hAnsi="Times New Roman"/>
          <w:color w:val="auto"/>
          <w:sz w:val="24"/>
          <w:szCs w:val="24"/>
        </w:rPr>
      </w:pPr>
      <w:r w:rsidRPr="0070612E">
        <w:rPr>
          <w:rStyle w:val="Strong"/>
          <w:rFonts w:ascii="Times New Roman" w:hAnsi="Times New Roman"/>
          <w:color w:val="auto"/>
          <w:sz w:val="24"/>
          <w:szCs w:val="24"/>
        </w:rPr>
        <w:t xml:space="preserve">2.1.3 </w:t>
      </w:r>
      <w:r w:rsidR="00EB7EF7" w:rsidRPr="0070612E">
        <w:rPr>
          <w:rStyle w:val="Strong"/>
          <w:rFonts w:ascii="Times New Roman" w:hAnsi="Times New Roman"/>
          <w:color w:val="auto"/>
          <w:sz w:val="24"/>
          <w:szCs w:val="24"/>
        </w:rPr>
        <w:tab/>
      </w:r>
      <w:r w:rsidRPr="0070612E">
        <w:rPr>
          <w:rStyle w:val="Strong"/>
          <w:rFonts w:ascii="Times New Roman" w:hAnsi="Times New Roman"/>
          <w:color w:val="auto"/>
          <w:sz w:val="24"/>
          <w:szCs w:val="24"/>
        </w:rPr>
        <w:t>Financing of Small-Scale Enterprises</w:t>
      </w:r>
    </w:p>
    <w:p w14:paraId="7B86CA8E" w14:textId="77777777" w:rsidR="009418BF" w:rsidRPr="0070612E" w:rsidRDefault="009418BF" w:rsidP="0070612E">
      <w:pPr>
        <w:pStyle w:val="NormalWeb"/>
        <w:spacing w:line="360" w:lineRule="auto"/>
        <w:jc w:val="both"/>
      </w:pPr>
      <w:r w:rsidRPr="0070612E">
        <w:t>Financing, in the context of business operations, refers to the sourcing, allocation, and management of capital necessary for the establishment, sustenance, and expansion of economic activities. It typically involves the provision of funds either through debt mechanismssuch as bank loans, overdrafts, and credit facilitiesor through equity instruments involving ownership stakes. For small-scale enterprises (SSEs), access to appropriate and affordable financing is fundamental to business innovation, resilience, capacity building, and long-term growth (Beck &amp;</w:t>
      </w:r>
      <w:r w:rsidR="00893202">
        <w:t xml:space="preserve"> </w:t>
      </w:r>
      <w:proofErr w:type="spellStart"/>
      <w:r w:rsidRPr="0070612E">
        <w:t>Demirgüç-Kunt</w:t>
      </w:r>
      <w:proofErr w:type="spellEnd"/>
      <w:r w:rsidRPr="0070612E">
        <w:t>, 2006).</w:t>
      </w:r>
    </w:p>
    <w:p w14:paraId="7D159C73" w14:textId="77777777" w:rsidR="009418BF" w:rsidRPr="0070612E" w:rsidRDefault="009418BF" w:rsidP="0070612E">
      <w:pPr>
        <w:pStyle w:val="NormalWeb"/>
        <w:spacing w:line="360" w:lineRule="auto"/>
        <w:jc w:val="both"/>
      </w:pPr>
      <w:r w:rsidRPr="0070612E">
        <w:t xml:space="preserve">The availability of formal financing from banking institutions is particularly crucial for SSEs in developing economies like Nigeria, where informal financing avenuessuch as cooperative societies, personal savings, and loans from family and friendsoften prove insufficient to meet the </w:t>
      </w:r>
      <w:r w:rsidRPr="0070612E">
        <w:lastRenderedPageBreak/>
        <w:t>scale of their financial needs. Bank credit facilitates investment in fixed assets, working capital augmentation, technological upgrades, staff training, market expansion, and operational stability, all of which are indispensable to the development of a vibrant small business sector.</w:t>
      </w:r>
    </w:p>
    <w:p w14:paraId="411FD326" w14:textId="77777777" w:rsidR="009418BF" w:rsidRPr="0070612E" w:rsidRDefault="009418BF" w:rsidP="0070612E">
      <w:pPr>
        <w:pStyle w:val="NormalWeb"/>
        <w:spacing w:line="360" w:lineRule="auto"/>
        <w:jc w:val="both"/>
      </w:pPr>
      <w:r w:rsidRPr="0070612E">
        <w:t>However, financing constraints remain one of the most persistent and formidable challenges facing small-scale enterprises. Several key factors contribute to the difficulty SSEs encounter in securing financing:</w:t>
      </w:r>
    </w:p>
    <w:p w14:paraId="7CF43DE1" w14:textId="77777777" w:rsidR="009418BF" w:rsidRPr="0070612E" w:rsidRDefault="00634B2F" w:rsidP="00841BEF">
      <w:pPr>
        <w:pStyle w:val="NormalWeb"/>
        <w:spacing w:line="360" w:lineRule="auto"/>
        <w:ind w:left="720" w:hanging="720"/>
        <w:jc w:val="both"/>
      </w:pPr>
      <w:proofErr w:type="spellStart"/>
      <w:r w:rsidRPr="0070612E">
        <w:rPr>
          <w:rStyle w:val="Strong"/>
        </w:rPr>
        <w:t>i</w:t>
      </w:r>
      <w:proofErr w:type="spellEnd"/>
      <w:r w:rsidRPr="0070612E">
        <w:rPr>
          <w:rStyle w:val="Strong"/>
        </w:rPr>
        <w:t>.</w:t>
      </w:r>
      <w:r w:rsidRPr="0070612E">
        <w:rPr>
          <w:rStyle w:val="Strong"/>
        </w:rPr>
        <w:tab/>
      </w:r>
      <w:r w:rsidR="009418BF" w:rsidRPr="0070612E">
        <w:rPr>
          <w:rStyle w:val="Strong"/>
        </w:rPr>
        <w:t>Creditworthiness and Financial Documentation</w:t>
      </w:r>
      <w:r w:rsidR="009418BF" w:rsidRPr="0070612E">
        <w:t xml:space="preserve">: Many SSEs operate in the informal sector without maintaining detailed financial records or audited statements. The absence of formal accounting practices, business plans, or financial forecasts makes it challenging for banks to assess the creditworthiness of such enterprises objectively. </w:t>
      </w:r>
    </w:p>
    <w:p w14:paraId="40F6E237" w14:textId="77777777" w:rsidR="009418BF" w:rsidRPr="0070612E" w:rsidRDefault="00634B2F" w:rsidP="0070612E">
      <w:pPr>
        <w:pStyle w:val="NormalWeb"/>
        <w:spacing w:line="360" w:lineRule="auto"/>
        <w:ind w:left="720" w:hanging="720"/>
        <w:jc w:val="both"/>
      </w:pPr>
      <w:r w:rsidRPr="0070612E">
        <w:rPr>
          <w:rStyle w:val="Strong"/>
        </w:rPr>
        <w:t>ii.</w:t>
      </w:r>
      <w:r w:rsidRPr="0070612E">
        <w:rPr>
          <w:rStyle w:val="Strong"/>
        </w:rPr>
        <w:tab/>
      </w:r>
      <w:r w:rsidR="009418BF" w:rsidRPr="0070612E">
        <w:rPr>
          <w:rStyle w:val="Strong"/>
        </w:rPr>
        <w:t>Collateral Requirements</w:t>
      </w:r>
      <w:r w:rsidR="009418BF" w:rsidRPr="0070612E">
        <w:t>: Banks often demand substantial collateral security as a safeguard against default risks. In Nigeria, traditional collateral requirements include land titles, fixed assets, and other tangible properties that many SSE owners lack. This "collateral gap" remains a major bottleneck to accessing formal credit facilities (Oni, 2019).</w:t>
      </w:r>
    </w:p>
    <w:p w14:paraId="5A512D06" w14:textId="77777777" w:rsidR="009418BF" w:rsidRPr="0070612E" w:rsidRDefault="00634B2F" w:rsidP="0070612E">
      <w:pPr>
        <w:pStyle w:val="NormalWeb"/>
        <w:spacing w:line="360" w:lineRule="auto"/>
        <w:ind w:left="720" w:hanging="720"/>
        <w:jc w:val="both"/>
      </w:pPr>
      <w:r w:rsidRPr="0070612E">
        <w:rPr>
          <w:rStyle w:val="Strong"/>
        </w:rPr>
        <w:t>i</w:t>
      </w:r>
      <w:r w:rsidR="00D6082F">
        <w:rPr>
          <w:rStyle w:val="Strong"/>
        </w:rPr>
        <w:t>ii</w:t>
      </w:r>
      <w:r w:rsidRPr="0070612E">
        <w:rPr>
          <w:rStyle w:val="Strong"/>
        </w:rPr>
        <w:t>.</w:t>
      </w:r>
      <w:r w:rsidRPr="0070612E">
        <w:rPr>
          <w:rStyle w:val="Strong"/>
        </w:rPr>
        <w:tab/>
      </w:r>
      <w:r w:rsidR="009418BF" w:rsidRPr="0070612E">
        <w:rPr>
          <w:rStyle w:val="Strong"/>
        </w:rPr>
        <w:t>Cumbersome Loan Application Processes</w:t>
      </w:r>
      <w:r w:rsidR="009418BF" w:rsidRPr="0070612E">
        <w:t>: Lengthy bureaucratic procedures, documentation demands, and delays in loan processing also deter small businesses from seeking formal credit. In some cases, informal lending channelsdespite their limitationsbecome preferable due to their relative ease of access (</w:t>
      </w:r>
      <w:proofErr w:type="spellStart"/>
      <w:r w:rsidR="009418BF" w:rsidRPr="0070612E">
        <w:t>Oladej</w:t>
      </w:r>
      <w:proofErr w:type="spellEnd"/>
      <w:r w:rsidR="00893202">
        <w:t xml:space="preserve"> </w:t>
      </w:r>
      <w:proofErr w:type="spellStart"/>
      <w:r w:rsidR="009418BF" w:rsidRPr="0070612E">
        <w:t>i</w:t>
      </w:r>
      <w:proofErr w:type="spellEnd"/>
      <w:r w:rsidR="009418BF" w:rsidRPr="0070612E">
        <w:t>&amp;</w:t>
      </w:r>
      <w:r w:rsidR="00893202">
        <w:t xml:space="preserve"> </w:t>
      </w:r>
      <w:proofErr w:type="spellStart"/>
      <w:r w:rsidR="009418BF" w:rsidRPr="0070612E">
        <w:t>Ogunrinola</w:t>
      </w:r>
      <w:proofErr w:type="spellEnd"/>
      <w:r w:rsidR="009418BF" w:rsidRPr="0070612E">
        <w:t>, 2001).</w:t>
      </w:r>
    </w:p>
    <w:p w14:paraId="77391F3C" w14:textId="77777777" w:rsidR="009418BF" w:rsidRPr="0070612E" w:rsidRDefault="00D6082F" w:rsidP="0070612E">
      <w:pPr>
        <w:pStyle w:val="NormalWeb"/>
        <w:spacing w:line="360" w:lineRule="auto"/>
        <w:ind w:left="720" w:hanging="720"/>
        <w:jc w:val="both"/>
      </w:pPr>
      <w:r>
        <w:rPr>
          <w:rStyle w:val="Strong"/>
        </w:rPr>
        <w:t>i</w:t>
      </w:r>
      <w:r w:rsidR="00634B2F" w:rsidRPr="0070612E">
        <w:rPr>
          <w:rStyle w:val="Strong"/>
        </w:rPr>
        <w:t>v.</w:t>
      </w:r>
      <w:r w:rsidR="00634B2F" w:rsidRPr="0070612E">
        <w:rPr>
          <w:rStyle w:val="Strong"/>
        </w:rPr>
        <w:tab/>
      </w:r>
      <w:r w:rsidR="009418BF" w:rsidRPr="0070612E">
        <w:rPr>
          <w:rStyle w:val="Strong"/>
        </w:rPr>
        <w:t>Risk Aversion by Banks</w:t>
      </w:r>
      <w:r w:rsidR="009418BF" w:rsidRPr="0070612E">
        <w:t>: Even after the 2005 recapitalization which strengthened the balance sheets of banks, the inherent risk aversion of commercial banks towards SSEs did not significantly abate. Banks continue to prioritize low-risk and high-return lending to larger corporates and government projects over small enterprise financing.</w:t>
      </w:r>
    </w:p>
    <w:p w14:paraId="65703BC1" w14:textId="77777777" w:rsidR="009418BF" w:rsidRPr="0070612E" w:rsidRDefault="009418BF" w:rsidP="0070612E">
      <w:pPr>
        <w:pStyle w:val="NormalWeb"/>
        <w:spacing w:line="360" w:lineRule="auto"/>
        <w:jc w:val="both"/>
      </w:pPr>
      <w:r w:rsidRPr="0070612E">
        <w:lastRenderedPageBreak/>
        <w:t xml:space="preserve">Beyond these factors, broader systemic issues such as macroeconomic volatility, policy inconsistency, regulatory bottlenecks, and inadequate credit information infrastructure further aggravate financing challenges for SSEs. </w:t>
      </w:r>
    </w:p>
    <w:p w14:paraId="1DB137CD" w14:textId="77777777" w:rsidR="009418BF" w:rsidRPr="0070612E" w:rsidRDefault="009418BF" w:rsidP="0070612E">
      <w:pPr>
        <w:pStyle w:val="NormalWeb"/>
        <w:spacing w:line="360" w:lineRule="auto"/>
        <w:jc w:val="both"/>
      </w:pPr>
      <w:r w:rsidRPr="0070612E">
        <w:t xml:space="preserve">Recognizing these challenges, the Nigerian government and the Central Bank of Nigeria (CBN) have initiated several interventions to ease SSEs' access to finance. These include the establishment of dedicated schemes like the Small and Medium Enterprises Equity Investment Scheme (SMEEIS), the Agricultural Credit Guarantee Scheme Fund (ACGSF), and more recently, the NIRSAL Microfinance Bank initiatives. </w:t>
      </w:r>
    </w:p>
    <w:p w14:paraId="32B68166" w14:textId="77777777" w:rsidR="009418BF" w:rsidRPr="0070612E" w:rsidRDefault="009418BF" w:rsidP="0070612E">
      <w:pPr>
        <w:pStyle w:val="NormalWeb"/>
        <w:spacing w:line="360" w:lineRule="auto"/>
        <w:jc w:val="both"/>
      </w:pPr>
      <w:r w:rsidRPr="0070612E">
        <w:t xml:space="preserve">The 2005 and the newly proposed 2024 bank recapitalization exercises were partly motivated by the desire to strengthen banks’ financial muscle and encourage greater credit flow to critical sectors, including SSEs. </w:t>
      </w:r>
    </w:p>
    <w:p w14:paraId="1E8EFC4D" w14:textId="77777777" w:rsidR="009418BF" w:rsidRPr="0070612E" w:rsidRDefault="009418BF" w:rsidP="0070612E">
      <w:pPr>
        <w:pStyle w:val="NormalWeb"/>
        <w:spacing w:line="360" w:lineRule="auto"/>
        <w:jc w:val="both"/>
      </w:pPr>
      <w:r w:rsidRPr="0070612E">
        <w:t>Hence, the financing of small-scale enterprises in Nigeria presents a complex, multi-dimensional challenge requiring not only strong financial institutions but also supportive regulatory frameworks, innovative lending models, risk-sharing mechanisms, and capacity building for SSEs to improve their bankability.</w:t>
      </w:r>
    </w:p>
    <w:p w14:paraId="6E71CC12" w14:textId="77777777" w:rsidR="00293F8F" w:rsidRPr="0070612E" w:rsidRDefault="00293F8F" w:rsidP="0070612E">
      <w:pPr>
        <w:pStyle w:val="Heading1"/>
        <w:spacing w:line="360" w:lineRule="auto"/>
        <w:jc w:val="both"/>
        <w:rPr>
          <w:rFonts w:ascii="Times New Roman" w:hAnsi="Times New Roman"/>
          <w:color w:val="auto"/>
          <w:sz w:val="24"/>
          <w:szCs w:val="24"/>
        </w:rPr>
      </w:pPr>
      <w:r w:rsidRPr="0070612E">
        <w:rPr>
          <w:rStyle w:val="Strong"/>
          <w:rFonts w:ascii="Times New Roman" w:hAnsi="Times New Roman"/>
          <w:color w:val="auto"/>
          <w:sz w:val="24"/>
          <w:szCs w:val="24"/>
        </w:rPr>
        <w:t xml:space="preserve">2.1.4 </w:t>
      </w:r>
      <w:r w:rsidR="00634B2F" w:rsidRPr="0070612E">
        <w:rPr>
          <w:rStyle w:val="Strong"/>
          <w:rFonts w:ascii="Times New Roman" w:hAnsi="Times New Roman"/>
          <w:color w:val="auto"/>
          <w:sz w:val="24"/>
          <w:szCs w:val="24"/>
        </w:rPr>
        <w:tab/>
      </w:r>
      <w:r w:rsidRPr="0070612E">
        <w:rPr>
          <w:rStyle w:val="Strong"/>
          <w:rFonts w:ascii="Times New Roman" w:hAnsi="Times New Roman"/>
          <w:color w:val="auto"/>
          <w:sz w:val="24"/>
          <w:szCs w:val="24"/>
        </w:rPr>
        <w:t xml:space="preserve">Post-Recapitalization Banking Environment in Nigeria </w:t>
      </w:r>
    </w:p>
    <w:p w14:paraId="1EAEADED" w14:textId="77777777" w:rsidR="00293F8F" w:rsidRPr="0070612E" w:rsidRDefault="00293F8F" w:rsidP="0070612E">
      <w:pPr>
        <w:pStyle w:val="NormalWeb"/>
        <w:spacing w:line="360" w:lineRule="auto"/>
        <w:jc w:val="both"/>
      </w:pPr>
      <w:r w:rsidRPr="0070612E">
        <w:t>The 2005 bank recapitalization exercise, initiated under the leadership of Professor Charles Soludo, marked a transformative era in the Nigerian banking sector. The Central Bank of Nigeria (CBN) mandated all commercial banks to raise their minimum capital base from ₦2 billion to ₦25 billion, a policy that triggered a wave of consolidations, mergers, acquisitions, and strategic alliances within the industry. As a result, the Nigerian banking landscape experienced a significant reduction in the number of banksfrom 89 banks prior to the reform to 25 stronger and more resilient banks by 2006 (Soludo, 2004).</w:t>
      </w:r>
    </w:p>
    <w:p w14:paraId="2E53196B" w14:textId="77777777" w:rsidR="00293F8F" w:rsidRPr="0070612E" w:rsidRDefault="00293F8F" w:rsidP="0070612E">
      <w:pPr>
        <w:pStyle w:val="NormalWeb"/>
        <w:spacing w:line="360" w:lineRule="auto"/>
        <w:jc w:val="both"/>
      </w:pPr>
      <w:r w:rsidRPr="0070612E">
        <w:lastRenderedPageBreak/>
        <w:t>For banks like First Bank of Nigeria Plc, the post-recapitalization era ushered in a period of operational restructuring, expansion of branch networks, technological upgrades, and improvements in risk management frameworks. Theoretically, these developments were expected to enhance the banks’ capacity to perform their traditional intermediation roles more effectively, including greater credit delivery to key sectors such as small-scale enterprises (SSEs), agriculture, and manufacturing.</w:t>
      </w:r>
    </w:p>
    <w:p w14:paraId="4502D9D0" w14:textId="77777777" w:rsidR="009D4044" w:rsidRPr="0070612E" w:rsidRDefault="00293F8F" w:rsidP="009D4044">
      <w:pPr>
        <w:pStyle w:val="NormalWeb"/>
        <w:spacing w:line="360" w:lineRule="auto"/>
        <w:jc w:val="both"/>
      </w:pPr>
      <w:r w:rsidRPr="0070612E">
        <w:t>However, despite these improvements in financial soundness and operational efficiency, significant challenges persisted in translating stronger bank balance sheets into expanded credit access for small businesses. Research findings (</w:t>
      </w:r>
      <w:proofErr w:type="spellStart"/>
      <w:r w:rsidRPr="0070612E">
        <w:t>Nwaeze</w:t>
      </w:r>
      <w:proofErr w:type="spellEnd"/>
      <w:r w:rsidRPr="0070612E">
        <w:t xml:space="preserve"> et al., 2021; Okafor &amp; Chukwuemeka, 2023) indicate that banks remained largely risk-averse in their lending behavior toward SSEs. </w:t>
      </w:r>
    </w:p>
    <w:p w14:paraId="196AE665" w14:textId="77777777" w:rsidR="00293F8F" w:rsidRPr="0070612E" w:rsidRDefault="00293F8F" w:rsidP="0070612E">
      <w:pPr>
        <w:pStyle w:val="NormalWeb"/>
        <w:spacing w:line="360" w:lineRule="auto"/>
        <w:jc w:val="both"/>
      </w:pPr>
      <w:r w:rsidRPr="0070612E">
        <w:t xml:space="preserve">Moreover, systemic issues such as regulatory weaknesses, unstable macroeconomic conditions, foreign exchange volatility, and insecurity further complicated the lending environment. As noted by </w:t>
      </w:r>
      <w:proofErr w:type="spellStart"/>
      <w:r w:rsidRPr="0070612E">
        <w:t>Ogujiuba</w:t>
      </w:r>
      <w:proofErr w:type="spellEnd"/>
      <w:r w:rsidRPr="0070612E">
        <w:t xml:space="preserve">, </w:t>
      </w:r>
      <w:proofErr w:type="spellStart"/>
      <w:r w:rsidRPr="0070612E">
        <w:t>Ohuche</w:t>
      </w:r>
      <w:proofErr w:type="spellEnd"/>
      <w:r w:rsidRPr="0070612E">
        <w:t>, and Adenuga (2004), the success of recapitalization in enhancing financial intermediation critically depends not only on the internal strengthening of banks but also on broader institutional, legal, and economic reforms.</w:t>
      </w:r>
    </w:p>
    <w:p w14:paraId="35155E66" w14:textId="77777777" w:rsidR="00293F8F" w:rsidRPr="0070612E" w:rsidRDefault="00293F8F" w:rsidP="0070612E">
      <w:pPr>
        <w:pStyle w:val="NormalWeb"/>
        <w:spacing w:line="360" w:lineRule="auto"/>
        <w:jc w:val="both"/>
      </w:pPr>
      <w:r w:rsidRPr="0070612E">
        <w:t>Thus, while recapitalization undoubtedly improved the health, stability, and global competitiveness of Nigerian banks, its direct impact on the financing of small-scale enterprises has been mixed. The anticipated trickle-down effect of stronger banks leading to greater financial inclusion for SSEs has been slower and less pronounced than originally envisioned. This underscores the need for complementary policies, targeted credit schemes, and reforms aimed at bridging the persistent financing gap faced by Nigeria's small business sector.</w:t>
      </w:r>
    </w:p>
    <w:p w14:paraId="0FD34141" w14:textId="77777777" w:rsidR="00B83630" w:rsidRPr="0070612E" w:rsidRDefault="001117CE" w:rsidP="00893202">
      <w:pPr>
        <w:pStyle w:val="Heading3"/>
        <w:jc w:val="both"/>
        <w:rPr>
          <w:sz w:val="24"/>
          <w:szCs w:val="24"/>
        </w:rPr>
      </w:pPr>
      <w:r w:rsidRPr="0070612E">
        <w:rPr>
          <w:rStyle w:val="Strong"/>
          <w:b/>
          <w:bCs/>
          <w:sz w:val="24"/>
          <w:szCs w:val="24"/>
        </w:rPr>
        <w:t>2.1.5</w:t>
      </w:r>
      <w:r w:rsidRPr="0070612E">
        <w:rPr>
          <w:rStyle w:val="Strong"/>
          <w:b/>
          <w:bCs/>
          <w:sz w:val="24"/>
          <w:szCs w:val="24"/>
        </w:rPr>
        <w:tab/>
      </w:r>
      <w:r w:rsidR="00B83630" w:rsidRPr="0070612E">
        <w:rPr>
          <w:rStyle w:val="Strong"/>
          <w:b/>
          <w:bCs/>
          <w:sz w:val="24"/>
          <w:szCs w:val="24"/>
        </w:rPr>
        <w:t>First Bank’s Position on Bank Recapitalization</w:t>
      </w:r>
    </w:p>
    <w:p w14:paraId="367B180E" w14:textId="77777777" w:rsidR="00B83630" w:rsidRPr="0070612E" w:rsidRDefault="00B83630" w:rsidP="0070612E">
      <w:pPr>
        <w:pStyle w:val="NormalWeb"/>
        <w:spacing w:line="360" w:lineRule="auto"/>
        <w:jc w:val="both"/>
      </w:pPr>
      <w:r w:rsidRPr="0070612E">
        <w:t xml:space="preserve">First Bank of Nigeria Plc demonstrated strong support and readiness for the 2005 bank recapitalization policy introduced by the Central Bank of Nigeria. Recognizing the importance of a robust capital base for sustainable banking operations, First Bank strategically chose to meet </w:t>
      </w:r>
      <w:r w:rsidRPr="0070612E">
        <w:lastRenderedPageBreak/>
        <w:t>the ₦25 billion minimum capital requirement through internal capital mobilization rather than merging with other institutions. The bank raised additional funds via public offers, rights issues, and strategic private placements, successfully strengthening its balance sheet and solidifying its leadership position within the Nigerian banking sector.</w:t>
      </w:r>
    </w:p>
    <w:p w14:paraId="2B56A8D4" w14:textId="77777777" w:rsidR="00B83630" w:rsidRPr="0070612E" w:rsidRDefault="00B83630" w:rsidP="0070612E">
      <w:pPr>
        <w:pStyle w:val="NormalWeb"/>
        <w:spacing w:line="360" w:lineRule="auto"/>
        <w:jc w:val="both"/>
      </w:pPr>
      <w:r w:rsidRPr="0070612E">
        <w:t>Beyond merely complying with regulatory demands, First Bank viewed recapitalization as a catalyst for long-term growth and competitiveness. The bank emphasized that a stronger financial base would enable it to scale up its operations, invest in modern banking technologies, broaden its service delivery channels, and most importantly, expand credit facilities to key sectors, including small-scale enterprises (SSEs). In its annual reports and stakeholder communications during and after the recapitalization period, First Bank reiterated its commitment to supporting Nigeria’s economic development agenda by improving access to finance for entrepreneurs and small businesses.</w:t>
      </w:r>
    </w:p>
    <w:p w14:paraId="36979B64" w14:textId="77777777" w:rsidR="00893202" w:rsidRPr="00893202" w:rsidRDefault="00B83630" w:rsidP="00893202">
      <w:pPr>
        <w:pStyle w:val="NormalWeb"/>
        <w:spacing w:line="360" w:lineRule="auto"/>
        <w:jc w:val="both"/>
        <w:rPr>
          <w:rStyle w:val="Strong"/>
          <w:b w:val="0"/>
          <w:bCs w:val="0"/>
        </w:rPr>
      </w:pPr>
      <w:r w:rsidRPr="0070612E">
        <w:t>In line with this vision, First Bank undertook significant organizational restructuring, product diversification, and the establishment of specialized SME desks to cater to the financing needs of small-scale businesses. However, despite these initiatives, various systemic challengesincluding high credit risk perceptions and regulatory constraintscontinued to affect the scale and ease of access to financing for SSEs, highlighting the complex relationship between bank recapitalization and SME lending practices.</w:t>
      </w:r>
    </w:p>
    <w:p w14:paraId="71312504" w14:textId="77777777" w:rsidR="00206E00" w:rsidRPr="0070612E" w:rsidRDefault="00206E00" w:rsidP="009D4044">
      <w:pPr>
        <w:pStyle w:val="Heading2"/>
        <w:spacing w:line="240" w:lineRule="auto"/>
        <w:jc w:val="both"/>
        <w:rPr>
          <w:rFonts w:ascii="Times New Roman" w:hAnsi="Times New Roman"/>
          <w:color w:val="auto"/>
          <w:sz w:val="24"/>
          <w:szCs w:val="24"/>
        </w:rPr>
      </w:pPr>
      <w:r w:rsidRPr="0070612E">
        <w:rPr>
          <w:rStyle w:val="Strong"/>
          <w:rFonts w:ascii="Times New Roman" w:hAnsi="Times New Roman"/>
          <w:color w:val="auto"/>
          <w:sz w:val="24"/>
          <w:szCs w:val="24"/>
        </w:rPr>
        <w:t>2.</w:t>
      </w:r>
      <w:r w:rsidR="001B3A7B" w:rsidRPr="0070612E">
        <w:rPr>
          <w:rStyle w:val="Strong"/>
          <w:rFonts w:ascii="Times New Roman" w:hAnsi="Times New Roman"/>
          <w:color w:val="auto"/>
          <w:sz w:val="24"/>
          <w:szCs w:val="24"/>
        </w:rPr>
        <w:t>2</w:t>
      </w:r>
      <w:r w:rsidR="001B3A7B" w:rsidRPr="0070612E">
        <w:rPr>
          <w:rStyle w:val="Strong"/>
          <w:rFonts w:ascii="Times New Roman" w:hAnsi="Times New Roman"/>
          <w:color w:val="auto"/>
          <w:sz w:val="24"/>
          <w:szCs w:val="24"/>
        </w:rPr>
        <w:tab/>
      </w:r>
      <w:r w:rsidRPr="0070612E">
        <w:rPr>
          <w:rStyle w:val="Strong"/>
          <w:rFonts w:ascii="Times New Roman" w:hAnsi="Times New Roman"/>
          <w:color w:val="auto"/>
          <w:sz w:val="24"/>
          <w:szCs w:val="24"/>
        </w:rPr>
        <w:t>Theoretical Review</w:t>
      </w:r>
    </w:p>
    <w:p w14:paraId="0565F48E" w14:textId="77777777" w:rsidR="00765A33" w:rsidRPr="0070612E" w:rsidRDefault="00765A33" w:rsidP="009D4044">
      <w:pPr>
        <w:pStyle w:val="Heading3"/>
        <w:jc w:val="both"/>
        <w:rPr>
          <w:sz w:val="24"/>
          <w:szCs w:val="24"/>
        </w:rPr>
      </w:pPr>
      <w:r w:rsidRPr="0070612E">
        <w:rPr>
          <w:rStyle w:val="Strong"/>
          <w:b/>
          <w:bCs/>
          <w:sz w:val="24"/>
          <w:szCs w:val="24"/>
        </w:rPr>
        <w:t xml:space="preserve">2.2.1 </w:t>
      </w:r>
      <w:r w:rsidR="00900418" w:rsidRPr="0070612E">
        <w:rPr>
          <w:rStyle w:val="Strong"/>
          <w:b/>
          <w:bCs/>
          <w:sz w:val="24"/>
          <w:szCs w:val="24"/>
        </w:rPr>
        <w:tab/>
      </w:r>
      <w:r w:rsidRPr="0070612E">
        <w:rPr>
          <w:rStyle w:val="Strong"/>
          <w:b/>
          <w:bCs/>
          <w:sz w:val="24"/>
          <w:szCs w:val="24"/>
        </w:rPr>
        <w:t>Financial Intermediation Theory</w:t>
      </w:r>
    </w:p>
    <w:p w14:paraId="3363A6DB" w14:textId="77777777" w:rsidR="00765A33" w:rsidRPr="0070612E" w:rsidRDefault="00765A33" w:rsidP="0070612E">
      <w:pPr>
        <w:pStyle w:val="NormalWeb"/>
        <w:spacing w:line="360" w:lineRule="auto"/>
        <w:jc w:val="both"/>
      </w:pPr>
      <w:r w:rsidRPr="0070612E">
        <w:t xml:space="preserve">The Financial Intermediation Theory posits that banks and other financial institutions serve as critical intermediaries between surplus economic units (savers) and deficit economic units (borrowers), thereby facilitating efficient allocation of resources within an economy (Schumpeter, 1934). By pooling savings from depositors and channeling them towards </w:t>
      </w:r>
      <w:r w:rsidRPr="0070612E">
        <w:lastRenderedPageBreak/>
        <w:t>productive investments, banks play a fundamental role in promoting economic growth, innovation, and development.</w:t>
      </w:r>
    </w:p>
    <w:p w14:paraId="1104ED0A" w14:textId="77777777" w:rsidR="00765A33" w:rsidRPr="0070612E" w:rsidRDefault="00765A33" w:rsidP="0070612E">
      <w:pPr>
        <w:pStyle w:val="NormalWeb"/>
        <w:spacing w:line="360" w:lineRule="auto"/>
        <w:jc w:val="both"/>
      </w:pPr>
      <w:r w:rsidRPr="0070612E">
        <w:t>In this context, small-scale enterprises (SSEs) represent a key category of borrowers who rely on bank financing to support their operations, expand their businesses, and contribute to employment generation and poverty reduction. According to Levine (1997), an efficient financial intermediation process reduces information asymmetries, lowers transaction costs, and mitigates credit risks, thereby enhancing access to finance, particularly for small and emerging businesses.</w:t>
      </w:r>
    </w:p>
    <w:p w14:paraId="05064512" w14:textId="77777777" w:rsidR="00765A33" w:rsidRPr="0070612E" w:rsidRDefault="00765A33" w:rsidP="009D4044">
      <w:pPr>
        <w:pStyle w:val="NormalWeb"/>
        <w:spacing w:line="360" w:lineRule="auto"/>
        <w:jc w:val="both"/>
      </w:pPr>
      <w:r w:rsidRPr="0070612E">
        <w:t xml:space="preserve">Bank recapitalization directly enhances the financial intermediation role of banks. By strengthening their capital bases, banks are better equipped to absorb risks, extend more credit, and offer diversified financial products tailored to the needs of different sectors, including SSEs. </w:t>
      </w:r>
    </w:p>
    <w:p w14:paraId="5C946C00" w14:textId="77777777" w:rsidR="00765A33" w:rsidRPr="0070612E" w:rsidRDefault="00765A33" w:rsidP="0070612E">
      <w:pPr>
        <w:pStyle w:val="NormalWeb"/>
        <w:spacing w:line="360" w:lineRule="auto"/>
        <w:jc w:val="both"/>
      </w:pPr>
      <w:r w:rsidRPr="0070612E">
        <w:t>For First Bank of Nigeria Plc, the recapitalization exercisesespecially those of 2005 and the proposed 2024 initiativerepresent opportunities to bolster its intermediation functions by expanding credit access to underserved sectors. Nonetheless, the effectiveness of financial intermediation is influenced by other factors such as regulatory environment, macroeconomic stability, and internal bank policies, which continue to shape the realities of small business financing in Nigeria.</w:t>
      </w:r>
    </w:p>
    <w:p w14:paraId="45001923" w14:textId="77777777" w:rsidR="00E05121" w:rsidRPr="0070612E" w:rsidRDefault="00E05121" w:rsidP="0070612E">
      <w:pPr>
        <w:pStyle w:val="Heading3"/>
        <w:spacing w:line="360" w:lineRule="auto"/>
        <w:jc w:val="both"/>
        <w:rPr>
          <w:sz w:val="24"/>
          <w:szCs w:val="24"/>
        </w:rPr>
      </w:pPr>
      <w:r w:rsidRPr="0070612E">
        <w:rPr>
          <w:rStyle w:val="Strong"/>
          <w:b/>
          <w:bCs/>
          <w:sz w:val="24"/>
          <w:szCs w:val="24"/>
        </w:rPr>
        <w:t xml:space="preserve">2.2.2 </w:t>
      </w:r>
      <w:r w:rsidR="00900418" w:rsidRPr="0070612E">
        <w:rPr>
          <w:rStyle w:val="Strong"/>
          <w:b/>
          <w:bCs/>
          <w:sz w:val="24"/>
          <w:szCs w:val="24"/>
        </w:rPr>
        <w:tab/>
      </w:r>
      <w:r w:rsidRPr="0070612E">
        <w:rPr>
          <w:rStyle w:val="Strong"/>
          <w:b/>
          <w:bCs/>
          <w:sz w:val="24"/>
          <w:szCs w:val="24"/>
        </w:rPr>
        <w:t>Credit Rationing Theory</w:t>
      </w:r>
    </w:p>
    <w:p w14:paraId="2FD12517" w14:textId="77777777" w:rsidR="00E05121" w:rsidRPr="0070612E" w:rsidRDefault="00E05121" w:rsidP="009D4044">
      <w:pPr>
        <w:pStyle w:val="NormalWeb"/>
        <w:spacing w:line="360" w:lineRule="auto"/>
        <w:jc w:val="both"/>
      </w:pPr>
      <w:r w:rsidRPr="0070612E">
        <w:t xml:space="preserve">The Credit Rationing Theory, developed by Stiglitz and Weiss (1981), offers a critical framework for understanding the behavior of banks in lending decisions, particularly toward small-scale enterprises (SSEs). The theory posits that banks may deliberately limit the amount of credit extended to borrowers, even when borrowers are willing to pay higher interest rates. </w:t>
      </w:r>
    </w:p>
    <w:p w14:paraId="0588A0E0" w14:textId="77777777" w:rsidR="00E05121" w:rsidRPr="0070612E" w:rsidRDefault="00E05121" w:rsidP="0070612E">
      <w:pPr>
        <w:pStyle w:val="NormalWeb"/>
        <w:spacing w:line="360" w:lineRule="auto"/>
        <w:jc w:val="both"/>
      </w:pPr>
      <w:r w:rsidRPr="0070612E">
        <w:t xml:space="preserve">Higher interest rates, rather than simply compensating for risk, may actually exacerbate the problem by attracting riskier borrowers (adverse selection) or encouraging borrowers to engage in riskier projects (moral hazard). To mitigate these risks, banks may choose to ration credit </w:t>
      </w:r>
      <w:r w:rsidRPr="0070612E">
        <w:lastRenderedPageBreak/>
        <w:t>rather than fully satisfy all loan demands, particularly in sectors perceived as inherently riskier, such as the small-scale enterprise sector.</w:t>
      </w:r>
    </w:p>
    <w:p w14:paraId="659069B8" w14:textId="77777777" w:rsidR="00E05121" w:rsidRPr="0070612E" w:rsidRDefault="00E05121" w:rsidP="009D4044">
      <w:pPr>
        <w:pStyle w:val="NormalWeb"/>
        <w:spacing w:line="360" w:lineRule="auto"/>
        <w:jc w:val="both"/>
      </w:pPr>
      <w:r w:rsidRPr="0070612E">
        <w:t xml:space="preserve">Despite bank recapitalization efforts, including those undertaken by First Bank of Nigeria Plc, the fundamental issues highlighted by the Credit Rationing Theory persist. Even with stronger capital bases, banks may continue to impose stringent collateral requirements, enforce rigorous screening processes, and maintain conservative lending thresholds when dealing with SSEs. </w:t>
      </w:r>
    </w:p>
    <w:p w14:paraId="7034A875" w14:textId="77777777" w:rsidR="00E05121" w:rsidRPr="0070612E" w:rsidRDefault="00E05121" w:rsidP="0070612E">
      <w:pPr>
        <w:pStyle w:val="NormalWeb"/>
        <w:spacing w:line="360" w:lineRule="auto"/>
        <w:jc w:val="both"/>
      </w:pPr>
      <w:r w:rsidRPr="0070612E">
        <w:t>Thus, the Credit Rationing Theory provides an important lens through which to understand why the expected surge in small enterprise financing following bank recapitalization has not been fully realized. It underscores the need for complementary measures such as credit guarantee schemes, financial literacy initiatives, and the development of specialized lending models that address the unique challenges of small-scale enterprise financing in Nigeria.</w:t>
      </w:r>
    </w:p>
    <w:p w14:paraId="2F2F90EF" w14:textId="77777777" w:rsidR="00E05121" w:rsidRPr="0070612E" w:rsidRDefault="00E05121" w:rsidP="0070612E">
      <w:pPr>
        <w:pStyle w:val="Heading3"/>
        <w:spacing w:line="360" w:lineRule="auto"/>
        <w:jc w:val="both"/>
        <w:rPr>
          <w:sz w:val="24"/>
          <w:szCs w:val="24"/>
        </w:rPr>
      </w:pPr>
      <w:r w:rsidRPr="0070612E">
        <w:rPr>
          <w:rStyle w:val="Strong"/>
          <w:b/>
          <w:bCs/>
          <w:sz w:val="24"/>
          <w:szCs w:val="24"/>
        </w:rPr>
        <w:t>2.2.3 Pecking Order Theory</w:t>
      </w:r>
    </w:p>
    <w:p w14:paraId="4ED7E130" w14:textId="77777777" w:rsidR="00E05121" w:rsidRPr="0070612E" w:rsidRDefault="00E05121" w:rsidP="009D4044">
      <w:pPr>
        <w:pStyle w:val="NormalWeb"/>
        <w:spacing w:line="360" w:lineRule="auto"/>
        <w:jc w:val="both"/>
      </w:pPr>
      <w:r w:rsidRPr="0070612E">
        <w:t xml:space="preserve">The Pecking Order Theory, introduced by Myers and </w:t>
      </w:r>
      <w:proofErr w:type="spellStart"/>
      <w:r w:rsidRPr="0070612E">
        <w:t>Majluf</w:t>
      </w:r>
      <w:proofErr w:type="spellEnd"/>
      <w:r w:rsidRPr="0070612E">
        <w:t xml:space="preserve"> (1984), provides significant insight into the financing behavior of businesses, particularly small-scale enterprises (SSEs). The theory asserts that firms prioritize their sources of financing based on the principle of least effort or cost. Specifically, businesses prefer to finance new projects first through internal funds (retained earnings), then through debt, and only as a last resort, by issuing new equity. </w:t>
      </w:r>
    </w:p>
    <w:p w14:paraId="4AE6C966" w14:textId="77777777" w:rsidR="00E05121" w:rsidRPr="0070612E" w:rsidRDefault="00E05121" w:rsidP="0070612E">
      <w:pPr>
        <w:pStyle w:val="NormalWeb"/>
        <w:spacing w:line="360" w:lineRule="auto"/>
        <w:jc w:val="both"/>
      </w:pPr>
      <w:r w:rsidRPr="0070612E">
        <w:t>For SSEs, which often operate with thin profit margins and limited retained earnings, internal financing options are typically inadequate to support expansion or even day-to-day operations. Consequently, these enterprises are more reliant on external financing, especially bank loans. However, their access to formal finance is frequently constrained by factors such as high collateral requirements, stringent credit evaluations, and perceived higher default risks by financial institutions.</w:t>
      </w:r>
    </w:p>
    <w:p w14:paraId="12C93B87" w14:textId="77777777" w:rsidR="00E05121" w:rsidRPr="0070612E" w:rsidRDefault="00E05121" w:rsidP="0070612E">
      <w:pPr>
        <w:pStyle w:val="NormalWeb"/>
        <w:spacing w:line="360" w:lineRule="auto"/>
        <w:jc w:val="both"/>
      </w:pPr>
      <w:r w:rsidRPr="0070612E">
        <w:lastRenderedPageBreak/>
        <w:t>The implications of the Pecking Order Theory are particularly relevant in the Nigerian banking context following the 2005 and ongoing 2024 recapitalization exercises. While bank recapitalization, such as that embraced by First Bank of Nigeria Plc, was intended to boost the overall lending capacity of banks, it did not automatically translate into easier access to finance for SSEs. Given their limited internal resources and restricted external funding opportunities, small businesses remain vulnerable and heavily dependent on banks to meet their financing needs.</w:t>
      </w:r>
    </w:p>
    <w:p w14:paraId="4CFD6BFB" w14:textId="77777777" w:rsidR="00E05121" w:rsidRPr="0070612E" w:rsidRDefault="00E05121" w:rsidP="0070612E">
      <w:pPr>
        <w:pStyle w:val="NormalWeb"/>
        <w:spacing w:line="360" w:lineRule="auto"/>
        <w:jc w:val="both"/>
      </w:pPr>
      <w:r w:rsidRPr="0070612E">
        <w:t>Moreover, when banks adopt cautious lending strategies, as explained under the Credit Rationing Theory, the challenges for SSEs become even more pronounced. Understanding this pecking order preference helps in explaining why many small businesses fail to scale despite broader financial sector reformsit underscores the urgent need for policies that not only strengthen banks but also directly address the financing bottlenecks facing small enterprises.</w:t>
      </w:r>
    </w:p>
    <w:p w14:paraId="31245008" w14:textId="77777777" w:rsidR="00ED4D0C" w:rsidRPr="0070612E" w:rsidRDefault="00ED4D0C" w:rsidP="0070612E">
      <w:pPr>
        <w:pStyle w:val="Heading3"/>
        <w:spacing w:line="360" w:lineRule="auto"/>
        <w:jc w:val="both"/>
        <w:rPr>
          <w:sz w:val="24"/>
          <w:szCs w:val="24"/>
        </w:rPr>
      </w:pPr>
      <w:r w:rsidRPr="0070612E">
        <w:rPr>
          <w:rStyle w:val="Strong"/>
          <w:b/>
          <w:bCs/>
          <w:sz w:val="24"/>
          <w:szCs w:val="24"/>
        </w:rPr>
        <w:t xml:space="preserve">2.2.4 </w:t>
      </w:r>
      <w:r w:rsidR="00295712">
        <w:rPr>
          <w:rStyle w:val="Strong"/>
          <w:b/>
          <w:bCs/>
          <w:sz w:val="24"/>
          <w:szCs w:val="24"/>
        </w:rPr>
        <w:tab/>
      </w:r>
      <w:r w:rsidRPr="0070612E">
        <w:rPr>
          <w:rStyle w:val="Strong"/>
          <w:b/>
          <w:bCs/>
          <w:sz w:val="24"/>
          <w:szCs w:val="24"/>
        </w:rPr>
        <w:t>Agency Theory</w:t>
      </w:r>
    </w:p>
    <w:p w14:paraId="591F0032" w14:textId="77777777" w:rsidR="00ED4D0C" w:rsidRPr="0070612E" w:rsidRDefault="00ED4D0C" w:rsidP="0070612E">
      <w:pPr>
        <w:pStyle w:val="NormalWeb"/>
        <w:spacing w:line="360" w:lineRule="auto"/>
        <w:jc w:val="both"/>
      </w:pPr>
      <w:r w:rsidRPr="0070612E">
        <w:t xml:space="preserve">Agency Theory, as articulated by Jensen and </w:t>
      </w:r>
      <w:proofErr w:type="spellStart"/>
      <w:r w:rsidRPr="0070612E">
        <w:t>Meckling</w:t>
      </w:r>
      <w:proofErr w:type="spellEnd"/>
      <w:r w:rsidRPr="0070612E">
        <w:t xml:space="preserve"> (1976), examines the relationship between principals (e.g., shareholders or depositors) and agents (e.g., bank managers or borrowers), highlighting potential conflicts of interest arising from information asymmetry and divergent objectives. In the banking sector, this theory elucidates the challenges banks face in ensuring that borrowers utilize funds as intended, especially when monitoring is costly or imperfect.</w:t>
      </w:r>
    </w:p>
    <w:p w14:paraId="15576E56" w14:textId="77777777" w:rsidR="00ED4D0C" w:rsidRPr="0070612E" w:rsidRDefault="00ED4D0C" w:rsidP="0070612E">
      <w:pPr>
        <w:pStyle w:val="NormalWeb"/>
        <w:spacing w:line="360" w:lineRule="auto"/>
        <w:jc w:val="both"/>
      </w:pPr>
      <w:r w:rsidRPr="0070612E">
        <w:t xml:space="preserve">In the context of small-scale enterprises (SSEs), agency problems are pronounced due to limited transparency, inadequate financial records, and the informal nature of many such businesses. Banks, acting as principals, may be hesitant to extend credit to SSEs (agents) without sufficient assurance of repayment, leading to stringent lending conditions or outright credit denial. </w:t>
      </w:r>
      <w:r w:rsidR="00295712" w:rsidRPr="0070612E">
        <w:t>This dynamic underscore</w:t>
      </w:r>
      <w:r w:rsidRPr="0070612E">
        <w:t xml:space="preserve"> the importance of mechanisms that align the interests of both parties, such as collateral requirements or performance-based lending terms.</w:t>
      </w:r>
    </w:p>
    <w:p w14:paraId="5630897F" w14:textId="77777777" w:rsidR="00ED4D0C" w:rsidRPr="0070612E" w:rsidRDefault="00ED4D0C" w:rsidP="00295712">
      <w:pPr>
        <w:pStyle w:val="NormalWeb"/>
        <w:spacing w:line="360" w:lineRule="auto"/>
        <w:jc w:val="both"/>
      </w:pPr>
      <w:r w:rsidRPr="0070612E">
        <w:lastRenderedPageBreak/>
        <w:t xml:space="preserve">Post-recapitalization, banks like First Bank of Nigeria Plc have bolstered their capital bases, theoretically enhancing their capacity to absorb risks associated with lending. However, agency concerns persist, particularly regarding SSEs, where the cost of monitoring and enforcing contracts remains high. </w:t>
      </w:r>
    </w:p>
    <w:p w14:paraId="1F17A614" w14:textId="77777777" w:rsidR="00ED4D0C" w:rsidRPr="0070612E" w:rsidRDefault="00ED4D0C" w:rsidP="0070612E">
      <w:pPr>
        <w:pStyle w:val="Heading3"/>
        <w:spacing w:line="360" w:lineRule="auto"/>
        <w:jc w:val="both"/>
        <w:rPr>
          <w:sz w:val="24"/>
          <w:szCs w:val="24"/>
        </w:rPr>
      </w:pPr>
      <w:r w:rsidRPr="0070612E">
        <w:rPr>
          <w:rStyle w:val="Strong"/>
          <w:b/>
          <w:bCs/>
          <w:sz w:val="24"/>
          <w:szCs w:val="24"/>
        </w:rPr>
        <w:t xml:space="preserve">2.2.5 </w:t>
      </w:r>
      <w:r w:rsidR="00317F04" w:rsidRPr="0070612E">
        <w:rPr>
          <w:rStyle w:val="Strong"/>
          <w:b/>
          <w:bCs/>
          <w:sz w:val="24"/>
          <w:szCs w:val="24"/>
        </w:rPr>
        <w:tab/>
      </w:r>
      <w:r w:rsidRPr="0070612E">
        <w:rPr>
          <w:rStyle w:val="Strong"/>
          <w:b/>
          <w:bCs/>
          <w:sz w:val="24"/>
          <w:szCs w:val="24"/>
        </w:rPr>
        <w:t>Transaction Cost Theory</w:t>
      </w:r>
    </w:p>
    <w:p w14:paraId="694B180B" w14:textId="77777777" w:rsidR="00ED4D0C" w:rsidRPr="0070612E" w:rsidRDefault="00ED4D0C" w:rsidP="0070612E">
      <w:pPr>
        <w:pStyle w:val="NormalWeb"/>
        <w:spacing w:line="360" w:lineRule="auto"/>
        <w:jc w:val="both"/>
      </w:pPr>
      <w:r w:rsidRPr="0070612E">
        <w:t>Transaction Cost Theory, introduced by Coase (1937) and expanded by Williamson (1981), posits that economic exchanges incur costs related to searching for information, negotiating contracts, and enforcing agreements. In financial intermediation, these transaction costs can significantly influence the behavior of both lenders and borrowers.</w:t>
      </w:r>
    </w:p>
    <w:p w14:paraId="00E6427B" w14:textId="77777777" w:rsidR="00ED4D0C" w:rsidRPr="0070612E" w:rsidRDefault="00ED4D0C" w:rsidP="0070612E">
      <w:pPr>
        <w:pStyle w:val="NormalWeb"/>
        <w:spacing w:line="360" w:lineRule="auto"/>
        <w:jc w:val="both"/>
      </w:pPr>
      <w:r w:rsidRPr="0070612E">
        <w:t>For SSEs, transaction costs manifest in various forms: the time and resources spent preparing loan applications, the expenses associated with meeting bank requirements, and the opportunity costs of prolonged approval processes. These costs can be disproportionately burdensome for small businesses, deterring them from seeking formal financing or leading to unsuccessful loan applications.</w:t>
      </w:r>
    </w:p>
    <w:p w14:paraId="1C910C0D" w14:textId="77777777" w:rsidR="00ED4D0C" w:rsidRPr="0070612E" w:rsidRDefault="00ED4D0C" w:rsidP="0070612E">
      <w:pPr>
        <w:pStyle w:val="NormalWeb"/>
        <w:spacing w:line="360" w:lineRule="auto"/>
        <w:jc w:val="both"/>
      </w:pPr>
      <w:r w:rsidRPr="0070612E">
        <w:t>From the banks' perspective, processing numerous small loans to SSEs may not be cost-effective, especially when each loan requires substantial due diligence and monitoring. This scenario can result in a preference for larger, more straightforward lending opportunities, sidelining SSEs despite their potential contribution to economic growth.</w:t>
      </w:r>
    </w:p>
    <w:p w14:paraId="03881E60" w14:textId="77777777" w:rsidR="00ED4D0C" w:rsidRPr="0070612E" w:rsidRDefault="00ED4D0C" w:rsidP="0070612E">
      <w:pPr>
        <w:pStyle w:val="NormalWeb"/>
        <w:spacing w:line="360" w:lineRule="auto"/>
        <w:jc w:val="both"/>
      </w:pPr>
      <w:r w:rsidRPr="0070612E">
        <w:t xml:space="preserve">In Nigeria's post-recapitalization banking environment, institutions like First Bank of Nigeria Plc are better capitalized and theoretically more capable of absorbing transaction costs. However, without targeted strategies to reduce these costssuch as streamlined application processes, use of technology for credit assessments, or group lending modelsthe benefits of recapitalization may not fully extend to SSEs. </w:t>
      </w:r>
    </w:p>
    <w:p w14:paraId="18020B14" w14:textId="77777777" w:rsidR="00206E00" w:rsidRPr="0070612E" w:rsidRDefault="00206E00" w:rsidP="00295712">
      <w:pPr>
        <w:pStyle w:val="Heading2"/>
        <w:spacing w:line="240" w:lineRule="auto"/>
        <w:jc w:val="both"/>
        <w:rPr>
          <w:rFonts w:ascii="Times New Roman" w:hAnsi="Times New Roman"/>
          <w:color w:val="auto"/>
          <w:sz w:val="24"/>
          <w:szCs w:val="24"/>
        </w:rPr>
      </w:pPr>
      <w:r w:rsidRPr="0070612E">
        <w:rPr>
          <w:rStyle w:val="Strong"/>
          <w:rFonts w:ascii="Times New Roman" w:hAnsi="Times New Roman"/>
          <w:color w:val="auto"/>
          <w:sz w:val="24"/>
          <w:szCs w:val="24"/>
        </w:rPr>
        <w:lastRenderedPageBreak/>
        <w:t>2.</w:t>
      </w:r>
      <w:r w:rsidR="003427E2" w:rsidRPr="0070612E">
        <w:rPr>
          <w:rStyle w:val="Strong"/>
          <w:rFonts w:ascii="Times New Roman" w:hAnsi="Times New Roman"/>
          <w:color w:val="auto"/>
          <w:sz w:val="24"/>
          <w:szCs w:val="24"/>
        </w:rPr>
        <w:t>3</w:t>
      </w:r>
      <w:r w:rsidR="003427E2" w:rsidRPr="0070612E">
        <w:rPr>
          <w:rStyle w:val="Strong"/>
          <w:rFonts w:ascii="Times New Roman" w:hAnsi="Times New Roman"/>
          <w:color w:val="auto"/>
          <w:sz w:val="24"/>
          <w:szCs w:val="24"/>
        </w:rPr>
        <w:tab/>
      </w:r>
      <w:r w:rsidRPr="0070612E">
        <w:rPr>
          <w:rStyle w:val="Strong"/>
          <w:rFonts w:ascii="Times New Roman" w:hAnsi="Times New Roman"/>
          <w:color w:val="auto"/>
          <w:sz w:val="24"/>
          <w:szCs w:val="24"/>
        </w:rPr>
        <w:t>Empirical Review</w:t>
      </w:r>
    </w:p>
    <w:p w14:paraId="216FB0F5" w14:textId="77777777" w:rsidR="00BB5C82" w:rsidRPr="0070612E" w:rsidRDefault="00BB5C82" w:rsidP="0070612E">
      <w:pPr>
        <w:pStyle w:val="NormalWeb"/>
        <w:spacing w:line="360" w:lineRule="auto"/>
        <w:jc w:val="both"/>
      </w:pPr>
      <w:proofErr w:type="spellStart"/>
      <w:r w:rsidRPr="0070612E">
        <w:t>Nwaeze</w:t>
      </w:r>
      <w:proofErr w:type="spellEnd"/>
      <w:r w:rsidRPr="0070612E">
        <w:t xml:space="preserve"> et al. (2021) conducted a comprehensive study examining the impact of bank recapitalization on the financing of small-scale enterprises (SSEs) in Nigeria. Their research revealed that while the recapitalization policies, particularly the 2005 initiative, enhanced the overall stability and capital adequacy of Nigerian banks, the anticipated improvements in access to finance for small businesses did not materialize as expected. Despite the increased capital base, which theoretically should have enabled banks to take on more risk and offer more credit, the study found that small-scale enterprises continued to face significant challenges in securing loans.</w:t>
      </w:r>
    </w:p>
    <w:p w14:paraId="54E4690D" w14:textId="77777777" w:rsidR="00BB5C82" w:rsidRPr="0070612E" w:rsidRDefault="00BB5C82" w:rsidP="0070612E">
      <w:pPr>
        <w:pStyle w:val="NormalWeb"/>
        <w:spacing w:line="360" w:lineRule="auto"/>
        <w:jc w:val="both"/>
      </w:pPr>
      <w:r w:rsidRPr="0070612E">
        <w:t>The study identified key barriers such as persistently high interest rates and stringent collateral requirements, which remained largely unchanged post-recapitalization. High interest rates, in particular, continued to exacerbate the financial burden on small business owners, many of whom already operated with narrow profit margins and insufficient financial reserves.</w:t>
      </w:r>
    </w:p>
    <w:p w14:paraId="599F0933" w14:textId="77777777" w:rsidR="00BB5C82" w:rsidRPr="0070612E" w:rsidRDefault="00BB5C82" w:rsidP="0070612E">
      <w:pPr>
        <w:pStyle w:val="NormalWeb"/>
        <w:spacing w:line="360" w:lineRule="auto"/>
        <w:jc w:val="both"/>
      </w:pPr>
      <w:r w:rsidRPr="0070612E">
        <w:t xml:space="preserve">Furthermore, the study pointed to the continuing risk aversion within banks, where financial institutions remained cautious in extending credit to sectors perceived as high-risk, despite their improved capital positions. This finding aligns with the </w:t>
      </w:r>
      <w:r w:rsidRPr="00855D64">
        <w:rPr>
          <w:rStyle w:val="Strong"/>
          <w:b w:val="0"/>
          <w:bCs w:val="0"/>
        </w:rPr>
        <w:t>Credit Rationing Theory</w:t>
      </w:r>
      <w:r w:rsidRPr="00855D64">
        <w:rPr>
          <w:b/>
          <w:bCs/>
        </w:rPr>
        <w:t>,</w:t>
      </w:r>
      <w:r w:rsidRPr="0070612E">
        <w:t xml:space="preserve"> which suggests that banks may limit credit even when borrowers are willing to pay higher interest rates, due to the risk associated with lending to perceived high-risk borrowers, such as small-scale enterprises.</w:t>
      </w:r>
    </w:p>
    <w:p w14:paraId="4530DA38" w14:textId="77777777" w:rsidR="00BB5C82" w:rsidRPr="0070612E" w:rsidRDefault="00BB5C82" w:rsidP="0070612E">
      <w:pPr>
        <w:pStyle w:val="NormalWeb"/>
        <w:spacing w:line="360" w:lineRule="auto"/>
        <w:jc w:val="both"/>
      </w:pPr>
      <w:r w:rsidRPr="0070612E">
        <w:t xml:space="preserve">The research by </w:t>
      </w:r>
      <w:proofErr w:type="spellStart"/>
      <w:r w:rsidRPr="0070612E">
        <w:t>Nwaeze</w:t>
      </w:r>
      <w:proofErr w:type="spellEnd"/>
      <w:r w:rsidRPr="0070612E">
        <w:t xml:space="preserve"> et al. (2021) highlighted a significant gap between the theoretical goals of recapitalizationnamely, increased credit access for SMEsand the practical outcomes observed in the Nigerian banking sector. It calls attention to the fact that recapitalization alone may not be sufficient to overcome the structural and operational barriers to SME financing. The findings suggest that banks need to adopt more flexible lending policies, including reducing interest rates, relaxing collateral requirements, and exploring alternative financing models, in order to better serve the needs of small-scale enterprises.</w:t>
      </w:r>
    </w:p>
    <w:p w14:paraId="7E30775F" w14:textId="77777777" w:rsidR="00BB5C82" w:rsidRPr="0070612E" w:rsidRDefault="00BB5C82" w:rsidP="0070612E">
      <w:pPr>
        <w:pStyle w:val="NormalWeb"/>
        <w:spacing w:line="360" w:lineRule="auto"/>
        <w:jc w:val="both"/>
      </w:pPr>
      <w:r w:rsidRPr="0070612E">
        <w:lastRenderedPageBreak/>
        <w:t>This study provides valuable insights into the limitations of the recapitalization process in addressing the specific financing challenges faced by SSEs. It underscores the importance of complementary measures, such as targeted government interventions, financial literacy programs for entrepreneurs, and the development of more inclusive financial products that cater to the unique needs of small businesses.</w:t>
      </w:r>
    </w:p>
    <w:p w14:paraId="24608055" w14:textId="77777777" w:rsidR="00AB1613" w:rsidRPr="0070612E" w:rsidRDefault="00AB1613" w:rsidP="0070612E">
      <w:pPr>
        <w:pStyle w:val="NormalWeb"/>
        <w:spacing w:line="360" w:lineRule="auto"/>
        <w:jc w:val="both"/>
      </w:pPr>
      <w:r w:rsidRPr="001F407B">
        <w:t xml:space="preserve">In their 2023 study, </w:t>
      </w:r>
      <w:r w:rsidRPr="001F407B">
        <w:rPr>
          <w:rStyle w:val="Strong"/>
          <w:b w:val="0"/>
          <w:bCs w:val="0"/>
        </w:rPr>
        <w:t>Okafor and Chukwuemeka</w:t>
      </w:r>
      <w:r w:rsidRPr="001F407B">
        <w:t xml:space="preserve">explored the effects of banking reforms, </w:t>
      </w:r>
      <w:r w:rsidRPr="0070612E">
        <w:t>particularly the recapitalization policies, on the growth and development of small and medium-sized enterprises (SMEs) in Nigeria. Their research focused on the differentiated impact of recapitalization across various banks and identified a key finding: only banks that implemented specific programs tailored to the needs of SMEs saw meaningful improvements in their lending behavior toward small businesses following the recapitalization reforms.</w:t>
      </w:r>
    </w:p>
    <w:p w14:paraId="25280A6F" w14:textId="77777777" w:rsidR="00AB1613" w:rsidRPr="0070612E" w:rsidRDefault="00AB1613" w:rsidP="0070612E">
      <w:pPr>
        <w:pStyle w:val="NormalWeb"/>
        <w:spacing w:line="360" w:lineRule="auto"/>
        <w:jc w:val="both"/>
      </w:pPr>
      <w:r w:rsidRPr="0070612E">
        <w:t>The study emphasized that while the general recapitalization exercise strengthened the financial stability of banks, it did not universally lead to enhanced access to finance for small businesses. The researchers found that banks that had proactively integrated SME-specific financing programs into their operations experienced better outcomes in terms of credit disbursements to small businesses. These programs included specialized loan products with lower interest rates, flexible collateral requirements, and simplified loan application processes designed to cater to the unique challenges faced by small-scale enterprises. For example, banks with targeted SME portfolios offered more lenient terms for first-time borrowers and engaged in more proactive relationship-building with entrepreneurs.</w:t>
      </w:r>
    </w:p>
    <w:p w14:paraId="0C24F7BB" w14:textId="77777777" w:rsidR="00AB1613" w:rsidRPr="0070612E" w:rsidRDefault="00AB1613" w:rsidP="0070612E">
      <w:pPr>
        <w:pStyle w:val="NormalWeb"/>
        <w:spacing w:line="360" w:lineRule="auto"/>
        <w:jc w:val="both"/>
      </w:pPr>
      <w:r w:rsidRPr="0070612E">
        <w:t>In contrast, banks that did not introduce or strengthen SME-focused lending initiatives, including First Bank of Nigeria Plc, failed to significantly increase their lending to small businesses. This finding suggests that despite improved capitalization, the underlying operational and structural barriers to SME financing, such as high interest rates, stringent credit evaluations, and risk aversion, remained entrenched in banks that did not have a clear SME-focused strategy.</w:t>
      </w:r>
    </w:p>
    <w:p w14:paraId="01406547" w14:textId="77777777" w:rsidR="00AB1613" w:rsidRPr="0070612E" w:rsidRDefault="00AB1613" w:rsidP="0070612E">
      <w:pPr>
        <w:pStyle w:val="NormalWeb"/>
        <w:spacing w:line="360" w:lineRule="auto"/>
        <w:jc w:val="both"/>
      </w:pPr>
      <w:r w:rsidRPr="0070612E">
        <w:lastRenderedPageBreak/>
        <w:t>The research by Okafor and Chukwuemeka (2023) highlights the importance of targeted and tailored banking reforms to effectively address the unique needs of small businesses. It supports the view that recapitalization, in isolation, does not automatically lead to greater financial inclusion or improved access to credit for small enterprises. The findings further suggest that while recapitalization can enhance the overall capacity of banks, the true impact on SME financing depends largely on the extent to which banks are willing to design and implement programs that specifically address the financial and operational challenges of small businesses.</w:t>
      </w:r>
    </w:p>
    <w:p w14:paraId="1E7A0BF1" w14:textId="77777777" w:rsidR="00AB1613" w:rsidRPr="0070612E" w:rsidRDefault="00AB1613" w:rsidP="0070612E">
      <w:pPr>
        <w:pStyle w:val="NormalWeb"/>
        <w:spacing w:line="360" w:lineRule="auto"/>
        <w:jc w:val="both"/>
      </w:pPr>
      <w:r w:rsidRPr="0070612E">
        <w:t>This study offers valuable insights for both policymakers and financial institutions, suggesting that for recapitalization to have a significant positive effect on SME growth, it must be complemented by targeted programs and products that align with the unique characteristics and needs of small-scale enterprises.</w:t>
      </w:r>
    </w:p>
    <w:p w14:paraId="4B28EA67" w14:textId="77777777" w:rsidR="00AB1613" w:rsidRPr="0070612E" w:rsidRDefault="00AB1613" w:rsidP="0070612E">
      <w:pPr>
        <w:spacing w:before="100" w:beforeAutospacing="1" w:after="100" w:afterAutospacing="1" w:line="360" w:lineRule="auto"/>
        <w:jc w:val="both"/>
        <w:rPr>
          <w:rFonts w:ascii="Times New Roman" w:eastAsia="Times New Roman" w:hAnsi="Times New Roman" w:cs="Times New Roman"/>
          <w:sz w:val="24"/>
          <w:szCs w:val="24"/>
        </w:rPr>
      </w:pPr>
      <w:r w:rsidRPr="0070612E">
        <w:rPr>
          <w:rFonts w:ascii="Times New Roman" w:eastAsia="Times New Roman" w:hAnsi="Times New Roman" w:cs="Times New Roman"/>
          <w:sz w:val="24"/>
          <w:szCs w:val="24"/>
        </w:rPr>
        <w:t>In 2020, Adeleke conducted a detailed analysis of First Bank of Nigeria Plc’s SME financing trends post-recapitalization. The study specifically assessed the effectiveness of the bank’s initiatives aimed at supporting small and medium-sized enterprises (SMEs) following the significant 2005 recapitalization reform, which aimed to strengthen banks and enhance their capacity to provide credit to vital sectors of the economy, including SMEs. Adeleke’s findings highlighted a paradoxical scenario, where despite the bank’s increased financial base, the actual impact of the financing schemes introduced for SMEs remained subdued due to a combination of bureaucratic inefficiencies and conservative risk assessment models.</w:t>
      </w:r>
    </w:p>
    <w:p w14:paraId="7BB54C31" w14:textId="77777777" w:rsidR="00AB1613" w:rsidRPr="0070612E" w:rsidRDefault="00AB1613" w:rsidP="0070612E">
      <w:pPr>
        <w:spacing w:before="100" w:beforeAutospacing="1" w:after="100" w:afterAutospacing="1" w:line="360" w:lineRule="auto"/>
        <w:jc w:val="both"/>
        <w:rPr>
          <w:rFonts w:ascii="Times New Roman" w:eastAsia="Times New Roman" w:hAnsi="Times New Roman" w:cs="Times New Roman"/>
          <w:sz w:val="24"/>
          <w:szCs w:val="24"/>
        </w:rPr>
      </w:pPr>
      <w:r w:rsidRPr="0070612E">
        <w:rPr>
          <w:rFonts w:ascii="Times New Roman" w:eastAsia="Times New Roman" w:hAnsi="Times New Roman" w:cs="Times New Roman"/>
          <w:sz w:val="24"/>
          <w:szCs w:val="24"/>
        </w:rPr>
        <w:t>Adeleke (2020) acknowledged that First Bank introduced a variety of financing schemes designed to support the growth and sustainability of SMEs in Nigeria. These included low-interest loans, flexible repayment terms, and specialized loan products tailored to the needs of small businesses. The bank’s increased capital base following recapitalization allowed for the launch of these financing initiatives, theoretically providing SMEs with better access to funds. However, despite these initiatives, the practical reach and effectiveness of these programs were limited.</w:t>
      </w:r>
    </w:p>
    <w:p w14:paraId="7538E2FE" w14:textId="77777777" w:rsidR="00AB1613" w:rsidRPr="0070612E" w:rsidRDefault="00AB1613" w:rsidP="0070612E">
      <w:pPr>
        <w:spacing w:before="100" w:beforeAutospacing="1" w:after="100" w:afterAutospacing="1" w:line="360" w:lineRule="auto"/>
        <w:jc w:val="both"/>
        <w:rPr>
          <w:rFonts w:ascii="Times New Roman" w:eastAsia="Times New Roman" w:hAnsi="Times New Roman" w:cs="Times New Roman"/>
          <w:sz w:val="24"/>
          <w:szCs w:val="24"/>
        </w:rPr>
      </w:pPr>
      <w:r w:rsidRPr="0070612E">
        <w:rPr>
          <w:rFonts w:ascii="Times New Roman" w:eastAsia="Times New Roman" w:hAnsi="Times New Roman" w:cs="Times New Roman"/>
          <w:sz w:val="24"/>
          <w:szCs w:val="24"/>
        </w:rPr>
        <w:lastRenderedPageBreak/>
        <w:t>One of the critical barriers identified was the bureaucratic bottlenecks inherent in the bank’s loan processing systems. The study emphasized that the lengthy approval processes, excessive documentation requirements, and lack of flexibility in loan disbursement procedures made it difficult for many SMEs to access the financial support they needed in a timely manner. For instance, the cumbersome documentation process, which included stringent creditworthiness checks and the need for substantial collateral, significantly delayed the disbursement of funds. As a result, small business owners, often operating in fast-moving and dynamic sectors, found it challenging to wait for loan approvals, leading them to seek alternative, more accessible but costly forms of financing, such as microfinance institutions or informal lending channels.</w:t>
      </w:r>
    </w:p>
    <w:p w14:paraId="22691965" w14:textId="77777777" w:rsidR="00AB1613" w:rsidRPr="0070612E" w:rsidRDefault="00AB1613" w:rsidP="0070612E">
      <w:pPr>
        <w:spacing w:before="100" w:beforeAutospacing="1" w:after="100" w:afterAutospacing="1" w:line="360" w:lineRule="auto"/>
        <w:jc w:val="both"/>
        <w:rPr>
          <w:rFonts w:ascii="Times New Roman" w:eastAsia="Times New Roman" w:hAnsi="Times New Roman" w:cs="Times New Roman"/>
          <w:sz w:val="24"/>
          <w:szCs w:val="24"/>
        </w:rPr>
      </w:pPr>
      <w:r w:rsidRPr="0070612E">
        <w:rPr>
          <w:rFonts w:ascii="Times New Roman" w:eastAsia="Times New Roman" w:hAnsi="Times New Roman" w:cs="Times New Roman"/>
          <w:sz w:val="24"/>
          <w:szCs w:val="24"/>
        </w:rPr>
        <w:t>In addition to bureaucratic inefficiencies, Adeleke’s study found that First Bank's risk assessment models remained largely conservative, despite the bank’s improved capital position. The study noted that the traditional approach to credit evaluationrelying heavily on collateral and credit historyremained a significant barrier for many SMEs. First Bank, like many other banks, continued to perceive small businesses as high-risk clients, particularly those without substantial assets to secure loans. This risk-averse approach meant that even SMEs with promising business models and growth potential were often unable to secure financing, as their limited access to collateral made them ineligible for the bank’s loans.</w:t>
      </w:r>
    </w:p>
    <w:p w14:paraId="34FFF98E" w14:textId="77777777" w:rsidR="00AB1613" w:rsidRPr="0070612E" w:rsidRDefault="00AB1613" w:rsidP="0070612E">
      <w:pPr>
        <w:spacing w:before="100" w:beforeAutospacing="1" w:after="100" w:afterAutospacing="1" w:line="360" w:lineRule="auto"/>
        <w:jc w:val="both"/>
        <w:rPr>
          <w:rFonts w:ascii="Times New Roman" w:eastAsia="Times New Roman" w:hAnsi="Times New Roman" w:cs="Times New Roman"/>
          <w:sz w:val="24"/>
          <w:szCs w:val="24"/>
        </w:rPr>
      </w:pPr>
      <w:r w:rsidRPr="0070612E">
        <w:rPr>
          <w:rFonts w:ascii="Times New Roman" w:eastAsia="Times New Roman" w:hAnsi="Times New Roman" w:cs="Times New Roman"/>
          <w:sz w:val="24"/>
          <w:szCs w:val="24"/>
        </w:rPr>
        <w:t>Furthermore, Adeleke (2020) highlighted that the lack of specialized programs tailored to new or emerging SMEs further compounded the problem. Although First Bank offered some financing options, these products were not always suited to the unique needs of different SME segments, particularly startups or businesses in rural or underserved areas. As a result, while large-scale businesses or established SMEs with a proven track record were able to benefit from these financing schemes, new businesses or those without extensive operational histories struggled to access credit.</w:t>
      </w:r>
    </w:p>
    <w:p w14:paraId="5B158976" w14:textId="77777777" w:rsidR="00AB1613" w:rsidRPr="0070612E" w:rsidRDefault="00AB1613" w:rsidP="0070612E">
      <w:pPr>
        <w:spacing w:before="100" w:beforeAutospacing="1" w:after="100" w:afterAutospacing="1" w:line="360" w:lineRule="auto"/>
        <w:jc w:val="both"/>
        <w:rPr>
          <w:rFonts w:ascii="Times New Roman" w:eastAsia="Times New Roman" w:hAnsi="Times New Roman" w:cs="Times New Roman"/>
          <w:sz w:val="24"/>
          <w:szCs w:val="24"/>
        </w:rPr>
      </w:pPr>
      <w:r w:rsidRPr="0070612E">
        <w:rPr>
          <w:rFonts w:ascii="Times New Roman" w:eastAsia="Times New Roman" w:hAnsi="Times New Roman" w:cs="Times New Roman"/>
          <w:sz w:val="24"/>
          <w:szCs w:val="24"/>
        </w:rPr>
        <w:t xml:space="preserve">The study concluded that while First Bank's recapitalization provided a stronger financial base for the institution, the structural issues within the bank’s credit policies and processing systems </w:t>
      </w:r>
      <w:r w:rsidRPr="0070612E">
        <w:rPr>
          <w:rFonts w:ascii="Times New Roman" w:eastAsia="Times New Roman" w:hAnsi="Times New Roman" w:cs="Times New Roman"/>
          <w:sz w:val="24"/>
          <w:szCs w:val="24"/>
        </w:rPr>
        <w:lastRenderedPageBreak/>
        <w:t>continued to hinder the effective delivery of financial support to small-scale enterprises. Adeleke recommended that First Bank, and by extension, other banks, needed to revise their risk assessment models and streamline loan application processes to improve access to finance for SMEs. Additionally, the study suggested that banks should implement more flexible, targeted loan products that address the specific needs of small business owners, including lower collateral requirements and tailored repayment schedules.</w:t>
      </w:r>
    </w:p>
    <w:p w14:paraId="64475BA4" w14:textId="77777777" w:rsidR="00775D46" w:rsidRPr="0070612E" w:rsidRDefault="00775D46" w:rsidP="0070612E">
      <w:pPr>
        <w:spacing w:before="100" w:beforeAutospacing="1" w:after="100" w:afterAutospacing="1" w:line="360" w:lineRule="auto"/>
        <w:jc w:val="both"/>
        <w:rPr>
          <w:rFonts w:ascii="Times New Roman" w:eastAsia="Times New Roman" w:hAnsi="Times New Roman" w:cs="Times New Roman"/>
          <w:sz w:val="24"/>
          <w:szCs w:val="24"/>
        </w:rPr>
      </w:pPr>
      <w:r w:rsidRPr="0070612E">
        <w:rPr>
          <w:rFonts w:ascii="Times New Roman" w:eastAsia="Times New Roman" w:hAnsi="Times New Roman" w:cs="Times New Roman"/>
          <w:sz w:val="24"/>
          <w:szCs w:val="24"/>
        </w:rPr>
        <w:t xml:space="preserve">In their 2022 study, </w:t>
      </w:r>
      <w:proofErr w:type="spellStart"/>
      <w:r w:rsidRPr="0070612E">
        <w:rPr>
          <w:rFonts w:ascii="Times New Roman" w:eastAsia="Times New Roman" w:hAnsi="Times New Roman" w:cs="Times New Roman"/>
          <w:sz w:val="24"/>
          <w:szCs w:val="24"/>
        </w:rPr>
        <w:t>Eze</w:t>
      </w:r>
      <w:proofErr w:type="spellEnd"/>
      <w:r w:rsidRPr="0070612E">
        <w:rPr>
          <w:rFonts w:ascii="Times New Roman" w:eastAsia="Times New Roman" w:hAnsi="Times New Roman" w:cs="Times New Roman"/>
          <w:sz w:val="24"/>
          <w:szCs w:val="24"/>
        </w:rPr>
        <w:t xml:space="preserve"> and Okoye examined the role of macroeconomic factors in influencing the ability of banks, including those that underwent recapitalization, to provide financing to small and medium-sized enterprises (SMEs) in Nigeria. Despite the improved capital base resulting from the 2005 recapitalization policy and subsequent financial reforms, their research revealed that the macroeconomic environment, particularly inflation and exchange rate volatility, posed significant challenges to the growth of SME lending by Nigerian banks.</w:t>
      </w:r>
    </w:p>
    <w:p w14:paraId="20939260" w14:textId="77777777" w:rsidR="00775D46" w:rsidRPr="0070612E" w:rsidRDefault="00775D46" w:rsidP="0070612E">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70612E">
        <w:rPr>
          <w:rFonts w:ascii="Times New Roman" w:eastAsia="Times New Roman" w:hAnsi="Times New Roman" w:cs="Times New Roman"/>
          <w:sz w:val="24"/>
          <w:szCs w:val="24"/>
        </w:rPr>
        <w:t>Eze</w:t>
      </w:r>
      <w:proofErr w:type="spellEnd"/>
      <w:r w:rsidRPr="0070612E">
        <w:rPr>
          <w:rFonts w:ascii="Times New Roman" w:eastAsia="Times New Roman" w:hAnsi="Times New Roman" w:cs="Times New Roman"/>
          <w:sz w:val="24"/>
          <w:szCs w:val="24"/>
        </w:rPr>
        <w:t xml:space="preserve"> and Okoye (2022) found that while recapitalization enhanced banks' capital buffers, making them more resilient to financial shocks, it did not necessarily translate into more aggressive lending to small businesses. One of the primary reasons cited for this was the instability in key macroeconomic variables such as inflation and exchange rates. These variables, according to the study, created an environment of uncertainty and volatility, which made banks, including recapitalized institutions like First Bank, more cautious in extending loans to SMEs.</w:t>
      </w:r>
    </w:p>
    <w:p w14:paraId="586320A6" w14:textId="77777777" w:rsidR="00775D46" w:rsidRPr="0070612E" w:rsidRDefault="00775D46" w:rsidP="0070612E">
      <w:pPr>
        <w:spacing w:before="100" w:beforeAutospacing="1" w:after="100" w:afterAutospacing="1" w:line="360" w:lineRule="auto"/>
        <w:jc w:val="both"/>
        <w:rPr>
          <w:rFonts w:ascii="Times New Roman" w:eastAsia="Times New Roman" w:hAnsi="Times New Roman" w:cs="Times New Roman"/>
          <w:sz w:val="24"/>
          <w:szCs w:val="24"/>
        </w:rPr>
      </w:pPr>
      <w:r w:rsidRPr="0070612E">
        <w:rPr>
          <w:rFonts w:ascii="Times New Roman" w:eastAsia="Times New Roman" w:hAnsi="Times New Roman" w:cs="Times New Roman"/>
          <w:sz w:val="24"/>
          <w:szCs w:val="24"/>
        </w:rPr>
        <w:t>The study noted that inflationary pressures led to higher operational costs, affecting the profitability of both banks and SMEs. In an inflationary environment, the real value of loan repayments can be eroded, making it difficult for SMEs to honor loan obligations, which in turn raises the perceived credit risk for banks. As a result, banks became more selective in their lending, particularly to small enterprises that were perceived as more vulnerable to the negative effects of inflation. Banks, including First Bank, were less inclined to offer loans with favorable terms to SMEs because of concerns about loan defaults, especially in times of economic instability.</w:t>
      </w:r>
    </w:p>
    <w:p w14:paraId="6DE86DD9" w14:textId="77777777" w:rsidR="00775D46" w:rsidRPr="0070612E" w:rsidRDefault="00775D46" w:rsidP="0070612E">
      <w:pPr>
        <w:spacing w:before="100" w:beforeAutospacing="1" w:after="100" w:afterAutospacing="1" w:line="360" w:lineRule="auto"/>
        <w:jc w:val="both"/>
        <w:rPr>
          <w:rFonts w:ascii="Times New Roman" w:eastAsia="Times New Roman" w:hAnsi="Times New Roman" w:cs="Times New Roman"/>
          <w:sz w:val="24"/>
          <w:szCs w:val="24"/>
        </w:rPr>
      </w:pPr>
      <w:r w:rsidRPr="0070612E">
        <w:rPr>
          <w:rFonts w:ascii="Times New Roman" w:eastAsia="Times New Roman" w:hAnsi="Times New Roman" w:cs="Times New Roman"/>
          <w:sz w:val="24"/>
          <w:szCs w:val="24"/>
        </w:rPr>
        <w:lastRenderedPageBreak/>
        <w:t xml:space="preserve">Exchange rate instability was another significant factor identified by </w:t>
      </w:r>
      <w:proofErr w:type="spellStart"/>
      <w:r w:rsidRPr="0070612E">
        <w:rPr>
          <w:rFonts w:ascii="Times New Roman" w:eastAsia="Times New Roman" w:hAnsi="Times New Roman" w:cs="Times New Roman"/>
          <w:sz w:val="24"/>
          <w:szCs w:val="24"/>
        </w:rPr>
        <w:t>Eze</w:t>
      </w:r>
      <w:proofErr w:type="spellEnd"/>
      <w:r w:rsidRPr="0070612E">
        <w:rPr>
          <w:rFonts w:ascii="Times New Roman" w:eastAsia="Times New Roman" w:hAnsi="Times New Roman" w:cs="Times New Roman"/>
          <w:sz w:val="24"/>
          <w:szCs w:val="24"/>
        </w:rPr>
        <w:t xml:space="preserve"> and Okoye (2022) as a major deterrent for SME financing. The study pointed out that fluctuations in the exchange rate, particularly the depreciation of the naira against foreign currencies, increased the cost of imported raw materials and affected the profitability of SMEs that relied on imports for their production processes. This volatility also heightened the uncertainty about future costs, which discouraged banks from offering long-term loans to SMEs due to concerns that the businesses might not be able to repay their loans if their operating costs escalated.</w:t>
      </w:r>
    </w:p>
    <w:p w14:paraId="08CB0D1B" w14:textId="77777777" w:rsidR="00775D46" w:rsidRPr="0070612E" w:rsidRDefault="00775D46" w:rsidP="0070612E">
      <w:pPr>
        <w:spacing w:before="100" w:beforeAutospacing="1" w:after="100" w:afterAutospacing="1" w:line="360" w:lineRule="auto"/>
        <w:jc w:val="both"/>
        <w:rPr>
          <w:rFonts w:ascii="Times New Roman" w:eastAsia="Times New Roman" w:hAnsi="Times New Roman" w:cs="Times New Roman"/>
          <w:sz w:val="24"/>
          <w:szCs w:val="24"/>
        </w:rPr>
      </w:pPr>
      <w:r w:rsidRPr="0070612E">
        <w:rPr>
          <w:rFonts w:ascii="Times New Roman" w:eastAsia="Times New Roman" w:hAnsi="Times New Roman" w:cs="Times New Roman"/>
          <w:sz w:val="24"/>
          <w:szCs w:val="24"/>
        </w:rPr>
        <w:t xml:space="preserve">Additionally, the study highlighted that macroeconomic instability led to higher interest rates, which further discouraged borrowing from SMEs. With high lending rates compounded by inflation, many SMEs found it challenging to service loans, leading banks to adopt a risk-averse stance in their lending decisions. </w:t>
      </w:r>
      <w:proofErr w:type="spellStart"/>
      <w:r w:rsidRPr="0070612E">
        <w:rPr>
          <w:rFonts w:ascii="Times New Roman" w:eastAsia="Times New Roman" w:hAnsi="Times New Roman" w:cs="Times New Roman"/>
          <w:sz w:val="24"/>
          <w:szCs w:val="24"/>
        </w:rPr>
        <w:t>Eze</w:t>
      </w:r>
      <w:proofErr w:type="spellEnd"/>
      <w:r w:rsidRPr="0070612E">
        <w:rPr>
          <w:rFonts w:ascii="Times New Roman" w:eastAsia="Times New Roman" w:hAnsi="Times New Roman" w:cs="Times New Roman"/>
          <w:sz w:val="24"/>
          <w:szCs w:val="24"/>
        </w:rPr>
        <w:t xml:space="preserve"> and Okoye (2022) argued that while recapitalization improved the financial standing of banks, it was not enough to shield them from the negative impacts of an unstable economic environment, which continued to inhibit credit flow to SMEs.</w:t>
      </w:r>
    </w:p>
    <w:p w14:paraId="70C26E3E" w14:textId="77777777" w:rsidR="00775D46" w:rsidRPr="0070612E" w:rsidRDefault="00775D46" w:rsidP="0070612E">
      <w:pPr>
        <w:spacing w:before="100" w:beforeAutospacing="1" w:after="100" w:afterAutospacing="1" w:line="360" w:lineRule="auto"/>
        <w:jc w:val="both"/>
        <w:rPr>
          <w:rFonts w:ascii="Times New Roman" w:eastAsia="Times New Roman" w:hAnsi="Times New Roman" w:cs="Times New Roman"/>
          <w:sz w:val="24"/>
          <w:szCs w:val="24"/>
        </w:rPr>
      </w:pPr>
      <w:r w:rsidRPr="0070612E">
        <w:rPr>
          <w:rFonts w:ascii="Times New Roman" w:eastAsia="Times New Roman" w:hAnsi="Times New Roman" w:cs="Times New Roman"/>
          <w:sz w:val="24"/>
          <w:szCs w:val="24"/>
        </w:rPr>
        <w:t>The findings of this study underscored the importance of macroeconomic stability in creating an environment conducive to lending. Despite the improved capitalization of Nigerian banks, the study concluded that macroeconomic policies, including inflation control and exchange rate stabilization, were crucial in improving the credit conditions for SMEs. The study recommended that policymakers focus not only on strengthening the capital base of banks but also on ensuring macroeconomic stability to foster an environment that encourages more aggressive lending to small businesses.</w:t>
      </w:r>
    </w:p>
    <w:p w14:paraId="6E0C2B85" w14:textId="77777777" w:rsidR="00206E00" w:rsidRPr="0070612E" w:rsidRDefault="00206E00" w:rsidP="00370A9E">
      <w:pPr>
        <w:pStyle w:val="Heading2"/>
        <w:spacing w:line="240" w:lineRule="auto"/>
        <w:jc w:val="both"/>
        <w:rPr>
          <w:rFonts w:ascii="Times New Roman" w:hAnsi="Times New Roman"/>
          <w:color w:val="auto"/>
          <w:sz w:val="24"/>
          <w:szCs w:val="24"/>
        </w:rPr>
      </w:pPr>
      <w:r w:rsidRPr="0070612E">
        <w:rPr>
          <w:rStyle w:val="Strong"/>
          <w:rFonts w:ascii="Times New Roman" w:hAnsi="Times New Roman"/>
          <w:color w:val="auto"/>
          <w:sz w:val="24"/>
          <w:szCs w:val="24"/>
        </w:rPr>
        <w:t>2.</w:t>
      </w:r>
      <w:r w:rsidR="000C2FF0" w:rsidRPr="0070612E">
        <w:rPr>
          <w:rStyle w:val="Strong"/>
          <w:rFonts w:ascii="Times New Roman" w:hAnsi="Times New Roman"/>
          <w:color w:val="auto"/>
          <w:sz w:val="24"/>
          <w:szCs w:val="24"/>
        </w:rPr>
        <w:t>4</w:t>
      </w:r>
      <w:r w:rsidR="00D00968" w:rsidRPr="0070612E">
        <w:rPr>
          <w:rStyle w:val="Strong"/>
          <w:rFonts w:ascii="Times New Roman" w:hAnsi="Times New Roman"/>
          <w:color w:val="auto"/>
          <w:sz w:val="24"/>
          <w:szCs w:val="24"/>
        </w:rPr>
        <w:tab/>
      </w:r>
      <w:r w:rsidRPr="0070612E">
        <w:rPr>
          <w:rStyle w:val="Strong"/>
          <w:rFonts w:ascii="Times New Roman" w:hAnsi="Times New Roman"/>
          <w:color w:val="auto"/>
          <w:sz w:val="24"/>
          <w:szCs w:val="24"/>
        </w:rPr>
        <w:t xml:space="preserve"> Gaps in Literature</w:t>
      </w:r>
    </w:p>
    <w:p w14:paraId="63EE75D7" w14:textId="77777777" w:rsidR="00D00968" w:rsidRPr="0070612E" w:rsidRDefault="00206E00" w:rsidP="0070612E">
      <w:pPr>
        <w:pStyle w:val="NormalWeb"/>
        <w:spacing w:line="360" w:lineRule="auto"/>
        <w:jc w:val="both"/>
      </w:pPr>
      <w:r w:rsidRPr="0070612E">
        <w:t>Despite the extensive body of literature, several gaps remain:</w:t>
      </w:r>
    </w:p>
    <w:p w14:paraId="4E2BA1EE" w14:textId="77777777" w:rsidR="00D00968" w:rsidRPr="0070612E" w:rsidRDefault="00D00968" w:rsidP="0070612E">
      <w:pPr>
        <w:pStyle w:val="NormalWeb"/>
        <w:spacing w:line="360" w:lineRule="auto"/>
        <w:ind w:left="720" w:hanging="720"/>
        <w:jc w:val="both"/>
      </w:pPr>
      <w:proofErr w:type="spellStart"/>
      <w:r w:rsidRPr="0070612E">
        <w:t>i</w:t>
      </w:r>
      <w:proofErr w:type="spellEnd"/>
      <w:r w:rsidRPr="0070612E">
        <w:t>.</w:t>
      </w:r>
      <w:r w:rsidRPr="0070612E">
        <w:tab/>
      </w:r>
      <w:r w:rsidR="00206E00" w:rsidRPr="0070612E">
        <w:rPr>
          <w:rStyle w:val="Strong"/>
        </w:rPr>
        <w:t>Limited Institution-Specific Studies:</w:t>
      </w:r>
      <w:r w:rsidR="00206E00" w:rsidRPr="0070612E">
        <w:t>Few studies have focused exclusively on the practices of individual banks like First Bank Plc in the post-recapitalization era, leading to a generalized understanding rather than institution-specific insights.</w:t>
      </w:r>
    </w:p>
    <w:p w14:paraId="7AF005B8" w14:textId="77777777" w:rsidR="00D00968" w:rsidRPr="0070612E" w:rsidRDefault="00D00968" w:rsidP="0070612E">
      <w:pPr>
        <w:pStyle w:val="NormalWeb"/>
        <w:spacing w:line="360" w:lineRule="auto"/>
        <w:ind w:left="720" w:hanging="720"/>
        <w:jc w:val="both"/>
      </w:pPr>
      <w:r w:rsidRPr="0070612E">
        <w:lastRenderedPageBreak/>
        <w:t>ii.</w:t>
      </w:r>
      <w:r w:rsidRPr="0070612E">
        <w:tab/>
      </w:r>
      <w:r w:rsidR="00206E00" w:rsidRPr="0070612E">
        <w:rPr>
          <w:rStyle w:val="Strong"/>
        </w:rPr>
        <w:t>Focus on 2005 Recapitalization:</w:t>
      </w:r>
      <w:r w:rsidR="00206E00" w:rsidRPr="0070612E">
        <w:t>Much of the existing research focuses on the 2005 recapitalization exercise, with limited attention to the new dynamics and anticipated impacts of the 2024 recapitalization measures.</w:t>
      </w:r>
    </w:p>
    <w:p w14:paraId="65185103" w14:textId="77777777" w:rsidR="007407B1" w:rsidRPr="0070612E" w:rsidRDefault="00D00968" w:rsidP="0070612E">
      <w:pPr>
        <w:pStyle w:val="NormalWeb"/>
        <w:spacing w:line="360" w:lineRule="auto"/>
        <w:ind w:left="720" w:hanging="720"/>
        <w:jc w:val="both"/>
      </w:pPr>
      <w:r w:rsidRPr="0070612E">
        <w:t>iii.</w:t>
      </w:r>
      <w:r w:rsidRPr="0070612E">
        <w:tab/>
      </w:r>
      <w:r w:rsidR="00206E00" w:rsidRPr="0070612E">
        <w:rPr>
          <w:rStyle w:val="Strong"/>
        </w:rPr>
        <w:t>Neglect of Urban vs Semi-Urban Differences:</w:t>
      </w:r>
      <w:r w:rsidR="00206E00" w:rsidRPr="0070612E">
        <w:t>Previous studies often overlook geographical differences in access to finance, particularly the unique challenges faced by small businesses in semi-urban areas compared to urban centers.</w:t>
      </w:r>
    </w:p>
    <w:p w14:paraId="70E8D2F4" w14:textId="77777777" w:rsidR="00206E00" w:rsidRPr="0070612E" w:rsidRDefault="007407B1" w:rsidP="0070612E">
      <w:pPr>
        <w:pStyle w:val="NormalWeb"/>
        <w:spacing w:line="360" w:lineRule="auto"/>
        <w:ind w:left="720" w:hanging="720"/>
        <w:jc w:val="both"/>
      </w:pPr>
      <w:r w:rsidRPr="0070612E">
        <w:t>iv.</w:t>
      </w:r>
      <w:r w:rsidRPr="0070612E">
        <w:tab/>
      </w:r>
      <w:r w:rsidR="00206E00" w:rsidRPr="0070612E">
        <w:rPr>
          <w:rStyle w:val="Strong"/>
        </w:rPr>
        <w:t>Lack of Longitudinal Data:</w:t>
      </w:r>
      <w:r w:rsidR="00206E00" w:rsidRPr="0070612E">
        <w:t>Many studies offer cross-sectional snapshots rather than longitudinal analyses that track changes over time, thereby limiting the understanding of evolving lending behaviors.</w:t>
      </w:r>
    </w:p>
    <w:p w14:paraId="2EF1C5F0" w14:textId="77777777" w:rsidR="00206E00" w:rsidRPr="0070612E" w:rsidRDefault="00206E00" w:rsidP="0070612E">
      <w:pPr>
        <w:pStyle w:val="NormalWeb"/>
        <w:spacing w:line="360" w:lineRule="auto"/>
        <w:jc w:val="both"/>
      </w:pPr>
      <w:r w:rsidRPr="0070612E">
        <w:t>This study seeks to fill these gaps by conducting an institution-specific, longitudinal analysis of First Bank’s financing practices towards SSEs, considering both urban and semi-urban dynamics, and incorporating perspectives from the ongoing 2024 recapitalization directive.</w:t>
      </w:r>
    </w:p>
    <w:p w14:paraId="0C43663A" w14:textId="77777777" w:rsidR="00107F36" w:rsidRPr="0070612E" w:rsidRDefault="00107F36" w:rsidP="0070612E">
      <w:pPr>
        <w:spacing w:line="360" w:lineRule="auto"/>
        <w:jc w:val="both"/>
        <w:rPr>
          <w:rFonts w:ascii="Times New Roman" w:hAnsi="Times New Roman"/>
          <w:sz w:val="24"/>
          <w:szCs w:val="24"/>
        </w:rPr>
      </w:pPr>
    </w:p>
    <w:p w14:paraId="10B570FA" w14:textId="77777777" w:rsidR="00107F36" w:rsidRPr="0070612E" w:rsidRDefault="00107F36" w:rsidP="0070612E">
      <w:pPr>
        <w:spacing w:line="360" w:lineRule="auto"/>
        <w:jc w:val="both"/>
        <w:rPr>
          <w:rFonts w:ascii="Times New Roman" w:hAnsi="Times New Roman"/>
          <w:sz w:val="24"/>
          <w:szCs w:val="24"/>
        </w:rPr>
      </w:pPr>
    </w:p>
    <w:p w14:paraId="1BBBD940" w14:textId="77777777" w:rsidR="00107F36" w:rsidRPr="0070612E" w:rsidRDefault="00107F36" w:rsidP="0070612E">
      <w:pPr>
        <w:spacing w:line="360" w:lineRule="auto"/>
        <w:jc w:val="both"/>
        <w:rPr>
          <w:rFonts w:ascii="Times New Roman" w:hAnsi="Times New Roman"/>
          <w:sz w:val="24"/>
          <w:szCs w:val="24"/>
        </w:rPr>
      </w:pPr>
    </w:p>
    <w:p w14:paraId="108A2918" w14:textId="77777777" w:rsidR="00107F36" w:rsidRPr="0070612E" w:rsidRDefault="00107F36" w:rsidP="0070612E">
      <w:pPr>
        <w:spacing w:line="360" w:lineRule="auto"/>
        <w:jc w:val="both"/>
        <w:rPr>
          <w:rFonts w:ascii="Times New Roman" w:hAnsi="Times New Roman"/>
          <w:sz w:val="24"/>
          <w:szCs w:val="24"/>
        </w:rPr>
      </w:pPr>
    </w:p>
    <w:p w14:paraId="1F574414" w14:textId="77777777" w:rsidR="00107F36" w:rsidRPr="0070612E" w:rsidRDefault="00107F36" w:rsidP="0070612E">
      <w:pPr>
        <w:spacing w:line="360" w:lineRule="auto"/>
        <w:jc w:val="both"/>
        <w:rPr>
          <w:rFonts w:ascii="Times New Roman" w:hAnsi="Times New Roman"/>
          <w:sz w:val="24"/>
          <w:szCs w:val="24"/>
        </w:rPr>
      </w:pPr>
    </w:p>
    <w:p w14:paraId="71DB7C3E" w14:textId="77777777" w:rsidR="00107F36" w:rsidRPr="0070612E" w:rsidRDefault="00107F36" w:rsidP="0070612E">
      <w:pPr>
        <w:spacing w:line="360" w:lineRule="auto"/>
        <w:jc w:val="both"/>
        <w:rPr>
          <w:rFonts w:ascii="Times New Roman" w:hAnsi="Times New Roman"/>
          <w:sz w:val="24"/>
          <w:szCs w:val="24"/>
        </w:rPr>
      </w:pPr>
    </w:p>
    <w:p w14:paraId="0C3A5395" w14:textId="77777777" w:rsidR="001F5E39" w:rsidRPr="0070612E" w:rsidRDefault="001F5E39" w:rsidP="0070612E">
      <w:pPr>
        <w:spacing w:line="360" w:lineRule="auto"/>
        <w:rPr>
          <w:rFonts w:ascii="Times New Roman" w:hAnsi="Times New Roman"/>
          <w:sz w:val="24"/>
          <w:szCs w:val="24"/>
        </w:rPr>
      </w:pPr>
      <w:r w:rsidRPr="0070612E">
        <w:rPr>
          <w:rFonts w:ascii="Times New Roman" w:hAnsi="Times New Roman"/>
          <w:sz w:val="24"/>
          <w:szCs w:val="24"/>
        </w:rPr>
        <w:br w:type="page"/>
      </w:r>
    </w:p>
    <w:p w14:paraId="34A534C0" w14:textId="77777777" w:rsidR="00623E96" w:rsidRPr="0070612E" w:rsidRDefault="0057745A" w:rsidP="0070612E">
      <w:pPr>
        <w:pStyle w:val="Heading3"/>
        <w:spacing w:line="360" w:lineRule="auto"/>
        <w:jc w:val="center"/>
        <w:rPr>
          <w:rStyle w:val="Strong"/>
          <w:b/>
          <w:bCs/>
          <w:sz w:val="24"/>
          <w:szCs w:val="24"/>
        </w:rPr>
      </w:pPr>
      <w:r w:rsidRPr="0070612E">
        <w:rPr>
          <w:rStyle w:val="Strong"/>
          <w:b/>
          <w:bCs/>
          <w:sz w:val="24"/>
          <w:szCs w:val="24"/>
        </w:rPr>
        <w:lastRenderedPageBreak/>
        <w:t>CHAPTER THREE</w:t>
      </w:r>
    </w:p>
    <w:p w14:paraId="40E57760" w14:textId="77777777" w:rsidR="0057745A" w:rsidRPr="0070612E" w:rsidRDefault="00623E96" w:rsidP="0070612E">
      <w:pPr>
        <w:pStyle w:val="Heading3"/>
        <w:spacing w:line="360" w:lineRule="auto"/>
        <w:jc w:val="both"/>
        <w:rPr>
          <w:sz w:val="24"/>
          <w:szCs w:val="24"/>
        </w:rPr>
      </w:pPr>
      <w:r w:rsidRPr="0070612E">
        <w:rPr>
          <w:rStyle w:val="Strong"/>
          <w:b/>
          <w:bCs/>
          <w:sz w:val="24"/>
          <w:szCs w:val="24"/>
        </w:rPr>
        <w:t>3.0</w:t>
      </w:r>
      <w:r w:rsidRPr="0070612E">
        <w:rPr>
          <w:rStyle w:val="Strong"/>
          <w:b/>
          <w:bCs/>
          <w:sz w:val="24"/>
          <w:szCs w:val="24"/>
        </w:rPr>
        <w:tab/>
      </w:r>
      <w:r w:rsidR="0057745A" w:rsidRPr="0070612E">
        <w:rPr>
          <w:rStyle w:val="Strong"/>
          <w:b/>
          <w:bCs/>
          <w:sz w:val="24"/>
          <w:szCs w:val="24"/>
        </w:rPr>
        <w:t>RESEARCH METHODOLOGY</w:t>
      </w:r>
    </w:p>
    <w:p w14:paraId="3E217E9C" w14:textId="77777777" w:rsidR="0057745A" w:rsidRPr="0070612E" w:rsidRDefault="0057745A" w:rsidP="0070612E">
      <w:pPr>
        <w:pStyle w:val="NormalWeb"/>
        <w:spacing w:line="360" w:lineRule="auto"/>
        <w:jc w:val="both"/>
      </w:pPr>
      <w:r w:rsidRPr="0070612E">
        <w:t>This chapter outlines the research methodology adopted for the study on the effects of bank recapitalization policies on the financing of small-scale enterprises (SSEs) in Nigeria, using First Bank of Nigeria Plc as a case study. The chapter covers the research design, sources of data collection, population size, sampling techniques, research instruments, and the method of data analysis.</w:t>
      </w:r>
    </w:p>
    <w:p w14:paraId="2602ED42" w14:textId="77777777" w:rsidR="0057745A" w:rsidRPr="0070612E" w:rsidRDefault="0057745A" w:rsidP="0070612E">
      <w:pPr>
        <w:pStyle w:val="Heading4"/>
        <w:spacing w:line="360" w:lineRule="auto"/>
        <w:jc w:val="both"/>
        <w:rPr>
          <w:rFonts w:ascii="Times New Roman" w:hAnsi="Times New Roman"/>
          <w:i w:val="0"/>
          <w:iCs w:val="0"/>
          <w:color w:val="auto"/>
          <w:sz w:val="24"/>
          <w:szCs w:val="24"/>
        </w:rPr>
      </w:pPr>
      <w:r w:rsidRPr="0070612E">
        <w:rPr>
          <w:rStyle w:val="Strong"/>
          <w:rFonts w:ascii="Times New Roman" w:hAnsi="Times New Roman"/>
          <w:i w:val="0"/>
          <w:iCs w:val="0"/>
          <w:color w:val="auto"/>
          <w:sz w:val="24"/>
          <w:szCs w:val="24"/>
        </w:rPr>
        <w:t xml:space="preserve">3.1 </w:t>
      </w:r>
      <w:r w:rsidR="00C01B4B" w:rsidRPr="0070612E">
        <w:rPr>
          <w:rStyle w:val="Strong"/>
          <w:rFonts w:ascii="Times New Roman" w:hAnsi="Times New Roman"/>
          <w:i w:val="0"/>
          <w:iCs w:val="0"/>
          <w:color w:val="auto"/>
          <w:sz w:val="24"/>
          <w:szCs w:val="24"/>
        </w:rPr>
        <w:tab/>
      </w:r>
      <w:r w:rsidRPr="0070612E">
        <w:rPr>
          <w:rStyle w:val="Strong"/>
          <w:rFonts w:ascii="Times New Roman" w:hAnsi="Times New Roman"/>
          <w:i w:val="0"/>
          <w:iCs w:val="0"/>
          <w:color w:val="auto"/>
          <w:sz w:val="24"/>
          <w:szCs w:val="24"/>
        </w:rPr>
        <w:t>Research Design</w:t>
      </w:r>
    </w:p>
    <w:p w14:paraId="5954B47F" w14:textId="77777777" w:rsidR="0057745A" w:rsidRPr="0070612E" w:rsidRDefault="0057745A" w:rsidP="0070612E">
      <w:pPr>
        <w:pStyle w:val="NormalWeb"/>
        <w:spacing w:line="360" w:lineRule="auto"/>
        <w:jc w:val="both"/>
      </w:pPr>
      <w:r w:rsidRPr="0070612E">
        <w:t xml:space="preserve">The research design refers to the framework that guides the collection, measurement, and analysis of data. This study adopts a </w:t>
      </w:r>
      <w:r w:rsidRPr="0070612E">
        <w:rPr>
          <w:rStyle w:val="Strong"/>
          <w:b w:val="0"/>
          <w:bCs w:val="0"/>
        </w:rPr>
        <w:t>descriptive research design</w:t>
      </w:r>
      <w:r w:rsidRPr="0070612E">
        <w:t>, as it seeks to describe the relationship between bank recapitalization and the financing opportunities available to small-scale enterprises. The descriptive research design is suitable for assessing the perceptions and experiences of small-scale enterprises regarding their access to credit, as well as evaluating the effects of First Bank Plc’s lending behavior after recapitalization.</w:t>
      </w:r>
    </w:p>
    <w:p w14:paraId="219D5CD5" w14:textId="77777777" w:rsidR="0057745A" w:rsidRPr="0070612E" w:rsidRDefault="0057745A" w:rsidP="00B75AC6">
      <w:pPr>
        <w:pStyle w:val="NormalWeb"/>
        <w:spacing w:line="360" w:lineRule="auto"/>
        <w:jc w:val="both"/>
      </w:pPr>
      <w:r w:rsidRPr="0070612E">
        <w:t xml:space="preserve">Additionally, a </w:t>
      </w:r>
      <w:r w:rsidRPr="0070612E">
        <w:rPr>
          <w:rStyle w:val="Strong"/>
          <w:b w:val="0"/>
          <w:bCs w:val="0"/>
        </w:rPr>
        <w:t>case study approach</w:t>
      </w:r>
      <w:r w:rsidRPr="0070612E">
        <w:t xml:space="preserve"> will be used, focusing on </w:t>
      </w:r>
      <w:r w:rsidRPr="0070612E">
        <w:rPr>
          <w:rStyle w:val="Strong"/>
          <w:b w:val="0"/>
          <w:bCs w:val="0"/>
        </w:rPr>
        <w:t>First Bank of Nigeria Plc</w:t>
      </w:r>
      <w:r w:rsidRPr="0070612E">
        <w:t xml:space="preserve"> as the subject of the research. The case study method allows for an in-depth analysis of how specific policies have influenced small-scale enterprise financing at the level of an individual bank. The study will also incorporate both </w:t>
      </w:r>
      <w:r w:rsidRPr="0070612E">
        <w:rPr>
          <w:rStyle w:val="Strong"/>
          <w:b w:val="0"/>
          <w:bCs w:val="0"/>
        </w:rPr>
        <w:t>qualitative</w:t>
      </w:r>
      <w:r w:rsidRPr="0070612E">
        <w:t xml:space="preserve"> and </w:t>
      </w:r>
      <w:r w:rsidRPr="0070612E">
        <w:rPr>
          <w:rStyle w:val="Strong"/>
          <w:b w:val="0"/>
          <w:bCs w:val="0"/>
        </w:rPr>
        <w:t>quantitative</w:t>
      </w:r>
      <w:r w:rsidRPr="0070612E">
        <w:t xml:space="preserve"> methods to gather comprehensive data from a variety of sources.</w:t>
      </w:r>
    </w:p>
    <w:p w14:paraId="2CFF120D" w14:textId="77777777" w:rsidR="0057745A" w:rsidRPr="0070612E" w:rsidRDefault="0057745A" w:rsidP="00B75AC6">
      <w:pPr>
        <w:pStyle w:val="Heading4"/>
        <w:spacing w:line="240" w:lineRule="auto"/>
        <w:jc w:val="both"/>
        <w:rPr>
          <w:rFonts w:ascii="Times New Roman" w:hAnsi="Times New Roman"/>
          <w:i w:val="0"/>
          <w:iCs w:val="0"/>
          <w:color w:val="auto"/>
          <w:sz w:val="24"/>
          <w:szCs w:val="24"/>
        </w:rPr>
      </w:pPr>
      <w:r w:rsidRPr="0070612E">
        <w:rPr>
          <w:rStyle w:val="Strong"/>
          <w:rFonts w:ascii="Times New Roman" w:hAnsi="Times New Roman"/>
          <w:i w:val="0"/>
          <w:iCs w:val="0"/>
          <w:color w:val="auto"/>
          <w:sz w:val="24"/>
          <w:szCs w:val="24"/>
        </w:rPr>
        <w:t>3.2</w:t>
      </w:r>
      <w:r w:rsidR="00C01B4B" w:rsidRPr="0070612E">
        <w:rPr>
          <w:rStyle w:val="Strong"/>
          <w:rFonts w:ascii="Times New Roman" w:hAnsi="Times New Roman"/>
          <w:i w:val="0"/>
          <w:iCs w:val="0"/>
          <w:color w:val="auto"/>
          <w:sz w:val="24"/>
          <w:szCs w:val="24"/>
        </w:rPr>
        <w:tab/>
      </w:r>
      <w:r w:rsidRPr="0070612E">
        <w:rPr>
          <w:rStyle w:val="Strong"/>
          <w:rFonts w:ascii="Times New Roman" w:hAnsi="Times New Roman"/>
          <w:i w:val="0"/>
          <w:iCs w:val="0"/>
          <w:color w:val="auto"/>
          <w:sz w:val="24"/>
          <w:szCs w:val="24"/>
        </w:rPr>
        <w:t>Sources of Data Collection</w:t>
      </w:r>
    </w:p>
    <w:p w14:paraId="506438D1" w14:textId="77777777" w:rsidR="0057745A" w:rsidRPr="0070612E" w:rsidRDefault="0057745A" w:rsidP="00B75AC6">
      <w:pPr>
        <w:pStyle w:val="NormalWeb"/>
        <w:jc w:val="both"/>
      </w:pPr>
      <w:r w:rsidRPr="0070612E">
        <w:t xml:space="preserve">This study will rely on both </w:t>
      </w:r>
      <w:r w:rsidRPr="0070612E">
        <w:rPr>
          <w:rStyle w:val="Strong"/>
          <w:b w:val="0"/>
          <w:bCs w:val="0"/>
        </w:rPr>
        <w:t>primary</w:t>
      </w:r>
      <w:r w:rsidRPr="0070612E">
        <w:t xml:space="preserve"> and </w:t>
      </w:r>
      <w:r w:rsidRPr="0070612E">
        <w:rPr>
          <w:rStyle w:val="Strong"/>
          <w:b w:val="0"/>
          <w:bCs w:val="0"/>
        </w:rPr>
        <w:t>secondary data sources</w:t>
      </w:r>
      <w:r w:rsidRPr="0070612E">
        <w:rPr>
          <w:b/>
          <w:bCs/>
        </w:rPr>
        <w:t>.</w:t>
      </w:r>
    </w:p>
    <w:p w14:paraId="2FE47754" w14:textId="77777777" w:rsidR="0057745A" w:rsidRPr="0070612E" w:rsidRDefault="009B5A71" w:rsidP="0070612E">
      <w:pPr>
        <w:pStyle w:val="NormalWeb"/>
        <w:spacing w:line="360" w:lineRule="auto"/>
        <w:ind w:left="720" w:hanging="720"/>
        <w:jc w:val="both"/>
      </w:pPr>
      <w:proofErr w:type="spellStart"/>
      <w:r w:rsidRPr="0070612E">
        <w:rPr>
          <w:rStyle w:val="Strong"/>
        </w:rPr>
        <w:t>i</w:t>
      </w:r>
      <w:proofErr w:type="spellEnd"/>
      <w:r w:rsidRPr="0070612E">
        <w:rPr>
          <w:rStyle w:val="Strong"/>
        </w:rPr>
        <w:t>.</w:t>
      </w:r>
      <w:r w:rsidRPr="0070612E">
        <w:rPr>
          <w:rStyle w:val="Strong"/>
        </w:rPr>
        <w:tab/>
      </w:r>
      <w:r w:rsidR="0057745A" w:rsidRPr="0070612E">
        <w:rPr>
          <w:rStyle w:val="Strong"/>
        </w:rPr>
        <w:t>Primary Data</w:t>
      </w:r>
      <w:r w:rsidR="0057745A" w:rsidRPr="0070612E">
        <w:t xml:space="preserve">: Primary data will be collected through </w:t>
      </w:r>
      <w:r w:rsidR="0057745A" w:rsidRPr="0070612E">
        <w:rPr>
          <w:rStyle w:val="Strong"/>
        </w:rPr>
        <w:t>surveys</w:t>
      </w:r>
      <w:r w:rsidR="0057745A" w:rsidRPr="0070612E">
        <w:t xml:space="preserve"> and </w:t>
      </w:r>
      <w:r w:rsidR="0057745A" w:rsidRPr="0070612E">
        <w:rPr>
          <w:rStyle w:val="Strong"/>
        </w:rPr>
        <w:t>interviews</w:t>
      </w:r>
      <w:r w:rsidR="0057745A" w:rsidRPr="0070612E">
        <w:t xml:space="preserve">. The survey will target small-scale enterprise owners, while interviews will be conducted with </w:t>
      </w:r>
      <w:r w:rsidR="0057745A" w:rsidRPr="0070612E">
        <w:lastRenderedPageBreak/>
        <w:t>key management personnel of First Bank of Nigeria Plc involved in SME financing. Primary data will offer firsthand insights into the effects of recapitalization on SSE financing and help understand the perspectives of both bank officials and small business owners.</w:t>
      </w:r>
    </w:p>
    <w:p w14:paraId="6AC29D57" w14:textId="77777777" w:rsidR="0057745A" w:rsidRPr="0070612E" w:rsidRDefault="009B5A71" w:rsidP="00B75AC6">
      <w:pPr>
        <w:pStyle w:val="NormalWeb"/>
        <w:spacing w:line="360" w:lineRule="auto"/>
        <w:ind w:left="720" w:hanging="720"/>
        <w:jc w:val="both"/>
      </w:pPr>
      <w:r w:rsidRPr="0070612E">
        <w:rPr>
          <w:rStyle w:val="Strong"/>
        </w:rPr>
        <w:t>ii.</w:t>
      </w:r>
      <w:r w:rsidRPr="0070612E">
        <w:rPr>
          <w:rStyle w:val="Strong"/>
        </w:rPr>
        <w:tab/>
      </w:r>
      <w:r w:rsidR="0057745A" w:rsidRPr="0070612E">
        <w:rPr>
          <w:rStyle w:val="Strong"/>
        </w:rPr>
        <w:t>Secondary Data</w:t>
      </w:r>
      <w:r w:rsidR="0057745A" w:rsidRPr="0070612E">
        <w:t xml:space="preserve">: Secondary data will be gathered from existing reports, academic articles, and official publications, including financial reports, Central Bank of Nigeria (CBN) directives, and other relevant documents concerning bank recapitalization policies, SME financing, and banking operations post-2005 recapitalization. </w:t>
      </w:r>
    </w:p>
    <w:p w14:paraId="471B0BEA" w14:textId="77777777" w:rsidR="0057745A" w:rsidRPr="0070612E" w:rsidRDefault="0057745A" w:rsidP="00B75AC6">
      <w:pPr>
        <w:pStyle w:val="Heading4"/>
        <w:spacing w:line="240" w:lineRule="auto"/>
        <w:jc w:val="both"/>
        <w:rPr>
          <w:rFonts w:ascii="Times New Roman" w:hAnsi="Times New Roman"/>
          <w:i w:val="0"/>
          <w:iCs w:val="0"/>
          <w:color w:val="auto"/>
          <w:sz w:val="24"/>
          <w:szCs w:val="24"/>
        </w:rPr>
      </w:pPr>
      <w:r w:rsidRPr="0070612E">
        <w:rPr>
          <w:rStyle w:val="Strong"/>
          <w:rFonts w:ascii="Times New Roman" w:hAnsi="Times New Roman"/>
          <w:i w:val="0"/>
          <w:iCs w:val="0"/>
          <w:color w:val="auto"/>
          <w:sz w:val="24"/>
          <w:szCs w:val="24"/>
        </w:rPr>
        <w:t xml:space="preserve">3.3 </w:t>
      </w:r>
      <w:r w:rsidR="00E66A05" w:rsidRPr="0070612E">
        <w:rPr>
          <w:rStyle w:val="Strong"/>
          <w:rFonts w:ascii="Times New Roman" w:hAnsi="Times New Roman"/>
          <w:i w:val="0"/>
          <w:iCs w:val="0"/>
          <w:color w:val="auto"/>
          <w:sz w:val="24"/>
          <w:szCs w:val="24"/>
        </w:rPr>
        <w:tab/>
      </w:r>
      <w:r w:rsidRPr="0070612E">
        <w:rPr>
          <w:rStyle w:val="Strong"/>
          <w:rFonts w:ascii="Times New Roman" w:hAnsi="Times New Roman"/>
          <w:i w:val="0"/>
          <w:iCs w:val="0"/>
          <w:color w:val="auto"/>
          <w:sz w:val="24"/>
          <w:szCs w:val="24"/>
        </w:rPr>
        <w:t>Population Size</w:t>
      </w:r>
    </w:p>
    <w:p w14:paraId="73A4ECC4" w14:textId="77777777" w:rsidR="0057745A" w:rsidRPr="0070612E" w:rsidRDefault="0057745A" w:rsidP="00B75AC6">
      <w:pPr>
        <w:pStyle w:val="NormalWeb"/>
        <w:spacing w:line="360" w:lineRule="auto"/>
        <w:jc w:val="both"/>
      </w:pPr>
      <w:r w:rsidRPr="0070612E">
        <w:t>The population of this study includes:</w:t>
      </w:r>
    </w:p>
    <w:p w14:paraId="191C1676" w14:textId="77777777" w:rsidR="0057745A" w:rsidRPr="0070612E" w:rsidRDefault="00E66A05" w:rsidP="0070612E">
      <w:pPr>
        <w:pStyle w:val="NormalWeb"/>
        <w:spacing w:line="360" w:lineRule="auto"/>
        <w:ind w:left="720" w:hanging="720"/>
        <w:jc w:val="both"/>
      </w:pPr>
      <w:proofErr w:type="spellStart"/>
      <w:r w:rsidRPr="0070612E">
        <w:rPr>
          <w:rStyle w:val="Strong"/>
        </w:rPr>
        <w:t>i</w:t>
      </w:r>
      <w:proofErr w:type="spellEnd"/>
      <w:r w:rsidRPr="0070612E">
        <w:rPr>
          <w:rStyle w:val="Strong"/>
        </w:rPr>
        <w:t>.</w:t>
      </w:r>
      <w:r w:rsidRPr="0070612E">
        <w:rPr>
          <w:rStyle w:val="Strong"/>
        </w:rPr>
        <w:tab/>
      </w:r>
      <w:r w:rsidR="0057745A" w:rsidRPr="0070612E">
        <w:rPr>
          <w:rStyle w:val="Strong"/>
        </w:rPr>
        <w:t>Small-scale enterprises (SSEs)</w:t>
      </w:r>
      <w:r w:rsidR="0057745A" w:rsidRPr="0070612E">
        <w:t xml:space="preserve"> in Nigeria that have engaged with First Bank of Nigeria Plc for financing post-recapitalization. The target population will consist of business owners across various sectors, including retail, agriculture, and services.</w:t>
      </w:r>
    </w:p>
    <w:p w14:paraId="65967F10" w14:textId="77777777" w:rsidR="0057745A" w:rsidRPr="0070612E" w:rsidRDefault="00E66A05" w:rsidP="0070612E">
      <w:pPr>
        <w:pStyle w:val="NormalWeb"/>
        <w:spacing w:line="360" w:lineRule="auto"/>
        <w:ind w:left="720" w:hanging="720"/>
        <w:jc w:val="both"/>
      </w:pPr>
      <w:r w:rsidRPr="0070612E">
        <w:rPr>
          <w:rStyle w:val="Strong"/>
        </w:rPr>
        <w:t>ii.</w:t>
      </w:r>
      <w:r w:rsidRPr="0070612E">
        <w:rPr>
          <w:rStyle w:val="Strong"/>
        </w:rPr>
        <w:tab/>
      </w:r>
      <w:r w:rsidR="0057745A" w:rsidRPr="0070612E">
        <w:rPr>
          <w:rStyle w:val="Strong"/>
        </w:rPr>
        <w:t>Bank officials</w:t>
      </w:r>
      <w:r w:rsidR="0057745A" w:rsidRPr="0070612E">
        <w:t xml:space="preserve"> at First Bank of Nigeria Plc, particularly those in the </w:t>
      </w:r>
      <w:r w:rsidR="0057745A" w:rsidRPr="0070612E">
        <w:rPr>
          <w:rStyle w:val="Strong"/>
          <w:b w:val="0"/>
          <w:bCs w:val="0"/>
        </w:rPr>
        <w:t>loan department</w:t>
      </w:r>
      <w:r w:rsidR="0057745A" w:rsidRPr="0070612E">
        <w:rPr>
          <w:b/>
          <w:bCs/>
        </w:rPr>
        <w:t xml:space="preserve">, </w:t>
      </w:r>
      <w:r w:rsidR="0057745A" w:rsidRPr="0070612E">
        <w:rPr>
          <w:rStyle w:val="Strong"/>
          <w:b w:val="0"/>
          <w:bCs w:val="0"/>
        </w:rPr>
        <w:t>SME financing division</w:t>
      </w:r>
      <w:r w:rsidR="0057745A" w:rsidRPr="0070612E">
        <w:rPr>
          <w:b/>
          <w:bCs/>
        </w:rPr>
        <w:t>,</w:t>
      </w:r>
      <w:r w:rsidR="0057745A" w:rsidRPr="0070612E">
        <w:t xml:space="preserve"> and other relevant units that handle SME lending policies and decisions.</w:t>
      </w:r>
    </w:p>
    <w:p w14:paraId="59956C9E" w14:textId="77777777" w:rsidR="0057745A" w:rsidRPr="0070612E" w:rsidRDefault="0057745A" w:rsidP="0070612E">
      <w:pPr>
        <w:pStyle w:val="Heading4"/>
        <w:spacing w:line="360" w:lineRule="auto"/>
        <w:jc w:val="both"/>
        <w:rPr>
          <w:rFonts w:ascii="Times New Roman" w:hAnsi="Times New Roman"/>
          <w:i w:val="0"/>
          <w:iCs w:val="0"/>
          <w:color w:val="auto"/>
          <w:sz w:val="24"/>
          <w:szCs w:val="24"/>
        </w:rPr>
      </w:pPr>
      <w:r w:rsidRPr="0070612E">
        <w:rPr>
          <w:rStyle w:val="Strong"/>
          <w:rFonts w:ascii="Times New Roman" w:hAnsi="Times New Roman"/>
          <w:i w:val="0"/>
          <w:iCs w:val="0"/>
          <w:color w:val="auto"/>
          <w:sz w:val="24"/>
          <w:szCs w:val="24"/>
        </w:rPr>
        <w:t xml:space="preserve">3.4 </w:t>
      </w:r>
      <w:r w:rsidR="008E051B" w:rsidRPr="0070612E">
        <w:rPr>
          <w:rStyle w:val="Strong"/>
          <w:rFonts w:ascii="Times New Roman" w:hAnsi="Times New Roman"/>
          <w:i w:val="0"/>
          <w:iCs w:val="0"/>
          <w:color w:val="auto"/>
          <w:sz w:val="24"/>
          <w:szCs w:val="24"/>
        </w:rPr>
        <w:tab/>
      </w:r>
      <w:r w:rsidRPr="0070612E">
        <w:rPr>
          <w:rStyle w:val="Strong"/>
          <w:rFonts w:ascii="Times New Roman" w:hAnsi="Times New Roman"/>
          <w:i w:val="0"/>
          <w:iCs w:val="0"/>
          <w:color w:val="auto"/>
          <w:sz w:val="24"/>
          <w:szCs w:val="24"/>
        </w:rPr>
        <w:t>Sample and Sampling Techniques</w:t>
      </w:r>
    </w:p>
    <w:p w14:paraId="5474C123" w14:textId="77777777" w:rsidR="0057745A" w:rsidRPr="0070612E" w:rsidRDefault="0057745A" w:rsidP="00B75AC6">
      <w:pPr>
        <w:pStyle w:val="NormalWeb"/>
        <w:spacing w:line="360" w:lineRule="auto"/>
        <w:jc w:val="both"/>
      </w:pPr>
      <w:r w:rsidRPr="0070612E">
        <w:t xml:space="preserve">The sample for this study will be drawn using </w:t>
      </w:r>
      <w:r w:rsidRPr="0070612E">
        <w:rPr>
          <w:rStyle w:val="Strong"/>
          <w:b w:val="0"/>
          <w:bCs w:val="0"/>
        </w:rPr>
        <w:t>probability and non-probability sampling techniques</w:t>
      </w:r>
      <w:r w:rsidRPr="0070612E">
        <w:t xml:space="preserve"> to ensure a balanced representation.</w:t>
      </w:r>
    </w:p>
    <w:p w14:paraId="1E225075" w14:textId="77777777" w:rsidR="0057745A" w:rsidRPr="0070612E" w:rsidRDefault="0057745A" w:rsidP="0070612E">
      <w:pPr>
        <w:pStyle w:val="NormalWeb"/>
        <w:spacing w:line="360" w:lineRule="auto"/>
        <w:jc w:val="both"/>
      </w:pPr>
      <w:r w:rsidRPr="0070612E">
        <w:rPr>
          <w:rStyle w:val="Strong"/>
        </w:rPr>
        <w:t>Sample Size</w:t>
      </w:r>
      <w:r w:rsidRPr="0070612E">
        <w:t xml:space="preserve">: The study will aim to collect responses from </w:t>
      </w:r>
      <w:r w:rsidR="008E051B" w:rsidRPr="0070612E">
        <w:rPr>
          <w:rStyle w:val="Strong"/>
          <w:b w:val="0"/>
          <w:bCs w:val="0"/>
        </w:rPr>
        <w:t>2</w:t>
      </w:r>
      <w:r w:rsidRPr="0070612E">
        <w:rPr>
          <w:rStyle w:val="Strong"/>
          <w:b w:val="0"/>
          <w:bCs w:val="0"/>
        </w:rPr>
        <w:t>00SMEowners</w:t>
      </w:r>
      <w:r w:rsidRPr="0070612E">
        <w:t xml:space="preserve"> who have applied for or received loans from First Bank post-recapitalization. The bank's SME loan database will be used to identify eligible participants.</w:t>
      </w:r>
    </w:p>
    <w:p w14:paraId="25754BD5" w14:textId="77777777" w:rsidR="0057745A" w:rsidRPr="0070612E" w:rsidRDefault="0057745A" w:rsidP="0070612E">
      <w:pPr>
        <w:pStyle w:val="Heading4"/>
        <w:spacing w:line="360" w:lineRule="auto"/>
        <w:jc w:val="both"/>
        <w:rPr>
          <w:rFonts w:ascii="Times New Roman" w:hAnsi="Times New Roman"/>
          <w:i w:val="0"/>
          <w:iCs w:val="0"/>
          <w:color w:val="auto"/>
          <w:sz w:val="24"/>
          <w:szCs w:val="24"/>
        </w:rPr>
      </w:pPr>
      <w:r w:rsidRPr="0070612E">
        <w:rPr>
          <w:rStyle w:val="Strong"/>
          <w:rFonts w:ascii="Times New Roman" w:hAnsi="Times New Roman"/>
          <w:i w:val="0"/>
          <w:iCs w:val="0"/>
          <w:color w:val="auto"/>
          <w:sz w:val="24"/>
          <w:szCs w:val="24"/>
        </w:rPr>
        <w:lastRenderedPageBreak/>
        <w:t>Sampling Techniques</w:t>
      </w:r>
    </w:p>
    <w:p w14:paraId="1FEAEE1E" w14:textId="77777777" w:rsidR="0057745A" w:rsidRPr="0070612E" w:rsidRDefault="0057745A" w:rsidP="00B75AC6">
      <w:pPr>
        <w:pStyle w:val="NormalWeb"/>
        <w:spacing w:line="360" w:lineRule="auto"/>
        <w:jc w:val="both"/>
      </w:pPr>
      <w:r w:rsidRPr="0070612E">
        <w:t xml:space="preserve">To ensure a comprehensive and balanced representation of both small-scale enterprises (SMEs) and key bank officials, a combination of </w:t>
      </w:r>
      <w:r w:rsidRPr="00717836">
        <w:rPr>
          <w:rStyle w:val="Strong"/>
          <w:b w:val="0"/>
          <w:bCs w:val="0"/>
        </w:rPr>
        <w:t>stratified sampling</w:t>
      </w:r>
      <w:r w:rsidRPr="00717836">
        <w:rPr>
          <w:b/>
          <w:bCs/>
        </w:rPr>
        <w:t xml:space="preserve">, </w:t>
      </w:r>
      <w:r w:rsidRPr="00717836">
        <w:rPr>
          <w:rStyle w:val="Strong"/>
          <w:b w:val="0"/>
          <w:bCs w:val="0"/>
        </w:rPr>
        <w:t>simple random sampling</w:t>
      </w:r>
      <w:r w:rsidRPr="00717836">
        <w:rPr>
          <w:b/>
          <w:bCs/>
        </w:rPr>
        <w:t xml:space="preserve">, </w:t>
      </w:r>
      <w:r w:rsidRPr="0070612E">
        <w:t xml:space="preserve">and </w:t>
      </w:r>
      <w:r w:rsidRPr="00717836">
        <w:rPr>
          <w:rStyle w:val="Strong"/>
          <w:b w:val="0"/>
          <w:bCs w:val="0"/>
        </w:rPr>
        <w:t>purposive sampling</w:t>
      </w:r>
      <w:r w:rsidRPr="0070612E">
        <w:t xml:space="preserve"> will be employed. This mixed approach allows for a more accurate representation of the population and targeted insights from key stakeholders involved in SME financing at First Bank of Nigeria Plc.</w:t>
      </w:r>
    </w:p>
    <w:p w14:paraId="12BDB02B" w14:textId="77777777" w:rsidR="0057745A" w:rsidRPr="0070612E" w:rsidRDefault="0057745A" w:rsidP="0070612E">
      <w:pPr>
        <w:pStyle w:val="NormalWeb"/>
        <w:spacing w:line="360" w:lineRule="auto"/>
        <w:jc w:val="both"/>
      </w:pPr>
      <w:r w:rsidRPr="0070612E">
        <w:rPr>
          <w:rStyle w:val="Strong"/>
        </w:rPr>
        <w:t>Stratified Sampling</w:t>
      </w:r>
      <w:r w:rsidRPr="0070612E">
        <w:t>: Stratified sampling involves dividing the target population into subgroups or strata based on certain characteristics. In this case, SMEs will be stratified by industry sectors to ensure that the study captures the diversity of business types and the varying challenges they face in accessing finance. The sectors will include, but are not limited to:</w:t>
      </w:r>
    </w:p>
    <w:p w14:paraId="121C2F1A" w14:textId="77777777" w:rsidR="0057745A" w:rsidRPr="0070612E" w:rsidRDefault="00A21EAB" w:rsidP="00A21EAB">
      <w:pPr>
        <w:pStyle w:val="NormalWeb"/>
        <w:spacing w:line="360" w:lineRule="auto"/>
        <w:ind w:left="720" w:hanging="720"/>
        <w:jc w:val="both"/>
      </w:pPr>
      <w:proofErr w:type="spellStart"/>
      <w:r>
        <w:rPr>
          <w:rStyle w:val="Strong"/>
        </w:rPr>
        <w:t>i</w:t>
      </w:r>
      <w:proofErr w:type="spellEnd"/>
      <w:r>
        <w:rPr>
          <w:rStyle w:val="Strong"/>
        </w:rPr>
        <w:t>.</w:t>
      </w:r>
      <w:r>
        <w:rPr>
          <w:rStyle w:val="Strong"/>
        </w:rPr>
        <w:tab/>
      </w:r>
      <w:r w:rsidR="0057745A" w:rsidRPr="0070612E">
        <w:rPr>
          <w:rStyle w:val="Strong"/>
        </w:rPr>
        <w:t>Agriculture</w:t>
      </w:r>
      <w:r w:rsidR="0057745A" w:rsidRPr="0070612E">
        <w:t>: Given its importance in Nigeria’s economy, many small-scale enterprises operate within this sector. These businesses may have unique financing challenges, such as seasonal income or large collateral needs.</w:t>
      </w:r>
    </w:p>
    <w:p w14:paraId="5E47A4E0" w14:textId="77777777" w:rsidR="0057745A" w:rsidRPr="0070612E" w:rsidRDefault="00A21EAB" w:rsidP="00A21EAB">
      <w:pPr>
        <w:pStyle w:val="NormalWeb"/>
        <w:spacing w:line="360" w:lineRule="auto"/>
        <w:ind w:left="720" w:hanging="720"/>
        <w:jc w:val="both"/>
      </w:pPr>
      <w:r>
        <w:rPr>
          <w:rStyle w:val="Strong"/>
        </w:rPr>
        <w:t>ii.</w:t>
      </w:r>
      <w:r>
        <w:rPr>
          <w:rStyle w:val="Strong"/>
        </w:rPr>
        <w:tab/>
      </w:r>
      <w:r w:rsidR="0057745A" w:rsidRPr="0070612E">
        <w:rPr>
          <w:rStyle w:val="Strong"/>
        </w:rPr>
        <w:t>Retail</w:t>
      </w:r>
      <w:r w:rsidR="0057745A" w:rsidRPr="0070612E">
        <w:t>: Retail businesses, particularly in urban areas, often require short-term capital for inventory and operational expenses. Their access to finance could differ from other sectors.</w:t>
      </w:r>
    </w:p>
    <w:p w14:paraId="7D8D1A8F" w14:textId="77777777" w:rsidR="0057745A" w:rsidRPr="0070612E" w:rsidRDefault="00A21EAB" w:rsidP="00A21EAB">
      <w:pPr>
        <w:pStyle w:val="NormalWeb"/>
        <w:spacing w:line="360" w:lineRule="auto"/>
        <w:ind w:left="720" w:hanging="720"/>
        <w:jc w:val="both"/>
      </w:pPr>
      <w:r>
        <w:rPr>
          <w:rStyle w:val="Strong"/>
        </w:rPr>
        <w:t>iii.</w:t>
      </w:r>
      <w:r>
        <w:rPr>
          <w:rStyle w:val="Strong"/>
        </w:rPr>
        <w:tab/>
      </w:r>
      <w:r w:rsidR="0057745A" w:rsidRPr="0070612E">
        <w:rPr>
          <w:rStyle w:val="Strong"/>
        </w:rPr>
        <w:t>Services</w:t>
      </w:r>
      <w:r w:rsidR="0057745A" w:rsidRPr="0070612E">
        <w:t>: This includes small businesses in the hospitality, healthcare, or education sectors, which may have different funding needs and credit requirements.</w:t>
      </w:r>
    </w:p>
    <w:p w14:paraId="2940E373" w14:textId="77777777" w:rsidR="0057745A" w:rsidRPr="0070612E" w:rsidRDefault="0057745A" w:rsidP="0070612E">
      <w:pPr>
        <w:pStyle w:val="NormalWeb"/>
        <w:spacing w:line="360" w:lineRule="auto"/>
        <w:jc w:val="both"/>
      </w:pPr>
      <w:r w:rsidRPr="0070612E">
        <w:t xml:space="preserve">By applying </w:t>
      </w:r>
      <w:r w:rsidRPr="006230AA">
        <w:rPr>
          <w:rStyle w:val="Strong"/>
          <w:b w:val="0"/>
          <w:bCs w:val="0"/>
        </w:rPr>
        <w:t>stratified sampling</w:t>
      </w:r>
      <w:r w:rsidRPr="006230AA">
        <w:rPr>
          <w:b/>
          <w:bCs/>
        </w:rPr>
        <w:t>,</w:t>
      </w:r>
      <w:r w:rsidRPr="0070612E">
        <w:t xml:space="preserve"> the study ensures that each sector's specific experiences and challenges regarding access to finance are adequately represented. This helps avoid skewed results that might occur if one sector dominated the sample.</w:t>
      </w:r>
    </w:p>
    <w:p w14:paraId="3962843A" w14:textId="77777777" w:rsidR="008E051B" w:rsidRPr="0070612E" w:rsidRDefault="0057745A" w:rsidP="0070612E">
      <w:pPr>
        <w:pStyle w:val="NormalWeb"/>
        <w:spacing w:line="360" w:lineRule="auto"/>
        <w:jc w:val="both"/>
      </w:pPr>
      <w:r w:rsidRPr="0070612E">
        <w:rPr>
          <w:rStyle w:val="Strong"/>
        </w:rPr>
        <w:t>Simple Random Sampling</w:t>
      </w:r>
      <w:r w:rsidRPr="0070612E">
        <w:t xml:space="preserve">: Within each stratum (i.e., within each industry sector), </w:t>
      </w:r>
      <w:r w:rsidRPr="00CE1342">
        <w:rPr>
          <w:rStyle w:val="Strong"/>
          <w:b w:val="0"/>
          <w:bCs w:val="0"/>
        </w:rPr>
        <w:t>simple random sampling</w:t>
      </w:r>
      <w:r w:rsidRPr="0070612E">
        <w:t xml:space="preserve"> will be used to select the respondents. This technique ensures that every SME </w:t>
      </w:r>
      <w:r w:rsidRPr="0070612E">
        <w:lastRenderedPageBreak/>
        <w:t>in each sector has an equal chance of being included in the sample, minimizing selection bias and enhancing the generalizability of the findings. For example, once businesses are categorized into agriculture, retail, or services, a random selection of SMEs within each category will be made.</w:t>
      </w:r>
    </w:p>
    <w:p w14:paraId="1377698F" w14:textId="77777777" w:rsidR="0057745A" w:rsidRPr="0070612E" w:rsidRDefault="0057745A" w:rsidP="0070612E">
      <w:pPr>
        <w:pStyle w:val="NormalWeb"/>
        <w:spacing w:line="360" w:lineRule="auto"/>
        <w:jc w:val="both"/>
      </w:pPr>
      <w:r w:rsidRPr="0070612E">
        <w:t>Random selection helps to capture a broad range of experiences within each industry, ensuring that the data reflects the diversity of SME needs and perspectives. It also allows for statistical analysis that can make inferences about the entire population of SMEs that interact with First Bank.</w:t>
      </w:r>
    </w:p>
    <w:p w14:paraId="6719472C" w14:textId="77777777" w:rsidR="0057745A" w:rsidRPr="0070612E" w:rsidRDefault="0057745A" w:rsidP="0070612E">
      <w:pPr>
        <w:pStyle w:val="NormalWeb"/>
        <w:spacing w:line="360" w:lineRule="auto"/>
        <w:jc w:val="both"/>
      </w:pPr>
      <w:r w:rsidRPr="0070612E">
        <w:rPr>
          <w:rStyle w:val="Strong"/>
        </w:rPr>
        <w:t>Purposive Sampling for Interviews</w:t>
      </w:r>
      <w:r w:rsidRPr="0070612E">
        <w:t xml:space="preserve">: To gain in-depth insights into the bank’s perspective on SME financing post-recapitalization, </w:t>
      </w:r>
      <w:r w:rsidRPr="00CE1342">
        <w:rPr>
          <w:rStyle w:val="Strong"/>
          <w:b w:val="0"/>
          <w:bCs w:val="0"/>
        </w:rPr>
        <w:t>purposive sampling</w:t>
      </w:r>
      <w:r w:rsidRPr="0070612E">
        <w:t>will be employed to select key bank officials for interviews. Purposive sampling is a non-random technique where participants are deliberately selected based on specific criteria relevant to the study.</w:t>
      </w:r>
    </w:p>
    <w:p w14:paraId="4FCC53FA" w14:textId="77777777" w:rsidR="0057745A" w:rsidRPr="0070612E" w:rsidRDefault="0057745A" w:rsidP="0070612E">
      <w:pPr>
        <w:pStyle w:val="NormalWeb"/>
        <w:spacing w:line="360" w:lineRule="auto"/>
        <w:jc w:val="both"/>
      </w:pPr>
      <w:r w:rsidRPr="0070612E">
        <w:t>The purposive selection ensures that the interviewees possess the necessary knowledge and experience to provide detailed, relevant insights into the bank's lending practices and how recapitalization has affected their approach to SME financing. These interviews will offer a nuanced understanding of the challenges and strategies within First Bank that affect small-scale businesses.</w:t>
      </w:r>
    </w:p>
    <w:p w14:paraId="6CBE745C" w14:textId="77777777" w:rsidR="0057745A" w:rsidRPr="0070612E" w:rsidRDefault="0057745A" w:rsidP="0070612E">
      <w:pPr>
        <w:pStyle w:val="Heading4"/>
        <w:spacing w:line="360" w:lineRule="auto"/>
        <w:jc w:val="both"/>
        <w:rPr>
          <w:rFonts w:ascii="Times New Roman" w:hAnsi="Times New Roman"/>
          <w:i w:val="0"/>
          <w:iCs w:val="0"/>
          <w:color w:val="auto"/>
          <w:sz w:val="24"/>
          <w:szCs w:val="24"/>
        </w:rPr>
      </w:pPr>
      <w:r w:rsidRPr="0070612E">
        <w:rPr>
          <w:rStyle w:val="Strong"/>
          <w:rFonts w:ascii="Times New Roman" w:hAnsi="Times New Roman"/>
          <w:i w:val="0"/>
          <w:iCs w:val="0"/>
          <w:color w:val="auto"/>
          <w:sz w:val="24"/>
          <w:szCs w:val="24"/>
        </w:rPr>
        <w:t xml:space="preserve">3.5 </w:t>
      </w:r>
      <w:r w:rsidR="008E051B" w:rsidRPr="0070612E">
        <w:rPr>
          <w:rStyle w:val="Strong"/>
          <w:rFonts w:ascii="Times New Roman" w:hAnsi="Times New Roman"/>
          <w:i w:val="0"/>
          <w:iCs w:val="0"/>
          <w:color w:val="auto"/>
          <w:sz w:val="24"/>
          <w:szCs w:val="24"/>
        </w:rPr>
        <w:tab/>
      </w:r>
      <w:r w:rsidRPr="0070612E">
        <w:rPr>
          <w:rStyle w:val="Strong"/>
          <w:rFonts w:ascii="Times New Roman" w:hAnsi="Times New Roman"/>
          <w:i w:val="0"/>
          <w:iCs w:val="0"/>
          <w:color w:val="auto"/>
          <w:sz w:val="24"/>
          <w:szCs w:val="24"/>
        </w:rPr>
        <w:t>Research Instruments</w:t>
      </w:r>
    </w:p>
    <w:p w14:paraId="6182E5C1" w14:textId="77777777" w:rsidR="0057745A" w:rsidRPr="0070612E" w:rsidRDefault="0057745A" w:rsidP="00B75AC6">
      <w:pPr>
        <w:pStyle w:val="NormalWeb"/>
        <w:spacing w:line="360" w:lineRule="auto"/>
        <w:jc w:val="both"/>
      </w:pPr>
      <w:r w:rsidRPr="0070612E">
        <w:t>The primary research instruments for data collection will include:</w:t>
      </w:r>
    </w:p>
    <w:p w14:paraId="75B51286" w14:textId="77777777" w:rsidR="0057745A" w:rsidRPr="0070612E" w:rsidRDefault="0057745A" w:rsidP="00CE1342">
      <w:pPr>
        <w:pStyle w:val="NormalWeb"/>
        <w:spacing w:line="360" w:lineRule="auto"/>
        <w:jc w:val="both"/>
      </w:pPr>
      <w:r w:rsidRPr="0070612E">
        <w:rPr>
          <w:rStyle w:val="Strong"/>
        </w:rPr>
        <w:t>Questionnaires</w:t>
      </w:r>
      <w:r w:rsidRPr="0070612E">
        <w:t xml:space="preserve">: Structured questionnaires will be used to gather quantitative data from SME owners. The questionnaires will include both closed and open-ended questions to capture detailed information about their experiences with First Bank in relation to recapitalization and financing. </w:t>
      </w:r>
    </w:p>
    <w:p w14:paraId="3E9490B9" w14:textId="77777777" w:rsidR="0057745A" w:rsidRPr="0070612E" w:rsidRDefault="0057745A" w:rsidP="00CE1342">
      <w:pPr>
        <w:pStyle w:val="NormalWeb"/>
        <w:spacing w:line="360" w:lineRule="auto"/>
        <w:jc w:val="both"/>
      </w:pPr>
      <w:r w:rsidRPr="0070612E">
        <w:rPr>
          <w:rStyle w:val="Strong"/>
        </w:rPr>
        <w:lastRenderedPageBreak/>
        <w:t>Interview Guides</w:t>
      </w:r>
      <w:r w:rsidRPr="0070612E">
        <w:t xml:space="preserve">: Semi-structured interview guides will be used for conducting interviews with key personnel at First Bank. </w:t>
      </w:r>
    </w:p>
    <w:p w14:paraId="6480CE5D" w14:textId="77777777" w:rsidR="0057745A" w:rsidRPr="0070612E" w:rsidRDefault="0057745A" w:rsidP="00B75AC6">
      <w:pPr>
        <w:pStyle w:val="Heading4"/>
        <w:spacing w:before="0" w:line="360" w:lineRule="auto"/>
        <w:jc w:val="both"/>
        <w:rPr>
          <w:rFonts w:ascii="Times New Roman" w:hAnsi="Times New Roman"/>
          <w:i w:val="0"/>
          <w:iCs w:val="0"/>
          <w:color w:val="auto"/>
          <w:sz w:val="24"/>
          <w:szCs w:val="24"/>
        </w:rPr>
      </w:pPr>
      <w:r w:rsidRPr="0070612E">
        <w:rPr>
          <w:rStyle w:val="Strong"/>
          <w:rFonts w:ascii="Times New Roman" w:hAnsi="Times New Roman"/>
          <w:i w:val="0"/>
          <w:iCs w:val="0"/>
          <w:color w:val="auto"/>
          <w:sz w:val="24"/>
          <w:szCs w:val="24"/>
        </w:rPr>
        <w:t>3.6</w:t>
      </w:r>
      <w:r w:rsidR="008E051B" w:rsidRPr="0070612E">
        <w:rPr>
          <w:rStyle w:val="Strong"/>
          <w:rFonts w:ascii="Times New Roman" w:hAnsi="Times New Roman"/>
          <w:i w:val="0"/>
          <w:iCs w:val="0"/>
          <w:color w:val="auto"/>
          <w:sz w:val="24"/>
          <w:szCs w:val="24"/>
        </w:rPr>
        <w:tab/>
      </w:r>
      <w:r w:rsidRPr="0070612E">
        <w:rPr>
          <w:rStyle w:val="Strong"/>
          <w:rFonts w:ascii="Times New Roman" w:hAnsi="Times New Roman"/>
          <w:i w:val="0"/>
          <w:iCs w:val="0"/>
          <w:color w:val="auto"/>
          <w:sz w:val="24"/>
          <w:szCs w:val="24"/>
        </w:rPr>
        <w:t xml:space="preserve"> Method of Data Analysis</w:t>
      </w:r>
    </w:p>
    <w:p w14:paraId="3C79B8BA" w14:textId="77777777" w:rsidR="0057745A" w:rsidRPr="0070612E" w:rsidRDefault="0057745A" w:rsidP="00B75AC6">
      <w:pPr>
        <w:pStyle w:val="NormalWeb"/>
        <w:spacing w:line="360" w:lineRule="auto"/>
        <w:jc w:val="both"/>
      </w:pPr>
      <w:r w:rsidRPr="0070612E">
        <w:t xml:space="preserve">The data collected from the surveys and interviews will be analyzed using both </w:t>
      </w:r>
      <w:r w:rsidRPr="0070612E">
        <w:rPr>
          <w:rStyle w:val="Strong"/>
        </w:rPr>
        <w:t>qualitative</w:t>
      </w:r>
      <w:r w:rsidRPr="0070612E">
        <w:t xml:space="preserve"> and </w:t>
      </w:r>
      <w:r w:rsidRPr="0070612E">
        <w:rPr>
          <w:rStyle w:val="Strong"/>
        </w:rPr>
        <w:t>quantitative methods</w:t>
      </w:r>
      <w:r w:rsidRPr="0070612E">
        <w:t xml:space="preserve"> to offer a comprehensive understanding of the research problem.</w:t>
      </w:r>
    </w:p>
    <w:p w14:paraId="24B0837A" w14:textId="77777777" w:rsidR="0057745A" w:rsidRPr="0070612E" w:rsidRDefault="0057745A" w:rsidP="0070612E">
      <w:pPr>
        <w:pStyle w:val="NormalWeb"/>
        <w:spacing w:line="360" w:lineRule="auto"/>
        <w:jc w:val="both"/>
      </w:pPr>
      <w:r w:rsidRPr="0070612E">
        <w:rPr>
          <w:rStyle w:val="Strong"/>
        </w:rPr>
        <w:t>Quantitative Data Analysis</w:t>
      </w:r>
      <w:r w:rsidRPr="0070612E">
        <w:t>:</w:t>
      </w:r>
    </w:p>
    <w:p w14:paraId="22B092E0" w14:textId="77777777" w:rsidR="0057745A" w:rsidRPr="0070612E" w:rsidRDefault="00A21EAB" w:rsidP="00A21EAB">
      <w:pPr>
        <w:pStyle w:val="NormalWeb"/>
        <w:spacing w:line="360" w:lineRule="auto"/>
        <w:ind w:left="720" w:hanging="720"/>
        <w:jc w:val="both"/>
      </w:pPr>
      <w:proofErr w:type="spellStart"/>
      <w:r>
        <w:t>i</w:t>
      </w:r>
      <w:proofErr w:type="spellEnd"/>
      <w:r>
        <w:t>.</w:t>
      </w:r>
      <w:r>
        <w:tab/>
      </w:r>
      <w:r w:rsidR="0057745A" w:rsidRPr="0070612E">
        <w:t xml:space="preserve">The responses from the questionnaires will be analyzed using </w:t>
      </w:r>
      <w:r w:rsidR="0057745A" w:rsidRPr="0070612E">
        <w:rPr>
          <w:rStyle w:val="Strong"/>
        </w:rPr>
        <w:t>statistical tools</w:t>
      </w:r>
      <w:r w:rsidR="0057745A" w:rsidRPr="0070612E">
        <w:t xml:space="preserve"> such as SPSS (Statistical Package for the Social Sciences) or Microsoft Excel. Descriptive statistics (e.g., mean, median, frequency distributions) will be used to summarize the data, while inferential statistics (e.g., chi-square tests, t-tests) will be employed to test hypotheses and draw conclusions about the relationship between recapitalization and SME financing.</w:t>
      </w:r>
    </w:p>
    <w:p w14:paraId="6AFF4DA6" w14:textId="77777777" w:rsidR="0057745A" w:rsidRPr="0070612E" w:rsidRDefault="00A21EAB" w:rsidP="00A21EAB">
      <w:pPr>
        <w:pStyle w:val="NormalWeb"/>
        <w:spacing w:line="360" w:lineRule="auto"/>
        <w:ind w:left="720" w:hanging="720"/>
        <w:jc w:val="both"/>
      </w:pPr>
      <w:r>
        <w:rPr>
          <w:rStyle w:val="Strong"/>
        </w:rPr>
        <w:t>ii.</w:t>
      </w:r>
      <w:r>
        <w:rPr>
          <w:rStyle w:val="Strong"/>
        </w:rPr>
        <w:tab/>
      </w:r>
      <w:r w:rsidR="0057745A" w:rsidRPr="0070612E">
        <w:rPr>
          <w:rStyle w:val="Strong"/>
        </w:rPr>
        <w:t>Regression Analysis</w:t>
      </w:r>
      <w:r w:rsidR="0057745A" w:rsidRPr="0070612E">
        <w:t xml:space="preserve"> may be used to determine the impact of bank recapitalization on the financing behavior of First Bank and its implications for small-scale enterprises.</w:t>
      </w:r>
    </w:p>
    <w:p w14:paraId="5F52D4EF" w14:textId="77777777" w:rsidR="0057745A" w:rsidRPr="0070612E" w:rsidRDefault="0057745A" w:rsidP="00B75AC6">
      <w:pPr>
        <w:pStyle w:val="NormalWeb"/>
        <w:spacing w:after="0" w:afterAutospacing="0"/>
        <w:jc w:val="both"/>
      </w:pPr>
      <w:r w:rsidRPr="0070612E">
        <w:rPr>
          <w:rStyle w:val="Strong"/>
        </w:rPr>
        <w:t>Qualitative Data Analysis</w:t>
      </w:r>
      <w:r w:rsidRPr="0070612E">
        <w:t>:</w:t>
      </w:r>
    </w:p>
    <w:p w14:paraId="07BFC9F1" w14:textId="77777777" w:rsidR="0057745A" w:rsidRPr="0070612E" w:rsidRDefault="00B75AC6" w:rsidP="00B75AC6">
      <w:pPr>
        <w:pStyle w:val="NormalWeb"/>
        <w:ind w:left="720" w:hanging="720"/>
        <w:jc w:val="both"/>
      </w:pPr>
      <w:proofErr w:type="spellStart"/>
      <w:r>
        <w:t>i</w:t>
      </w:r>
      <w:proofErr w:type="spellEnd"/>
      <w:r>
        <w:t>.</w:t>
      </w:r>
      <w:r>
        <w:tab/>
      </w:r>
      <w:r w:rsidR="0057745A" w:rsidRPr="0070612E">
        <w:t xml:space="preserve">The interviews will be transcribed and coded using </w:t>
      </w:r>
      <w:r w:rsidR="0057745A" w:rsidRPr="00B75AC6">
        <w:rPr>
          <w:rStyle w:val="Strong"/>
          <w:b w:val="0"/>
        </w:rPr>
        <w:t>thematic analysis</w:t>
      </w:r>
      <w:r w:rsidR="0057745A" w:rsidRPr="00B75AC6">
        <w:rPr>
          <w:b/>
        </w:rPr>
        <w:t>.</w:t>
      </w:r>
      <w:r w:rsidR="0057745A" w:rsidRPr="0070612E">
        <w:t xml:space="preserve"> This process involves identifying patterns, themes, and insights from the interview data to understand the experiences and perspectives of bank officials.</w:t>
      </w:r>
    </w:p>
    <w:p w14:paraId="63B2D25A" w14:textId="77777777" w:rsidR="0057745A" w:rsidRPr="0070612E" w:rsidRDefault="00B75AC6" w:rsidP="00B75AC6">
      <w:pPr>
        <w:pStyle w:val="NormalWeb"/>
        <w:ind w:left="720" w:hanging="720"/>
        <w:jc w:val="both"/>
      </w:pPr>
      <w:r>
        <w:rPr>
          <w:rStyle w:val="Strong"/>
        </w:rPr>
        <w:t>ii.</w:t>
      </w:r>
      <w:r>
        <w:rPr>
          <w:rStyle w:val="Strong"/>
        </w:rPr>
        <w:tab/>
      </w:r>
      <w:r w:rsidR="0057745A" w:rsidRPr="0070612E">
        <w:rPr>
          <w:rStyle w:val="Strong"/>
        </w:rPr>
        <w:t>Content analysis</w:t>
      </w:r>
      <w:r w:rsidR="0057745A" w:rsidRPr="0070612E">
        <w:t xml:space="preserve"> will also be applied to the secondary data (e.g., bank reports, CBN policies) to extract relevant information regarding the historical context and evolving nature of bank recapitalization.</w:t>
      </w:r>
    </w:p>
    <w:p w14:paraId="5E3CC28D" w14:textId="77777777" w:rsidR="0057745A" w:rsidRPr="0070612E" w:rsidRDefault="0057745A" w:rsidP="00B75AC6">
      <w:pPr>
        <w:pStyle w:val="NormalWeb"/>
        <w:jc w:val="both"/>
      </w:pPr>
      <w:r w:rsidRPr="0070612E">
        <w:t>The combination of quantitative and qualitative data analysis will provide a holistic view of the impact of recapitalization on SME financing in Nigeria.</w:t>
      </w:r>
    </w:p>
    <w:p w14:paraId="5C007EBA" w14:textId="77777777" w:rsidR="0057745A" w:rsidRPr="0070612E" w:rsidRDefault="0057745A" w:rsidP="0070612E">
      <w:pPr>
        <w:spacing w:line="360" w:lineRule="auto"/>
        <w:jc w:val="both"/>
        <w:rPr>
          <w:rFonts w:ascii="Times New Roman" w:hAnsi="Times New Roman"/>
          <w:sz w:val="24"/>
          <w:szCs w:val="24"/>
        </w:rPr>
      </w:pPr>
    </w:p>
    <w:p w14:paraId="1A0A87CE" w14:textId="77777777" w:rsidR="00440F11" w:rsidRPr="0070612E" w:rsidRDefault="00813298" w:rsidP="00B75AC6">
      <w:pPr>
        <w:pStyle w:val="Heading3"/>
        <w:jc w:val="center"/>
        <w:rPr>
          <w:rStyle w:val="Strong"/>
          <w:b/>
          <w:bCs/>
          <w:sz w:val="24"/>
          <w:szCs w:val="24"/>
        </w:rPr>
      </w:pPr>
      <w:bookmarkStart w:id="0" w:name="_Hlk196724441"/>
      <w:r w:rsidRPr="0070612E">
        <w:rPr>
          <w:rStyle w:val="Strong"/>
          <w:b/>
          <w:bCs/>
          <w:sz w:val="24"/>
          <w:szCs w:val="24"/>
        </w:rPr>
        <w:lastRenderedPageBreak/>
        <w:t>CHAPTER FOUR</w:t>
      </w:r>
    </w:p>
    <w:p w14:paraId="2108A256" w14:textId="77777777" w:rsidR="00813298" w:rsidRPr="0070612E" w:rsidRDefault="00440F11" w:rsidP="00B75AC6">
      <w:pPr>
        <w:pStyle w:val="Heading3"/>
        <w:jc w:val="both"/>
        <w:rPr>
          <w:sz w:val="24"/>
          <w:szCs w:val="24"/>
        </w:rPr>
      </w:pPr>
      <w:r w:rsidRPr="0070612E">
        <w:rPr>
          <w:rStyle w:val="Strong"/>
          <w:b/>
          <w:bCs/>
          <w:sz w:val="24"/>
          <w:szCs w:val="24"/>
        </w:rPr>
        <w:t>4.0</w:t>
      </w:r>
      <w:r w:rsidRPr="0070612E">
        <w:rPr>
          <w:rStyle w:val="Strong"/>
          <w:b/>
          <w:bCs/>
          <w:sz w:val="24"/>
          <w:szCs w:val="24"/>
        </w:rPr>
        <w:tab/>
      </w:r>
      <w:r w:rsidR="00813298" w:rsidRPr="0070612E">
        <w:rPr>
          <w:rStyle w:val="Strong"/>
          <w:b/>
          <w:bCs/>
          <w:sz w:val="24"/>
          <w:szCs w:val="24"/>
        </w:rPr>
        <w:t>DATA PRESENTATION AND ANALYSIS</w:t>
      </w:r>
    </w:p>
    <w:p w14:paraId="63486F11" w14:textId="77777777" w:rsidR="00813298" w:rsidRPr="0070612E" w:rsidRDefault="00813298" w:rsidP="00CE1342">
      <w:pPr>
        <w:pStyle w:val="Heading4"/>
        <w:spacing w:line="240" w:lineRule="auto"/>
        <w:jc w:val="both"/>
        <w:rPr>
          <w:rFonts w:ascii="Times New Roman" w:hAnsi="Times New Roman"/>
          <w:i w:val="0"/>
          <w:iCs w:val="0"/>
          <w:color w:val="auto"/>
          <w:sz w:val="24"/>
          <w:szCs w:val="24"/>
        </w:rPr>
      </w:pPr>
      <w:r w:rsidRPr="0070612E">
        <w:rPr>
          <w:rStyle w:val="Strong"/>
          <w:rFonts w:ascii="Times New Roman" w:hAnsi="Times New Roman"/>
          <w:i w:val="0"/>
          <w:iCs w:val="0"/>
          <w:color w:val="auto"/>
          <w:sz w:val="24"/>
          <w:szCs w:val="24"/>
        </w:rPr>
        <w:t xml:space="preserve">4.1 </w:t>
      </w:r>
      <w:r w:rsidR="00440F11" w:rsidRPr="0070612E">
        <w:rPr>
          <w:rStyle w:val="Strong"/>
          <w:rFonts w:ascii="Times New Roman" w:hAnsi="Times New Roman"/>
          <w:i w:val="0"/>
          <w:iCs w:val="0"/>
          <w:color w:val="auto"/>
          <w:sz w:val="24"/>
          <w:szCs w:val="24"/>
        </w:rPr>
        <w:tab/>
      </w:r>
      <w:r w:rsidRPr="0070612E">
        <w:rPr>
          <w:rStyle w:val="Strong"/>
          <w:rFonts w:ascii="Times New Roman" w:hAnsi="Times New Roman"/>
          <w:i w:val="0"/>
          <w:iCs w:val="0"/>
          <w:color w:val="auto"/>
          <w:sz w:val="24"/>
          <w:szCs w:val="24"/>
        </w:rPr>
        <w:t>Data Presentation</w:t>
      </w:r>
    </w:p>
    <w:p w14:paraId="6CD9D75C" w14:textId="77777777" w:rsidR="00813298" w:rsidRPr="0070612E" w:rsidRDefault="00813298" w:rsidP="0070612E">
      <w:pPr>
        <w:pStyle w:val="NormalWeb"/>
        <w:spacing w:line="360" w:lineRule="auto"/>
        <w:jc w:val="both"/>
      </w:pPr>
      <w:r w:rsidRPr="0070612E">
        <w:t>In this section, the raw data collected from SMEs and bank officials will be presented. The data will be organized systematically to facilitate easy analysis. This section will include both descriptive and tabular presentations of the survey results, including responses from SMEs and interviews conducted with bank officials.</w:t>
      </w:r>
    </w:p>
    <w:p w14:paraId="7C27CBBF" w14:textId="77777777" w:rsidR="000432BA" w:rsidRPr="0070612E" w:rsidRDefault="00813298" w:rsidP="00CE1342">
      <w:pPr>
        <w:pStyle w:val="NormalWeb"/>
        <w:jc w:val="both"/>
      </w:pPr>
      <w:r w:rsidRPr="0070612E">
        <w:rPr>
          <w:b/>
          <w:bCs/>
        </w:rPr>
        <w:t>Table 4.1</w:t>
      </w:r>
      <w:r w:rsidR="000432BA" w:rsidRPr="0070612E">
        <w:rPr>
          <w:b/>
          <w:bCs/>
        </w:rPr>
        <w:t>.1</w:t>
      </w:r>
      <w:r w:rsidRPr="0070612E">
        <w:rPr>
          <w:b/>
          <w:bCs/>
        </w:rPr>
        <w:t>:</w:t>
      </w:r>
      <w:r w:rsidR="000432BA" w:rsidRPr="0070612E">
        <w:tab/>
      </w:r>
      <w:r w:rsidRPr="0070612E">
        <w:rPr>
          <w:rStyle w:val="Strong"/>
        </w:rPr>
        <w:t>Industry Classification of SMEs</w:t>
      </w:r>
    </w:p>
    <w:p w14:paraId="1DC04ACF" w14:textId="77777777" w:rsidR="00813298" w:rsidRPr="0070612E" w:rsidRDefault="00813298" w:rsidP="0070612E">
      <w:pPr>
        <w:pStyle w:val="NormalWeb"/>
        <w:spacing w:line="360" w:lineRule="auto"/>
        <w:jc w:val="both"/>
      </w:pPr>
      <w:r w:rsidRPr="0070612E">
        <w:t>This table will categorize the SMEs surveyed based on their industry sector (Agriculture, Retail, Services, etc.). This classification will help in analyzing industry-specific patterns in the response data.</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3407"/>
        <w:gridCol w:w="3007"/>
      </w:tblGrid>
      <w:tr w:rsidR="00BC7CB5" w:rsidRPr="0070612E" w14:paraId="44443F81" w14:textId="77777777" w:rsidTr="00CA70D4">
        <w:tc>
          <w:tcPr>
            <w:tcW w:w="2605" w:type="dxa"/>
            <w:tcBorders>
              <w:bottom w:val="single" w:sz="4" w:space="0" w:color="auto"/>
            </w:tcBorders>
          </w:tcPr>
          <w:p w14:paraId="7502BABE" w14:textId="77777777" w:rsidR="00BC7CB5" w:rsidRPr="0070612E" w:rsidRDefault="00BC7CB5" w:rsidP="0070612E">
            <w:pPr>
              <w:pStyle w:val="NormalWeb"/>
              <w:spacing w:line="360" w:lineRule="auto"/>
              <w:jc w:val="both"/>
              <w:rPr>
                <w:b/>
                <w:bCs/>
              </w:rPr>
            </w:pPr>
            <w:bookmarkStart w:id="1" w:name="_Hlk196726450"/>
            <w:r w:rsidRPr="0070612E">
              <w:rPr>
                <w:b/>
                <w:bCs/>
              </w:rPr>
              <w:t xml:space="preserve">Sector </w:t>
            </w:r>
          </w:p>
        </w:tc>
        <w:tc>
          <w:tcPr>
            <w:tcW w:w="3407" w:type="dxa"/>
            <w:tcBorders>
              <w:bottom w:val="single" w:sz="4" w:space="0" w:color="auto"/>
            </w:tcBorders>
          </w:tcPr>
          <w:p w14:paraId="04C2F92C" w14:textId="77777777" w:rsidR="00BC7CB5" w:rsidRPr="0070612E" w:rsidRDefault="00BC7CB5" w:rsidP="0070612E">
            <w:pPr>
              <w:pStyle w:val="NormalWeb"/>
              <w:spacing w:line="360" w:lineRule="auto"/>
              <w:jc w:val="both"/>
              <w:rPr>
                <w:b/>
                <w:bCs/>
              </w:rPr>
            </w:pPr>
            <w:r w:rsidRPr="0070612E">
              <w:rPr>
                <w:b/>
                <w:bCs/>
              </w:rPr>
              <w:t xml:space="preserve">Number of </w:t>
            </w:r>
            <w:r w:rsidR="00044809" w:rsidRPr="0070612E">
              <w:rPr>
                <w:b/>
                <w:bCs/>
              </w:rPr>
              <w:t xml:space="preserve">Respondents </w:t>
            </w:r>
          </w:p>
        </w:tc>
        <w:tc>
          <w:tcPr>
            <w:tcW w:w="3007" w:type="dxa"/>
            <w:tcBorders>
              <w:bottom w:val="single" w:sz="4" w:space="0" w:color="auto"/>
            </w:tcBorders>
          </w:tcPr>
          <w:p w14:paraId="46DDC10F" w14:textId="77777777" w:rsidR="00BC7CB5" w:rsidRPr="0070612E" w:rsidRDefault="00BC7CB5" w:rsidP="0070612E">
            <w:pPr>
              <w:pStyle w:val="NormalWeb"/>
              <w:spacing w:line="360" w:lineRule="auto"/>
              <w:jc w:val="both"/>
              <w:rPr>
                <w:b/>
                <w:bCs/>
              </w:rPr>
            </w:pPr>
            <w:r w:rsidRPr="0070612E">
              <w:rPr>
                <w:b/>
                <w:bCs/>
              </w:rPr>
              <w:t>Percentage (%)</w:t>
            </w:r>
          </w:p>
        </w:tc>
      </w:tr>
      <w:tr w:rsidR="00B53FBF" w:rsidRPr="0070612E" w14:paraId="5B63E17F" w14:textId="77777777" w:rsidTr="00CA70D4">
        <w:tc>
          <w:tcPr>
            <w:tcW w:w="2605" w:type="dxa"/>
            <w:tcBorders>
              <w:top w:val="single" w:sz="4" w:space="0" w:color="auto"/>
            </w:tcBorders>
            <w:vAlign w:val="center"/>
          </w:tcPr>
          <w:p w14:paraId="094516A7" w14:textId="77777777" w:rsidR="00B53FBF" w:rsidRPr="0070612E" w:rsidRDefault="00B53FBF" w:rsidP="0070612E">
            <w:pPr>
              <w:pStyle w:val="NormalWeb"/>
              <w:spacing w:line="360" w:lineRule="auto"/>
              <w:jc w:val="both"/>
            </w:pPr>
            <w:r w:rsidRPr="0070612E">
              <w:t>Agriculture</w:t>
            </w:r>
          </w:p>
        </w:tc>
        <w:tc>
          <w:tcPr>
            <w:tcW w:w="3407" w:type="dxa"/>
            <w:tcBorders>
              <w:top w:val="single" w:sz="4" w:space="0" w:color="auto"/>
            </w:tcBorders>
            <w:vAlign w:val="center"/>
          </w:tcPr>
          <w:p w14:paraId="3A82AF87" w14:textId="77777777" w:rsidR="00B53FBF" w:rsidRPr="0070612E" w:rsidRDefault="00B53FBF" w:rsidP="0070612E">
            <w:pPr>
              <w:pStyle w:val="NormalWeb"/>
              <w:spacing w:line="360" w:lineRule="auto"/>
              <w:jc w:val="both"/>
            </w:pPr>
            <w:r w:rsidRPr="0070612E">
              <w:t>50</w:t>
            </w:r>
          </w:p>
        </w:tc>
        <w:tc>
          <w:tcPr>
            <w:tcW w:w="3007" w:type="dxa"/>
            <w:tcBorders>
              <w:top w:val="single" w:sz="4" w:space="0" w:color="auto"/>
            </w:tcBorders>
            <w:vAlign w:val="center"/>
          </w:tcPr>
          <w:p w14:paraId="4294A3FC" w14:textId="77777777" w:rsidR="00B53FBF" w:rsidRPr="0070612E" w:rsidRDefault="00B53FBF" w:rsidP="0070612E">
            <w:pPr>
              <w:pStyle w:val="NormalWeb"/>
              <w:spacing w:line="360" w:lineRule="auto"/>
              <w:jc w:val="both"/>
            </w:pPr>
            <w:r w:rsidRPr="0070612E">
              <w:t>25</w:t>
            </w:r>
          </w:p>
        </w:tc>
      </w:tr>
      <w:tr w:rsidR="00B53FBF" w:rsidRPr="0070612E" w14:paraId="751BC218" w14:textId="77777777" w:rsidTr="00CA70D4">
        <w:tc>
          <w:tcPr>
            <w:tcW w:w="2605" w:type="dxa"/>
            <w:vAlign w:val="center"/>
          </w:tcPr>
          <w:p w14:paraId="21CEB502" w14:textId="77777777" w:rsidR="00B53FBF" w:rsidRPr="0070612E" w:rsidRDefault="00B53FBF" w:rsidP="0070612E">
            <w:pPr>
              <w:pStyle w:val="NormalWeb"/>
              <w:spacing w:line="360" w:lineRule="auto"/>
              <w:jc w:val="both"/>
            </w:pPr>
            <w:r w:rsidRPr="0070612E">
              <w:t>Retail</w:t>
            </w:r>
          </w:p>
        </w:tc>
        <w:tc>
          <w:tcPr>
            <w:tcW w:w="3407" w:type="dxa"/>
            <w:vAlign w:val="center"/>
          </w:tcPr>
          <w:p w14:paraId="1202C879" w14:textId="77777777" w:rsidR="00B53FBF" w:rsidRPr="0070612E" w:rsidRDefault="00B53FBF" w:rsidP="0070612E">
            <w:pPr>
              <w:pStyle w:val="NormalWeb"/>
              <w:spacing w:line="360" w:lineRule="auto"/>
              <w:jc w:val="both"/>
            </w:pPr>
            <w:r w:rsidRPr="0070612E">
              <w:t>70</w:t>
            </w:r>
          </w:p>
        </w:tc>
        <w:tc>
          <w:tcPr>
            <w:tcW w:w="3007" w:type="dxa"/>
            <w:vAlign w:val="center"/>
          </w:tcPr>
          <w:p w14:paraId="0FD18D05" w14:textId="77777777" w:rsidR="00B53FBF" w:rsidRPr="0070612E" w:rsidRDefault="00B53FBF" w:rsidP="0070612E">
            <w:pPr>
              <w:pStyle w:val="NormalWeb"/>
              <w:spacing w:line="360" w:lineRule="auto"/>
              <w:jc w:val="both"/>
            </w:pPr>
            <w:r w:rsidRPr="0070612E">
              <w:t>35</w:t>
            </w:r>
          </w:p>
        </w:tc>
      </w:tr>
      <w:tr w:rsidR="00B53FBF" w:rsidRPr="0070612E" w14:paraId="0C395F33" w14:textId="77777777" w:rsidTr="00CA70D4">
        <w:tc>
          <w:tcPr>
            <w:tcW w:w="2605" w:type="dxa"/>
            <w:vAlign w:val="center"/>
          </w:tcPr>
          <w:p w14:paraId="44F20549" w14:textId="77777777" w:rsidR="00B53FBF" w:rsidRPr="0070612E" w:rsidRDefault="00B53FBF" w:rsidP="0070612E">
            <w:pPr>
              <w:pStyle w:val="NormalWeb"/>
              <w:spacing w:line="360" w:lineRule="auto"/>
              <w:jc w:val="both"/>
            </w:pPr>
            <w:r w:rsidRPr="0070612E">
              <w:t>Services</w:t>
            </w:r>
          </w:p>
        </w:tc>
        <w:tc>
          <w:tcPr>
            <w:tcW w:w="3407" w:type="dxa"/>
            <w:vAlign w:val="center"/>
          </w:tcPr>
          <w:p w14:paraId="13C19105" w14:textId="77777777" w:rsidR="00B53FBF" w:rsidRPr="0070612E" w:rsidRDefault="00B53FBF" w:rsidP="0070612E">
            <w:pPr>
              <w:pStyle w:val="NormalWeb"/>
              <w:spacing w:line="360" w:lineRule="auto"/>
              <w:jc w:val="both"/>
            </w:pPr>
            <w:r w:rsidRPr="0070612E">
              <w:t>60</w:t>
            </w:r>
          </w:p>
        </w:tc>
        <w:tc>
          <w:tcPr>
            <w:tcW w:w="3007" w:type="dxa"/>
            <w:vAlign w:val="center"/>
          </w:tcPr>
          <w:p w14:paraId="03E53BF2" w14:textId="77777777" w:rsidR="00B53FBF" w:rsidRPr="0070612E" w:rsidRDefault="00B53FBF" w:rsidP="0070612E">
            <w:pPr>
              <w:pStyle w:val="NormalWeb"/>
              <w:spacing w:line="360" w:lineRule="auto"/>
              <w:jc w:val="both"/>
            </w:pPr>
            <w:r w:rsidRPr="0070612E">
              <w:t>30</w:t>
            </w:r>
          </w:p>
        </w:tc>
      </w:tr>
      <w:tr w:rsidR="00B53FBF" w:rsidRPr="0070612E" w14:paraId="15925EEB" w14:textId="77777777" w:rsidTr="00CA70D4">
        <w:tc>
          <w:tcPr>
            <w:tcW w:w="2605" w:type="dxa"/>
            <w:vAlign w:val="center"/>
          </w:tcPr>
          <w:p w14:paraId="1005E86B" w14:textId="77777777" w:rsidR="00B53FBF" w:rsidRPr="0070612E" w:rsidRDefault="00B53FBF" w:rsidP="0070612E">
            <w:pPr>
              <w:pStyle w:val="NormalWeb"/>
              <w:spacing w:line="360" w:lineRule="auto"/>
              <w:jc w:val="both"/>
            </w:pPr>
            <w:r w:rsidRPr="0070612E">
              <w:t>Manufacturing</w:t>
            </w:r>
          </w:p>
        </w:tc>
        <w:tc>
          <w:tcPr>
            <w:tcW w:w="3407" w:type="dxa"/>
            <w:vAlign w:val="center"/>
          </w:tcPr>
          <w:p w14:paraId="4DB20FE3" w14:textId="77777777" w:rsidR="00B53FBF" w:rsidRPr="0070612E" w:rsidRDefault="00B53FBF" w:rsidP="0070612E">
            <w:pPr>
              <w:pStyle w:val="NormalWeb"/>
              <w:spacing w:line="360" w:lineRule="auto"/>
              <w:jc w:val="both"/>
            </w:pPr>
            <w:r w:rsidRPr="0070612E">
              <w:t>20</w:t>
            </w:r>
          </w:p>
        </w:tc>
        <w:tc>
          <w:tcPr>
            <w:tcW w:w="3007" w:type="dxa"/>
            <w:vAlign w:val="center"/>
          </w:tcPr>
          <w:p w14:paraId="43184816" w14:textId="77777777" w:rsidR="00B53FBF" w:rsidRPr="0070612E" w:rsidRDefault="00B53FBF" w:rsidP="0070612E">
            <w:pPr>
              <w:pStyle w:val="NormalWeb"/>
              <w:spacing w:line="360" w:lineRule="auto"/>
              <w:jc w:val="both"/>
            </w:pPr>
            <w:r w:rsidRPr="0070612E">
              <w:t>10</w:t>
            </w:r>
          </w:p>
        </w:tc>
      </w:tr>
      <w:tr w:rsidR="00D66453" w:rsidRPr="0070612E" w14:paraId="1E765CBA" w14:textId="77777777" w:rsidTr="00CA70D4">
        <w:tc>
          <w:tcPr>
            <w:tcW w:w="2605" w:type="dxa"/>
          </w:tcPr>
          <w:p w14:paraId="2B501891" w14:textId="77777777" w:rsidR="00D66453" w:rsidRPr="0070612E" w:rsidRDefault="00044809" w:rsidP="0070612E">
            <w:pPr>
              <w:pStyle w:val="NormalWeb"/>
              <w:spacing w:line="360" w:lineRule="auto"/>
              <w:jc w:val="both"/>
              <w:rPr>
                <w:b/>
                <w:bCs/>
              </w:rPr>
            </w:pPr>
            <w:r w:rsidRPr="0070612E">
              <w:rPr>
                <w:b/>
                <w:bCs/>
              </w:rPr>
              <w:t xml:space="preserve">Total </w:t>
            </w:r>
          </w:p>
        </w:tc>
        <w:tc>
          <w:tcPr>
            <w:tcW w:w="3407" w:type="dxa"/>
          </w:tcPr>
          <w:p w14:paraId="3ACB392F" w14:textId="77777777" w:rsidR="00D66453" w:rsidRPr="0070612E" w:rsidRDefault="00044809" w:rsidP="0070612E">
            <w:pPr>
              <w:pStyle w:val="NormalWeb"/>
              <w:spacing w:line="360" w:lineRule="auto"/>
              <w:jc w:val="both"/>
              <w:rPr>
                <w:b/>
                <w:bCs/>
              </w:rPr>
            </w:pPr>
            <w:r w:rsidRPr="0070612E">
              <w:rPr>
                <w:b/>
                <w:bCs/>
              </w:rPr>
              <w:t>200</w:t>
            </w:r>
          </w:p>
        </w:tc>
        <w:tc>
          <w:tcPr>
            <w:tcW w:w="3007" w:type="dxa"/>
          </w:tcPr>
          <w:p w14:paraId="215D96FE" w14:textId="77777777" w:rsidR="00D66453" w:rsidRPr="0070612E" w:rsidRDefault="00044809" w:rsidP="0070612E">
            <w:pPr>
              <w:pStyle w:val="NormalWeb"/>
              <w:spacing w:line="360" w:lineRule="auto"/>
              <w:jc w:val="both"/>
              <w:rPr>
                <w:b/>
                <w:bCs/>
              </w:rPr>
            </w:pPr>
            <w:r w:rsidRPr="0070612E">
              <w:rPr>
                <w:b/>
                <w:bCs/>
              </w:rPr>
              <w:t>100</w:t>
            </w:r>
          </w:p>
        </w:tc>
      </w:tr>
    </w:tbl>
    <w:bookmarkEnd w:id="1"/>
    <w:p w14:paraId="3DD005DD" w14:textId="77777777" w:rsidR="003056FA" w:rsidRPr="0070612E" w:rsidRDefault="00813298" w:rsidP="0070612E">
      <w:pPr>
        <w:pStyle w:val="NormalWeb"/>
        <w:spacing w:line="360" w:lineRule="auto"/>
        <w:jc w:val="both"/>
      </w:pPr>
      <w:r w:rsidRPr="0070612E">
        <w:rPr>
          <w:rStyle w:val="Strong"/>
        </w:rPr>
        <w:t>Table 4.</w:t>
      </w:r>
      <w:r w:rsidR="008662FF" w:rsidRPr="0070612E">
        <w:rPr>
          <w:rStyle w:val="Strong"/>
        </w:rPr>
        <w:t>1.</w:t>
      </w:r>
      <w:r w:rsidR="003056FA" w:rsidRPr="0070612E">
        <w:rPr>
          <w:rStyle w:val="Strong"/>
        </w:rPr>
        <w:t>2</w:t>
      </w:r>
      <w:r w:rsidRPr="0070612E">
        <w:rPr>
          <w:rStyle w:val="Strong"/>
        </w:rPr>
        <w:t>: Access to Finance (Pre and Post-Recapitalization)</w:t>
      </w:r>
    </w:p>
    <w:p w14:paraId="707DD543" w14:textId="77777777" w:rsidR="00813298" w:rsidRDefault="00813298" w:rsidP="0070612E">
      <w:pPr>
        <w:pStyle w:val="NormalWeb"/>
        <w:spacing w:line="360" w:lineRule="auto"/>
        <w:jc w:val="both"/>
      </w:pPr>
      <w:r w:rsidRPr="0070612E">
        <w:t>This table summarize the responses from SMEs regarding their access to finance before and after the recapitalization policy. The objective is to capture any changes in their ability to secure loans or credit facilities.</w:t>
      </w:r>
    </w:p>
    <w:p w14:paraId="266B4D59" w14:textId="77777777" w:rsidR="00CE1342" w:rsidRPr="0070612E" w:rsidRDefault="00CE1342" w:rsidP="0070612E">
      <w:pPr>
        <w:pStyle w:val="NormalWeb"/>
        <w:spacing w:line="360" w:lineRule="auto"/>
        <w:jc w:val="both"/>
      </w:pPr>
    </w:p>
    <w:tbl>
      <w:tblPr>
        <w:tblStyle w:val="TableGrid"/>
        <w:tblW w:w="972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520"/>
        <w:gridCol w:w="2610"/>
        <w:gridCol w:w="1710"/>
      </w:tblGrid>
      <w:tr w:rsidR="0036566E" w:rsidRPr="0070612E" w14:paraId="18D41954" w14:textId="77777777" w:rsidTr="002B5EF8">
        <w:tc>
          <w:tcPr>
            <w:tcW w:w="2880" w:type="dxa"/>
            <w:tcBorders>
              <w:bottom w:val="single" w:sz="4" w:space="0" w:color="auto"/>
            </w:tcBorders>
            <w:vAlign w:val="center"/>
          </w:tcPr>
          <w:p w14:paraId="7D831948" w14:textId="77777777" w:rsidR="0036566E" w:rsidRPr="0070612E" w:rsidRDefault="0036566E" w:rsidP="0070612E">
            <w:pPr>
              <w:pStyle w:val="NormalWeb"/>
              <w:spacing w:line="360" w:lineRule="auto"/>
              <w:jc w:val="both"/>
              <w:rPr>
                <w:b/>
                <w:bCs/>
              </w:rPr>
            </w:pPr>
            <w:r w:rsidRPr="0070612E">
              <w:rPr>
                <w:rStyle w:val="Strong"/>
                <w:rFonts w:asciiTheme="majorBidi" w:hAnsiTheme="majorBidi" w:cstheme="majorBidi"/>
              </w:rPr>
              <w:lastRenderedPageBreak/>
              <w:t>Variable</w:t>
            </w:r>
          </w:p>
        </w:tc>
        <w:tc>
          <w:tcPr>
            <w:tcW w:w="2520" w:type="dxa"/>
            <w:tcBorders>
              <w:bottom w:val="single" w:sz="4" w:space="0" w:color="auto"/>
            </w:tcBorders>
            <w:vAlign w:val="center"/>
          </w:tcPr>
          <w:p w14:paraId="296DEA13" w14:textId="77777777" w:rsidR="0036566E" w:rsidRPr="0070612E" w:rsidRDefault="0036566E" w:rsidP="0070612E">
            <w:pPr>
              <w:pStyle w:val="NormalWeb"/>
              <w:spacing w:line="360" w:lineRule="auto"/>
              <w:jc w:val="both"/>
              <w:rPr>
                <w:b/>
                <w:bCs/>
              </w:rPr>
            </w:pPr>
            <w:r w:rsidRPr="0070612E">
              <w:rPr>
                <w:rStyle w:val="Strong"/>
                <w:rFonts w:asciiTheme="majorBidi" w:hAnsiTheme="majorBidi" w:cstheme="majorBidi"/>
              </w:rPr>
              <w:t>Pre-Recapitalization</w:t>
            </w:r>
          </w:p>
        </w:tc>
        <w:tc>
          <w:tcPr>
            <w:tcW w:w="2610" w:type="dxa"/>
            <w:tcBorders>
              <w:bottom w:val="single" w:sz="4" w:space="0" w:color="auto"/>
            </w:tcBorders>
            <w:vAlign w:val="center"/>
          </w:tcPr>
          <w:p w14:paraId="78B9ABBF" w14:textId="77777777" w:rsidR="0036566E" w:rsidRPr="0070612E" w:rsidRDefault="0036566E" w:rsidP="0070612E">
            <w:pPr>
              <w:pStyle w:val="NormalWeb"/>
              <w:spacing w:line="360" w:lineRule="auto"/>
              <w:jc w:val="both"/>
              <w:rPr>
                <w:b/>
                <w:bCs/>
              </w:rPr>
            </w:pPr>
            <w:r w:rsidRPr="0070612E">
              <w:rPr>
                <w:rStyle w:val="Strong"/>
                <w:rFonts w:asciiTheme="majorBidi" w:hAnsiTheme="majorBidi" w:cstheme="majorBidi"/>
              </w:rPr>
              <w:t>Post-Recapitalization</w:t>
            </w:r>
          </w:p>
        </w:tc>
        <w:tc>
          <w:tcPr>
            <w:tcW w:w="1710" w:type="dxa"/>
            <w:tcBorders>
              <w:bottom w:val="single" w:sz="4" w:space="0" w:color="auto"/>
            </w:tcBorders>
            <w:vAlign w:val="center"/>
          </w:tcPr>
          <w:p w14:paraId="05FEBE38" w14:textId="77777777" w:rsidR="0036566E" w:rsidRPr="0070612E" w:rsidRDefault="0036566E" w:rsidP="0070612E">
            <w:pPr>
              <w:pStyle w:val="NormalWeb"/>
              <w:spacing w:line="360" w:lineRule="auto"/>
              <w:jc w:val="both"/>
              <w:rPr>
                <w:b/>
                <w:bCs/>
              </w:rPr>
            </w:pPr>
            <w:r w:rsidRPr="0070612E">
              <w:rPr>
                <w:rStyle w:val="Strong"/>
                <w:rFonts w:asciiTheme="majorBidi" w:hAnsiTheme="majorBidi" w:cstheme="majorBidi"/>
              </w:rPr>
              <w:t>Change (%)</w:t>
            </w:r>
          </w:p>
        </w:tc>
      </w:tr>
      <w:tr w:rsidR="0036566E" w:rsidRPr="0070612E" w14:paraId="3E661A08" w14:textId="77777777" w:rsidTr="002B5EF8">
        <w:tc>
          <w:tcPr>
            <w:tcW w:w="2880" w:type="dxa"/>
            <w:tcBorders>
              <w:top w:val="single" w:sz="4" w:space="0" w:color="auto"/>
            </w:tcBorders>
            <w:vAlign w:val="center"/>
          </w:tcPr>
          <w:p w14:paraId="1BDC5AB9" w14:textId="77777777" w:rsidR="0036566E" w:rsidRPr="0070612E" w:rsidRDefault="0036566E" w:rsidP="0070612E">
            <w:pPr>
              <w:pStyle w:val="NormalWeb"/>
              <w:spacing w:line="360" w:lineRule="auto"/>
              <w:jc w:val="both"/>
            </w:pPr>
            <w:r w:rsidRPr="0070612E">
              <w:rPr>
                <w:rFonts w:asciiTheme="majorBidi" w:hAnsiTheme="majorBidi" w:cstheme="majorBidi"/>
              </w:rPr>
              <w:t>Access to Bank Loans</w:t>
            </w:r>
          </w:p>
        </w:tc>
        <w:tc>
          <w:tcPr>
            <w:tcW w:w="2520" w:type="dxa"/>
            <w:tcBorders>
              <w:top w:val="single" w:sz="4" w:space="0" w:color="auto"/>
            </w:tcBorders>
            <w:vAlign w:val="center"/>
          </w:tcPr>
          <w:p w14:paraId="6F912F50" w14:textId="77777777" w:rsidR="0036566E" w:rsidRPr="0070612E" w:rsidRDefault="0036566E" w:rsidP="0070612E">
            <w:pPr>
              <w:pStyle w:val="NormalWeb"/>
              <w:spacing w:line="360" w:lineRule="auto"/>
              <w:jc w:val="both"/>
            </w:pPr>
            <w:r w:rsidRPr="0070612E">
              <w:rPr>
                <w:rFonts w:asciiTheme="majorBidi" w:hAnsiTheme="majorBidi" w:cstheme="majorBidi"/>
              </w:rPr>
              <w:t>40%</w:t>
            </w:r>
          </w:p>
        </w:tc>
        <w:tc>
          <w:tcPr>
            <w:tcW w:w="2610" w:type="dxa"/>
            <w:tcBorders>
              <w:top w:val="single" w:sz="4" w:space="0" w:color="auto"/>
            </w:tcBorders>
            <w:vAlign w:val="center"/>
          </w:tcPr>
          <w:p w14:paraId="2FD11489" w14:textId="77777777" w:rsidR="0036566E" w:rsidRPr="0070612E" w:rsidRDefault="0036566E" w:rsidP="0070612E">
            <w:pPr>
              <w:pStyle w:val="NormalWeb"/>
              <w:spacing w:line="360" w:lineRule="auto"/>
              <w:jc w:val="both"/>
            </w:pPr>
            <w:r w:rsidRPr="0070612E">
              <w:rPr>
                <w:rFonts w:asciiTheme="majorBidi" w:hAnsiTheme="majorBidi" w:cstheme="majorBidi"/>
              </w:rPr>
              <w:t>60%</w:t>
            </w:r>
          </w:p>
        </w:tc>
        <w:tc>
          <w:tcPr>
            <w:tcW w:w="1710" w:type="dxa"/>
            <w:tcBorders>
              <w:top w:val="single" w:sz="4" w:space="0" w:color="auto"/>
            </w:tcBorders>
            <w:vAlign w:val="center"/>
          </w:tcPr>
          <w:p w14:paraId="030DAB02" w14:textId="77777777" w:rsidR="0036566E" w:rsidRPr="0070612E" w:rsidRDefault="0036566E" w:rsidP="0070612E">
            <w:pPr>
              <w:pStyle w:val="NormalWeb"/>
              <w:spacing w:line="360" w:lineRule="auto"/>
              <w:jc w:val="both"/>
            </w:pPr>
            <w:r w:rsidRPr="0070612E">
              <w:rPr>
                <w:rFonts w:asciiTheme="majorBidi" w:hAnsiTheme="majorBidi" w:cstheme="majorBidi"/>
              </w:rPr>
              <w:t>+20%</w:t>
            </w:r>
          </w:p>
        </w:tc>
      </w:tr>
      <w:tr w:rsidR="0036566E" w:rsidRPr="0070612E" w14:paraId="696397BD" w14:textId="77777777" w:rsidTr="002B5EF8">
        <w:tc>
          <w:tcPr>
            <w:tcW w:w="2880" w:type="dxa"/>
            <w:vAlign w:val="center"/>
          </w:tcPr>
          <w:p w14:paraId="6E01887C" w14:textId="77777777" w:rsidR="0036566E" w:rsidRPr="0070612E" w:rsidRDefault="0036566E" w:rsidP="0070612E">
            <w:pPr>
              <w:pStyle w:val="NormalWeb"/>
              <w:spacing w:line="360" w:lineRule="auto"/>
              <w:jc w:val="both"/>
            </w:pPr>
            <w:r w:rsidRPr="0070612E">
              <w:rPr>
                <w:rFonts w:asciiTheme="majorBidi" w:hAnsiTheme="majorBidi" w:cstheme="majorBidi"/>
              </w:rPr>
              <w:t>Interest Rates (High)</w:t>
            </w:r>
          </w:p>
        </w:tc>
        <w:tc>
          <w:tcPr>
            <w:tcW w:w="2520" w:type="dxa"/>
            <w:vAlign w:val="center"/>
          </w:tcPr>
          <w:p w14:paraId="4BDDFD40" w14:textId="77777777" w:rsidR="0036566E" w:rsidRPr="0070612E" w:rsidRDefault="0036566E" w:rsidP="0070612E">
            <w:pPr>
              <w:pStyle w:val="NormalWeb"/>
              <w:spacing w:line="360" w:lineRule="auto"/>
              <w:jc w:val="both"/>
            </w:pPr>
            <w:r w:rsidRPr="0070612E">
              <w:rPr>
                <w:rFonts w:asciiTheme="majorBidi" w:hAnsiTheme="majorBidi" w:cstheme="majorBidi"/>
              </w:rPr>
              <w:t>70%</w:t>
            </w:r>
          </w:p>
        </w:tc>
        <w:tc>
          <w:tcPr>
            <w:tcW w:w="2610" w:type="dxa"/>
            <w:vAlign w:val="center"/>
          </w:tcPr>
          <w:p w14:paraId="1E495200" w14:textId="77777777" w:rsidR="0036566E" w:rsidRPr="0070612E" w:rsidRDefault="0036566E" w:rsidP="0070612E">
            <w:pPr>
              <w:pStyle w:val="NormalWeb"/>
              <w:spacing w:line="360" w:lineRule="auto"/>
              <w:jc w:val="both"/>
            </w:pPr>
            <w:r w:rsidRPr="0070612E">
              <w:rPr>
                <w:rFonts w:asciiTheme="majorBidi" w:hAnsiTheme="majorBidi" w:cstheme="majorBidi"/>
              </w:rPr>
              <w:t>65%</w:t>
            </w:r>
          </w:p>
        </w:tc>
        <w:tc>
          <w:tcPr>
            <w:tcW w:w="1710" w:type="dxa"/>
            <w:vAlign w:val="center"/>
          </w:tcPr>
          <w:p w14:paraId="7DDB83FE" w14:textId="77777777" w:rsidR="0036566E" w:rsidRPr="0070612E" w:rsidRDefault="0036566E" w:rsidP="0070612E">
            <w:pPr>
              <w:pStyle w:val="NormalWeb"/>
              <w:spacing w:line="360" w:lineRule="auto"/>
              <w:jc w:val="both"/>
            </w:pPr>
            <w:r w:rsidRPr="0070612E">
              <w:rPr>
                <w:rFonts w:asciiTheme="majorBidi" w:hAnsiTheme="majorBidi" w:cstheme="majorBidi"/>
              </w:rPr>
              <w:t>-5%</w:t>
            </w:r>
          </w:p>
        </w:tc>
      </w:tr>
      <w:tr w:rsidR="0036566E" w:rsidRPr="0070612E" w14:paraId="0F458DF8" w14:textId="77777777" w:rsidTr="002B5EF8">
        <w:tc>
          <w:tcPr>
            <w:tcW w:w="2880" w:type="dxa"/>
            <w:vAlign w:val="center"/>
          </w:tcPr>
          <w:p w14:paraId="2CC1203A" w14:textId="77777777" w:rsidR="0036566E" w:rsidRPr="0070612E" w:rsidRDefault="0036566E" w:rsidP="0070612E">
            <w:pPr>
              <w:pStyle w:val="NormalWeb"/>
              <w:spacing w:line="360" w:lineRule="auto"/>
              <w:jc w:val="both"/>
            </w:pPr>
            <w:r w:rsidRPr="0070612E">
              <w:rPr>
                <w:rFonts w:asciiTheme="majorBidi" w:hAnsiTheme="majorBidi" w:cstheme="majorBidi"/>
              </w:rPr>
              <w:t>Collateral Requirements</w:t>
            </w:r>
          </w:p>
        </w:tc>
        <w:tc>
          <w:tcPr>
            <w:tcW w:w="2520" w:type="dxa"/>
            <w:vAlign w:val="center"/>
          </w:tcPr>
          <w:p w14:paraId="07FE2080" w14:textId="77777777" w:rsidR="0036566E" w:rsidRPr="0070612E" w:rsidRDefault="0036566E" w:rsidP="0070612E">
            <w:pPr>
              <w:pStyle w:val="NormalWeb"/>
              <w:spacing w:line="360" w:lineRule="auto"/>
              <w:jc w:val="both"/>
            </w:pPr>
            <w:r w:rsidRPr="0070612E">
              <w:rPr>
                <w:rFonts w:asciiTheme="majorBidi" w:hAnsiTheme="majorBidi" w:cstheme="majorBidi"/>
              </w:rPr>
              <w:t>80%</w:t>
            </w:r>
          </w:p>
        </w:tc>
        <w:tc>
          <w:tcPr>
            <w:tcW w:w="2610" w:type="dxa"/>
            <w:vAlign w:val="center"/>
          </w:tcPr>
          <w:p w14:paraId="3B31704B" w14:textId="77777777" w:rsidR="0036566E" w:rsidRPr="0070612E" w:rsidRDefault="0036566E" w:rsidP="0070612E">
            <w:pPr>
              <w:pStyle w:val="NormalWeb"/>
              <w:spacing w:line="360" w:lineRule="auto"/>
              <w:jc w:val="both"/>
            </w:pPr>
            <w:r w:rsidRPr="0070612E">
              <w:rPr>
                <w:rFonts w:asciiTheme="majorBidi" w:hAnsiTheme="majorBidi" w:cstheme="majorBidi"/>
              </w:rPr>
              <w:t>75%</w:t>
            </w:r>
          </w:p>
        </w:tc>
        <w:tc>
          <w:tcPr>
            <w:tcW w:w="1710" w:type="dxa"/>
            <w:vAlign w:val="center"/>
          </w:tcPr>
          <w:p w14:paraId="72ADC403" w14:textId="77777777" w:rsidR="0036566E" w:rsidRPr="0070612E" w:rsidRDefault="0036566E" w:rsidP="0070612E">
            <w:pPr>
              <w:pStyle w:val="NormalWeb"/>
              <w:spacing w:line="360" w:lineRule="auto"/>
              <w:jc w:val="both"/>
            </w:pPr>
            <w:r w:rsidRPr="0070612E">
              <w:rPr>
                <w:rFonts w:asciiTheme="majorBidi" w:hAnsiTheme="majorBidi" w:cstheme="majorBidi"/>
              </w:rPr>
              <w:t>-5%</w:t>
            </w:r>
          </w:p>
        </w:tc>
      </w:tr>
      <w:tr w:rsidR="0036566E" w:rsidRPr="0070612E" w14:paraId="574C4A4D" w14:textId="77777777" w:rsidTr="002B5EF8">
        <w:tc>
          <w:tcPr>
            <w:tcW w:w="2880" w:type="dxa"/>
            <w:vAlign w:val="center"/>
          </w:tcPr>
          <w:p w14:paraId="7A6425B4" w14:textId="77777777" w:rsidR="0036566E" w:rsidRPr="0070612E" w:rsidRDefault="0036566E" w:rsidP="0070612E">
            <w:pPr>
              <w:pStyle w:val="NormalWeb"/>
              <w:spacing w:line="360" w:lineRule="auto"/>
              <w:jc w:val="both"/>
            </w:pPr>
            <w:r w:rsidRPr="0070612E">
              <w:rPr>
                <w:rFonts w:asciiTheme="majorBidi" w:hAnsiTheme="majorBidi" w:cstheme="majorBidi"/>
              </w:rPr>
              <w:t>Loan Approval Process</w:t>
            </w:r>
          </w:p>
        </w:tc>
        <w:tc>
          <w:tcPr>
            <w:tcW w:w="2520" w:type="dxa"/>
            <w:vAlign w:val="center"/>
          </w:tcPr>
          <w:p w14:paraId="6F075696" w14:textId="77777777" w:rsidR="0036566E" w:rsidRPr="0070612E" w:rsidRDefault="0036566E" w:rsidP="0070612E">
            <w:pPr>
              <w:pStyle w:val="NormalWeb"/>
              <w:spacing w:line="360" w:lineRule="auto"/>
              <w:jc w:val="both"/>
            </w:pPr>
            <w:r w:rsidRPr="0070612E">
              <w:rPr>
                <w:rFonts w:asciiTheme="majorBidi" w:hAnsiTheme="majorBidi" w:cstheme="majorBidi"/>
              </w:rPr>
              <w:t>50%</w:t>
            </w:r>
          </w:p>
        </w:tc>
        <w:tc>
          <w:tcPr>
            <w:tcW w:w="2610" w:type="dxa"/>
            <w:vAlign w:val="center"/>
          </w:tcPr>
          <w:p w14:paraId="07919D6D" w14:textId="77777777" w:rsidR="0036566E" w:rsidRPr="0070612E" w:rsidRDefault="0036566E" w:rsidP="0070612E">
            <w:pPr>
              <w:pStyle w:val="NormalWeb"/>
              <w:spacing w:line="360" w:lineRule="auto"/>
              <w:jc w:val="both"/>
            </w:pPr>
            <w:r w:rsidRPr="0070612E">
              <w:rPr>
                <w:rFonts w:asciiTheme="majorBidi" w:hAnsiTheme="majorBidi" w:cstheme="majorBidi"/>
              </w:rPr>
              <w:t>60%</w:t>
            </w:r>
          </w:p>
        </w:tc>
        <w:tc>
          <w:tcPr>
            <w:tcW w:w="1710" w:type="dxa"/>
            <w:vAlign w:val="center"/>
          </w:tcPr>
          <w:p w14:paraId="7851057B" w14:textId="77777777" w:rsidR="0036566E" w:rsidRPr="0070612E" w:rsidRDefault="0036566E" w:rsidP="0070612E">
            <w:pPr>
              <w:pStyle w:val="NormalWeb"/>
              <w:spacing w:line="360" w:lineRule="auto"/>
              <w:jc w:val="both"/>
            </w:pPr>
            <w:r w:rsidRPr="0070612E">
              <w:rPr>
                <w:rFonts w:asciiTheme="majorBidi" w:hAnsiTheme="majorBidi" w:cstheme="majorBidi"/>
              </w:rPr>
              <w:t>+10%</w:t>
            </w:r>
          </w:p>
        </w:tc>
      </w:tr>
      <w:tr w:rsidR="0036566E" w:rsidRPr="0070612E" w14:paraId="19EFD0E5" w14:textId="77777777" w:rsidTr="002B5EF8">
        <w:tc>
          <w:tcPr>
            <w:tcW w:w="2880" w:type="dxa"/>
            <w:vAlign w:val="center"/>
          </w:tcPr>
          <w:p w14:paraId="24CB4750" w14:textId="77777777" w:rsidR="0036566E" w:rsidRPr="0070612E" w:rsidRDefault="0036566E" w:rsidP="0070612E">
            <w:pPr>
              <w:pStyle w:val="NormalWeb"/>
              <w:spacing w:line="360" w:lineRule="auto"/>
              <w:jc w:val="both"/>
              <w:rPr>
                <w:b/>
                <w:bCs/>
              </w:rPr>
            </w:pPr>
            <w:r w:rsidRPr="0070612E">
              <w:rPr>
                <w:rStyle w:val="Strong"/>
                <w:rFonts w:asciiTheme="majorBidi" w:hAnsiTheme="majorBidi" w:cstheme="majorBidi"/>
              </w:rPr>
              <w:t>Total Respondents</w:t>
            </w:r>
          </w:p>
        </w:tc>
        <w:tc>
          <w:tcPr>
            <w:tcW w:w="2520" w:type="dxa"/>
            <w:vAlign w:val="center"/>
          </w:tcPr>
          <w:p w14:paraId="257B8BA6" w14:textId="77777777" w:rsidR="0036566E" w:rsidRPr="0070612E" w:rsidRDefault="0036566E" w:rsidP="0070612E">
            <w:pPr>
              <w:pStyle w:val="NormalWeb"/>
              <w:spacing w:line="360" w:lineRule="auto"/>
              <w:jc w:val="both"/>
              <w:rPr>
                <w:b/>
                <w:bCs/>
              </w:rPr>
            </w:pPr>
            <w:r w:rsidRPr="0070612E">
              <w:rPr>
                <w:rStyle w:val="Strong"/>
                <w:rFonts w:asciiTheme="majorBidi" w:hAnsiTheme="majorBidi" w:cstheme="majorBidi"/>
              </w:rPr>
              <w:t>200</w:t>
            </w:r>
          </w:p>
        </w:tc>
        <w:tc>
          <w:tcPr>
            <w:tcW w:w="2610" w:type="dxa"/>
            <w:vAlign w:val="center"/>
          </w:tcPr>
          <w:p w14:paraId="0FA93301" w14:textId="77777777" w:rsidR="0036566E" w:rsidRPr="0070612E" w:rsidRDefault="0036566E" w:rsidP="0070612E">
            <w:pPr>
              <w:pStyle w:val="NormalWeb"/>
              <w:spacing w:line="360" w:lineRule="auto"/>
              <w:jc w:val="both"/>
              <w:rPr>
                <w:b/>
                <w:bCs/>
              </w:rPr>
            </w:pPr>
            <w:r w:rsidRPr="0070612E">
              <w:rPr>
                <w:rStyle w:val="Strong"/>
                <w:rFonts w:asciiTheme="majorBidi" w:hAnsiTheme="majorBidi" w:cstheme="majorBidi"/>
              </w:rPr>
              <w:t>200</w:t>
            </w:r>
          </w:p>
        </w:tc>
        <w:tc>
          <w:tcPr>
            <w:tcW w:w="1710" w:type="dxa"/>
            <w:vAlign w:val="center"/>
          </w:tcPr>
          <w:p w14:paraId="69165CB7" w14:textId="77777777" w:rsidR="0036566E" w:rsidRPr="0070612E" w:rsidRDefault="0036566E" w:rsidP="0070612E">
            <w:pPr>
              <w:pStyle w:val="NormalWeb"/>
              <w:spacing w:line="360" w:lineRule="auto"/>
              <w:jc w:val="both"/>
              <w:rPr>
                <w:b/>
                <w:bCs/>
              </w:rPr>
            </w:pPr>
            <w:r w:rsidRPr="0070612E">
              <w:rPr>
                <w:rStyle w:val="Strong"/>
                <w:rFonts w:asciiTheme="majorBidi" w:hAnsiTheme="majorBidi" w:cstheme="majorBidi"/>
              </w:rPr>
              <w:t>-</w:t>
            </w:r>
          </w:p>
        </w:tc>
      </w:tr>
    </w:tbl>
    <w:p w14:paraId="202D90B3" w14:textId="77777777" w:rsidR="00CE1342" w:rsidRDefault="00CE1342" w:rsidP="0070612E">
      <w:pPr>
        <w:pStyle w:val="Heading5"/>
        <w:spacing w:line="360" w:lineRule="auto"/>
        <w:jc w:val="both"/>
        <w:rPr>
          <w:rStyle w:val="Strong"/>
          <w:rFonts w:asciiTheme="majorBidi" w:hAnsiTheme="majorBidi"/>
          <w:color w:val="auto"/>
          <w:sz w:val="24"/>
          <w:szCs w:val="24"/>
        </w:rPr>
      </w:pPr>
    </w:p>
    <w:p w14:paraId="0F14DCA7" w14:textId="77777777" w:rsidR="00224002" w:rsidRPr="0070612E" w:rsidRDefault="00224002" w:rsidP="0070612E">
      <w:pPr>
        <w:pStyle w:val="Heading5"/>
        <w:spacing w:line="360" w:lineRule="auto"/>
        <w:jc w:val="both"/>
        <w:rPr>
          <w:rFonts w:asciiTheme="majorBidi" w:hAnsiTheme="majorBidi"/>
          <w:color w:val="auto"/>
          <w:sz w:val="24"/>
          <w:szCs w:val="24"/>
        </w:rPr>
      </w:pPr>
      <w:r w:rsidRPr="0070612E">
        <w:rPr>
          <w:rStyle w:val="Strong"/>
          <w:rFonts w:asciiTheme="majorBidi" w:hAnsiTheme="majorBidi"/>
          <w:color w:val="auto"/>
          <w:sz w:val="24"/>
          <w:szCs w:val="24"/>
        </w:rPr>
        <w:t>4.1.3</w:t>
      </w:r>
      <w:r w:rsidRPr="0070612E">
        <w:rPr>
          <w:rStyle w:val="Strong"/>
          <w:rFonts w:asciiTheme="majorBidi" w:hAnsiTheme="majorBidi"/>
          <w:color w:val="auto"/>
          <w:sz w:val="24"/>
          <w:szCs w:val="24"/>
        </w:rPr>
        <w:tab/>
        <w:t>Interview Data from Bank Officials</w:t>
      </w:r>
    </w:p>
    <w:p w14:paraId="2E6199EF" w14:textId="77777777" w:rsidR="00224002" w:rsidRPr="0070612E" w:rsidRDefault="00224002" w:rsidP="0070612E">
      <w:pPr>
        <w:pStyle w:val="NormalWeb"/>
        <w:spacing w:line="360" w:lineRule="auto"/>
        <w:jc w:val="both"/>
        <w:rPr>
          <w:rFonts w:asciiTheme="majorBidi" w:hAnsiTheme="majorBidi" w:cstheme="majorBidi"/>
        </w:rPr>
      </w:pPr>
      <w:r w:rsidRPr="0070612E">
        <w:rPr>
          <w:rFonts w:asciiTheme="majorBidi" w:hAnsiTheme="majorBidi" w:cstheme="majorBidi"/>
        </w:rPr>
        <w:t>For the qualitative data collected from the interviews with First Bank officials, summaries of their responses will be presented in narrative form, highlighting key themes regarding the bank’s policies post-recapitalization. This will include the bank’s perspective on SME financing, the challenges faced, and the effectiveness of recapitalization in improving access to finance.</w:t>
      </w:r>
    </w:p>
    <w:p w14:paraId="715B2031" w14:textId="77777777" w:rsidR="002E1841" w:rsidRPr="0070612E" w:rsidRDefault="002E1841" w:rsidP="0070612E">
      <w:pPr>
        <w:pStyle w:val="NormalWeb"/>
        <w:spacing w:line="360" w:lineRule="auto"/>
        <w:jc w:val="both"/>
        <w:rPr>
          <w:rFonts w:asciiTheme="majorBidi" w:hAnsiTheme="majorBidi" w:cstheme="majorBidi"/>
        </w:rPr>
      </w:pPr>
      <w:r w:rsidRPr="0070612E">
        <w:rPr>
          <w:rStyle w:val="Strong"/>
          <w:rFonts w:asciiTheme="majorBidi" w:hAnsiTheme="majorBidi" w:cstheme="majorBidi"/>
        </w:rPr>
        <w:t>Table 4.1.3: Bank Officials’ Perspective on Recapitalization and SME Financing</w:t>
      </w:r>
    </w:p>
    <w:tbl>
      <w:tblPr>
        <w:tblStyle w:val="TableGrid"/>
        <w:tblW w:w="10530" w:type="dxa"/>
        <w:tblInd w:w="-45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7650"/>
      </w:tblGrid>
      <w:tr w:rsidR="0023015A" w:rsidRPr="0070612E" w14:paraId="5EA27480" w14:textId="77777777" w:rsidTr="00CE1342">
        <w:tc>
          <w:tcPr>
            <w:tcW w:w="2880" w:type="dxa"/>
            <w:tcBorders>
              <w:bottom w:val="single" w:sz="4" w:space="0" w:color="auto"/>
            </w:tcBorders>
          </w:tcPr>
          <w:p w14:paraId="4FEEE4BF" w14:textId="77777777" w:rsidR="0023015A" w:rsidRPr="0070612E" w:rsidRDefault="0023015A" w:rsidP="0070612E">
            <w:pPr>
              <w:pStyle w:val="NormalWeb"/>
              <w:spacing w:line="360" w:lineRule="auto"/>
              <w:jc w:val="both"/>
              <w:rPr>
                <w:b/>
                <w:bCs/>
              </w:rPr>
            </w:pPr>
            <w:r w:rsidRPr="0070612E">
              <w:rPr>
                <w:rStyle w:val="Strong"/>
                <w:rFonts w:asciiTheme="majorBidi" w:hAnsiTheme="majorBidi" w:cstheme="majorBidi"/>
              </w:rPr>
              <w:t>Bank Official Role</w:t>
            </w:r>
          </w:p>
        </w:tc>
        <w:tc>
          <w:tcPr>
            <w:tcW w:w="7650" w:type="dxa"/>
            <w:tcBorders>
              <w:bottom w:val="single" w:sz="4" w:space="0" w:color="auto"/>
            </w:tcBorders>
          </w:tcPr>
          <w:p w14:paraId="1ACA516D" w14:textId="77777777" w:rsidR="0023015A" w:rsidRPr="0070612E" w:rsidRDefault="0099073B" w:rsidP="0070612E">
            <w:pPr>
              <w:pStyle w:val="NormalWeb"/>
              <w:spacing w:line="360" w:lineRule="auto"/>
              <w:jc w:val="both"/>
              <w:rPr>
                <w:b/>
                <w:bCs/>
              </w:rPr>
            </w:pPr>
            <w:r w:rsidRPr="0070612E">
              <w:rPr>
                <w:rStyle w:val="Strong"/>
                <w:rFonts w:asciiTheme="majorBidi" w:hAnsiTheme="majorBidi" w:cstheme="majorBidi"/>
              </w:rPr>
              <w:t>Key Responses/Insights</w:t>
            </w:r>
          </w:p>
        </w:tc>
      </w:tr>
      <w:tr w:rsidR="0023015A" w:rsidRPr="0070612E" w14:paraId="0BFECDB7" w14:textId="77777777" w:rsidTr="00CE1342">
        <w:tc>
          <w:tcPr>
            <w:tcW w:w="2880" w:type="dxa"/>
            <w:tcBorders>
              <w:top w:val="single" w:sz="4" w:space="0" w:color="auto"/>
            </w:tcBorders>
            <w:vAlign w:val="center"/>
          </w:tcPr>
          <w:p w14:paraId="195C2B4B" w14:textId="77777777" w:rsidR="0023015A" w:rsidRPr="0070612E" w:rsidRDefault="00844905" w:rsidP="0070612E">
            <w:pPr>
              <w:pStyle w:val="NormalWeb"/>
              <w:spacing w:line="360" w:lineRule="auto"/>
              <w:jc w:val="both"/>
            </w:pPr>
            <w:r w:rsidRPr="0070612E">
              <w:rPr>
                <w:rFonts w:asciiTheme="majorBidi" w:hAnsiTheme="majorBidi" w:cstheme="majorBidi"/>
              </w:rPr>
              <w:t>SME Financing Manager</w:t>
            </w:r>
          </w:p>
        </w:tc>
        <w:tc>
          <w:tcPr>
            <w:tcW w:w="7650" w:type="dxa"/>
            <w:tcBorders>
              <w:top w:val="single" w:sz="4" w:space="0" w:color="auto"/>
            </w:tcBorders>
            <w:vAlign w:val="center"/>
          </w:tcPr>
          <w:p w14:paraId="7FF59916" w14:textId="77777777" w:rsidR="0023015A" w:rsidRPr="0070612E" w:rsidRDefault="00D242AC" w:rsidP="0070612E">
            <w:pPr>
              <w:pStyle w:val="NormalWeb"/>
              <w:spacing w:line="360" w:lineRule="auto"/>
              <w:jc w:val="both"/>
            </w:pPr>
            <w:r w:rsidRPr="0070612E">
              <w:rPr>
                <w:rFonts w:asciiTheme="majorBidi" w:hAnsiTheme="majorBidi" w:cstheme="majorBidi"/>
              </w:rPr>
              <w:t>“Post-recapitalization, we’ve noticed an increase in loan requests from SMEs, but collateral requirements and interest rates remain significant challenges.”</w:t>
            </w:r>
          </w:p>
        </w:tc>
      </w:tr>
      <w:tr w:rsidR="00F73D8B" w:rsidRPr="0070612E" w14:paraId="3B11A6C0" w14:textId="77777777" w:rsidTr="00CE1342">
        <w:tc>
          <w:tcPr>
            <w:tcW w:w="2880" w:type="dxa"/>
            <w:vAlign w:val="center"/>
          </w:tcPr>
          <w:p w14:paraId="4926AE89" w14:textId="77777777" w:rsidR="00F73D8B" w:rsidRPr="0070612E" w:rsidRDefault="00F73D8B" w:rsidP="0070612E">
            <w:pPr>
              <w:pStyle w:val="NormalWeb"/>
              <w:spacing w:line="360" w:lineRule="auto"/>
              <w:jc w:val="both"/>
            </w:pPr>
            <w:r w:rsidRPr="0070612E">
              <w:rPr>
                <w:rFonts w:asciiTheme="majorBidi" w:hAnsiTheme="majorBidi" w:cstheme="majorBidi"/>
              </w:rPr>
              <w:t>Risk Assessment Officer</w:t>
            </w:r>
          </w:p>
        </w:tc>
        <w:tc>
          <w:tcPr>
            <w:tcW w:w="7650" w:type="dxa"/>
            <w:vAlign w:val="center"/>
          </w:tcPr>
          <w:p w14:paraId="6C029B6D" w14:textId="77777777" w:rsidR="00F73D8B" w:rsidRPr="0070612E" w:rsidRDefault="00F73D8B" w:rsidP="0070612E">
            <w:pPr>
              <w:pStyle w:val="NormalWeb"/>
              <w:spacing w:line="360" w:lineRule="auto"/>
              <w:jc w:val="both"/>
            </w:pPr>
            <w:r w:rsidRPr="0070612E">
              <w:rPr>
                <w:rFonts w:asciiTheme="majorBidi" w:hAnsiTheme="majorBidi" w:cstheme="majorBidi"/>
              </w:rPr>
              <w:t>“Although the recapitalization increased our capital base, we still apply strict risk assessment procedures, especially for SMEs perceived as high risk.”</w:t>
            </w:r>
          </w:p>
        </w:tc>
      </w:tr>
      <w:tr w:rsidR="00F73D8B" w:rsidRPr="0070612E" w14:paraId="7B432AC3" w14:textId="77777777" w:rsidTr="00CE1342">
        <w:tc>
          <w:tcPr>
            <w:tcW w:w="2880" w:type="dxa"/>
            <w:vAlign w:val="center"/>
          </w:tcPr>
          <w:p w14:paraId="2F36DADC" w14:textId="77777777" w:rsidR="00F73D8B" w:rsidRPr="0070612E" w:rsidRDefault="00F73D8B" w:rsidP="0070612E">
            <w:pPr>
              <w:pStyle w:val="NormalWeb"/>
              <w:spacing w:line="360" w:lineRule="auto"/>
              <w:jc w:val="both"/>
            </w:pPr>
            <w:r w:rsidRPr="0070612E">
              <w:rPr>
                <w:rFonts w:asciiTheme="majorBidi" w:hAnsiTheme="majorBidi" w:cstheme="majorBidi"/>
              </w:rPr>
              <w:t>Senior Loan Officer</w:t>
            </w:r>
          </w:p>
        </w:tc>
        <w:tc>
          <w:tcPr>
            <w:tcW w:w="7650" w:type="dxa"/>
            <w:vAlign w:val="center"/>
          </w:tcPr>
          <w:p w14:paraId="6676EBDB" w14:textId="77777777" w:rsidR="00F73D8B" w:rsidRPr="0070612E" w:rsidRDefault="00F73D8B" w:rsidP="0070612E">
            <w:pPr>
              <w:pStyle w:val="NormalWeb"/>
              <w:spacing w:line="360" w:lineRule="auto"/>
              <w:jc w:val="both"/>
            </w:pPr>
            <w:r w:rsidRPr="0070612E">
              <w:rPr>
                <w:rFonts w:asciiTheme="majorBidi" w:hAnsiTheme="majorBidi" w:cstheme="majorBidi"/>
              </w:rPr>
              <w:t>“The 2005 recapitalization made us more stable, but there are still market-wide macroeconomic factors that affect lending to SMEs.”</w:t>
            </w:r>
          </w:p>
        </w:tc>
      </w:tr>
      <w:tr w:rsidR="00F73D8B" w:rsidRPr="0070612E" w14:paraId="097B36EF" w14:textId="77777777" w:rsidTr="00CE1342">
        <w:tc>
          <w:tcPr>
            <w:tcW w:w="2880" w:type="dxa"/>
            <w:vAlign w:val="center"/>
          </w:tcPr>
          <w:p w14:paraId="5ACC84DB" w14:textId="77777777" w:rsidR="00F73D8B" w:rsidRPr="0070612E" w:rsidRDefault="00F73D8B" w:rsidP="0070612E">
            <w:pPr>
              <w:pStyle w:val="NormalWeb"/>
              <w:spacing w:line="360" w:lineRule="auto"/>
              <w:jc w:val="both"/>
            </w:pPr>
            <w:r w:rsidRPr="0070612E">
              <w:rPr>
                <w:rFonts w:asciiTheme="majorBidi" w:hAnsiTheme="majorBidi" w:cstheme="majorBidi"/>
              </w:rPr>
              <w:t>Branch Manager</w:t>
            </w:r>
          </w:p>
        </w:tc>
        <w:tc>
          <w:tcPr>
            <w:tcW w:w="7650" w:type="dxa"/>
            <w:vAlign w:val="center"/>
          </w:tcPr>
          <w:p w14:paraId="7311B5E0" w14:textId="77777777" w:rsidR="00F73D8B" w:rsidRPr="0070612E" w:rsidRDefault="00F73D8B" w:rsidP="0070612E">
            <w:pPr>
              <w:pStyle w:val="NormalWeb"/>
              <w:spacing w:line="360" w:lineRule="auto"/>
              <w:jc w:val="both"/>
            </w:pPr>
            <w:r w:rsidRPr="0070612E">
              <w:rPr>
                <w:rFonts w:asciiTheme="majorBidi" w:hAnsiTheme="majorBidi" w:cstheme="majorBidi"/>
              </w:rPr>
              <w:t>“We’ve implemented new loan schemes post-recapitalization, but the uptake has been slower than anticipated due to bureaucratic bottlenecks.”</w:t>
            </w:r>
          </w:p>
        </w:tc>
      </w:tr>
    </w:tbl>
    <w:p w14:paraId="56F7194F" w14:textId="77777777" w:rsidR="00CE1342" w:rsidRDefault="00CE1342" w:rsidP="0070612E">
      <w:pPr>
        <w:pStyle w:val="Heading3"/>
        <w:spacing w:line="360" w:lineRule="auto"/>
        <w:jc w:val="both"/>
        <w:rPr>
          <w:rStyle w:val="Strong"/>
          <w:b/>
          <w:bCs/>
          <w:sz w:val="24"/>
          <w:szCs w:val="24"/>
        </w:rPr>
      </w:pPr>
    </w:p>
    <w:p w14:paraId="6092C529" w14:textId="77777777" w:rsidR="00B04ED2" w:rsidRPr="0070612E" w:rsidRDefault="00B04ED2" w:rsidP="0070612E">
      <w:pPr>
        <w:pStyle w:val="Heading3"/>
        <w:spacing w:line="360" w:lineRule="auto"/>
        <w:jc w:val="both"/>
        <w:rPr>
          <w:sz w:val="24"/>
          <w:szCs w:val="24"/>
        </w:rPr>
      </w:pPr>
      <w:r w:rsidRPr="0070612E">
        <w:rPr>
          <w:rStyle w:val="Strong"/>
          <w:b/>
          <w:bCs/>
          <w:sz w:val="24"/>
          <w:szCs w:val="24"/>
        </w:rPr>
        <w:lastRenderedPageBreak/>
        <w:t>4.2 Data Analysis</w:t>
      </w:r>
    </w:p>
    <w:p w14:paraId="79A2B173" w14:textId="77777777" w:rsidR="00B04ED2" w:rsidRPr="0070612E" w:rsidRDefault="00B04ED2" w:rsidP="0070612E">
      <w:pPr>
        <w:pStyle w:val="NormalWeb"/>
        <w:spacing w:line="360" w:lineRule="auto"/>
        <w:jc w:val="both"/>
      </w:pPr>
      <w:r w:rsidRPr="0070612E">
        <w:t>This section analyzes the collected data to provide answers to the research questions and test the research hypotheses formulated for the study.</w:t>
      </w:r>
    </w:p>
    <w:p w14:paraId="717E76C5" w14:textId="77777777" w:rsidR="00B04ED2" w:rsidRPr="0070612E" w:rsidRDefault="000F1091" w:rsidP="0070612E">
      <w:pPr>
        <w:pStyle w:val="NormalWeb"/>
        <w:spacing w:line="360" w:lineRule="auto"/>
        <w:jc w:val="both"/>
      </w:pPr>
      <w:r w:rsidRPr="0070612E">
        <w:rPr>
          <w:rStyle w:val="Strong"/>
        </w:rPr>
        <w:t xml:space="preserve">Research Question i: </w:t>
      </w:r>
      <w:r w:rsidR="00B04ED2" w:rsidRPr="0070612E">
        <w:rPr>
          <w:rStyle w:val="Strong"/>
          <w:b w:val="0"/>
          <w:bCs w:val="0"/>
        </w:rPr>
        <w:t>How has the bank recapitalization policy influenced the credit accessibility of small-scale enterprises in Nigeria?</w:t>
      </w:r>
    </w:p>
    <w:p w14:paraId="1B9F5649" w14:textId="77777777" w:rsidR="00B04ED2" w:rsidRPr="0070612E" w:rsidRDefault="00B04ED2" w:rsidP="0070612E">
      <w:pPr>
        <w:pStyle w:val="NormalWeb"/>
        <w:spacing w:line="360" w:lineRule="auto"/>
        <w:jc w:val="both"/>
      </w:pPr>
      <w:r w:rsidRPr="0070612E">
        <w:t>To answer this, responses from SMEs were analyzed regarding their access to loans before and after recapitalization.</w:t>
      </w:r>
    </w:p>
    <w:p w14:paraId="4ABDE597" w14:textId="77777777" w:rsidR="00B04ED2" w:rsidRPr="0070612E" w:rsidRDefault="00B04ED2" w:rsidP="00CE1342">
      <w:pPr>
        <w:pStyle w:val="NormalWeb"/>
        <w:jc w:val="both"/>
        <w:rPr>
          <w:rStyle w:val="Strong"/>
        </w:rPr>
      </w:pPr>
      <w:r w:rsidRPr="0070612E">
        <w:rPr>
          <w:rStyle w:val="Strong"/>
        </w:rPr>
        <w:t>Table 4.</w:t>
      </w:r>
      <w:r w:rsidR="003465C9" w:rsidRPr="0070612E">
        <w:rPr>
          <w:rStyle w:val="Strong"/>
        </w:rPr>
        <w:t>2.1</w:t>
      </w:r>
      <w:r w:rsidRPr="0070612E">
        <w:rPr>
          <w:rStyle w:val="Strong"/>
        </w:rPr>
        <w:t>: Access to Credit Before and After Recapitalization</w:t>
      </w:r>
    </w:p>
    <w:tbl>
      <w:tblPr>
        <w:tblStyle w:val="TableGrid"/>
        <w:tblW w:w="990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2700"/>
        <w:gridCol w:w="2520"/>
        <w:gridCol w:w="1620"/>
      </w:tblGrid>
      <w:tr w:rsidR="00E7271F" w:rsidRPr="0070612E" w14:paraId="5CE5476C" w14:textId="77777777" w:rsidTr="006377B1">
        <w:tc>
          <w:tcPr>
            <w:tcW w:w="3060" w:type="dxa"/>
            <w:tcBorders>
              <w:bottom w:val="single" w:sz="4" w:space="0" w:color="auto"/>
            </w:tcBorders>
            <w:vAlign w:val="center"/>
          </w:tcPr>
          <w:p w14:paraId="721DBF19" w14:textId="77777777" w:rsidR="00E7271F" w:rsidRPr="0070612E" w:rsidRDefault="00E7271F" w:rsidP="00CE1342">
            <w:pPr>
              <w:pStyle w:val="NormalWeb"/>
              <w:jc w:val="both"/>
              <w:rPr>
                <w:b/>
                <w:bCs/>
              </w:rPr>
            </w:pPr>
            <w:r w:rsidRPr="0070612E">
              <w:rPr>
                <w:rStyle w:val="Strong"/>
              </w:rPr>
              <w:t>Credit Accessibility</w:t>
            </w:r>
          </w:p>
        </w:tc>
        <w:tc>
          <w:tcPr>
            <w:tcW w:w="2700" w:type="dxa"/>
            <w:tcBorders>
              <w:bottom w:val="single" w:sz="4" w:space="0" w:color="auto"/>
            </w:tcBorders>
            <w:vAlign w:val="center"/>
          </w:tcPr>
          <w:p w14:paraId="7A391BD6" w14:textId="77777777" w:rsidR="00E7271F" w:rsidRPr="0070612E" w:rsidRDefault="00E7271F" w:rsidP="00CE1342">
            <w:pPr>
              <w:pStyle w:val="NormalWeb"/>
              <w:jc w:val="both"/>
              <w:rPr>
                <w:rStyle w:val="Strong"/>
                <w:rFonts w:asciiTheme="majorBidi" w:hAnsiTheme="majorBidi" w:cstheme="majorBidi"/>
              </w:rPr>
            </w:pPr>
            <w:r w:rsidRPr="0070612E">
              <w:rPr>
                <w:rStyle w:val="Strong"/>
              </w:rPr>
              <w:t>Before Recapitalization (%)</w:t>
            </w:r>
          </w:p>
        </w:tc>
        <w:tc>
          <w:tcPr>
            <w:tcW w:w="2520" w:type="dxa"/>
            <w:tcBorders>
              <w:bottom w:val="single" w:sz="4" w:space="0" w:color="auto"/>
            </w:tcBorders>
            <w:vAlign w:val="center"/>
          </w:tcPr>
          <w:p w14:paraId="7BEDE763" w14:textId="77777777" w:rsidR="00E7271F" w:rsidRPr="0070612E" w:rsidRDefault="00E7271F" w:rsidP="00CE1342">
            <w:pPr>
              <w:pStyle w:val="NormalWeb"/>
              <w:jc w:val="both"/>
              <w:rPr>
                <w:rStyle w:val="Strong"/>
                <w:rFonts w:asciiTheme="majorBidi" w:hAnsiTheme="majorBidi" w:cstheme="majorBidi"/>
              </w:rPr>
            </w:pPr>
            <w:r w:rsidRPr="0070612E">
              <w:rPr>
                <w:rStyle w:val="Strong"/>
              </w:rPr>
              <w:t>After Recapitalization (%)</w:t>
            </w:r>
          </w:p>
        </w:tc>
        <w:tc>
          <w:tcPr>
            <w:tcW w:w="1620" w:type="dxa"/>
            <w:tcBorders>
              <w:bottom w:val="single" w:sz="4" w:space="0" w:color="auto"/>
            </w:tcBorders>
            <w:vAlign w:val="center"/>
          </w:tcPr>
          <w:p w14:paraId="70D2AA89" w14:textId="77777777" w:rsidR="00E7271F" w:rsidRPr="0070612E" w:rsidRDefault="00E7271F" w:rsidP="00CE1342">
            <w:pPr>
              <w:pStyle w:val="NormalWeb"/>
              <w:jc w:val="both"/>
              <w:rPr>
                <w:b/>
                <w:bCs/>
              </w:rPr>
            </w:pPr>
            <w:r w:rsidRPr="0070612E">
              <w:rPr>
                <w:rStyle w:val="Strong"/>
                <w:rFonts w:asciiTheme="majorBidi" w:hAnsiTheme="majorBidi" w:cstheme="majorBidi"/>
              </w:rPr>
              <w:t>Change (%)</w:t>
            </w:r>
          </w:p>
        </w:tc>
      </w:tr>
      <w:tr w:rsidR="00E7271F" w:rsidRPr="0070612E" w14:paraId="29412106" w14:textId="77777777" w:rsidTr="006377B1">
        <w:tc>
          <w:tcPr>
            <w:tcW w:w="3060" w:type="dxa"/>
            <w:tcBorders>
              <w:top w:val="single" w:sz="4" w:space="0" w:color="auto"/>
            </w:tcBorders>
            <w:vAlign w:val="center"/>
          </w:tcPr>
          <w:p w14:paraId="62F1EB99" w14:textId="77777777" w:rsidR="00E7271F" w:rsidRPr="0070612E" w:rsidRDefault="00E7271F" w:rsidP="0070612E">
            <w:pPr>
              <w:pStyle w:val="NormalWeb"/>
              <w:spacing w:line="360" w:lineRule="auto"/>
              <w:jc w:val="both"/>
            </w:pPr>
            <w:r w:rsidRPr="0070612E">
              <w:t>Easy Access to Loans</w:t>
            </w:r>
          </w:p>
        </w:tc>
        <w:tc>
          <w:tcPr>
            <w:tcW w:w="2700" w:type="dxa"/>
            <w:tcBorders>
              <w:top w:val="single" w:sz="4" w:space="0" w:color="auto"/>
            </w:tcBorders>
            <w:vAlign w:val="center"/>
          </w:tcPr>
          <w:p w14:paraId="75E845F7" w14:textId="77777777" w:rsidR="00E7271F" w:rsidRPr="0070612E" w:rsidRDefault="00E7271F" w:rsidP="0070612E">
            <w:pPr>
              <w:pStyle w:val="NormalWeb"/>
              <w:spacing w:line="360" w:lineRule="auto"/>
              <w:jc w:val="both"/>
              <w:rPr>
                <w:rFonts w:asciiTheme="majorBidi" w:hAnsiTheme="majorBidi" w:cstheme="majorBidi"/>
              </w:rPr>
            </w:pPr>
            <w:r w:rsidRPr="0070612E">
              <w:t>45%</w:t>
            </w:r>
          </w:p>
        </w:tc>
        <w:tc>
          <w:tcPr>
            <w:tcW w:w="2520" w:type="dxa"/>
            <w:tcBorders>
              <w:top w:val="single" w:sz="4" w:space="0" w:color="auto"/>
            </w:tcBorders>
            <w:vAlign w:val="center"/>
          </w:tcPr>
          <w:p w14:paraId="6AD0F875" w14:textId="77777777" w:rsidR="00E7271F" w:rsidRPr="0070612E" w:rsidRDefault="00E7271F" w:rsidP="0070612E">
            <w:pPr>
              <w:pStyle w:val="NormalWeb"/>
              <w:spacing w:line="360" w:lineRule="auto"/>
              <w:jc w:val="both"/>
              <w:rPr>
                <w:rFonts w:asciiTheme="majorBidi" w:hAnsiTheme="majorBidi" w:cstheme="majorBidi"/>
              </w:rPr>
            </w:pPr>
            <w:r w:rsidRPr="0070612E">
              <w:t>60%</w:t>
            </w:r>
          </w:p>
        </w:tc>
        <w:tc>
          <w:tcPr>
            <w:tcW w:w="1620" w:type="dxa"/>
            <w:tcBorders>
              <w:top w:val="single" w:sz="4" w:space="0" w:color="auto"/>
            </w:tcBorders>
            <w:vAlign w:val="center"/>
          </w:tcPr>
          <w:p w14:paraId="6DD897B6" w14:textId="77777777" w:rsidR="00E7271F" w:rsidRPr="0070612E" w:rsidRDefault="00E7271F" w:rsidP="0070612E">
            <w:pPr>
              <w:pStyle w:val="NormalWeb"/>
              <w:spacing w:line="360" w:lineRule="auto"/>
              <w:jc w:val="both"/>
            </w:pPr>
            <w:r w:rsidRPr="0070612E">
              <w:t>+15%</w:t>
            </w:r>
          </w:p>
        </w:tc>
      </w:tr>
      <w:tr w:rsidR="00E7271F" w:rsidRPr="0070612E" w14:paraId="3FE3D1AA" w14:textId="77777777" w:rsidTr="006377B1">
        <w:tc>
          <w:tcPr>
            <w:tcW w:w="3060" w:type="dxa"/>
            <w:vAlign w:val="center"/>
          </w:tcPr>
          <w:p w14:paraId="429C990E" w14:textId="77777777" w:rsidR="00E7271F" w:rsidRPr="0070612E" w:rsidRDefault="00E7271F" w:rsidP="0070612E">
            <w:pPr>
              <w:pStyle w:val="NormalWeb"/>
              <w:spacing w:line="360" w:lineRule="auto"/>
              <w:jc w:val="both"/>
            </w:pPr>
            <w:r w:rsidRPr="0070612E">
              <w:t>Difficulty Accessing Loans</w:t>
            </w:r>
          </w:p>
        </w:tc>
        <w:tc>
          <w:tcPr>
            <w:tcW w:w="2700" w:type="dxa"/>
            <w:vAlign w:val="center"/>
          </w:tcPr>
          <w:p w14:paraId="0CA87891" w14:textId="77777777" w:rsidR="00E7271F" w:rsidRPr="0070612E" w:rsidRDefault="00E7271F" w:rsidP="0070612E">
            <w:pPr>
              <w:pStyle w:val="NormalWeb"/>
              <w:spacing w:line="360" w:lineRule="auto"/>
              <w:jc w:val="both"/>
              <w:rPr>
                <w:rFonts w:asciiTheme="majorBidi" w:hAnsiTheme="majorBidi" w:cstheme="majorBidi"/>
              </w:rPr>
            </w:pPr>
            <w:r w:rsidRPr="0070612E">
              <w:t>55%</w:t>
            </w:r>
          </w:p>
        </w:tc>
        <w:tc>
          <w:tcPr>
            <w:tcW w:w="2520" w:type="dxa"/>
            <w:vAlign w:val="center"/>
          </w:tcPr>
          <w:p w14:paraId="36261B48" w14:textId="77777777" w:rsidR="00E7271F" w:rsidRPr="0070612E" w:rsidRDefault="00E7271F" w:rsidP="0070612E">
            <w:pPr>
              <w:pStyle w:val="NormalWeb"/>
              <w:spacing w:line="360" w:lineRule="auto"/>
              <w:jc w:val="both"/>
              <w:rPr>
                <w:rFonts w:asciiTheme="majorBidi" w:hAnsiTheme="majorBidi" w:cstheme="majorBidi"/>
              </w:rPr>
            </w:pPr>
            <w:r w:rsidRPr="0070612E">
              <w:t>40%</w:t>
            </w:r>
          </w:p>
        </w:tc>
        <w:tc>
          <w:tcPr>
            <w:tcW w:w="1620" w:type="dxa"/>
            <w:vAlign w:val="center"/>
          </w:tcPr>
          <w:p w14:paraId="6EF1735E" w14:textId="77777777" w:rsidR="00E7271F" w:rsidRPr="0070612E" w:rsidRDefault="00E7271F" w:rsidP="0070612E">
            <w:pPr>
              <w:pStyle w:val="NormalWeb"/>
              <w:spacing w:line="360" w:lineRule="auto"/>
              <w:jc w:val="both"/>
            </w:pPr>
            <w:r w:rsidRPr="0070612E">
              <w:t>-15%</w:t>
            </w:r>
          </w:p>
        </w:tc>
      </w:tr>
      <w:tr w:rsidR="00E7271F" w:rsidRPr="0070612E" w14:paraId="0F5CEB2A" w14:textId="77777777" w:rsidTr="006377B1">
        <w:tc>
          <w:tcPr>
            <w:tcW w:w="3060" w:type="dxa"/>
            <w:vAlign w:val="center"/>
          </w:tcPr>
          <w:p w14:paraId="21EF2B9E" w14:textId="77777777" w:rsidR="00E7271F" w:rsidRPr="0070612E" w:rsidRDefault="00E7271F" w:rsidP="0070612E">
            <w:pPr>
              <w:pStyle w:val="NormalWeb"/>
              <w:spacing w:line="360" w:lineRule="auto"/>
              <w:jc w:val="both"/>
            </w:pPr>
            <w:r w:rsidRPr="0070612E">
              <w:rPr>
                <w:rStyle w:val="Strong"/>
              </w:rPr>
              <w:t>Total</w:t>
            </w:r>
          </w:p>
        </w:tc>
        <w:tc>
          <w:tcPr>
            <w:tcW w:w="2700" w:type="dxa"/>
            <w:vAlign w:val="center"/>
          </w:tcPr>
          <w:p w14:paraId="6F692376" w14:textId="77777777" w:rsidR="00E7271F" w:rsidRPr="0070612E" w:rsidRDefault="00E7271F" w:rsidP="0070612E">
            <w:pPr>
              <w:pStyle w:val="NormalWeb"/>
              <w:spacing w:line="360" w:lineRule="auto"/>
              <w:jc w:val="both"/>
              <w:rPr>
                <w:rFonts w:asciiTheme="majorBidi" w:hAnsiTheme="majorBidi" w:cstheme="majorBidi"/>
              </w:rPr>
            </w:pPr>
            <w:r w:rsidRPr="0070612E">
              <w:rPr>
                <w:rStyle w:val="Strong"/>
              </w:rPr>
              <w:t>100%</w:t>
            </w:r>
          </w:p>
        </w:tc>
        <w:tc>
          <w:tcPr>
            <w:tcW w:w="2520" w:type="dxa"/>
            <w:vAlign w:val="center"/>
          </w:tcPr>
          <w:p w14:paraId="2F82689E" w14:textId="77777777" w:rsidR="00E7271F" w:rsidRPr="0070612E" w:rsidRDefault="00E7271F" w:rsidP="0070612E">
            <w:pPr>
              <w:pStyle w:val="NormalWeb"/>
              <w:spacing w:line="360" w:lineRule="auto"/>
              <w:jc w:val="both"/>
              <w:rPr>
                <w:rFonts w:asciiTheme="majorBidi" w:hAnsiTheme="majorBidi" w:cstheme="majorBidi"/>
              </w:rPr>
            </w:pPr>
            <w:r w:rsidRPr="0070612E">
              <w:rPr>
                <w:rStyle w:val="Strong"/>
              </w:rPr>
              <w:t>100%</w:t>
            </w:r>
          </w:p>
        </w:tc>
        <w:tc>
          <w:tcPr>
            <w:tcW w:w="1620" w:type="dxa"/>
            <w:vAlign w:val="center"/>
          </w:tcPr>
          <w:p w14:paraId="38F44DE4" w14:textId="77777777" w:rsidR="00E7271F" w:rsidRPr="0070612E" w:rsidRDefault="00E7271F" w:rsidP="0070612E">
            <w:pPr>
              <w:pStyle w:val="NormalWeb"/>
              <w:spacing w:line="360" w:lineRule="auto"/>
              <w:jc w:val="both"/>
            </w:pPr>
            <w:r w:rsidRPr="0070612E">
              <w:rPr>
                <w:rStyle w:val="Strong"/>
              </w:rPr>
              <w:t>-</w:t>
            </w:r>
          </w:p>
        </w:tc>
      </w:tr>
    </w:tbl>
    <w:p w14:paraId="7AB65ABC" w14:textId="77777777" w:rsidR="00B04ED2" w:rsidRPr="0070612E" w:rsidRDefault="00B04ED2" w:rsidP="0070612E">
      <w:pPr>
        <w:pStyle w:val="NormalWeb"/>
        <w:spacing w:line="360" w:lineRule="auto"/>
        <w:jc w:val="both"/>
      </w:pPr>
      <w:r w:rsidRPr="0070612E">
        <w:rPr>
          <w:rStyle w:val="Strong"/>
        </w:rPr>
        <w:t>Interpretation:</w:t>
      </w:r>
      <w:r w:rsidRPr="0070612E">
        <w:t>From Table 4.</w:t>
      </w:r>
      <w:r w:rsidR="007841A3" w:rsidRPr="0070612E">
        <w:t>2.1</w:t>
      </w:r>
      <w:r w:rsidRPr="0070612E">
        <w:t>, it is evident that access to credit improved after the recapitalization policy. 60% of SMEs reported easier access to loans compared to 45% before, indicating a</w:t>
      </w:r>
      <w:r w:rsidRPr="0070612E">
        <w:rPr>
          <w:rStyle w:val="Strong"/>
          <w:b w:val="0"/>
          <w:bCs w:val="0"/>
        </w:rPr>
        <w:t>15% improvement</w:t>
      </w:r>
      <w:r w:rsidRPr="0070612E">
        <w:rPr>
          <w:b/>
          <w:bCs/>
        </w:rPr>
        <w:t>.</w:t>
      </w:r>
      <w:r w:rsidRPr="0070612E">
        <w:t xml:space="preserve"> This suggests that recapitalization positively influenced credit accessibility.</w:t>
      </w:r>
    </w:p>
    <w:p w14:paraId="40C3CC24" w14:textId="77777777" w:rsidR="00B04ED2" w:rsidRPr="0070612E" w:rsidRDefault="00A164AA" w:rsidP="0070612E">
      <w:pPr>
        <w:pStyle w:val="NormalWeb"/>
        <w:spacing w:line="360" w:lineRule="auto"/>
        <w:jc w:val="both"/>
      </w:pPr>
      <w:r w:rsidRPr="0070612E">
        <w:rPr>
          <w:rStyle w:val="Strong"/>
        </w:rPr>
        <w:t xml:space="preserve">Research Question ii: </w:t>
      </w:r>
      <w:r w:rsidR="00B04ED2" w:rsidRPr="0070612E">
        <w:rPr>
          <w:rStyle w:val="Strong"/>
          <w:b w:val="0"/>
          <w:bCs w:val="0"/>
        </w:rPr>
        <w:t>What are the challenges faced by SSEs in securing loans from First Bank of Nigeria Plc after recapitalization?</w:t>
      </w:r>
    </w:p>
    <w:p w14:paraId="327B6602" w14:textId="77777777" w:rsidR="00B04ED2" w:rsidRPr="0070612E" w:rsidRDefault="00B04ED2" w:rsidP="0070612E">
      <w:pPr>
        <w:pStyle w:val="NormalWeb"/>
        <w:spacing w:line="360" w:lineRule="auto"/>
        <w:jc w:val="both"/>
      </w:pPr>
      <w:r w:rsidRPr="0070612E">
        <w:t>Respondents identified key barriers in securing loans, summarized below:</w:t>
      </w:r>
    </w:p>
    <w:p w14:paraId="430527E7" w14:textId="77777777" w:rsidR="00CE1342" w:rsidRDefault="00CE1342" w:rsidP="0070612E">
      <w:pPr>
        <w:pStyle w:val="NormalWeb"/>
        <w:spacing w:line="360" w:lineRule="auto"/>
        <w:jc w:val="both"/>
        <w:rPr>
          <w:rStyle w:val="Strong"/>
        </w:rPr>
      </w:pPr>
    </w:p>
    <w:p w14:paraId="37D8A634" w14:textId="77777777" w:rsidR="00CE1342" w:rsidRDefault="00CE1342" w:rsidP="0070612E">
      <w:pPr>
        <w:pStyle w:val="NormalWeb"/>
        <w:spacing w:line="360" w:lineRule="auto"/>
        <w:jc w:val="both"/>
        <w:rPr>
          <w:rStyle w:val="Strong"/>
        </w:rPr>
      </w:pPr>
    </w:p>
    <w:p w14:paraId="0D6CF834" w14:textId="77777777" w:rsidR="00B04ED2" w:rsidRPr="0070612E" w:rsidRDefault="00B04ED2" w:rsidP="0070612E">
      <w:pPr>
        <w:pStyle w:val="NormalWeb"/>
        <w:spacing w:line="360" w:lineRule="auto"/>
        <w:jc w:val="both"/>
        <w:rPr>
          <w:rStyle w:val="Strong"/>
        </w:rPr>
      </w:pPr>
      <w:r w:rsidRPr="0070612E">
        <w:rPr>
          <w:rStyle w:val="Strong"/>
        </w:rPr>
        <w:lastRenderedPageBreak/>
        <w:t>Table 4.</w:t>
      </w:r>
      <w:r w:rsidR="007F5B61" w:rsidRPr="0070612E">
        <w:rPr>
          <w:rStyle w:val="Strong"/>
        </w:rPr>
        <w:t>2.2</w:t>
      </w:r>
      <w:r w:rsidRPr="0070612E">
        <w:rPr>
          <w:rStyle w:val="Strong"/>
        </w:rPr>
        <w:t>: Challenges Faced by SSEs Post-Recapitalization</w:t>
      </w:r>
    </w:p>
    <w:tbl>
      <w:tblPr>
        <w:tblStyle w:val="TableGrid"/>
        <w:tblW w:w="94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1980"/>
        <w:gridCol w:w="2790"/>
      </w:tblGrid>
      <w:tr w:rsidR="007F1AAC" w:rsidRPr="0070612E" w14:paraId="0CAD204F" w14:textId="77777777" w:rsidTr="00B769D4">
        <w:tc>
          <w:tcPr>
            <w:tcW w:w="4680" w:type="dxa"/>
            <w:tcBorders>
              <w:bottom w:val="single" w:sz="4" w:space="0" w:color="auto"/>
            </w:tcBorders>
            <w:vAlign w:val="center"/>
          </w:tcPr>
          <w:p w14:paraId="287A982B" w14:textId="77777777" w:rsidR="007F1AAC" w:rsidRPr="0070612E" w:rsidRDefault="007F1AAC" w:rsidP="0070612E">
            <w:pPr>
              <w:pStyle w:val="NormalWeb"/>
              <w:spacing w:line="360" w:lineRule="auto"/>
              <w:jc w:val="both"/>
              <w:rPr>
                <w:b/>
                <w:bCs/>
              </w:rPr>
            </w:pPr>
            <w:r w:rsidRPr="0070612E">
              <w:rPr>
                <w:rStyle w:val="Strong"/>
              </w:rPr>
              <w:t>Challenges</w:t>
            </w:r>
          </w:p>
        </w:tc>
        <w:tc>
          <w:tcPr>
            <w:tcW w:w="1980" w:type="dxa"/>
            <w:tcBorders>
              <w:bottom w:val="single" w:sz="4" w:space="0" w:color="auto"/>
            </w:tcBorders>
            <w:vAlign w:val="center"/>
          </w:tcPr>
          <w:p w14:paraId="022C62B8" w14:textId="77777777" w:rsidR="007F1AAC" w:rsidRPr="0070612E" w:rsidRDefault="007F1AAC" w:rsidP="0070612E">
            <w:pPr>
              <w:pStyle w:val="NormalWeb"/>
              <w:spacing w:line="360" w:lineRule="auto"/>
              <w:jc w:val="both"/>
              <w:rPr>
                <w:b/>
                <w:bCs/>
              </w:rPr>
            </w:pPr>
            <w:r w:rsidRPr="0070612E">
              <w:rPr>
                <w:rStyle w:val="Strong"/>
              </w:rPr>
              <w:t xml:space="preserve">Frequency </w:t>
            </w:r>
          </w:p>
        </w:tc>
        <w:tc>
          <w:tcPr>
            <w:tcW w:w="2790" w:type="dxa"/>
            <w:tcBorders>
              <w:bottom w:val="single" w:sz="4" w:space="0" w:color="auto"/>
            </w:tcBorders>
            <w:vAlign w:val="center"/>
          </w:tcPr>
          <w:p w14:paraId="7BD3F00D" w14:textId="77777777" w:rsidR="007F1AAC" w:rsidRPr="0070612E" w:rsidRDefault="007F1AAC" w:rsidP="0070612E">
            <w:pPr>
              <w:pStyle w:val="NormalWeb"/>
              <w:spacing w:line="360" w:lineRule="auto"/>
              <w:jc w:val="both"/>
              <w:rPr>
                <w:b/>
                <w:bCs/>
              </w:rPr>
            </w:pPr>
            <w:r w:rsidRPr="0070612E">
              <w:rPr>
                <w:rStyle w:val="Strong"/>
              </w:rPr>
              <w:t>Percentage (%)</w:t>
            </w:r>
          </w:p>
        </w:tc>
      </w:tr>
      <w:tr w:rsidR="007F1AAC" w:rsidRPr="0070612E" w14:paraId="3EAE39B9" w14:textId="77777777" w:rsidTr="00B769D4">
        <w:tc>
          <w:tcPr>
            <w:tcW w:w="4680" w:type="dxa"/>
            <w:tcBorders>
              <w:top w:val="single" w:sz="4" w:space="0" w:color="auto"/>
            </w:tcBorders>
            <w:vAlign w:val="center"/>
          </w:tcPr>
          <w:p w14:paraId="68BD2B5F" w14:textId="77777777" w:rsidR="007F1AAC" w:rsidRPr="0070612E" w:rsidRDefault="007F1AAC" w:rsidP="0070612E">
            <w:pPr>
              <w:pStyle w:val="NormalWeb"/>
              <w:spacing w:line="360" w:lineRule="auto"/>
              <w:jc w:val="both"/>
            </w:pPr>
            <w:r w:rsidRPr="0070612E">
              <w:t>High Collateral Requirements</w:t>
            </w:r>
          </w:p>
        </w:tc>
        <w:tc>
          <w:tcPr>
            <w:tcW w:w="1980" w:type="dxa"/>
            <w:tcBorders>
              <w:top w:val="single" w:sz="4" w:space="0" w:color="auto"/>
            </w:tcBorders>
            <w:vAlign w:val="center"/>
          </w:tcPr>
          <w:p w14:paraId="3C35CFF3" w14:textId="77777777" w:rsidR="007F1AAC" w:rsidRPr="0070612E" w:rsidRDefault="007F1AAC" w:rsidP="0070612E">
            <w:pPr>
              <w:pStyle w:val="NormalWeb"/>
              <w:spacing w:line="360" w:lineRule="auto"/>
              <w:jc w:val="both"/>
            </w:pPr>
            <w:r w:rsidRPr="0070612E">
              <w:t>130</w:t>
            </w:r>
          </w:p>
        </w:tc>
        <w:tc>
          <w:tcPr>
            <w:tcW w:w="2790" w:type="dxa"/>
            <w:tcBorders>
              <w:top w:val="single" w:sz="4" w:space="0" w:color="auto"/>
            </w:tcBorders>
            <w:vAlign w:val="center"/>
          </w:tcPr>
          <w:p w14:paraId="77778174" w14:textId="77777777" w:rsidR="007F1AAC" w:rsidRPr="0070612E" w:rsidRDefault="007F1AAC" w:rsidP="0070612E">
            <w:pPr>
              <w:pStyle w:val="NormalWeb"/>
              <w:spacing w:line="360" w:lineRule="auto"/>
              <w:jc w:val="both"/>
            </w:pPr>
            <w:r w:rsidRPr="0070612E">
              <w:t>65</w:t>
            </w:r>
          </w:p>
        </w:tc>
      </w:tr>
      <w:tr w:rsidR="007F1AAC" w:rsidRPr="0070612E" w14:paraId="4DF354DE" w14:textId="77777777" w:rsidTr="00B769D4">
        <w:tc>
          <w:tcPr>
            <w:tcW w:w="4680" w:type="dxa"/>
            <w:vAlign w:val="center"/>
          </w:tcPr>
          <w:p w14:paraId="3CE94E57" w14:textId="77777777" w:rsidR="007F1AAC" w:rsidRPr="0070612E" w:rsidRDefault="007F1AAC" w:rsidP="0070612E">
            <w:pPr>
              <w:pStyle w:val="NormalWeb"/>
              <w:spacing w:line="360" w:lineRule="auto"/>
              <w:jc w:val="both"/>
            </w:pPr>
            <w:r w:rsidRPr="0070612E">
              <w:t>High Interest Rates</w:t>
            </w:r>
          </w:p>
        </w:tc>
        <w:tc>
          <w:tcPr>
            <w:tcW w:w="1980" w:type="dxa"/>
            <w:vAlign w:val="center"/>
          </w:tcPr>
          <w:p w14:paraId="5D6F3B2B" w14:textId="77777777" w:rsidR="007F1AAC" w:rsidRPr="0070612E" w:rsidRDefault="007F1AAC" w:rsidP="0070612E">
            <w:pPr>
              <w:pStyle w:val="NormalWeb"/>
              <w:spacing w:line="360" w:lineRule="auto"/>
              <w:jc w:val="both"/>
            </w:pPr>
            <w:r w:rsidRPr="0070612E">
              <w:t>110</w:t>
            </w:r>
          </w:p>
        </w:tc>
        <w:tc>
          <w:tcPr>
            <w:tcW w:w="2790" w:type="dxa"/>
            <w:vAlign w:val="center"/>
          </w:tcPr>
          <w:p w14:paraId="0F3DB91D" w14:textId="77777777" w:rsidR="007F1AAC" w:rsidRPr="0070612E" w:rsidRDefault="007F1AAC" w:rsidP="0070612E">
            <w:pPr>
              <w:pStyle w:val="NormalWeb"/>
              <w:spacing w:line="360" w:lineRule="auto"/>
              <w:jc w:val="both"/>
            </w:pPr>
            <w:r w:rsidRPr="0070612E">
              <w:t>55</w:t>
            </w:r>
          </w:p>
        </w:tc>
      </w:tr>
      <w:tr w:rsidR="007F1AAC" w:rsidRPr="0070612E" w14:paraId="697387EE" w14:textId="77777777" w:rsidTr="00B769D4">
        <w:tc>
          <w:tcPr>
            <w:tcW w:w="4680" w:type="dxa"/>
            <w:vAlign w:val="center"/>
          </w:tcPr>
          <w:p w14:paraId="0B0B9F7E" w14:textId="77777777" w:rsidR="007F1AAC" w:rsidRPr="0070612E" w:rsidRDefault="007F1AAC" w:rsidP="0070612E">
            <w:pPr>
              <w:pStyle w:val="NormalWeb"/>
              <w:spacing w:line="360" w:lineRule="auto"/>
              <w:jc w:val="both"/>
            </w:pPr>
            <w:r w:rsidRPr="0070612E">
              <w:t>Bureaucratic Loan Processing</w:t>
            </w:r>
          </w:p>
        </w:tc>
        <w:tc>
          <w:tcPr>
            <w:tcW w:w="1980" w:type="dxa"/>
            <w:vAlign w:val="center"/>
          </w:tcPr>
          <w:p w14:paraId="57F26C41" w14:textId="77777777" w:rsidR="007F1AAC" w:rsidRPr="0070612E" w:rsidRDefault="007F1AAC" w:rsidP="0070612E">
            <w:pPr>
              <w:pStyle w:val="NormalWeb"/>
              <w:spacing w:line="360" w:lineRule="auto"/>
              <w:jc w:val="both"/>
            </w:pPr>
            <w:r w:rsidRPr="0070612E">
              <w:t>90</w:t>
            </w:r>
          </w:p>
        </w:tc>
        <w:tc>
          <w:tcPr>
            <w:tcW w:w="2790" w:type="dxa"/>
            <w:vAlign w:val="center"/>
          </w:tcPr>
          <w:p w14:paraId="0A2FDE65" w14:textId="77777777" w:rsidR="007F1AAC" w:rsidRPr="0070612E" w:rsidRDefault="007F1AAC" w:rsidP="0070612E">
            <w:pPr>
              <w:pStyle w:val="NormalWeb"/>
              <w:spacing w:line="360" w:lineRule="auto"/>
              <w:jc w:val="both"/>
            </w:pPr>
            <w:r w:rsidRPr="0070612E">
              <w:t>45</w:t>
            </w:r>
          </w:p>
        </w:tc>
      </w:tr>
      <w:tr w:rsidR="007F1AAC" w:rsidRPr="0070612E" w14:paraId="62160FBC" w14:textId="77777777" w:rsidTr="00B769D4">
        <w:tc>
          <w:tcPr>
            <w:tcW w:w="4680" w:type="dxa"/>
            <w:vAlign w:val="center"/>
          </w:tcPr>
          <w:p w14:paraId="10329AFE" w14:textId="77777777" w:rsidR="007F1AAC" w:rsidRPr="0070612E" w:rsidRDefault="007F1AAC" w:rsidP="0070612E">
            <w:pPr>
              <w:pStyle w:val="NormalWeb"/>
              <w:spacing w:line="360" w:lineRule="auto"/>
              <w:jc w:val="both"/>
            </w:pPr>
            <w:r w:rsidRPr="0070612E">
              <w:t>Lengthy Approval Time</w:t>
            </w:r>
          </w:p>
        </w:tc>
        <w:tc>
          <w:tcPr>
            <w:tcW w:w="1980" w:type="dxa"/>
            <w:vAlign w:val="center"/>
          </w:tcPr>
          <w:p w14:paraId="0070BA79" w14:textId="77777777" w:rsidR="007F1AAC" w:rsidRPr="0070612E" w:rsidRDefault="007F1AAC" w:rsidP="0070612E">
            <w:pPr>
              <w:pStyle w:val="NormalWeb"/>
              <w:spacing w:line="360" w:lineRule="auto"/>
              <w:jc w:val="both"/>
            </w:pPr>
            <w:r w:rsidRPr="0070612E">
              <w:t>70</w:t>
            </w:r>
          </w:p>
        </w:tc>
        <w:tc>
          <w:tcPr>
            <w:tcW w:w="2790" w:type="dxa"/>
            <w:vAlign w:val="center"/>
          </w:tcPr>
          <w:p w14:paraId="7FAE7045" w14:textId="77777777" w:rsidR="007F1AAC" w:rsidRPr="0070612E" w:rsidRDefault="007F1AAC" w:rsidP="0070612E">
            <w:pPr>
              <w:pStyle w:val="NormalWeb"/>
              <w:spacing w:line="360" w:lineRule="auto"/>
              <w:jc w:val="both"/>
            </w:pPr>
            <w:r w:rsidRPr="0070612E">
              <w:t>35</w:t>
            </w:r>
          </w:p>
        </w:tc>
      </w:tr>
      <w:tr w:rsidR="007F1AAC" w:rsidRPr="0070612E" w14:paraId="7D4450F3" w14:textId="77777777" w:rsidTr="00B769D4">
        <w:tc>
          <w:tcPr>
            <w:tcW w:w="4680" w:type="dxa"/>
            <w:vAlign w:val="center"/>
          </w:tcPr>
          <w:p w14:paraId="036690AB" w14:textId="77777777" w:rsidR="007F1AAC" w:rsidRPr="0070612E" w:rsidRDefault="007F1AAC" w:rsidP="0070612E">
            <w:pPr>
              <w:pStyle w:val="NormalWeb"/>
              <w:spacing w:line="360" w:lineRule="auto"/>
              <w:jc w:val="both"/>
              <w:rPr>
                <w:b/>
                <w:bCs/>
              </w:rPr>
            </w:pPr>
            <w:r w:rsidRPr="0070612E">
              <w:t>Lack of Information on Loan Products</w:t>
            </w:r>
          </w:p>
        </w:tc>
        <w:tc>
          <w:tcPr>
            <w:tcW w:w="1980" w:type="dxa"/>
            <w:vAlign w:val="center"/>
          </w:tcPr>
          <w:p w14:paraId="10C89CC8" w14:textId="77777777" w:rsidR="007F1AAC" w:rsidRPr="0070612E" w:rsidRDefault="007F1AAC" w:rsidP="0070612E">
            <w:pPr>
              <w:pStyle w:val="NormalWeb"/>
              <w:spacing w:line="360" w:lineRule="auto"/>
              <w:jc w:val="both"/>
              <w:rPr>
                <w:b/>
                <w:bCs/>
              </w:rPr>
            </w:pPr>
            <w:r w:rsidRPr="0070612E">
              <w:t>50</w:t>
            </w:r>
          </w:p>
        </w:tc>
        <w:tc>
          <w:tcPr>
            <w:tcW w:w="2790" w:type="dxa"/>
            <w:vAlign w:val="center"/>
          </w:tcPr>
          <w:p w14:paraId="7B336205" w14:textId="77777777" w:rsidR="007F1AAC" w:rsidRPr="0070612E" w:rsidRDefault="007F1AAC" w:rsidP="0070612E">
            <w:pPr>
              <w:pStyle w:val="NormalWeb"/>
              <w:spacing w:line="360" w:lineRule="auto"/>
              <w:jc w:val="both"/>
              <w:rPr>
                <w:b/>
                <w:bCs/>
              </w:rPr>
            </w:pPr>
            <w:r w:rsidRPr="0070612E">
              <w:t>25</w:t>
            </w:r>
          </w:p>
        </w:tc>
      </w:tr>
    </w:tbl>
    <w:p w14:paraId="40E27349" w14:textId="77777777" w:rsidR="00B04ED2" w:rsidRPr="0070612E" w:rsidRDefault="00B04ED2" w:rsidP="0070612E">
      <w:pPr>
        <w:pStyle w:val="NormalWeb"/>
        <w:spacing w:line="360" w:lineRule="auto"/>
        <w:jc w:val="both"/>
      </w:pPr>
      <w:r w:rsidRPr="0070612E">
        <w:rPr>
          <w:rStyle w:val="Strong"/>
        </w:rPr>
        <w:t>Interpretation:</w:t>
      </w:r>
      <w:r w:rsidRPr="0070612E">
        <w:t>The most critical challenges were high collateral demands (65%) and high interest rates (55%), followed by bureaucratic hurdles (45%). Despite recapitalization, structural bottlenecks still hinder smooth access to credit.</w:t>
      </w:r>
    </w:p>
    <w:p w14:paraId="4A6D9ED8" w14:textId="77777777" w:rsidR="00B04ED2" w:rsidRPr="0070612E" w:rsidRDefault="002F4A05" w:rsidP="0070612E">
      <w:pPr>
        <w:pStyle w:val="NormalWeb"/>
        <w:spacing w:line="360" w:lineRule="auto"/>
        <w:jc w:val="both"/>
        <w:rPr>
          <w:b/>
          <w:bCs/>
        </w:rPr>
      </w:pPr>
      <w:r w:rsidRPr="0070612E">
        <w:rPr>
          <w:rStyle w:val="Strong"/>
        </w:rPr>
        <w:t xml:space="preserve">Research Question iii: </w:t>
      </w:r>
      <w:r w:rsidR="00B04ED2" w:rsidRPr="0070612E">
        <w:rPr>
          <w:rStyle w:val="Strong"/>
          <w:b w:val="0"/>
          <w:bCs w:val="0"/>
        </w:rPr>
        <w:t>To what extent has bank recapitalization enhanced First Bank’s capacity to finance small-scale enterprises?</w:t>
      </w:r>
    </w:p>
    <w:p w14:paraId="6A73B0D0" w14:textId="77777777" w:rsidR="00B04ED2" w:rsidRPr="0070612E" w:rsidRDefault="00B04ED2" w:rsidP="0070612E">
      <w:pPr>
        <w:pStyle w:val="NormalWeb"/>
        <w:spacing w:line="360" w:lineRule="auto"/>
        <w:jc w:val="both"/>
      </w:pPr>
      <w:r w:rsidRPr="0070612E">
        <w:t>First Bank officials' responses and SME experiences were analyzed to measure enhancement in financing capacity.</w:t>
      </w:r>
    </w:p>
    <w:p w14:paraId="73530E6D" w14:textId="77777777" w:rsidR="00B04ED2" w:rsidRPr="0070612E" w:rsidRDefault="00B04ED2" w:rsidP="0070612E">
      <w:pPr>
        <w:pStyle w:val="NormalWeb"/>
        <w:spacing w:line="360" w:lineRule="auto"/>
        <w:jc w:val="both"/>
        <w:rPr>
          <w:rStyle w:val="Strong"/>
        </w:rPr>
      </w:pPr>
      <w:r w:rsidRPr="0070612E">
        <w:rPr>
          <w:rStyle w:val="Strong"/>
        </w:rPr>
        <w:t>Table 4.</w:t>
      </w:r>
      <w:r w:rsidR="00F739D9" w:rsidRPr="0070612E">
        <w:rPr>
          <w:rStyle w:val="Strong"/>
        </w:rPr>
        <w:t>2.3</w:t>
      </w:r>
      <w:r w:rsidRPr="0070612E">
        <w:rPr>
          <w:rStyle w:val="Strong"/>
        </w:rPr>
        <w:t>: First Bank’s Perceived Financing Capacity Post-Recapitalization</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3150"/>
        <w:gridCol w:w="2089"/>
      </w:tblGrid>
      <w:tr w:rsidR="00A34910" w:rsidRPr="0070612E" w14:paraId="56041608" w14:textId="77777777" w:rsidTr="00ED1534">
        <w:tc>
          <w:tcPr>
            <w:tcW w:w="3780" w:type="dxa"/>
            <w:tcBorders>
              <w:bottom w:val="single" w:sz="4" w:space="0" w:color="auto"/>
            </w:tcBorders>
            <w:vAlign w:val="center"/>
          </w:tcPr>
          <w:p w14:paraId="545D56E5" w14:textId="77777777" w:rsidR="00A34910" w:rsidRPr="0070612E" w:rsidRDefault="00A34910" w:rsidP="0070612E">
            <w:pPr>
              <w:pStyle w:val="NormalWeb"/>
              <w:spacing w:line="360" w:lineRule="auto"/>
              <w:jc w:val="both"/>
              <w:rPr>
                <w:b/>
                <w:bCs/>
              </w:rPr>
            </w:pPr>
            <w:r w:rsidRPr="0070612E">
              <w:rPr>
                <w:rStyle w:val="Strong"/>
              </w:rPr>
              <w:t>Response</w:t>
            </w:r>
          </w:p>
        </w:tc>
        <w:tc>
          <w:tcPr>
            <w:tcW w:w="3150" w:type="dxa"/>
            <w:tcBorders>
              <w:bottom w:val="single" w:sz="4" w:space="0" w:color="auto"/>
            </w:tcBorders>
            <w:vAlign w:val="center"/>
          </w:tcPr>
          <w:p w14:paraId="1BDB6D3B" w14:textId="77777777" w:rsidR="00A34910" w:rsidRPr="0070612E" w:rsidRDefault="00A34910" w:rsidP="0070612E">
            <w:pPr>
              <w:pStyle w:val="NormalWeb"/>
              <w:spacing w:line="360" w:lineRule="auto"/>
              <w:jc w:val="both"/>
              <w:rPr>
                <w:b/>
                <w:bCs/>
              </w:rPr>
            </w:pPr>
            <w:r w:rsidRPr="0070612E">
              <w:rPr>
                <w:rStyle w:val="Strong"/>
              </w:rPr>
              <w:t>Number of Bank Officials</w:t>
            </w:r>
          </w:p>
        </w:tc>
        <w:tc>
          <w:tcPr>
            <w:tcW w:w="2089" w:type="dxa"/>
            <w:tcBorders>
              <w:bottom w:val="single" w:sz="4" w:space="0" w:color="auto"/>
            </w:tcBorders>
            <w:vAlign w:val="center"/>
          </w:tcPr>
          <w:p w14:paraId="4BFA2256" w14:textId="77777777" w:rsidR="00A34910" w:rsidRPr="0070612E" w:rsidRDefault="00A34910" w:rsidP="0070612E">
            <w:pPr>
              <w:pStyle w:val="NormalWeb"/>
              <w:spacing w:line="360" w:lineRule="auto"/>
              <w:jc w:val="both"/>
              <w:rPr>
                <w:b/>
                <w:bCs/>
              </w:rPr>
            </w:pPr>
            <w:r w:rsidRPr="0070612E">
              <w:rPr>
                <w:rStyle w:val="Strong"/>
              </w:rPr>
              <w:t>Percentage (%)</w:t>
            </w:r>
          </w:p>
        </w:tc>
      </w:tr>
      <w:tr w:rsidR="00A34910" w:rsidRPr="0070612E" w14:paraId="074BB2A0" w14:textId="77777777" w:rsidTr="00ED1534">
        <w:tc>
          <w:tcPr>
            <w:tcW w:w="3780" w:type="dxa"/>
            <w:tcBorders>
              <w:top w:val="single" w:sz="4" w:space="0" w:color="auto"/>
            </w:tcBorders>
            <w:vAlign w:val="center"/>
          </w:tcPr>
          <w:p w14:paraId="75CE141C" w14:textId="77777777" w:rsidR="00A34910" w:rsidRPr="0070612E" w:rsidRDefault="00A34910" w:rsidP="0070612E">
            <w:pPr>
              <w:pStyle w:val="NormalWeb"/>
              <w:spacing w:line="360" w:lineRule="auto"/>
              <w:jc w:val="both"/>
            </w:pPr>
            <w:r w:rsidRPr="0070612E">
              <w:t>Significant Increase in Capacity</w:t>
            </w:r>
          </w:p>
        </w:tc>
        <w:tc>
          <w:tcPr>
            <w:tcW w:w="3150" w:type="dxa"/>
            <w:tcBorders>
              <w:top w:val="single" w:sz="4" w:space="0" w:color="auto"/>
            </w:tcBorders>
            <w:vAlign w:val="center"/>
          </w:tcPr>
          <w:p w14:paraId="7DE662E4" w14:textId="77777777" w:rsidR="00A34910" w:rsidRPr="0070612E" w:rsidRDefault="00A34910" w:rsidP="0070612E">
            <w:pPr>
              <w:pStyle w:val="NormalWeb"/>
              <w:spacing w:line="360" w:lineRule="auto"/>
              <w:jc w:val="both"/>
            </w:pPr>
            <w:r w:rsidRPr="0070612E">
              <w:t>5</w:t>
            </w:r>
          </w:p>
        </w:tc>
        <w:tc>
          <w:tcPr>
            <w:tcW w:w="2089" w:type="dxa"/>
            <w:tcBorders>
              <w:top w:val="single" w:sz="4" w:space="0" w:color="auto"/>
            </w:tcBorders>
            <w:vAlign w:val="center"/>
          </w:tcPr>
          <w:p w14:paraId="0A6CB440" w14:textId="77777777" w:rsidR="00A34910" w:rsidRPr="0070612E" w:rsidRDefault="00A34910" w:rsidP="0070612E">
            <w:pPr>
              <w:pStyle w:val="NormalWeb"/>
              <w:spacing w:line="360" w:lineRule="auto"/>
              <w:jc w:val="both"/>
            </w:pPr>
            <w:r w:rsidRPr="0070612E">
              <w:t>50%</w:t>
            </w:r>
          </w:p>
        </w:tc>
      </w:tr>
      <w:tr w:rsidR="00A34910" w:rsidRPr="0070612E" w14:paraId="0559699D" w14:textId="77777777" w:rsidTr="00ED1534">
        <w:tc>
          <w:tcPr>
            <w:tcW w:w="3780" w:type="dxa"/>
            <w:vAlign w:val="center"/>
          </w:tcPr>
          <w:p w14:paraId="7E106084" w14:textId="77777777" w:rsidR="00A34910" w:rsidRPr="0070612E" w:rsidRDefault="00A34910" w:rsidP="0070612E">
            <w:pPr>
              <w:pStyle w:val="NormalWeb"/>
              <w:spacing w:line="360" w:lineRule="auto"/>
              <w:jc w:val="both"/>
            </w:pPr>
            <w:r w:rsidRPr="0070612E">
              <w:t>Moderate Increase in Capacity</w:t>
            </w:r>
          </w:p>
        </w:tc>
        <w:tc>
          <w:tcPr>
            <w:tcW w:w="3150" w:type="dxa"/>
            <w:vAlign w:val="center"/>
          </w:tcPr>
          <w:p w14:paraId="5553913A" w14:textId="77777777" w:rsidR="00A34910" w:rsidRPr="0070612E" w:rsidRDefault="00A34910" w:rsidP="0070612E">
            <w:pPr>
              <w:pStyle w:val="NormalWeb"/>
              <w:spacing w:line="360" w:lineRule="auto"/>
              <w:jc w:val="both"/>
            </w:pPr>
            <w:r w:rsidRPr="0070612E">
              <w:t>3</w:t>
            </w:r>
          </w:p>
        </w:tc>
        <w:tc>
          <w:tcPr>
            <w:tcW w:w="2089" w:type="dxa"/>
            <w:vAlign w:val="center"/>
          </w:tcPr>
          <w:p w14:paraId="01F73FDB" w14:textId="77777777" w:rsidR="00A34910" w:rsidRPr="0070612E" w:rsidRDefault="00A34910" w:rsidP="0070612E">
            <w:pPr>
              <w:pStyle w:val="NormalWeb"/>
              <w:spacing w:line="360" w:lineRule="auto"/>
              <w:jc w:val="both"/>
            </w:pPr>
            <w:r w:rsidRPr="0070612E">
              <w:t>30%</w:t>
            </w:r>
          </w:p>
        </w:tc>
      </w:tr>
      <w:tr w:rsidR="00A34910" w:rsidRPr="0070612E" w14:paraId="10A6A30B" w14:textId="77777777" w:rsidTr="00ED1534">
        <w:tc>
          <w:tcPr>
            <w:tcW w:w="3780" w:type="dxa"/>
            <w:vAlign w:val="center"/>
          </w:tcPr>
          <w:p w14:paraId="5235503A" w14:textId="77777777" w:rsidR="00A34910" w:rsidRPr="0070612E" w:rsidRDefault="00A34910" w:rsidP="0070612E">
            <w:pPr>
              <w:pStyle w:val="NormalWeb"/>
              <w:spacing w:line="360" w:lineRule="auto"/>
              <w:jc w:val="both"/>
            </w:pPr>
            <w:r w:rsidRPr="0070612E">
              <w:t>No Significant Change</w:t>
            </w:r>
          </w:p>
        </w:tc>
        <w:tc>
          <w:tcPr>
            <w:tcW w:w="3150" w:type="dxa"/>
            <w:vAlign w:val="center"/>
          </w:tcPr>
          <w:p w14:paraId="6253A7A3" w14:textId="77777777" w:rsidR="00A34910" w:rsidRPr="0070612E" w:rsidRDefault="00A34910" w:rsidP="0070612E">
            <w:pPr>
              <w:pStyle w:val="NormalWeb"/>
              <w:spacing w:line="360" w:lineRule="auto"/>
              <w:jc w:val="both"/>
            </w:pPr>
            <w:r w:rsidRPr="0070612E">
              <w:t>2</w:t>
            </w:r>
          </w:p>
        </w:tc>
        <w:tc>
          <w:tcPr>
            <w:tcW w:w="2089" w:type="dxa"/>
            <w:vAlign w:val="center"/>
          </w:tcPr>
          <w:p w14:paraId="3E52FC52" w14:textId="77777777" w:rsidR="00A34910" w:rsidRPr="0070612E" w:rsidRDefault="00A34910" w:rsidP="0070612E">
            <w:pPr>
              <w:pStyle w:val="NormalWeb"/>
              <w:spacing w:line="360" w:lineRule="auto"/>
              <w:jc w:val="both"/>
            </w:pPr>
            <w:r w:rsidRPr="0070612E">
              <w:t>20%</w:t>
            </w:r>
          </w:p>
        </w:tc>
      </w:tr>
      <w:tr w:rsidR="00A34910" w:rsidRPr="0070612E" w14:paraId="4C262226" w14:textId="77777777" w:rsidTr="00ED1534">
        <w:tc>
          <w:tcPr>
            <w:tcW w:w="3780" w:type="dxa"/>
            <w:vAlign w:val="center"/>
          </w:tcPr>
          <w:p w14:paraId="63C99AE3" w14:textId="77777777" w:rsidR="00A34910" w:rsidRPr="0070612E" w:rsidRDefault="00A34910" w:rsidP="0070612E">
            <w:pPr>
              <w:pStyle w:val="NormalWeb"/>
              <w:spacing w:line="360" w:lineRule="auto"/>
              <w:jc w:val="both"/>
            </w:pPr>
            <w:r w:rsidRPr="0070612E">
              <w:rPr>
                <w:rStyle w:val="Strong"/>
              </w:rPr>
              <w:t>Total</w:t>
            </w:r>
          </w:p>
        </w:tc>
        <w:tc>
          <w:tcPr>
            <w:tcW w:w="3150" w:type="dxa"/>
            <w:vAlign w:val="center"/>
          </w:tcPr>
          <w:p w14:paraId="4847D1A7" w14:textId="77777777" w:rsidR="00A34910" w:rsidRPr="0070612E" w:rsidRDefault="00A34910" w:rsidP="0070612E">
            <w:pPr>
              <w:pStyle w:val="NormalWeb"/>
              <w:spacing w:line="360" w:lineRule="auto"/>
              <w:jc w:val="both"/>
            </w:pPr>
            <w:r w:rsidRPr="0070612E">
              <w:rPr>
                <w:rStyle w:val="Strong"/>
              </w:rPr>
              <w:t>10</w:t>
            </w:r>
          </w:p>
        </w:tc>
        <w:tc>
          <w:tcPr>
            <w:tcW w:w="2089" w:type="dxa"/>
            <w:vAlign w:val="center"/>
          </w:tcPr>
          <w:p w14:paraId="0642CFAF" w14:textId="77777777" w:rsidR="00A34910" w:rsidRPr="0070612E" w:rsidRDefault="00A34910" w:rsidP="0070612E">
            <w:pPr>
              <w:pStyle w:val="NormalWeb"/>
              <w:spacing w:line="360" w:lineRule="auto"/>
              <w:jc w:val="both"/>
            </w:pPr>
            <w:r w:rsidRPr="0070612E">
              <w:rPr>
                <w:rStyle w:val="Strong"/>
              </w:rPr>
              <w:t>100%</w:t>
            </w:r>
          </w:p>
        </w:tc>
      </w:tr>
    </w:tbl>
    <w:p w14:paraId="6DF8E0C5" w14:textId="77777777" w:rsidR="00B04ED2" w:rsidRPr="0070612E" w:rsidRDefault="00B04ED2" w:rsidP="0070612E">
      <w:pPr>
        <w:pStyle w:val="NormalWeb"/>
        <w:spacing w:line="360" w:lineRule="auto"/>
        <w:jc w:val="both"/>
      </w:pPr>
      <w:r w:rsidRPr="0070612E">
        <w:rPr>
          <w:rStyle w:val="Strong"/>
        </w:rPr>
        <w:t>Interpretation:</w:t>
      </w:r>
      <w:r w:rsidRPr="0070612E">
        <w:t xml:space="preserve">According to 50% of bank officials, First Bank’s capacity to finance SSEs improved significantly after recapitalization. 30% observed moderate improvements, while 20% </w:t>
      </w:r>
      <w:r w:rsidRPr="0070612E">
        <w:lastRenderedPageBreak/>
        <w:t>reported no major change. This shows that recapitalization has moderately enhanced the financing capacity but not optimally.</w:t>
      </w:r>
    </w:p>
    <w:p w14:paraId="7FD3E504" w14:textId="77777777" w:rsidR="00B04ED2" w:rsidRPr="0070612E" w:rsidRDefault="00B04ED2" w:rsidP="0070612E">
      <w:pPr>
        <w:pStyle w:val="Heading3"/>
        <w:spacing w:line="360" w:lineRule="auto"/>
        <w:jc w:val="both"/>
        <w:rPr>
          <w:sz w:val="24"/>
          <w:szCs w:val="24"/>
        </w:rPr>
      </w:pPr>
      <w:r w:rsidRPr="0070612E">
        <w:rPr>
          <w:rStyle w:val="Strong"/>
          <w:b/>
          <w:bCs/>
          <w:sz w:val="24"/>
          <w:szCs w:val="24"/>
        </w:rPr>
        <w:t>Testing of Research Hypotheses</w:t>
      </w:r>
    </w:p>
    <w:p w14:paraId="7F05C99A" w14:textId="77777777" w:rsidR="00B04ED2" w:rsidRPr="0070612E" w:rsidRDefault="00B04ED2" w:rsidP="0070612E">
      <w:pPr>
        <w:pStyle w:val="Heading4"/>
        <w:spacing w:line="360" w:lineRule="auto"/>
        <w:jc w:val="both"/>
        <w:rPr>
          <w:rFonts w:asciiTheme="majorBidi" w:hAnsiTheme="majorBidi"/>
          <w:b/>
          <w:bCs/>
          <w:i w:val="0"/>
          <w:iCs w:val="0"/>
          <w:color w:val="auto"/>
          <w:sz w:val="24"/>
          <w:szCs w:val="24"/>
        </w:rPr>
      </w:pPr>
      <w:r w:rsidRPr="0070612E">
        <w:rPr>
          <w:rStyle w:val="Strong"/>
          <w:rFonts w:ascii="Times New Roman" w:hAnsi="Times New Roman"/>
          <w:i w:val="0"/>
          <w:iCs w:val="0"/>
          <w:color w:val="auto"/>
          <w:sz w:val="24"/>
          <w:szCs w:val="24"/>
        </w:rPr>
        <w:t>Hypothesis One (H₀₁):</w:t>
      </w:r>
      <w:r w:rsidRPr="0070612E">
        <w:rPr>
          <w:rStyle w:val="Strong"/>
          <w:rFonts w:asciiTheme="majorBidi" w:hAnsiTheme="majorBidi"/>
          <w:b w:val="0"/>
          <w:bCs w:val="0"/>
          <w:i w:val="0"/>
          <w:iCs w:val="0"/>
          <w:color w:val="auto"/>
          <w:sz w:val="24"/>
          <w:szCs w:val="24"/>
        </w:rPr>
        <w:t>Bank recapitalization policy has no significant effect on the credit accessibility of small-scale enterprises in Nigeria.</w:t>
      </w:r>
    </w:p>
    <w:p w14:paraId="1C142297" w14:textId="77777777" w:rsidR="00B04ED2" w:rsidRPr="0070612E" w:rsidRDefault="00B04ED2" w:rsidP="0070612E">
      <w:pPr>
        <w:pStyle w:val="NormalWeb"/>
        <w:spacing w:line="360" w:lineRule="auto"/>
        <w:jc w:val="both"/>
        <w:rPr>
          <w:b/>
          <w:bCs/>
        </w:rPr>
      </w:pPr>
      <w:r w:rsidRPr="0070612E">
        <w:rPr>
          <w:b/>
          <w:bCs/>
        </w:rPr>
        <w:t>Using Chi-Square Test:</w:t>
      </w:r>
    </w:p>
    <w:p w14:paraId="4B7FC842" w14:textId="77777777" w:rsidR="00B04ED2" w:rsidRPr="0070612E" w:rsidRDefault="009B0451" w:rsidP="0070612E">
      <w:pPr>
        <w:pStyle w:val="NormalWeb"/>
        <w:spacing w:line="360" w:lineRule="auto"/>
        <w:jc w:val="both"/>
      </w:pPr>
      <w:proofErr w:type="spellStart"/>
      <w:r w:rsidRPr="0070612E">
        <w:t>i</w:t>
      </w:r>
      <w:proofErr w:type="spellEnd"/>
      <w:r w:rsidRPr="0070612E">
        <w:t>.</w:t>
      </w:r>
      <w:r w:rsidRPr="0070612E">
        <w:tab/>
      </w:r>
      <w:r w:rsidR="00B04ED2" w:rsidRPr="0070612E">
        <w:t>Observed improvement in loan accessibility: 60%</w:t>
      </w:r>
    </w:p>
    <w:p w14:paraId="003257CF" w14:textId="77777777" w:rsidR="00B04ED2" w:rsidRPr="0070612E" w:rsidRDefault="009B0451" w:rsidP="0070612E">
      <w:pPr>
        <w:pStyle w:val="NormalWeb"/>
        <w:spacing w:line="360" w:lineRule="auto"/>
        <w:jc w:val="both"/>
      </w:pPr>
      <w:r w:rsidRPr="0070612E">
        <w:t>ii.</w:t>
      </w:r>
      <w:r w:rsidRPr="0070612E">
        <w:tab/>
      </w:r>
      <w:r w:rsidR="00B04ED2" w:rsidRPr="0070612E">
        <w:t>Pre-recapitalization accessibility: 45%</w:t>
      </w:r>
    </w:p>
    <w:p w14:paraId="265F4CC9" w14:textId="77777777" w:rsidR="00B04ED2" w:rsidRPr="0070612E" w:rsidRDefault="00B04ED2" w:rsidP="0070612E">
      <w:pPr>
        <w:pStyle w:val="NormalWeb"/>
        <w:spacing w:line="360" w:lineRule="auto"/>
        <w:jc w:val="both"/>
        <w:rPr>
          <w:rStyle w:val="Strong"/>
        </w:rPr>
      </w:pPr>
      <w:r w:rsidRPr="0070612E">
        <w:rPr>
          <w:rStyle w:val="Strong"/>
        </w:rPr>
        <w:t>Chi-Square Result Summary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7"/>
        <w:gridCol w:w="3727"/>
      </w:tblGrid>
      <w:tr w:rsidR="00976183" w:rsidRPr="0070612E" w14:paraId="75BB1A7E" w14:textId="77777777" w:rsidTr="00976183">
        <w:trPr>
          <w:trHeight w:val="430"/>
        </w:trPr>
        <w:tc>
          <w:tcPr>
            <w:tcW w:w="3727" w:type="dxa"/>
            <w:tcBorders>
              <w:bottom w:val="single" w:sz="4" w:space="0" w:color="auto"/>
            </w:tcBorders>
          </w:tcPr>
          <w:p w14:paraId="3111716C" w14:textId="77777777" w:rsidR="00976183" w:rsidRPr="0070612E" w:rsidRDefault="00976183" w:rsidP="0070612E">
            <w:pPr>
              <w:pStyle w:val="NormalWeb"/>
              <w:spacing w:line="360" w:lineRule="auto"/>
              <w:jc w:val="both"/>
              <w:rPr>
                <w:rStyle w:val="Strong"/>
              </w:rPr>
            </w:pPr>
            <w:r w:rsidRPr="0070612E">
              <w:rPr>
                <w:rStyle w:val="Strong"/>
              </w:rPr>
              <w:t xml:space="preserve">Statistic </w:t>
            </w:r>
          </w:p>
        </w:tc>
        <w:tc>
          <w:tcPr>
            <w:tcW w:w="3727" w:type="dxa"/>
            <w:tcBorders>
              <w:bottom w:val="single" w:sz="4" w:space="0" w:color="auto"/>
            </w:tcBorders>
          </w:tcPr>
          <w:p w14:paraId="0538F928" w14:textId="77777777" w:rsidR="00976183" w:rsidRPr="0070612E" w:rsidRDefault="00976183" w:rsidP="0070612E">
            <w:pPr>
              <w:pStyle w:val="NormalWeb"/>
              <w:spacing w:line="360" w:lineRule="auto"/>
              <w:jc w:val="both"/>
              <w:rPr>
                <w:rStyle w:val="Strong"/>
              </w:rPr>
            </w:pPr>
            <w:r w:rsidRPr="0070612E">
              <w:rPr>
                <w:rStyle w:val="Strong"/>
              </w:rPr>
              <w:t xml:space="preserve">Value </w:t>
            </w:r>
          </w:p>
        </w:tc>
      </w:tr>
      <w:tr w:rsidR="00976183" w:rsidRPr="0070612E" w14:paraId="712F1CA5" w14:textId="77777777" w:rsidTr="00976183">
        <w:trPr>
          <w:trHeight w:val="471"/>
        </w:trPr>
        <w:tc>
          <w:tcPr>
            <w:tcW w:w="3727" w:type="dxa"/>
            <w:tcBorders>
              <w:top w:val="single" w:sz="4" w:space="0" w:color="auto"/>
            </w:tcBorders>
            <w:vAlign w:val="center"/>
          </w:tcPr>
          <w:p w14:paraId="25F43EFF" w14:textId="77777777" w:rsidR="00976183" w:rsidRPr="0070612E" w:rsidRDefault="00976183" w:rsidP="0070612E">
            <w:pPr>
              <w:pStyle w:val="NormalWeb"/>
              <w:spacing w:line="360" w:lineRule="auto"/>
              <w:jc w:val="both"/>
              <w:rPr>
                <w:rStyle w:val="Strong"/>
              </w:rPr>
            </w:pPr>
            <w:r w:rsidRPr="0070612E">
              <w:t>Chi-Square (X²) Value</w:t>
            </w:r>
          </w:p>
        </w:tc>
        <w:tc>
          <w:tcPr>
            <w:tcW w:w="3727" w:type="dxa"/>
            <w:tcBorders>
              <w:top w:val="single" w:sz="4" w:space="0" w:color="auto"/>
            </w:tcBorders>
            <w:vAlign w:val="center"/>
          </w:tcPr>
          <w:p w14:paraId="262193C8" w14:textId="77777777" w:rsidR="00976183" w:rsidRPr="0070612E" w:rsidRDefault="00976183" w:rsidP="0070612E">
            <w:pPr>
              <w:pStyle w:val="NormalWeb"/>
              <w:spacing w:line="360" w:lineRule="auto"/>
              <w:jc w:val="both"/>
              <w:rPr>
                <w:rStyle w:val="Strong"/>
              </w:rPr>
            </w:pPr>
            <w:r w:rsidRPr="0070612E">
              <w:t>8.44</w:t>
            </w:r>
          </w:p>
        </w:tc>
      </w:tr>
      <w:tr w:rsidR="00976183" w:rsidRPr="0070612E" w14:paraId="52EFD4E3" w14:textId="77777777" w:rsidTr="00976183">
        <w:trPr>
          <w:trHeight w:val="451"/>
        </w:trPr>
        <w:tc>
          <w:tcPr>
            <w:tcW w:w="3727" w:type="dxa"/>
            <w:vAlign w:val="center"/>
          </w:tcPr>
          <w:p w14:paraId="376AE09A" w14:textId="77777777" w:rsidR="00976183" w:rsidRPr="0070612E" w:rsidRDefault="00976183" w:rsidP="0070612E">
            <w:pPr>
              <w:pStyle w:val="NormalWeb"/>
              <w:spacing w:line="360" w:lineRule="auto"/>
              <w:jc w:val="both"/>
              <w:rPr>
                <w:rStyle w:val="Strong"/>
              </w:rPr>
            </w:pPr>
            <w:r w:rsidRPr="0070612E">
              <w:t>Degree of Freedom (df)</w:t>
            </w:r>
          </w:p>
        </w:tc>
        <w:tc>
          <w:tcPr>
            <w:tcW w:w="3727" w:type="dxa"/>
            <w:vAlign w:val="center"/>
          </w:tcPr>
          <w:p w14:paraId="1A3734C3" w14:textId="77777777" w:rsidR="00976183" w:rsidRPr="0070612E" w:rsidRDefault="00976183" w:rsidP="0070612E">
            <w:pPr>
              <w:pStyle w:val="NormalWeb"/>
              <w:spacing w:line="360" w:lineRule="auto"/>
              <w:jc w:val="both"/>
              <w:rPr>
                <w:rStyle w:val="Strong"/>
              </w:rPr>
            </w:pPr>
            <w:r w:rsidRPr="0070612E">
              <w:t>1</w:t>
            </w:r>
          </w:p>
        </w:tc>
      </w:tr>
      <w:tr w:rsidR="00976183" w:rsidRPr="0070612E" w14:paraId="178DB18E" w14:textId="77777777" w:rsidTr="00976183">
        <w:trPr>
          <w:trHeight w:val="471"/>
        </w:trPr>
        <w:tc>
          <w:tcPr>
            <w:tcW w:w="3727" w:type="dxa"/>
            <w:tcBorders>
              <w:bottom w:val="single" w:sz="4" w:space="0" w:color="auto"/>
            </w:tcBorders>
            <w:vAlign w:val="center"/>
          </w:tcPr>
          <w:p w14:paraId="55C6DD35" w14:textId="77777777" w:rsidR="00976183" w:rsidRPr="0070612E" w:rsidRDefault="00976183" w:rsidP="0070612E">
            <w:pPr>
              <w:pStyle w:val="NormalWeb"/>
              <w:spacing w:line="360" w:lineRule="auto"/>
              <w:jc w:val="both"/>
              <w:rPr>
                <w:rStyle w:val="Strong"/>
              </w:rPr>
            </w:pPr>
            <w:r w:rsidRPr="0070612E">
              <w:t>P-Value</w:t>
            </w:r>
          </w:p>
        </w:tc>
        <w:tc>
          <w:tcPr>
            <w:tcW w:w="3727" w:type="dxa"/>
            <w:tcBorders>
              <w:bottom w:val="single" w:sz="4" w:space="0" w:color="auto"/>
            </w:tcBorders>
            <w:vAlign w:val="center"/>
          </w:tcPr>
          <w:p w14:paraId="492124CD" w14:textId="77777777" w:rsidR="00976183" w:rsidRPr="0070612E" w:rsidRDefault="00976183" w:rsidP="0070612E">
            <w:pPr>
              <w:pStyle w:val="NormalWeb"/>
              <w:spacing w:line="360" w:lineRule="auto"/>
              <w:jc w:val="both"/>
              <w:rPr>
                <w:rStyle w:val="Strong"/>
              </w:rPr>
            </w:pPr>
            <w:r w:rsidRPr="0070612E">
              <w:t>0.004</w:t>
            </w:r>
          </w:p>
        </w:tc>
      </w:tr>
    </w:tbl>
    <w:p w14:paraId="31E14956" w14:textId="77777777" w:rsidR="00B04ED2" w:rsidRPr="0070612E" w:rsidRDefault="00B04ED2" w:rsidP="0070612E">
      <w:pPr>
        <w:pStyle w:val="NormalWeb"/>
        <w:spacing w:line="360" w:lineRule="auto"/>
        <w:jc w:val="both"/>
      </w:pPr>
      <w:r w:rsidRPr="0070612E">
        <w:rPr>
          <w:rStyle w:val="Strong"/>
        </w:rPr>
        <w:t>Interpretation:</w:t>
      </w:r>
      <w:r w:rsidRPr="0070612E">
        <w:t xml:space="preserve">Since the p-value (0.004) is </w:t>
      </w:r>
      <w:r w:rsidRPr="0070612E">
        <w:rPr>
          <w:rStyle w:val="Strong"/>
        </w:rPr>
        <w:t>less than 0.05</w:t>
      </w:r>
      <w:r w:rsidRPr="0070612E">
        <w:t xml:space="preserve">, we </w:t>
      </w:r>
      <w:r w:rsidRPr="0070612E">
        <w:rPr>
          <w:rStyle w:val="Strong"/>
        </w:rPr>
        <w:t>reject H₀₁</w:t>
      </w:r>
      <w:r w:rsidRPr="0070612E">
        <w:t>.</w:t>
      </w:r>
      <w:r w:rsidRPr="0070612E">
        <w:br/>
        <w:t xml:space="preserve">Thus, the recapitalization policy </w:t>
      </w:r>
      <w:r w:rsidRPr="0070612E">
        <w:rPr>
          <w:rStyle w:val="Strong"/>
          <w:b w:val="0"/>
          <w:bCs w:val="0"/>
        </w:rPr>
        <w:t>significantly influenced</w:t>
      </w:r>
      <w:r w:rsidRPr="0070612E">
        <w:t xml:space="preserve"> the credit accessibility of small-scale enterprises.</w:t>
      </w:r>
    </w:p>
    <w:p w14:paraId="2AC73D4A" w14:textId="77777777" w:rsidR="00B04ED2" w:rsidRPr="0070612E" w:rsidRDefault="00B04ED2" w:rsidP="0070612E">
      <w:pPr>
        <w:pStyle w:val="Heading4"/>
        <w:spacing w:line="360" w:lineRule="auto"/>
        <w:jc w:val="both"/>
        <w:rPr>
          <w:rStyle w:val="Strong"/>
          <w:rFonts w:ascii="Times New Roman" w:hAnsi="Times New Roman"/>
          <w:b w:val="0"/>
          <w:bCs w:val="0"/>
          <w:i w:val="0"/>
          <w:iCs w:val="0"/>
          <w:color w:val="auto"/>
          <w:sz w:val="24"/>
          <w:szCs w:val="24"/>
        </w:rPr>
      </w:pPr>
      <w:r w:rsidRPr="0070612E">
        <w:rPr>
          <w:rStyle w:val="Strong"/>
          <w:rFonts w:ascii="Times New Roman" w:hAnsi="Times New Roman"/>
          <w:i w:val="0"/>
          <w:iCs w:val="0"/>
          <w:color w:val="auto"/>
          <w:sz w:val="24"/>
          <w:szCs w:val="24"/>
        </w:rPr>
        <w:t>Hypothesis Two (H₀₂):</w:t>
      </w:r>
      <w:r w:rsidRPr="0070612E">
        <w:rPr>
          <w:rStyle w:val="Strong"/>
          <w:rFonts w:ascii="Times New Roman" w:hAnsi="Times New Roman"/>
          <w:b w:val="0"/>
          <w:bCs w:val="0"/>
          <w:i w:val="0"/>
          <w:iCs w:val="0"/>
          <w:color w:val="auto"/>
          <w:sz w:val="24"/>
          <w:szCs w:val="24"/>
        </w:rPr>
        <w:t>There is no significant relationship between bank recapitalization and the capacity of First Bank of Nigeria Plc to finance small-scale enterprises.</w:t>
      </w:r>
    </w:p>
    <w:p w14:paraId="3886F994" w14:textId="77777777" w:rsidR="00B04ED2" w:rsidRPr="0070612E" w:rsidRDefault="00B04ED2" w:rsidP="0070612E">
      <w:pPr>
        <w:pStyle w:val="NormalWeb"/>
        <w:spacing w:line="360" w:lineRule="auto"/>
        <w:jc w:val="both"/>
        <w:rPr>
          <w:b/>
          <w:bCs/>
        </w:rPr>
      </w:pPr>
      <w:r w:rsidRPr="0070612E">
        <w:rPr>
          <w:b/>
          <w:bCs/>
        </w:rPr>
        <w:t>Using Pearson Correlation Coefficient between recapitalization efforts and financing capacity:</w:t>
      </w:r>
    </w:p>
    <w:p w14:paraId="2D21775C" w14:textId="77777777" w:rsidR="00B04ED2" w:rsidRPr="0070612E" w:rsidRDefault="00B04ED2" w:rsidP="0070612E">
      <w:pPr>
        <w:pStyle w:val="NormalWeb"/>
        <w:spacing w:line="360" w:lineRule="auto"/>
        <w:jc w:val="both"/>
        <w:rPr>
          <w:rStyle w:val="Strong"/>
        </w:rPr>
      </w:pPr>
      <w:r w:rsidRPr="0070612E">
        <w:rPr>
          <w:rStyle w:val="Strong"/>
        </w:rPr>
        <w:lastRenderedPageBreak/>
        <w:t>Pearson Correlation Result</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3150"/>
        <w:gridCol w:w="3529"/>
      </w:tblGrid>
      <w:tr w:rsidR="002236FA" w:rsidRPr="0070612E" w14:paraId="0AB56249" w14:textId="77777777" w:rsidTr="003B1946">
        <w:tc>
          <w:tcPr>
            <w:tcW w:w="2340" w:type="dxa"/>
            <w:tcBorders>
              <w:bottom w:val="single" w:sz="4" w:space="0" w:color="auto"/>
            </w:tcBorders>
          </w:tcPr>
          <w:p w14:paraId="77ECE108" w14:textId="77777777" w:rsidR="002236FA" w:rsidRPr="0070612E" w:rsidRDefault="002236FA" w:rsidP="0070612E">
            <w:pPr>
              <w:pStyle w:val="NormalWeb"/>
              <w:spacing w:line="360" w:lineRule="auto"/>
              <w:jc w:val="both"/>
              <w:rPr>
                <w:b/>
                <w:bCs/>
              </w:rPr>
            </w:pPr>
            <w:r w:rsidRPr="0070612E">
              <w:rPr>
                <w:b/>
                <w:bCs/>
              </w:rPr>
              <w:t xml:space="preserve">Sector </w:t>
            </w:r>
          </w:p>
        </w:tc>
        <w:tc>
          <w:tcPr>
            <w:tcW w:w="3150" w:type="dxa"/>
            <w:tcBorders>
              <w:bottom w:val="single" w:sz="4" w:space="0" w:color="auto"/>
            </w:tcBorders>
            <w:vAlign w:val="center"/>
          </w:tcPr>
          <w:p w14:paraId="5581DD3A" w14:textId="77777777" w:rsidR="002236FA" w:rsidRPr="0070612E" w:rsidRDefault="002236FA" w:rsidP="0070612E">
            <w:pPr>
              <w:pStyle w:val="NormalWeb"/>
              <w:spacing w:line="360" w:lineRule="auto"/>
              <w:jc w:val="both"/>
              <w:rPr>
                <w:b/>
                <w:bCs/>
              </w:rPr>
            </w:pPr>
            <w:r w:rsidRPr="0070612E">
              <w:rPr>
                <w:rStyle w:val="Strong"/>
              </w:rPr>
              <w:t>Correlation Coefficient (r)</w:t>
            </w:r>
          </w:p>
        </w:tc>
        <w:tc>
          <w:tcPr>
            <w:tcW w:w="3529" w:type="dxa"/>
            <w:tcBorders>
              <w:bottom w:val="single" w:sz="4" w:space="0" w:color="auto"/>
            </w:tcBorders>
            <w:vAlign w:val="center"/>
          </w:tcPr>
          <w:p w14:paraId="7210D482" w14:textId="77777777" w:rsidR="002236FA" w:rsidRPr="0070612E" w:rsidRDefault="002236FA" w:rsidP="0070612E">
            <w:pPr>
              <w:pStyle w:val="NormalWeb"/>
              <w:spacing w:line="360" w:lineRule="auto"/>
              <w:jc w:val="both"/>
              <w:rPr>
                <w:b/>
                <w:bCs/>
              </w:rPr>
            </w:pPr>
            <w:r w:rsidRPr="0070612E">
              <w:rPr>
                <w:rStyle w:val="Strong"/>
              </w:rPr>
              <w:t>Significance (p-value)</w:t>
            </w:r>
          </w:p>
        </w:tc>
      </w:tr>
      <w:tr w:rsidR="002236FA" w:rsidRPr="0070612E" w14:paraId="4DBDB71C" w14:textId="77777777" w:rsidTr="003B1946">
        <w:tc>
          <w:tcPr>
            <w:tcW w:w="2340" w:type="dxa"/>
            <w:tcBorders>
              <w:top w:val="single" w:sz="4" w:space="0" w:color="auto"/>
            </w:tcBorders>
            <w:vAlign w:val="center"/>
          </w:tcPr>
          <w:p w14:paraId="6B884317" w14:textId="77777777" w:rsidR="002236FA" w:rsidRPr="0070612E" w:rsidRDefault="002236FA" w:rsidP="0070612E">
            <w:pPr>
              <w:pStyle w:val="NormalWeb"/>
              <w:spacing w:line="360" w:lineRule="auto"/>
              <w:jc w:val="both"/>
            </w:pPr>
            <w:r w:rsidRPr="0070612E">
              <w:t>Recapitalization &amp; Financing Capacity</w:t>
            </w:r>
          </w:p>
        </w:tc>
        <w:tc>
          <w:tcPr>
            <w:tcW w:w="3150" w:type="dxa"/>
            <w:tcBorders>
              <w:top w:val="single" w:sz="4" w:space="0" w:color="auto"/>
            </w:tcBorders>
            <w:vAlign w:val="center"/>
          </w:tcPr>
          <w:p w14:paraId="6582A883" w14:textId="77777777" w:rsidR="002236FA" w:rsidRPr="0070612E" w:rsidRDefault="002236FA" w:rsidP="0070612E">
            <w:pPr>
              <w:pStyle w:val="NormalWeb"/>
              <w:spacing w:line="360" w:lineRule="auto"/>
              <w:jc w:val="both"/>
            </w:pPr>
            <w:r w:rsidRPr="0070612E">
              <w:t>0.62</w:t>
            </w:r>
          </w:p>
        </w:tc>
        <w:tc>
          <w:tcPr>
            <w:tcW w:w="3529" w:type="dxa"/>
            <w:tcBorders>
              <w:top w:val="single" w:sz="4" w:space="0" w:color="auto"/>
            </w:tcBorders>
            <w:vAlign w:val="center"/>
          </w:tcPr>
          <w:p w14:paraId="60879DCD" w14:textId="77777777" w:rsidR="002236FA" w:rsidRPr="0070612E" w:rsidRDefault="002236FA" w:rsidP="0070612E">
            <w:pPr>
              <w:pStyle w:val="NormalWeb"/>
              <w:spacing w:line="360" w:lineRule="auto"/>
              <w:jc w:val="both"/>
            </w:pPr>
            <w:r w:rsidRPr="0070612E">
              <w:t>0.01</w:t>
            </w:r>
          </w:p>
        </w:tc>
      </w:tr>
    </w:tbl>
    <w:p w14:paraId="02268DC2" w14:textId="77777777" w:rsidR="00B04ED2" w:rsidRPr="0070612E" w:rsidRDefault="00B04ED2" w:rsidP="0070612E">
      <w:pPr>
        <w:pStyle w:val="NormalWeb"/>
        <w:spacing w:line="360" w:lineRule="auto"/>
        <w:jc w:val="both"/>
      </w:pPr>
      <w:r w:rsidRPr="0070612E">
        <w:rPr>
          <w:rStyle w:val="Strong"/>
        </w:rPr>
        <w:t>Interpretation:</w:t>
      </w:r>
      <w:r w:rsidRPr="0070612E">
        <w:t xml:space="preserve">Since r = 0.62 (positive correlation) and p-value = 0.01 (less than 0.05), we </w:t>
      </w:r>
      <w:r w:rsidRPr="0070612E">
        <w:rPr>
          <w:rStyle w:val="Strong"/>
        </w:rPr>
        <w:t>reject H₀₂</w:t>
      </w:r>
      <w:r w:rsidRPr="0070612E">
        <w:t xml:space="preserve">.This indicates a </w:t>
      </w:r>
      <w:r w:rsidRPr="0070612E">
        <w:rPr>
          <w:rStyle w:val="Strong"/>
        </w:rPr>
        <w:t>significant positive relationship</w:t>
      </w:r>
      <w:r w:rsidRPr="0070612E">
        <w:t xml:space="preserve"> between bank recapitalization and First Bank’s capacity to finance small businesses.</w:t>
      </w:r>
    </w:p>
    <w:p w14:paraId="1C190420" w14:textId="77777777" w:rsidR="00B04ED2" w:rsidRPr="0070612E" w:rsidRDefault="001F5FB3" w:rsidP="0070612E">
      <w:pPr>
        <w:pStyle w:val="NormalWeb"/>
        <w:spacing w:before="0" w:line="360" w:lineRule="auto"/>
        <w:jc w:val="both"/>
      </w:pPr>
      <w:r w:rsidRPr="0070612E">
        <w:rPr>
          <w:rStyle w:val="Strong"/>
        </w:rPr>
        <w:t>Hypothesis Three (H</w:t>
      </w:r>
      <w:r w:rsidRPr="0070612E">
        <w:rPr>
          <w:rStyle w:val="Strong"/>
          <w:vertAlign w:val="subscript"/>
        </w:rPr>
        <w:t>03</w:t>
      </w:r>
      <w:r w:rsidRPr="0070612E">
        <w:rPr>
          <w:rStyle w:val="Strong"/>
        </w:rPr>
        <w:t xml:space="preserve">): </w:t>
      </w:r>
      <w:r w:rsidR="00B04ED2" w:rsidRPr="0070612E">
        <w:rPr>
          <w:rStyle w:val="Strong"/>
          <w:b w:val="0"/>
          <w:bCs w:val="0"/>
        </w:rPr>
        <w:t>There is no significant change in the perception of small-scale business owners about financing support from banks after recapitalization.</w:t>
      </w:r>
    </w:p>
    <w:p w14:paraId="06BFFF65" w14:textId="77777777" w:rsidR="00B04ED2" w:rsidRPr="0070612E" w:rsidRDefault="00B04ED2" w:rsidP="0070612E">
      <w:pPr>
        <w:pStyle w:val="NormalWeb"/>
        <w:spacing w:line="360" w:lineRule="auto"/>
        <w:jc w:val="both"/>
      </w:pPr>
      <w:r w:rsidRPr="0070612E">
        <w:t>Analyzing SMEs' perception before and after recapitalization:</w:t>
      </w:r>
    </w:p>
    <w:p w14:paraId="0EB57FEA" w14:textId="77777777" w:rsidR="00B04ED2" w:rsidRPr="0070612E" w:rsidRDefault="00B04ED2" w:rsidP="00C551A9">
      <w:pPr>
        <w:pStyle w:val="NormalWeb"/>
        <w:jc w:val="both"/>
      </w:pPr>
      <w:r w:rsidRPr="0070612E">
        <w:rPr>
          <w:rStyle w:val="Strong"/>
        </w:rPr>
        <w:t>Table 4.</w:t>
      </w:r>
      <w:r w:rsidR="00745FA0" w:rsidRPr="0070612E">
        <w:rPr>
          <w:rStyle w:val="Strong"/>
        </w:rPr>
        <w:t>2.4</w:t>
      </w:r>
      <w:r w:rsidRPr="0070612E">
        <w:rPr>
          <w:rStyle w:val="Strong"/>
        </w:rPr>
        <w:t>: Perception of Bank Support Pre- and Post-Recapitalization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20"/>
        <w:gridCol w:w="1440"/>
        <w:gridCol w:w="1440"/>
        <w:gridCol w:w="1440"/>
      </w:tblGrid>
      <w:tr w:rsidR="00B04ED2" w:rsidRPr="0070612E" w14:paraId="7A863B77" w14:textId="77777777" w:rsidTr="00A86DFB">
        <w:trPr>
          <w:tblHeader/>
          <w:tblCellSpacing w:w="15" w:type="dxa"/>
        </w:trPr>
        <w:tc>
          <w:tcPr>
            <w:tcW w:w="3375" w:type="dxa"/>
            <w:tcBorders>
              <w:bottom w:val="single" w:sz="4" w:space="0" w:color="auto"/>
            </w:tcBorders>
            <w:vAlign w:val="center"/>
            <w:hideMark/>
          </w:tcPr>
          <w:p w14:paraId="63F8ECA7" w14:textId="77777777" w:rsidR="00B04ED2" w:rsidRPr="0070612E" w:rsidRDefault="00B04ED2" w:rsidP="00C551A9">
            <w:pPr>
              <w:spacing w:line="240" w:lineRule="auto"/>
              <w:jc w:val="both"/>
              <w:rPr>
                <w:rFonts w:ascii="Times New Roman" w:hAnsi="Times New Roman"/>
                <w:b/>
                <w:bCs/>
                <w:sz w:val="24"/>
                <w:szCs w:val="24"/>
              </w:rPr>
            </w:pPr>
            <w:r w:rsidRPr="0070612E">
              <w:rPr>
                <w:rStyle w:val="Strong"/>
                <w:rFonts w:ascii="Times New Roman" w:hAnsi="Times New Roman"/>
                <w:sz w:val="24"/>
                <w:szCs w:val="24"/>
              </w:rPr>
              <w:t>Perception</w:t>
            </w:r>
          </w:p>
        </w:tc>
        <w:tc>
          <w:tcPr>
            <w:tcW w:w="1410" w:type="dxa"/>
            <w:tcBorders>
              <w:bottom w:val="single" w:sz="4" w:space="0" w:color="auto"/>
            </w:tcBorders>
            <w:vAlign w:val="center"/>
            <w:hideMark/>
          </w:tcPr>
          <w:p w14:paraId="5F9BA8CB" w14:textId="77777777" w:rsidR="00B04ED2" w:rsidRPr="0070612E" w:rsidRDefault="00B04ED2" w:rsidP="00C551A9">
            <w:pPr>
              <w:spacing w:line="240" w:lineRule="auto"/>
              <w:jc w:val="both"/>
              <w:rPr>
                <w:rFonts w:ascii="Times New Roman" w:hAnsi="Times New Roman"/>
                <w:b/>
                <w:bCs/>
                <w:sz w:val="24"/>
                <w:szCs w:val="24"/>
              </w:rPr>
            </w:pPr>
            <w:r w:rsidRPr="0070612E">
              <w:rPr>
                <w:rStyle w:val="Strong"/>
                <w:rFonts w:ascii="Times New Roman" w:hAnsi="Times New Roman"/>
                <w:sz w:val="24"/>
                <w:szCs w:val="24"/>
              </w:rPr>
              <w:t>Before (%)</w:t>
            </w:r>
          </w:p>
        </w:tc>
        <w:tc>
          <w:tcPr>
            <w:tcW w:w="1410" w:type="dxa"/>
            <w:tcBorders>
              <w:bottom w:val="single" w:sz="4" w:space="0" w:color="auto"/>
            </w:tcBorders>
            <w:vAlign w:val="center"/>
            <w:hideMark/>
          </w:tcPr>
          <w:p w14:paraId="71A763B0" w14:textId="77777777" w:rsidR="00B04ED2" w:rsidRPr="0070612E" w:rsidRDefault="00B04ED2" w:rsidP="00C551A9">
            <w:pPr>
              <w:spacing w:line="240" w:lineRule="auto"/>
              <w:jc w:val="both"/>
              <w:rPr>
                <w:rFonts w:ascii="Times New Roman" w:hAnsi="Times New Roman"/>
                <w:b/>
                <w:bCs/>
                <w:sz w:val="24"/>
                <w:szCs w:val="24"/>
              </w:rPr>
            </w:pPr>
            <w:r w:rsidRPr="0070612E">
              <w:rPr>
                <w:rStyle w:val="Strong"/>
                <w:rFonts w:ascii="Times New Roman" w:hAnsi="Times New Roman"/>
                <w:sz w:val="24"/>
                <w:szCs w:val="24"/>
              </w:rPr>
              <w:t>After (%)</w:t>
            </w:r>
          </w:p>
        </w:tc>
        <w:tc>
          <w:tcPr>
            <w:tcW w:w="1395" w:type="dxa"/>
            <w:tcBorders>
              <w:bottom w:val="single" w:sz="4" w:space="0" w:color="auto"/>
            </w:tcBorders>
            <w:vAlign w:val="center"/>
            <w:hideMark/>
          </w:tcPr>
          <w:p w14:paraId="3DA83F03" w14:textId="77777777" w:rsidR="00B04ED2" w:rsidRPr="0070612E" w:rsidRDefault="00B04ED2" w:rsidP="00C551A9">
            <w:pPr>
              <w:spacing w:line="240" w:lineRule="auto"/>
              <w:jc w:val="both"/>
              <w:rPr>
                <w:rFonts w:ascii="Times New Roman" w:hAnsi="Times New Roman"/>
                <w:b/>
                <w:bCs/>
                <w:sz w:val="24"/>
                <w:szCs w:val="24"/>
              </w:rPr>
            </w:pPr>
            <w:r w:rsidRPr="0070612E">
              <w:rPr>
                <w:rStyle w:val="Strong"/>
                <w:rFonts w:ascii="Times New Roman" w:hAnsi="Times New Roman"/>
                <w:sz w:val="24"/>
                <w:szCs w:val="24"/>
              </w:rPr>
              <w:t>Change (%)</w:t>
            </w:r>
          </w:p>
        </w:tc>
      </w:tr>
      <w:tr w:rsidR="00B04ED2" w:rsidRPr="0070612E" w14:paraId="66115BEE" w14:textId="77777777" w:rsidTr="00A86DFB">
        <w:trPr>
          <w:tblCellSpacing w:w="15" w:type="dxa"/>
        </w:trPr>
        <w:tc>
          <w:tcPr>
            <w:tcW w:w="3375" w:type="dxa"/>
            <w:vAlign w:val="center"/>
            <w:hideMark/>
          </w:tcPr>
          <w:p w14:paraId="0AA43B38" w14:textId="77777777" w:rsidR="00B04ED2" w:rsidRPr="0070612E" w:rsidRDefault="00B04ED2" w:rsidP="0070612E">
            <w:pPr>
              <w:spacing w:line="360" w:lineRule="auto"/>
              <w:jc w:val="both"/>
              <w:rPr>
                <w:rFonts w:ascii="Times New Roman" w:hAnsi="Times New Roman"/>
                <w:sz w:val="24"/>
                <w:szCs w:val="24"/>
              </w:rPr>
            </w:pPr>
            <w:r w:rsidRPr="0070612E">
              <w:rPr>
                <w:rFonts w:ascii="Times New Roman" w:hAnsi="Times New Roman"/>
                <w:sz w:val="24"/>
                <w:szCs w:val="24"/>
              </w:rPr>
              <w:t>Positive Perception</w:t>
            </w:r>
          </w:p>
        </w:tc>
        <w:tc>
          <w:tcPr>
            <w:tcW w:w="1410" w:type="dxa"/>
            <w:vAlign w:val="center"/>
            <w:hideMark/>
          </w:tcPr>
          <w:p w14:paraId="598097E7" w14:textId="77777777" w:rsidR="00B04ED2" w:rsidRPr="0070612E" w:rsidRDefault="00B04ED2" w:rsidP="0070612E">
            <w:pPr>
              <w:spacing w:line="360" w:lineRule="auto"/>
              <w:jc w:val="both"/>
              <w:rPr>
                <w:rFonts w:ascii="Times New Roman" w:hAnsi="Times New Roman"/>
                <w:sz w:val="24"/>
                <w:szCs w:val="24"/>
              </w:rPr>
            </w:pPr>
            <w:r w:rsidRPr="0070612E">
              <w:rPr>
                <w:rFonts w:ascii="Times New Roman" w:hAnsi="Times New Roman"/>
                <w:sz w:val="24"/>
                <w:szCs w:val="24"/>
              </w:rPr>
              <w:t>40%</w:t>
            </w:r>
          </w:p>
        </w:tc>
        <w:tc>
          <w:tcPr>
            <w:tcW w:w="1410" w:type="dxa"/>
            <w:vAlign w:val="center"/>
            <w:hideMark/>
          </w:tcPr>
          <w:p w14:paraId="35505A7A" w14:textId="77777777" w:rsidR="00B04ED2" w:rsidRPr="0070612E" w:rsidRDefault="00B04ED2" w:rsidP="0070612E">
            <w:pPr>
              <w:spacing w:line="360" w:lineRule="auto"/>
              <w:jc w:val="both"/>
              <w:rPr>
                <w:rFonts w:ascii="Times New Roman" w:hAnsi="Times New Roman"/>
                <w:sz w:val="24"/>
                <w:szCs w:val="24"/>
              </w:rPr>
            </w:pPr>
            <w:r w:rsidRPr="0070612E">
              <w:rPr>
                <w:rFonts w:ascii="Times New Roman" w:hAnsi="Times New Roman"/>
                <w:sz w:val="24"/>
                <w:szCs w:val="24"/>
              </w:rPr>
              <w:t>58%</w:t>
            </w:r>
          </w:p>
        </w:tc>
        <w:tc>
          <w:tcPr>
            <w:tcW w:w="1395" w:type="dxa"/>
            <w:vAlign w:val="center"/>
            <w:hideMark/>
          </w:tcPr>
          <w:p w14:paraId="66ABC0D3" w14:textId="77777777" w:rsidR="00B04ED2" w:rsidRPr="0070612E" w:rsidRDefault="00B04ED2" w:rsidP="0070612E">
            <w:pPr>
              <w:spacing w:line="360" w:lineRule="auto"/>
              <w:jc w:val="both"/>
              <w:rPr>
                <w:rFonts w:ascii="Times New Roman" w:hAnsi="Times New Roman"/>
                <w:sz w:val="24"/>
                <w:szCs w:val="24"/>
              </w:rPr>
            </w:pPr>
            <w:r w:rsidRPr="0070612E">
              <w:rPr>
                <w:rFonts w:ascii="Times New Roman" w:hAnsi="Times New Roman"/>
                <w:sz w:val="24"/>
                <w:szCs w:val="24"/>
              </w:rPr>
              <w:t>+18%</w:t>
            </w:r>
          </w:p>
        </w:tc>
      </w:tr>
      <w:tr w:rsidR="00B04ED2" w:rsidRPr="0070612E" w14:paraId="295F6867" w14:textId="77777777" w:rsidTr="00A86DFB">
        <w:trPr>
          <w:tblCellSpacing w:w="15" w:type="dxa"/>
        </w:trPr>
        <w:tc>
          <w:tcPr>
            <w:tcW w:w="3375" w:type="dxa"/>
            <w:tcBorders>
              <w:bottom w:val="single" w:sz="4" w:space="0" w:color="auto"/>
            </w:tcBorders>
            <w:vAlign w:val="center"/>
            <w:hideMark/>
          </w:tcPr>
          <w:p w14:paraId="4300AE46" w14:textId="77777777" w:rsidR="00B04ED2" w:rsidRPr="0070612E" w:rsidRDefault="00B04ED2" w:rsidP="0070612E">
            <w:pPr>
              <w:spacing w:line="360" w:lineRule="auto"/>
              <w:jc w:val="both"/>
              <w:rPr>
                <w:rFonts w:ascii="Times New Roman" w:hAnsi="Times New Roman"/>
                <w:sz w:val="24"/>
                <w:szCs w:val="24"/>
              </w:rPr>
            </w:pPr>
            <w:r w:rsidRPr="0070612E">
              <w:rPr>
                <w:rFonts w:ascii="Times New Roman" w:hAnsi="Times New Roman"/>
                <w:sz w:val="24"/>
                <w:szCs w:val="24"/>
              </w:rPr>
              <w:t>Negative/Neutral Perception</w:t>
            </w:r>
          </w:p>
        </w:tc>
        <w:tc>
          <w:tcPr>
            <w:tcW w:w="1410" w:type="dxa"/>
            <w:tcBorders>
              <w:bottom w:val="single" w:sz="4" w:space="0" w:color="auto"/>
            </w:tcBorders>
            <w:vAlign w:val="center"/>
            <w:hideMark/>
          </w:tcPr>
          <w:p w14:paraId="0C2A9417" w14:textId="77777777" w:rsidR="00B04ED2" w:rsidRPr="0070612E" w:rsidRDefault="00B04ED2" w:rsidP="0070612E">
            <w:pPr>
              <w:spacing w:line="360" w:lineRule="auto"/>
              <w:jc w:val="both"/>
              <w:rPr>
                <w:rFonts w:ascii="Times New Roman" w:hAnsi="Times New Roman"/>
                <w:sz w:val="24"/>
                <w:szCs w:val="24"/>
              </w:rPr>
            </w:pPr>
            <w:r w:rsidRPr="0070612E">
              <w:rPr>
                <w:rFonts w:ascii="Times New Roman" w:hAnsi="Times New Roman"/>
                <w:sz w:val="24"/>
                <w:szCs w:val="24"/>
              </w:rPr>
              <w:t>60%</w:t>
            </w:r>
          </w:p>
        </w:tc>
        <w:tc>
          <w:tcPr>
            <w:tcW w:w="1410" w:type="dxa"/>
            <w:tcBorders>
              <w:bottom w:val="single" w:sz="4" w:space="0" w:color="auto"/>
            </w:tcBorders>
            <w:vAlign w:val="center"/>
            <w:hideMark/>
          </w:tcPr>
          <w:p w14:paraId="587FF5F8" w14:textId="77777777" w:rsidR="00B04ED2" w:rsidRPr="0070612E" w:rsidRDefault="00B04ED2" w:rsidP="0070612E">
            <w:pPr>
              <w:spacing w:line="360" w:lineRule="auto"/>
              <w:jc w:val="both"/>
              <w:rPr>
                <w:rFonts w:ascii="Times New Roman" w:hAnsi="Times New Roman"/>
                <w:sz w:val="24"/>
                <w:szCs w:val="24"/>
              </w:rPr>
            </w:pPr>
            <w:r w:rsidRPr="0070612E">
              <w:rPr>
                <w:rFonts w:ascii="Times New Roman" w:hAnsi="Times New Roman"/>
                <w:sz w:val="24"/>
                <w:szCs w:val="24"/>
              </w:rPr>
              <w:t>42%</w:t>
            </w:r>
          </w:p>
        </w:tc>
        <w:tc>
          <w:tcPr>
            <w:tcW w:w="1395" w:type="dxa"/>
            <w:tcBorders>
              <w:bottom w:val="single" w:sz="4" w:space="0" w:color="auto"/>
            </w:tcBorders>
            <w:vAlign w:val="center"/>
            <w:hideMark/>
          </w:tcPr>
          <w:p w14:paraId="400C0D1A" w14:textId="77777777" w:rsidR="00B04ED2" w:rsidRPr="0070612E" w:rsidRDefault="00B04ED2" w:rsidP="0070612E">
            <w:pPr>
              <w:spacing w:line="360" w:lineRule="auto"/>
              <w:jc w:val="both"/>
              <w:rPr>
                <w:rFonts w:ascii="Times New Roman" w:hAnsi="Times New Roman"/>
                <w:sz w:val="24"/>
                <w:szCs w:val="24"/>
              </w:rPr>
            </w:pPr>
            <w:r w:rsidRPr="0070612E">
              <w:rPr>
                <w:rFonts w:ascii="Times New Roman" w:hAnsi="Times New Roman"/>
                <w:sz w:val="24"/>
                <w:szCs w:val="24"/>
              </w:rPr>
              <w:t>-18%</w:t>
            </w:r>
          </w:p>
        </w:tc>
      </w:tr>
    </w:tbl>
    <w:p w14:paraId="4C34F59C" w14:textId="77777777" w:rsidR="00B04ED2" w:rsidRPr="0070612E" w:rsidRDefault="00B04ED2" w:rsidP="00C551A9">
      <w:pPr>
        <w:pStyle w:val="NormalWeb"/>
        <w:jc w:val="both"/>
        <w:rPr>
          <w:rStyle w:val="Strong"/>
        </w:rPr>
      </w:pPr>
      <w:r w:rsidRPr="0070612E">
        <w:rPr>
          <w:rStyle w:val="Strong"/>
        </w:rPr>
        <w:t>Chi-Square Result Summary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7"/>
        <w:gridCol w:w="3727"/>
      </w:tblGrid>
      <w:tr w:rsidR="00D12DDB" w:rsidRPr="0070612E" w14:paraId="59188711" w14:textId="77777777" w:rsidTr="00295712">
        <w:trPr>
          <w:trHeight w:val="430"/>
        </w:trPr>
        <w:tc>
          <w:tcPr>
            <w:tcW w:w="3727" w:type="dxa"/>
            <w:tcBorders>
              <w:bottom w:val="single" w:sz="4" w:space="0" w:color="auto"/>
            </w:tcBorders>
          </w:tcPr>
          <w:p w14:paraId="26BF325F" w14:textId="77777777" w:rsidR="00D12DDB" w:rsidRPr="0070612E" w:rsidRDefault="00D12DDB" w:rsidP="00C551A9">
            <w:pPr>
              <w:pStyle w:val="NormalWeb"/>
              <w:jc w:val="both"/>
              <w:rPr>
                <w:rStyle w:val="Strong"/>
              </w:rPr>
            </w:pPr>
            <w:r w:rsidRPr="0070612E">
              <w:rPr>
                <w:rStyle w:val="Strong"/>
              </w:rPr>
              <w:t xml:space="preserve">Statistic </w:t>
            </w:r>
          </w:p>
        </w:tc>
        <w:tc>
          <w:tcPr>
            <w:tcW w:w="3727" w:type="dxa"/>
            <w:tcBorders>
              <w:bottom w:val="single" w:sz="4" w:space="0" w:color="auto"/>
            </w:tcBorders>
          </w:tcPr>
          <w:p w14:paraId="0FFC320B" w14:textId="77777777" w:rsidR="00D12DDB" w:rsidRPr="0070612E" w:rsidRDefault="00D12DDB" w:rsidP="00C551A9">
            <w:pPr>
              <w:pStyle w:val="NormalWeb"/>
              <w:jc w:val="both"/>
              <w:rPr>
                <w:rStyle w:val="Strong"/>
              </w:rPr>
            </w:pPr>
            <w:r w:rsidRPr="0070612E">
              <w:rPr>
                <w:rStyle w:val="Strong"/>
              </w:rPr>
              <w:t xml:space="preserve">Value </w:t>
            </w:r>
          </w:p>
        </w:tc>
      </w:tr>
      <w:tr w:rsidR="00D12DDB" w:rsidRPr="0070612E" w14:paraId="61685EB2" w14:textId="77777777" w:rsidTr="00295712">
        <w:trPr>
          <w:trHeight w:val="471"/>
        </w:trPr>
        <w:tc>
          <w:tcPr>
            <w:tcW w:w="3727" w:type="dxa"/>
            <w:tcBorders>
              <w:top w:val="single" w:sz="4" w:space="0" w:color="auto"/>
            </w:tcBorders>
            <w:vAlign w:val="center"/>
          </w:tcPr>
          <w:p w14:paraId="1D02846C" w14:textId="77777777" w:rsidR="00D12DDB" w:rsidRPr="0070612E" w:rsidRDefault="00D12DDB" w:rsidP="0070612E">
            <w:pPr>
              <w:pStyle w:val="NormalWeb"/>
              <w:spacing w:line="360" w:lineRule="auto"/>
              <w:jc w:val="both"/>
              <w:rPr>
                <w:rStyle w:val="Strong"/>
              </w:rPr>
            </w:pPr>
            <w:r w:rsidRPr="0070612E">
              <w:t>Chi-Square (X²) Value</w:t>
            </w:r>
          </w:p>
        </w:tc>
        <w:tc>
          <w:tcPr>
            <w:tcW w:w="3727" w:type="dxa"/>
            <w:tcBorders>
              <w:top w:val="single" w:sz="4" w:space="0" w:color="auto"/>
            </w:tcBorders>
            <w:vAlign w:val="center"/>
          </w:tcPr>
          <w:p w14:paraId="049EF6A2" w14:textId="77777777" w:rsidR="00D12DDB" w:rsidRPr="0070612E" w:rsidRDefault="00D12DDB" w:rsidP="0070612E">
            <w:pPr>
              <w:pStyle w:val="NormalWeb"/>
              <w:spacing w:line="360" w:lineRule="auto"/>
              <w:jc w:val="both"/>
              <w:rPr>
                <w:rStyle w:val="Strong"/>
              </w:rPr>
            </w:pPr>
            <w:r w:rsidRPr="0070612E">
              <w:t>7.25</w:t>
            </w:r>
          </w:p>
        </w:tc>
      </w:tr>
      <w:tr w:rsidR="00D12DDB" w:rsidRPr="0070612E" w14:paraId="17CB36A1" w14:textId="77777777" w:rsidTr="00295712">
        <w:trPr>
          <w:trHeight w:val="451"/>
        </w:trPr>
        <w:tc>
          <w:tcPr>
            <w:tcW w:w="3727" w:type="dxa"/>
            <w:vAlign w:val="center"/>
          </w:tcPr>
          <w:p w14:paraId="7C05B531" w14:textId="77777777" w:rsidR="00D12DDB" w:rsidRPr="0070612E" w:rsidRDefault="00D12DDB" w:rsidP="0070612E">
            <w:pPr>
              <w:pStyle w:val="NormalWeb"/>
              <w:spacing w:line="360" w:lineRule="auto"/>
              <w:jc w:val="both"/>
              <w:rPr>
                <w:rStyle w:val="Strong"/>
              </w:rPr>
            </w:pPr>
            <w:r w:rsidRPr="0070612E">
              <w:t>Degree of Freedom (df)</w:t>
            </w:r>
          </w:p>
        </w:tc>
        <w:tc>
          <w:tcPr>
            <w:tcW w:w="3727" w:type="dxa"/>
            <w:vAlign w:val="center"/>
          </w:tcPr>
          <w:p w14:paraId="0205138A" w14:textId="77777777" w:rsidR="00D12DDB" w:rsidRPr="0070612E" w:rsidRDefault="00D12DDB" w:rsidP="0070612E">
            <w:pPr>
              <w:pStyle w:val="NormalWeb"/>
              <w:spacing w:line="360" w:lineRule="auto"/>
              <w:jc w:val="both"/>
              <w:rPr>
                <w:rStyle w:val="Strong"/>
              </w:rPr>
            </w:pPr>
            <w:r w:rsidRPr="0070612E">
              <w:t>1</w:t>
            </w:r>
          </w:p>
        </w:tc>
      </w:tr>
      <w:tr w:rsidR="00D12DDB" w:rsidRPr="0070612E" w14:paraId="325ACE48" w14:textId="77777777" w:rsidTr="00295712">
        <w:trPr>
          <w:trHeight w:val="471"/>
        </w:trPr>
        <w:tc>
          <w:tcPr>
            <w:tcW w:w="3727" w:type="dxa"/>
            <w:tcBorders>
              <w:bottom w:val="single" w:sz="4" w:space="0" w:color="auto"/>
            </w:tcBorders>
            <w:vAlign w:val="center"/>
          </w:tcPr>
          <w:p w14:paraId="69FB7962" w14:textId="77777777" w:rsidR="00D12DDB" w:rsidRPr="0070612E" w:rsidRDefault="00D12DDB" w:rsidP="0070612E">
            <w:pPr>
              <w:pStyle w:val="NormalWeb"/>
              <w:spacing w:line="360" w:lineRule="auto"/>
              <w:jc w:val="both"/>
              <w:rPr>
                <w:rStyle w:val="Strong"/>
              </w:rPr>
            </w:pPr>
            <w:r w:rsidRPr="0070612E">
              <w:t>P-Value</w:t>
            </w:r>
          </w:p>
        </w:tc>
        <w:tc>
          <w:tcPr>
            <w:tcW w:w="3727" w:type="dxa"/>
            <w:tcBorders>
              <w:bottom w:val="single" w:sz="4" w:space="0" w:color="auto"/>
            </w:tcBorders>
            <w:vAlign w:val="center"/>
          </w:tcPr>
          <w:p w14:paraId="6F6C8C99" w14:textId="77777777" w:rsidR="00D12DDB" w:rsidRPr="0070612E" w:rsidRDefault="00D12DDB" w:rsidP="0070612E">
            <w:pPr>
              <w:pStyle w:val="NormalWeb"/>
              <w:spacing w:line="360" w:lineRule="auto"/>
              <w:jc w:val="both"/>
              <w:rPr>
                <w:rStyle w:val="Strong"/>
              </w:rPr>
            </w:pPr>
            <w:r w:rsidRPr="0070612E">
              <w:t>0.007</w:t>
            </w:r>
          </w:p>
        </w:tc>
      </w:tr>
    </w:tbl>
    <w:p w14:paraId="60A86E01" w14:textId="77777777" w:rsidR="00B04ED2" w:rsidRPr="0070612E" w:rsidRDefault="00B04ED2" w:rsidP="0070612E">
      <w:pPr>
        <w:pStyle w:val="NormalWeb"/>
        <w:spacing w:line="360" w:lineRule="auto"/>
        <w:jc w:val="both"/>
      </w:pPr>
      <w:r w:rsidRPr="0070612E">
        <w:rPr>
          <w:rStyle w:val="Strong"/>
        </w:rPr>
        <w:lastRenderedPageBreak/>
        <w:t>Interpretation:</w:t>
      </w:r>
      <w:r w:rsidRPr="0070612E">
        <w:t xml:space="preserve">Since the p-value (0.007) is </w:t>
      </w:r>
      <w:r w:rsidRPr="0070612E">
        <w:rPr>
          <w:rStyle w:val="Strong"/>
        </w:rPr>
        <w:t>less than 0.05</w:t>
      </w:r>
      <w:r w:rsidRPr="0070612E">
        <w:t xml:space="preserve">, we </w:t>
      </w:r>
      <w:r w:rsidRPr="0070612E">
        <w:rPr>
          <w:rStyle w:val="Strong"/>
        </w:rPr>
        <w:t>reject H₀₃</w:t>
      </w:r>
      <w:r w:rsidRPr="0070612E">
        <w:t>.</w:t>
      </w:r>
      <w:r w:rsidRPr="0070612E">
        <w:br/>
        <w:t xml:space="preserve">Therefore, </w:t>
      </w:r>
      <w:r w:rsidRPr="0070612E">
        <w:rPr>
          <w:rStyle w:val="Strong"/>
        </w:rPr>
        <w:t>there is a significant positive change</w:t>
      </w:r>
      <w:r w:rsidRPr="0070612E">
        <w:t xml:space="preserve"> in the perception of small-scale business owners about bank financing support after recapitalization.</w:t>
      </w:r>
    </w:p>
    <w:p w14:paraId="38911200" w14:textId="77777777" w:rsidR="00554727" w:rsidRPr="0070612E" w:rsidRDefault="00554727" w:rsidP="00C551A9">
      <w:pPr>
        <w:pStyle w:val="Heading3"/>
        <w:spacing w:line="360" w:lineRule="auto"/>
        <w:jc w:val="both"/>
        <w:rPr>
          <w:sz w:val="24"/>
          <w:szCs w:val="24"/>
        </w:rPr>
      </w:pPr>
      <w:r w:rsidRPr="0070612E">
        <w:rPr>
          <w:rStyle w:val="Strong"/>
          <w:b/>
          <w:bCs/>
          <w:sz w:val="24"/>
          <w:szCs w:val="24"/>
        </w:rPr>
        <w:t>4.3 Interpretation of Data</w:t>
      </w:r>
    </w:p>
    <w:p w14:paraId="306C6A95" w14:textId="77777777" w:rsidR="00554727" w:rsidRPr="0070612E" w:rsidRDefault="00554727" w:rsidP="00C551A9">
      <w:pPr>
        <w:pStyle w:val="NormalWeb"/>
        <w:spacing w:line="360" w:lineRule="auto"/>
        <w:jc w:val="both"/>
      </w:pPr>
      <w:r w:rsidRPr="0070612E">
        <w:t>The interpretation of the findings from both the quantitative and qualitative data provides meaningful insights into the effects of bank recapitalization on small-scale enterprises (SSEs) in Nigeria, particularly with respect to First Bank of Nigeria Plc.</w:t>
      </w:r>
    </w:p>
    <w:p w14:paraId="4A41B523" w14:textId="77777777" w:rsidR="00554727" w:rsidRPr="00D14924" w:rsidRDefault="00554727" w:rsidP="00D14924">
      <w:pPr>
        <w:pStyle w:val="Heading4"/>
        <w:spacing w:line="240" w:lineRule="auto"/>
        <w:jc w:val="both"/>
        <w:rPr>
          <w:rFonts w:ascii="Times New Roman" w:hAnsi="Times New Roman"/>
          <w:i w:val="0"/>
          <w:iCs w:val="0"/>
          <w:color w:val="000000" w:themeColor="text1"/>
          <w:sz w:val="24"/>
          <w:szCs w:val="24"/>
        </w:rPr>
      </w:pPr>
      <w:r w:rsidRPr="00D14924">
        <w:rPr>
          <w:rStyle w:val="Strong"/>
          <w:rFonts w:ascii="Times New Roman" w:hAnsi="Times New Roman"/>
          <w:i w:val="0"/>
          <w:iCs w:val="0"/>
          <w:color w:val="000000" w:themeColor="text1"/>
          <w:sz w:val="24"/>
          <w:szCs w:val="24"/>
        </w:rPr>
        <w:t>Influence of Recapitalization on Credit Accessibility</w:t>
      </w:r>
    </w:p>
    <w:p w14:paraId="55CEE5D7" w14:textId="77777777" w:rsidR="005929E7" w:rsidRDefault="00554727" w:rsidP="005929E7">
      <w:pPr>
        <w:pStyle w:val="NormalWeb"/>
        <w:spacing w:line="360" w:lineRule="auto"/>
        <w:jc w:val="both"/>
      </w:pPr>
      <w:r w:rsidRPr="00D14924">
        <w:t xml:space="preserve">Data in Tables 4.1.2 and 4.2.1 reveal that </w:t>
      </w:r>
      <w:r w:rsidRPr="00763584">
        <w:rPr>
          <w:rStyle w:val="Strong"/>
          <w:b w:val="0"/>
          <w:bCs w:val="0"/>
        </w:rPr>
        <w:t>credit accessibility improved</w:t>
      </w:r>
      <w:r w:rsidRPr="00D14924">
        <w:t xml:space="preserve">after the recapitalization policy was implemented. Specifically, </w:t>
      </w:r>
      <w:r w:rsidRPr="00763584">
        <w:rPr>
          <w:rStyle w:val="Strong"/>
          <w:b w:val="0"/>
          <w:bCs w:val="0"/>
        </w:rPr>
        <w:t>access to bank loans increased from 40% to 60%</w:t>
      </w:r>
      <w:r w:rsidRPr="00763584">
        <w:rPr>
          <w:b/>
          <w:bCs/>
        </w:rPr>
        <w:t xml:space="preserve">, </w:t>
      </w:r>
      <w:r w:rsidRPr="00D14924">
        <w:t xml:space="preserve">indicating a 20% improvement. The Chi-Square test further confirmed this with a </w:t>
      </w:r>
      <w:r w:rsidRPr="00D62232">
        <w:rPr>
          <w:rStyle w:val="Strong"/>
          <w:b w:val="0"/>
          <w:bCs w:val="0"/>
        </w:rPr>
        <w:t>significant p-value of 0.004</w:t>
      </w:r>
      <w:r w:rsidRPr="00D62232">
        <w:rPr>
          <w:b/>
          <w:bCs/>
        </w:rPr>
        <w:t>,</w:t>
      </w:r>
      <w:r w:rsidRPr="00D14924">
        <w:t xml:space="preserve"> leading to the </w:t>
      </w:r>
      <w:r w:rsidRPr="00D62232">
        <w:rPr>
          <w:rStyle w:val="Strong"/>
          <w:b w:val="0"/>
          <w:bCs w:val="0"/>
        </w:rPr>
        <w:t>rejection of Hypothesis One</w:t>
      </w:r>
      <w:r w:rsidRPr="00D14924">
        <w:t xml:space="preserve">(H₀₁). Therefore, </w:t>
      </w:r>
      <w:r w:rsidRPr="005929E7">
        <w:rPr>
          <w:rStyle w:val="Strong"/>
          <w:b w:val="0"/>
          <w:bCs w:val="0"/>
        </w:rPr>
        <w:t>recapitalization has had a statistically significant positive effect</w:t>
      </w:r>
      <w:r w:rsidRPr="00D14924">
        <w:t xml:space="preserve"> on the ability of SSEs to secure credit from First Bank.</w:t>
      </w:r>
    </w:p>
    <w:p w14:paraId="7D54590B" w14:textId="77777777" w:rsidR="00554727" w:rsidRPr="005929E7" w:rsidRDefault="00554727" w:rsidP="005929E7">
      <w:pPr>
        <w:pStyle w:val="NormalWeb"/>
        <w:jc w:val="both"/>
      </w:pPr>
      <w:r w:rsidRPr="005929E7">
        <w:rPr>
          <w:rStyle w:val="Strong"/>
        </w:rPr>
        <w:t>Challenges Faced by SSEs in Accessing Loans</w:t>
      </w:r>
    </w:p>
    <w:p w14:paraId="27E90970" w14:textId="77777777" w:rsidR="005929E7" w:rsidRDefault="00554727" w:rsidP="005929E7">
      <w:pPr>
        <w:pStyle w:val="NormalWeb"/>
        <w:spacing w:line="360" w:lineRule="auto"/>
        <w:jc w:val="both"/>
      </w:pPr>
      <w:r w:rsidRPr="0070612E">
        <w:t xml:space="preserve">Despite improved access, significant barriers persist. As shown in </w:t>
      </w:r>
      <w:r w:rsidRPr="005929E7">
        <w:rPr>
          <w:rStyle w:val="Strong"/>
          <w:b w:val="0"/>
          <w:bCs w:val="0"/>
        </w:rPr>
        <w:t>Table 4.2.2</w:t>
      </w:r>
      <w:r w:rsidRPr="005929E7">
        <w:rPr>
          <w:b/>
          <w:bCs/>
        </w:rPr>
        <w:t xml:space="preserve">, </w:t>
      </w:r>
      <w:r w:rsidRPr="005929E7">
        <w:rPr>
          <w:rStyle w:val="Strong"/>
          <w:b w:val="0"/>
          <w:bCs w:val="0"/>
        </w:rPr>
        <w:t>high collateral requirements (65%)</w:t>
      </w:r>
      <w:r w:rsidRPr="005929E7">
        <w:rPr>
          <w:b/>
          <w:bCs/>
        </w:rPr>
        <w:t xml:space="preserve">, </w:t>
      </w:r>
      <w:r w:rsidRPr="005929E7">
        <w:rPr>
          <w:rStyle w:val="Strong"/>
          <w:b w:val="0"/>
          <w:bCs w:val="0"/>
        </w:rPr>
        <w:t>high interest rates (55%)</w:t>
      </w:r>
      <w:r w:rsidRPr="005929E7">
        <w:rPr>
          <w:b/>
          <w:bCs/>
        </w:rPr>
        <w:t>,</w:t>
      </w:r>
      <w:r w:rsidRPr="0070612E">
        <w:t xml:space="preserve"> and </w:t>
      </w:r>
      <w:r w:rsidRPr="005929E7">
        <w:rPr>
          <w:rStyle w:val="Strong"/>
          <w:b w:val="0"/>
          <w:bCs w:val="0"/>
        </w:rPr>
        <w:t>bureaucratic loan processing (45%)</w:t>
      </w:r>
      <w:r w:rsidRPr="0070612E">
        <w:t xml:space="preserve"> remain critical challenges. This aligns with bank officials’ statements in Table 4.1.3, where they acknowledged the continued use of conservative risk assessment models and internal inefficiencies. These factors imply that </w:t>
      </w:r>
      <w:r w:rsidRPr="005929E7">
        <w:rPr>
          <w:rStyle w:val="Strong"/>
          <w:b w:val="0"/>
          <w:bCs w:val="0"/>
        </w:rPr>
        <w:t>recapitalization alone has not resolved fundamental structural bottlenecks</w:t>
      </w:r>
      <w:r w:rsidRPr="0070612E">
        <w:t xml:space="preserve"> affecting SME lending.</w:t>
      </w:r>
    </w:p>
    <w:p w14:paraId="321BCCB4" w14:textId="77777777" w:rsidR="00096AA2" w:rsidRDefault="00096AA2" w:rsidP="005929E7">
      <w:pPr>
        <w:pStyle w:val="NormalWeb"/>
        <w:jc w:val="both"/>
        <w:rPr>
          <w:rStyle w:val="Strong"/>
        </w:rPr>
      </w:pPr>
    </w:p>
    <w:p w14:paraId="6F88E603" w14:textId="77777777" w:rsidR="00096AA2" w:rsidRDefault="00096AA2" w:rsidP="005929E7">
      <w:pPr>
        <w:pStyle w:val="NormalWeb"/>
        <w:jc w:val="both"/>
        <w:rPr>
          <w:rStyle w:val="Strong"/>
        </w:rPr>
      </w:pPr>
    </w:p>
    <w:p w14:paraId="71ECEC03" w14:textId="77777777" w:rsidR="00554727" w:rsidRPr="005929E7" w:rsidRDefault="00554727" w:rsidP="005929E7">
      <w:pPr>
        <w:pStyle w:val="NormalWeb"/>
        <w:jc w:val="both"/>
      </w:pPr>
      <w:r w:rsidRPr="005929E7">
        <w:rPr>
          <w:rStyle w:val="Strong"/>
        </w:rPr>
        <w:lastRenderedPageBreak/>
        <w:t>Impact of Recapitalization on First Bank’s Lending Capacity</w:t>
      </w:r>
    </w:p>
    <w:p w14:paraId="292710B9" w14:textId="77777777" w:rsidR="00E8082A" w:rsidRDefault="00554727" w:rsidP="00E8082A">
      <w:pPr>
        <w:pStyle w:val="NormalWeb"/>
        <w:spacing w:line="360" w:lineRule="auto"/>
        <w:jc w:val="both"/>
      </w:pPr>
      <w:r w:rsidRPr="0070612E">
        <w:t xml:space="preserve">Table 4.2.3, along with qualitative responses from First Bank officials, suggests that </w:t>
      </w:r>
      <w:r w:rsidRPr="005929E7">
        <w:rPr>
          <w:rStyle w:val="Strong"/>
          <w:b w:val="0"/>
          <w:bCs w:val="0"/>
        </w:rPr>
        <w:t>recapitalization has moderately enhanced the bank’s capacity to support SSEs</w:t>
      </w:r>
      <w:r w:rsidRPr="005929E7">
        <w:rPr>
          <w:b/>
          <w:bCs/>
        </w:rPr>
        <w:t>.</w:t>
      </w:r>
      <w:r w:rsidRPr="0070612E">
        <w:t xml:space="preserve"> While </w:t>
      </w:r>
      <w:r w:rsidRPr="005929E7">
        <w:rPr>
          <w:rStyle w:val="Strong"/>
          <w:b w:val="0"/>
          <w:bCs w:val="0"/>
        </w:rPr>
        <w:t>50% of officials reported a significant increase</w:t>
      </w:r>
      <w:r w:rsidRPr="005929E7">
        <w:rPr>
          <w:b/>
          <w:bCs/>
        </w:rPr>
        <w:t>,</w:t>
      </w:r>
      <w:r w:rsidRPr="0070612E">
        <w:t xml:space="preserve"> 30% noted only moderate improvement. This is supported by a </w:t>
      </w:r>
      <w:r w:rsidRPr="00717B11">
        <w:rPr>
          <w:rStyle w:val="Strong"/>
          <w:b w:val="0"/>
          <w:bCs w:val="0"/>
        </w:rPr>
        <w:t>Pearson correlation coefficient of 0.62 (p = 0.01)</w:t>
      </w:r>
      <w:r w:rsidRPr="00717B11">
        <w:rPr>
          <w:b/>
          <w:bCs/>
        </w:rPr>
        <w:t>,</w:t>
      </w:r>
      <w:r w:rsidRPr="0070612E">
        <w:t xml:space="preserve"> leading to the </w:t>
      </w:r>
      <w:r w:rsidRPr="00601157">
        <w:rPr>
          <w:rStyle w:val="Strong"/>
          <w:b w:val="0"/>
          <w:bCs w:val="0"/>
        </w:rPr>
        <w:t>rejection of Hypothesis Two (H₀₂)</w:t>
      </w:r>
      <w:r w:rsidRPr="00601157">
        <w:rPr>
          <w:b/>
          <w:bCs/>
        </w:rPr>
        <w:t>.</w:t>
      </w:r>
      <w:r w:rsidRPr="0070612E">
        <w:t xml:space="preserve"> Hence,</w:t>
      </w:r>
      <w:r w:rsidRPr="00E8082A">
        <w:rPr>
          <w:rStyle w:val="Strong"/>
          <w:b w:val="0"/>
          <w:bCs w:val="0"/>
        </w:rPr>
        <w:t>a statistically significant positive relationship exists</w:t>
      </w:r>
      <w:r w:rsidRPr="0070612E">
        <w:t xml:space="preserve"> between bank recapitalization and First Bank’s SME financing capacity.</w:t>
      </w:r>
    </w:p>
    <w:p w14:paraId="5AB956C2" w14:textId="77777777" w:rsidR="00554727" w:rsidRPr="00E8082A" w:rsidRDefault="00554727" w:rsidP="00E8082A">
      <w:pPr>
        <w:pStyle w:val="NormalWeb"/>
        <w:jc w:val="both"/>
      </w:pPr>
      <w:r w:rsidRPr="00E8082A">
        <w:rPr>
          <w:rStyle w:val="Strong"/>
        </w:rPr>
        <w:t>Change in Perception of SSEs Post-Recapitalization</w:t>
      </w:r>
    </w:p>
    <w:p w14:paraId="13422A3E" w14:textId="77777777" w:rsidR="00554727" w:rsidRPr="0070612E" w:rsidRDefault="00554727" w:rsidP="00BF27FD">
      <w:pPr>
        <w:pStyle w:val="NormalWeb"/>
        <w:spacing w:line="360" w:lineRule="auto"/>
        <w:jc w:val="both"/>
      </w:pPr>
      <w:r w:rsidRPr="0070612E">
        <w:t xml:space="preserve">Perception data in </w:t>
      </w:r>
      <w:r w:rsidRPr="00E8082A">
        <w:rPr>
          <w:rStyle w:val="Strong"/>
          <w:b w:val="0"/>
          <w:bCs w:val="0"/>
        </w:rPr>
        <w:t>Table 4.2.4</w:t>
      </w:r>
      <w:r w:rsidRPr="0070612E">
        <w:t xml:space="preserve"> indicate a notable shift, with </w:t>
      </w:r>
      <w:r w:rsidRPr="00E8082A">
        <w:rPr>
          <w:rStyle w:val="Strong"/>
          <w:b w:val="0"/>
          <w:bCs w:val="0"/>
        </w:rPr>
        <w:t>positive perception increasing from 40% to 58%</w:t>
      </w:r>
      <w:r w:rsidRPr="0070612E">
        <w:t xml:space="preserve">post-recapitalization. This reflects a growing level of trust in the banking system’s ability to support small businesses. The Chi-Square analysis confirmed statistical significance </w:t>
      </w:r>
      <w:r w:rsidR="00E8082A">
        <w:br/>
      </w:r>
      <w:r w:rsidRPr="0070612E">
        <w:t xml:space="preserve">(p= 0.007), leading to the </w:t>
      </w:r>
      <w:r w:rsidRPr="00E8082A">
        <w:rPr>
          <w:rStyle w:val="Strong"/>
          <w:b w:val="0"/>
          <w:bCs w:val="0"/>
        </w:rPr>
        <w:t>rejection of Hypothesis Three (H₀₃)</w:t>
      </w:r>
      <w:r w:rsidRPr="00E8082A">
        <w:rPr>
          <w:b/>
          <w:bCs/>
        </w:rPr>
        <w:t>.</w:t>
      </w:r>
      <w:r w:rsidRPr="0070612E">
        <w:t xml:space="preserve"> Therefore, </w:t>
      </w:r>
      <w:r w:rsidRPr="00E8082A">
        <w:rPr>
          <w:rStyle w:val="Strong"/>
          <w:b w:val="0"/>
          <w:bCs w:val="0"/>
        </w:rPr>
        <w:t>the perception of bank support among SSEs has significantly improved</w:t>
      </w:r>
      <w:r w:rsidRPr="0070612E">
        <w:t>post-recapitalization.</w:t>
      </w:r>
    </w:p>
    <w:p w14:paraId="6C5B5739" w14:textId="77777777" w:rsidR="00BF27FD" w:rsidRDefault="00BF27FD">
      <w:pPr>
        <w:rPr>
          <w:rStyle w:val="Strong"/>
          <w:rFonts w:ascii="Times New Roman" w:eastAsiaTheme="majorEastAsia" w:hAnsi="Times New Roman" w:cstheme="majorBidi"/>
          <w:sz w:val="24"/>
          <w:szCs w:val="24"/>
        </w:rPr>
      </w:pPr>
      <w:r>
        <w:rPr>
          <w:rStyle w:val="Strong"/>
          <w:rFonts w:ascii="Times New Roman" w:hAnsi="Times New Roman"/>
          <w:sz w:val="24"/>
          <w:szCs w:val="24"/>
        </w:rPr>
        <w:br w:type="page"/>
      </w:r>
    </w:p>
    <w:p w14:paraId="072E2996" w14:textId="77777777" w:rsidR="006E51A7" w:rsidRPr="0070612E" w:rsidRDefault="006E51A7" w:rsidP="007154DF">
      <w:pPr>
        <w:pStyle w:val="Heading1"/>
        <w:spacing w:line="480" w:lineRule="auto"/>
        <w:jc w:val="center"/>
        <w:rPr>
          <w:rFonts w:ascii="Times New Roman" w:hAnsi="Times New Roman"/>
          <w:color w:val="auto"/>
          <w:sz w:val="24"/>
          <w:szCs w:val="24"/>
        </w:rPr>
      </w:pPr>
      <w:r w:rsidRPr="0070612E">
        <w:rPr>
          <w:rStyle w:val="Strong"/>
          <w:rFonts w:ascii="Times New Roman" w:hAnsi="Times New Roman"/>
          <w:color w:val="auto"/>
          <w:sz w:val="24"/>
          <w:szCs w:val="24"/>
        </w:rPr>
        <w:lastRenderedPageBreak/>
        <w:t>CHAPTER FIVE</w:t>
      </w:r>
    </w:p>
    <w:p w14:paraId="10FE06FC" w14:textId="77777777" w:rsidR="006E51A7" w:rsidRPr="0070612E" w:rsidRDefault="00EE461C" w:rsidP="007154DF">
      <w:pPr>
        <w:pStyle w:val="Heading2"/>
        <w:spacing w:line="480" w:lineRule="auto"/>
        <w:jc w:val="both"/>
        <w:rPr>
          <w:rFonts w:ascii="Times New Roman" w:hAnsi="Times New Roman"/>
          <w:color w:val="auto"/>
          <w:sz w:val="24"/>
          <w:szCs w:val="24"/>
        </w:rPr>
      </w:pPr>
      <w:r w:rsidRPr="0070612E">
        <w:rPr>
          <w:rStyle w:val="Strong"/>
          <w:rFonts w:ascii="Times New Roman" w:hAnsi="Times New Roman"/>
          <w:color w:val="auto"/>
          <w:sz w:val="24"/>
          <w:szCs w:val="24"/>
        </w:rPr>
        <w:t>5.0</w:t>
      </w:r>
      <w:r w:rsidRPr="0070612E">
        <w:rPr>
          <w:rStyle w:val="Strong"/>
          <w:rFonts w:ascii="Times New Roman" w:hAnsi="Times New Roman"/>
          <w:color w:val="auto"/>
          <w:sz w:val="24"/>
          <w:szCs w:val="24"/>
        </w:rPr>
        <w:tab/>
      </w:r>
      <w:r w:rsidR="006E51A7" w:rsidRPr="0070612E">
        <w:rPr>
          <w:rStyle w:val="Strong"/>
          <w:rFonts w:ascii="Times New Roman" w:hAnsi="Times New Roman"/>
          <w:color w:val="auto"/>
          <w:sz w:val="24"/>
          <w:szCs w:val="24"/>
        </w:rPr>
        <w:t>SUMMARY, CONCLUSION, AND RECOMMENDATIONS</w:t>
      </w:r>
    </w:p>
    <w:p w14:paraId="7C5E9A74" w14:textId="77777777" w:rsidR="008D704A" w:rsidRPr="0070612E" w:rsidRDefault="008D704A" w:rsidP="00BF27F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0612E">
        <w:rPr>
          <w:rFonts w:ascii="Times New Roman" w:eastAsia="Times New Roman" w:hAnsi="Times New Roman" w:cs="Times New Roman"/>
          <w:b/>
          <w:bCs/>
          <w:sz w:val="24"/>
          <w:szCs w:val="24"/>
        </w:rPr>
        <w:t xml:space="preserve">5.1 </w:t>
      </w:r>
      <w:r w:rsidR="007154DF">
        <w:rPr>
          <w:rFonts w:ascii="Times New Roman" w:eastAsia="Times New Roman" w:hAnsi="Times New Roman" w:cs="Times New Roman"/>
          <w:b/>
          <w:bCs/>
          <w:sz w:val="24"/>
          <w:szCs w:val="24"/>
        </w:rPr>
        <w:tab/>
      </w:r>
      <w:r w:rsidRPr="0070612E">
        <w:rPr>
          <w:rFonts w:ascii="Times New Roman" w:eastAsia="Times New Roman" w:hAnsi="Times New Roman" w:cs="Times New Roman"/>
          <w:b/>
          <w:bCs/>
          <w:sz w:val="24"/>
          <w:szCs w:val="24"/>
        </w:rPr>
        <w:t>Summary of Findings</w:t>
      </w:r>
    </w:p>
    <w:p w14:paraId="54585B16" w14:textId="77777777" w:rsidR="008D704A" w:rsidRPr="00E22BC2" w:rsidRDefault="008D704A" w:rsidP="00BF27FD">
      <w:pPr>
        <w:spacing w:before="100" w:beforeAutospacing="1" w:after="100" w:afterAutospacing="1" w:line="360" w:lineRule="auto"/>
        <w:jc w:val="both"/>
        <w:rPr>
          <w:rFonts w:ascii="Times New Roman" w:eastAsia="Times New Roman" w:hAnsi="Times New Roman" w:cs="Times New Roman"/>
          <w:sz w:val="24"/>
          <w:szCs w:val="24"/>
        </w:rPr>
      </w:pPr>
      <w:r w:rsidRPr="0070612E">
        <w:rPr>
          <w:rFonts w:ascii="Times New Roman" w:eastAsia="Times New Roman" w:hAnsi="Times New Roman" w:cs="Times New Roman"/>
          <w:sz w:val="24"/>
          <w:szCs w:val="24"/>
        </w:rPr>
        <w:t>This st</w:t>
      </w:r>
      <w:r w:rsidRPr="00E22BC2">
        <w:rPr>
          <w:rFonts w:ascii="Times New Roman" w:eastAsia="Times New Roman" w:hAnsi="Times New Roman" w:cs="Times New Roman"/>
          <w:sz w:val="24"/>
          <w:szCs w:val="24"/>
        </w:rPr>
        <w:t>udy examined the effect of bank recapitalization on the financing of small-scale enterprises (SSEs) in Nigeria, using First Bank of Nigeria Plc as a case study. Data was obtained through structured questionnaires administered to 200 SME operators and interviews conducted with 10 First Bank officials. The following key findings emerged from the analysis:</w:t>
      </w:r>
    </w:p>
    <w:p w14:paraId="5CAB3A13" w14:textId="77777777" w:rsidR="00E22BC2" w:rsidRDefault="00E22BC2" w:rsidP="00E22BC2">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i</w:t>
      </w:r>
      <w:proofErr w:type="spellEnd"/>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r>
      <w:r w:rsidR="008D704A" w:rsidRPr="00E22BC2">
        <w:rPr>
          <w:rFonts w:ascii="Times New Roman" w:eastAsia="Times New Roman" w:hAnsi="Times New Roman" w:cs="Times New Roman"/>
          <w:b/>
          <w:bCs/>
          <w:sz w:val="24"/>
          <w:szCs w:val="24"/>
        </w:rPr>
        <w:t>Improved Credit Accessibility Post-Recapitalization</w:t>
      </w:r>
      <w:r>
        <w:rPr>
          <w:rFonts w:ascii="Times New Roman" w:eastAsia="Times New Roman" w:hAnsi="Times New Roman" w:cs="Times New Roman"/>
          <w:b/>
          <w:bCs/>
          <w:sz w:val="24"/>
          <w:szCs w:val="24"/>
        </w:rPr>
        <w:t xml:space="preserve">: </w:t>
      </w:r>
      <w:r w:rsidR="008D704A" w:rsidRPr="00E22BC2">
        <w:rPr>
          <w:rFonts w:ascii="Times New Roman" w:eastAsia="Times New Roman" w:hAnsi="Times New Roman" w:cs="Times New Roman"/>
          <w:sz w:val="24"/>
          <w:szCs w:val="24"/>
        </w:rPr>
        <w:t>The findings show that recapitalization has led to a notable increase in credit accessibility for SSEs. Specifically, the proportion of SMEs reporting access to bank loans increased from 40% to 60%, representing a 20% improvement. The Chi-Square test confirmed that this increase is statistically significant, indicatingthat recapitalization has positively influenced SME lending.</w:t>
      </w:r>
    </w:p>
    <w:p w14:paraId="2FDFD800" w14:textId="77777777" w:rsidR="008D704A" w:rsidRPr="00E22BC2" w:rsidRDefault="00E22BC2" w:rsidP="00E22BC2">
      <w:pPr>
        <w:spacing w:before="100" w:beforeAutospacing="1" w:after="100" w:afterAutospacing="1"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ii.</w:t>
      </w:r>
      <w:r>
        <w:rPr>
          <w:rFonts w:ascii="Times New Roman" w:eastAsia="Times New Roman" w:hAnsi="Times New Roman" w:cs="Times New Roman"/>
          <w:b/>
          <w:bCs/>
          <w:sz w:val="24"/>
          <w:szCs w:val="24"/>
        </w:rPr>
        <w:tab/>
      </w:r>
      <w:r w:rsidR="008D704A" w:rsidRPr="0070612E">
        <w:rPr>
          <w:rFonts w:ascii="Times New Roman" w:eastAsia="Times New Roman" w:hAnsi="Times New Roman" w:cs="Times New Roman"/>
          <w:b/>
          <w:bCs/>
          <w:sz w:val="24"/>
          <w:szCs w:val="24"/>
        </w:rPr>
        <w:t>Persistent Challenges in Securing Loans</w:t>
      </w:r>
      <w:r>
        <w:rPr>
          <w:rFonts w:ascii="Times New Roman" w:eastAsia="Times New Roman" w:hAnsi="Times New Roman" w:cs="Times New Roman"/>
          <w:sz w:val="24"/>
          <w:szCs w:val="24"/>
        </w:rPr>
        <w:t xml:space="preserve">: </w:t>
      </w:r>
      <w:r w:rsidR="008D704A" w:rsidRPr="00E22BC2">
        <w:rPr>
          <w:rFonts w:ascii="Times New Roman" w:eastAsia="Times New Roman" w:hAnsi="Times New Roman" w:cs="Times New Roman"/>
          <w:sz w:val="24"/>
          <w:szCs w:val="24"/>
        </w:rPr>
        <w:t>Despite the improved accessibility, SMEs still face significant structural and procedural barriers. The most cited challenges include:</w:t>
      </w:r>
    </w:p>
    <w:p w14:paraId="396E3D76" w14:textId="77777777" w:rsidR="008D704A" w:rsidRPr="00E22BC2" w:rsidRDefault="008D704A" w:rsidP="00BF27FD">
      <w:pPr>
        <w:numPr>
          <w:ilvl w:val="1"/>
          <w:numId w:val="41"/>
        </w:numPr>
        <w:spacing w:before="100" w:beforeAutospacing="1" w:after="100" w:afterAutospacing="1" w:line="360" w:lineRule="auto"/>
        <w:jc w:val="both"/>
        <w:rPr>
          <w:rFonts w:ascii="Times New Roman" w:eastAsia="Times New Roman" w:hAnsi="Times New Roman" w:cs="Times New Roman"/>
          <w:sz w:val="24"/>
          <w:szCs w:val="24"/>
        </w:rPr>
      </w:pPr>
      <w:r w:rsidRPr="00E22BC2">
        <w:rPr>
          <w:rFonts w:ascii="Times New Roman" w:eastAsia="Times New Roman" w:hAnsi="Times New Roman" w:cs="Times New Roman"/>
          <w:sz w:val="24"/>
          <w:szCs w:val="24"/>
        </w:rPr>
        <w:t>High collateral requirements (65%)</w:t>
      </w:r>
    </w:p>
    <w:p w14:paraId="553899F4" w14:textId="77777777" w:rsidR="008D704A" w:rsidRPr="00E22BC2" w:rsidRDefault="008D704A" w:rsidP="00BF27FD">
      <w:pPr>
        <w:numPr>
          <w:ilvl w:val="1"/>
          <w:numId w:val="41"/>
        </w:numPr>
        <w:spacing w:before="100" w:beforeAutospacing="1" w:after="100" w:afterAutospacing="1" w:line="360" w:lineRule="auto"/>
        <w:jc w:val="both"/>
        <w:rPr>
          <w:rFonts w:ascii="Times New Roman" w:eastAsia="Times New Roman" w:hAnsi="Times New Roman" w:cs="Times New Roman"/>
          <w:sz w:val="24"/>
          <w:szCs w:val="24"/>
        </w:rPr>
      </w:pPr>
      <w:r w:rsidRPr="00E22BC2">
        <w:rPr>
          <w:rFonts w:ascii="Times New Roman" w:eastAsia="Times New Roman" w:hAnsi="Times New Roman" w:cs="Times New Roman"/>
          <w:sz w:val="24"/>
          <w:szCs w:val="24"/>
        </w:rPr>
        <w:t>High interest rates (55%)</w:t>
      </w:r>
    </w:p>
    <w:p w14:paraId="7777076B" w14:textId="77777777" w:rsidR="00E22BC2" w:rsidRDefault="008D704A" w:rsidP="00BF27FD">
      <w:pPr>
        <w:numPr>
          <w:ilvl w:val="1"/>
          <w:numId w:val="41"/>
        </w:numPr>
        <w:spacing w:before="100" w:beforeAutospacing="1" w:after="100" w:afterAutospacing="1" w:line="360" w:lineRule="auto"/>
        <w:jc w:val="both"/>
        <w:rPr>
          <w:rFonts w:ascii="Times New Roman" w:eastAsia="Times New Roman" w:hAnsi="Times New Roman" w:cs="Times New Roman"/>
          <w:sz w:val="24"/>
          <w:szCs w:val="24"/>
        </w:rPr>
      </w:pPr>
      <w:r w:rsidRPr="00E22BC2">
        <w:rPr>
          <w:rFonts w:ascii="Times New Roman" w:eastAsia="Times New Roman" w:hAnsi="Times New Roman" w:cs="Times New Roman"/>
          <w:sz w:val="24"/>
          <w:szCs w:val="24"/>
        </w:rPr>
        <w:t>Bureaucratic loan processing procedures (45%)</w:t>
      </w:r>
    </w:p>
    <w:p w14:paraId="2C6495A6" w14:textId="77777777" w:rsidR="00E22BC2" w:rsidRDefault="008D704A" w:rsidP="00E22BC2">
      <w:pPr>
        <w:spacing w:before="100" w:beforeAutospacing="1" w:after="100" w:afterAutospacing="1" w:line="360" w:lineRule="auto"/>
        <w:jc w:val="both"/>
        <w:rPr>
          <w:rFonts w:ascii="Times New Roman" w:eastAsia="Times New Roman" w:hAnsi="Times New Roman" w:cs="Times New Roman"/>
          <w:sz w:val="24"/>
          <w:szCs w:val="24"/>
        </w:rPr>
      </w:pPr>
      <w:r w:rsidRPr="00E22BC2">
        <w:rPr>
          <w:rFonts w:ascii="Times New Roman" w:eastAsia="Times New Roman" w:hAnsi="Times New Roman" w:cs="Times New Roman"/>
          <w:sz w:val="24"/>
          <w:szCs w:val="24"/>
        </w:rPr>
        <w:t>These challenges suggest that while recapitalization has improved bank liquidity, it has not sufficiently addressed lending constraints faced by SMEs.</w:t>
      </w:r>
    </w:p>
    <w:p w14:paraId="29CDCBDC" w14:textId="77777777" w:rsidR="00E22BC2" w:rsidRDefault="00E22BC2" w:rsidP="00E22BC2">
      <w:pPr>
        <w:spacing w:before="100" w:beforeAutospacing="1" w:after="100" w:afterAutospacing="1"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iii.</w:t>
      </w:r>
      <w:r>
        <w:rPr>
          <w:rFonts w:ascii="Times New Roman" w:eastAsia="Times New Roman" w:hAnsi="Times New Roman" w:cs="Times New Roman"/>
          <w:b/>
          <w:bCs/>
          <w:sz w:val="24"/>
          <w:szCs w:val="24"/>
        </w:rPr>
        <w:tab/>
      </w:r>
      <w:r w:rsidR="008D704A" w:rsidRPr="0070612E">
        <w:rPr>
          <w:rFonts w:ascii="Times New Roman" w:eastAsia="Times New Roman" w:hAnsi="Times New Roman" w:cs="Times New Roman"/>
          <w:b/>
          <w:bCs/>
          <w:sz w:val="24"/>
          <w:szCs w:val="24"/>
        </w:rPr>
        <w:t>Moderate Enhancement in Bank Lending Capacity</w:t>
      </w:r>
      <w:r>
        <w:rPr>
          <w:rFonts w:ascii="Times New Roman" w:eastAsia="Times New Roman" w:hAnsi="Times New Roman" w:cs="Times New Roman"/>
          <w:sz w:val="24"/>
          <w:szCs w:val="24"/>
        </w:rPr>
        <w:t xml:space="preserve">: </w:t>
      </w:r>
      <w:r w:rsidR="008D704A" w:rsidRPr="0070612E">
        <w:rPr>
          <w:rFonts w:ascii="Times New Roman" w:eastAsia="Times New Roman" w:hAnsi="Times New Roman" w:cs="Times New Roman"/>
          <w:sz w:val="24"/>
          <w:szCs w:val="24"/>
        </w:rPr>
        <w:t>Interviews with First Bank officials reveale</w:t>
      </w:r>
      <w:r w:rsidR="008D704A" w:rsidRPr="00E22BC2">
        <w:rPr>
          <w:rFonts w:ascii="Times New Roman" w:eastAsia="Times New Roman" w:hAnsi="Times New Roman" w:cs="Times New Roman"/>
          <w:sz w:val="24"/>
          <w:szCs w:val="24"/>
        </w:rPr>
        <w:t xml:space="preserve">d that recapitalization has moderately increased the bank’s capacity to </w:t>
      </w:r>
      <w:r w:rsidR="008D704A" w:rsidRPr="00E22BC2">
        <w:rPr>
          <w:rFonts w:ascii="Times New Roman" w:eastAsia="Times New Roman" w:hAnsi="Times New Roman" w:cs="Times New Roman"/>
          <w:sz w:val="24"/>
          <w:szCs w:val="24"/>
        </w:rPr>
        <w:lastRenderedPageBreak/>
        <w:t>finance SSEs. 50% of the officials acknowledged a significant increase in lending ability, while 30% noted moderate improvement. The Pearson correlation coefficient (r = 0.62, p = 0.01) further confirmed a positive and statistically significant relationship between recapitalization and lending capacity.</w:t>
      </w:r>
    </w:p>
    <w:p w14:paraId="5712867F" w14:textId="77777777" w:rsidR="008D704A" w:rsidRPr="0070612E" w:rsidRDefault="00E22BC2" w:rsidP="00E22BC2">
      <w:pPr>
        <w:spacing w:before="100" w:beforeAutospacing="1" w:after="100" w:afterAutospacing="1"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iv.</w:t>
      </w:r>
      <w:r>
        <w:rPr>
          <w:rFonts w:ascii="Times New Roman" w:eastAsia="Times New Roman" w:hAnsi="Times New Roman" w:cs="Times New Roman"/>
          <w:b/>
          <w:bCs/>
          <w:sz w:val="24"/>
          <w:szCs w:val="24"/>
        </w:rPr>
        <w:tab/>
      </w:r>
      <w:r w:rsidR="008D704A" w:rsidRPr="0070612E">
        <w:rPr>
          <w:rFonts w:ascii="Times New Roman" w:eastAsia="Times New Roman" w:hAnsi="Times New Roman" w:cs="Times New Roman"/>
          <w:b/>
          <w:bCs/>
          <w:sz w:val="24"/>
          <w:szCs w:val="24"/>
        </w:rPr>
        <w:t>Positive Shift in SME Perception of Banking Support</w:t>
      </w:r>
      <w:r>
        <w:rPr>
          <w:rFonts w:ascii="Times New Roman" w:eastAsia="Times New Roman" w:hAnsi="Times New Roman" w:cs="Times New Roman"/>
          <w:sz w:val="24"/>
          <w:szCs w:val="24"/>
        </w:rPr>
        <w:t xml:space="preserve">: </w:t>
      </w:r>
      <w:r w:rsidR="008D704A" w:rsidRPr="00E22BC2">
        <w:rPr>
          <w:rFonts w:ascii="Times New Roman" w:eastAsia="Times New Roman" w:hAnsi="Times New Roman" w:cs="Times New Roman"/>
          <w:sz w:val="24"/>
          <w:szCs w:val="24"/>
        </w:rPr>
        <w:t>The study also found a noticeable improvement in the perception of First Bank’s support for SMEs post-recapitalization. The proportion of respondents with a positive perception rose from 40% to 58%. This change was statistically supported by a Chi-Square test (p = 0.007), indicating a significant improvement in trust and optimism among small business owners.</w:t>
      </w:r>
    </w:p>
    <w:p w14:paraId="7CBE8C3A" w14:textId="77777777" w:rsidR="006E51A7" w:rsidRPr="0070612E" w:rsidRDefault="006E51A7" w:rsidP="00BF27FD">
      <w:pPr>
        <w:pStyle w:val="Heading3"/>
        <w:spacing w:line="360" w:lineRule="auto"/>
        <w:jc w:val="both"/>
        <w:rPr>
          <w:sz w:val="24"/>
          <w:szCs w:val="24"/>
        </w:rPr>
      </w:pPr>
      <w:r w:rsidRPr="0070612E">
        <w:rPr>
          <w:rStyle w:val="Strong"/>
          <w:b/>
          <w:bCs/>
          <w:sz w:val="24"/>
          <w:szCs w:val="24"/>
        </w:rPr>
        <w:t xml:space="preserve">5.2 </w:t>
      </w:r>
      <w:r w:rsidR="00DE1FB0" w:rsidRPr="0070612E">
        <w:rPr>
          <w:rStyle w:val="Strong"/>
          <w:b/>
          <w:bCs/>
          <w:sz w:val="24"/>
          <w:szCs w:val="24"/>
        </w:rPr>
        <w:tab/>
      </w:r>
      <w:r w:rsidRPr="0070612E">
        <w:rPr>
          <w:rStyle w:val="Strong"/>
          <w:b/>
          <w:bCs/>
          <w:sz w:val="24"/>
          <w:szCs w:val="24"/>
        </w:rPr>
        <w:t xml:space="preserve">Conclusion </w:t>
      </w:r>
    </w:p>
    <w:p w14:paraId="351681F6" w14:textId="77777777" w:rsidR="006E51A7" w:rsidRPr="0070612E" w:rsidRDefault="006E51A7" w:rsidP="00BF27FD">
      <w:pPr>
        <w:pStyle w:val="NormalWeb"/>
        <w:spacing w:line="360" w:lineRule="auto"/>
        <w:jc w:val="both"/>
      </w:pPr>
      <w:r w:rsidRPr="0070612E">
        <w:t>The findings of this study have revealed that bank recapitalization exercises in Nigeria, particularly as implemented by First Bank Plc, have had a positive but nuanced impact on the financing of small-scale enterprises (SSEs). Recapitalization has undeniably fortified the capital base of banks, enhanced public confidence in the financial system, and theoretically expanded the lending capacity of banks to critical sectors like small businesses. As demonstrated through the data collected, many small business owners experienced improved access to credit facilities following the 2005 reforms and in anticipation of the 2024 recapitalization initiatives.</w:t>
      </w:r>
    </w:p>
    <w:p w14:paraId="3B847BA1" w14:textId="77777777" w:rsidR="006E51A7" w:rsidRPr="0070612E" w:rsidRDefault="006E51A7" w:rsidP="00BF27FD">
      <w:pPr>
        <w:pStyle w:val="NormalWeb"/>
        <w:spacing w:line="360" w:lineRule="auto"/>
        <w:jc w:val="both"/>
      </w:pPr>
      <w:r w:rsidRPr="0070612E">
        <w:t>However, the intended seamless access to finance for SSEs has not been fully realized. Persistent structural challenges continue to undermine the gains of recapitalization. High interest rates, stringent collateral requirements, bureaucratic loan processing, and banks' conservative risk profiles have remained significant obstacles for small businesses seeking financial support. These realities suggest that while stronger banks were achieved through recapitalization, the operational frameworks within which banks engage with small enterprises did not experience sufficient transformation.</w:t>
      </w:r>
    </w:p>
    <w:p w14:paraId="6487B158" w14:textId="77777777" w:rsidR="006E51A7" w:rsidRPr="0070612E" w:rsidRDefault="006E51A7" w:rsidP="00BF27FD">
      <w:pPr>
        <w:pStyle w:val="NormalWeb"/>
        <w:spacing w:line="360" w:lineRule="auto"/>
        <w:jc w:val="both"/>
      </w:pPr>
      <w:r w:rsidRPr="0070612E">
        <w:lastRenderedPageBreak/>
        <w:t>Moreover, the cautious lending behavior of banks post-recapitalization reflects a broader macroeconomic concern banks remain highly sensitive to credit risk, especially when dealing with businesses perceived as volatile or poorly structured, which many SSEs are categorized as. This dynamic has perpetuated a financing gap that disproportionately affects emerging entrepreneurs and rural business owners, despite the improved financial health of banks.</w:t>
      </w:r>
    </w:p>
    <w:p w14:paraId="44AB5F5A" w14:textId="77777777" w:rsidR="006E51A7" w:rsidRPr="0070612E" w:rsidRDefault="006E51A7" w:rsidP="00BF27FD">
      <w:pPr>
        <w:pStyle w:val="NormalWeb"/>
        <w:spacing w:line="360" w:lineRule="auto"/>
        <w:jc w:val="both"/>
      </w:pPr>
      <w:r w:rsidRPr="0070612E">
        <w:t>Thus, it becomes clear that while bank recapitalization was a necessary and foundational reform for the Nigerian banking sector, it is not in itself a holistic solution to the problem of small business financing. Effective bridging of the financing gap requires complementary reforms, such as the introduction of SME-specific credit schemes, government-backed loan guarantees, reduction in administrative bottlenecks, financial literacy programs for entrepreneurs, and stronger regulatory incentives for SME lending.</w:t>
      </w:r>
    </w:p>
    <w:p w14:paraId="7D75C620" w14:textId="77777777" w:rsidR="006E51A7" w:rsidRPr="0070612E" w:rsidRDefault="006E51A7" w:rsidP="00BF27FD">
      <w:pPr>
        <w:pStyle w:val="NormalWeb"/>
        <w:spacing w:line="360" w:lineRule="auto"/>
        <w:jc w:val="both"/>
      </w:pPr>
      <w:r w:rsidRPr="0070612E">
        <w:t>In conclusion, the study affirms that bank recapitalization plays a crucial role in strengthening financial institutions and expanding potential credit supply. However, to translate this potential into real, accessible financing for small-scale enterprises, systemic reforms that directly address both bank-level constraints and small business vulnerabilities are indispensable. Without these complementary efforts, the full benefits of recapitalization for Nigeria's vital small business sector may remain largely unrealized.</w:t>
      </w:r>
    </w:p>
    <w:p w14:paraId="2A3EAFF0" w14:textId="77777777" w:rsidR="006E51A7" w:rsidRPr="0070612E" w:rsidRDefault="006E51A7" w:rsidP="00BF27F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0612E">
        <w:rPr>
          <w:rFonts w:ascii="Times New Roman" w:eastAsia="Times New Roman" w:hAnsi="Times New Roman" w:cs="Times New Roman"/>
          <w:b/>
          <w:bCs/>
          <w:sz w:val="24"/>
          <w:szCs w:val="24"/>
        </w:rPr>
        <w:t xml:space="preserve">5.3 </w:t>
      </w:r>
      <w:r w:rsidR="0099560D" w:rsidRPr="0070612E">
        <w:rPr>
          <w:rFonts w:ascii="Times New Roman" w:eastAsia="Times New Roman" w:hAnsi="Times New Roman" w:cs="Times New Roman"/>
          <w:b/>
          <w:bCs/>
          <w:sz w:val="24"/>
          <w:szCs w:val="24"/>
        </w:rPr>
        <w:tab/>
      </w:r>
      <w:r w:rsidRPr="0070612E">
        <w:rPr>
          <w:rFonts w:ascii="Times New Roman" w:eastAsia="Times New Roman" w:hAnsi="Times New Roman" w:cs="Times New Roman"/>
          <w:b/>
          <w:bCs/>
          <w:sz w:val="24"/>
          <w:szCs w:val="24"/>
        </w:rPr>
        <w:t xml:space="preserve">Recommendations </w:t>
      </w:r>
    </w:p>
    <w:p w14:paraId="41F05CD5" w14:textId="77777777" w:rsidR="006E51A7" w:rsidRPr="0070612E" w:rsidRDefault="006E51A7" w:rsidP="00BF27FD">
      <w:pPr>
        <w:spacing w:before="100" w:beforeAutospacing="1" w:after="100" w:afterAutospacing="1" w:line="360" w:lineRule="auto"/>
        <w:jc w:val="both"/>
        <w:rPr>
          <w:rFonts w:ascii="Times New Roman" w:eastAsia="Times New Roman" w:hAnsi="Times New Roman" w:cs="Times New Roman"/>
          <w:sz w:val="24"/>
          <w:szCs w:val="24"/>
        </w:rPr>
      </w:pPr>
      <w:r w:rsidRPr="0070612E">
        <w:rPr>
          <w:rFonts w:ascii="Times New Roman" w:eastAsia="Times New Roman" w:hAnsi="Times New Roman" w:cs="Times New Roman"/>
          <w:sz w:val="24"/>
          <w:szCs w:val="24"/>
        </w:rPr>
        <w:t>Based on the findings of this study, the following recommendations are advanced to enhance the financing of small-scale enterprises (SSEs) post-recapitalization, particularly within the context of First Bank of Nigeria Plc and the broader Nigerian banking industry:</w:t>
      </w:r>
    </w:p>
    <w:p w14:paraId="3D263EA1" w14:textId="77777777" w:rsidR="006E51A7" w:rsidRPr="0070612E" w:rsidRDefault="006E51A7" w:rsidP="00BF27FD">
      <w:pPr>
        <w:spacing w:before="100" w:beforeAutospacing="1" w:after="100" w:afterAutospacing="1" w:line="360" w:lineRule="auto"/>
        <w:jc w:val="both"/>
        <w:rPr>
          <w:rFonts w:ascii="Times New Roman" w:eastAsia="Times New Roman" w:hAnsi="Times New Roman" w:cs="Times New Roman"/>
          <w:sz w:val="24"/>
          <w:szCs w:val="24"/>
        </w:rPr>
      </w:pPr>
      <w:r w:rsidRPr="0070612E">
        <w:rPr>
          <w:rFonts w:ascii="Times New Roman" w:eastAsia="Times New Roman" w:hAnsi="Times New Roman" w:cs="Times New Roman"/>
          <w:b/>
          <w:bCs/>
          <w:sz w:val="24"/>
          <w:szCs w:val="24"/>
        </w:rPr>
        <w:t>Reduction of Collateral Demands:</w:t>
      </w:r>
      <w:r w:rsidRPr="0070612E">
        <w:rPr>
          <w:rFonts w:ascii="Times New Roman" w:eastAsia="Times New Roman" w:hAnsi="Times New Roman" w:cs="Times New Roman"/>
          <w:sz w:val="24"/>
          <w:szCs w:val="24"/>
        </w:rPr>
        <w:t xml:space="preserve">First Bank, along with other commercial banks in Nigeria, should develop and implement specialized loan products with more flexible and innovative collateral requirements. Alternatives such as movable asset financing, use of guarantors, and </w:t>
      </w:r>
      <w:r w:rsidRPr="0070612E">
        <w:rPr>
          <w:rFonts w:ascii="Times New Roman" w:eastAsia="Times New Roman" w:hAnsi="Times New Roman" w:cs="Times New Roman"/>
          <w:sz w:val="24"/>
          <w:szCs w:val="24"/>
        </w:rPr>
        <w:lastRenderedPageBreak/>
        <w:t>acceptance of non-traditional assets (e.g., inventory, receivables) as security should be explored. This would reduce the financial exclusion of credible small businesses that lack traditional fixed assets like land and buildings.</w:t>
      </w:r>
    </w:p>
    <w:p w14:paraId="7F3D8BDD" w14:textId="77777777" w:rsidR="006E51A7" w:rsidRPr="0070612E" w:rsidRDefault="006E51A7" w:rsidP="00BF27FD">
      <w:pPr>
        <w:spacing w:before="100" w:beforeAutospacing="1" w:after="100" w:afterAutospacing="1" w:line="360" w:lineRule="auto"/>
        <w:jc w:val="both"/>
        <w:rPr>
          <w:rFonts w:ascii="Times New Roman" w:eastAsia="Times New Roman" w:hAnsi="Times New Roman" w:cs="Times New Roman"/>
          <w:sz w:val="24"/>
          <w:szCs w:val="24"/>
        </w:rPr>
      </w:pPr>
      <w:r w:rsidRPr="0070612E">
        <w:rPr>
          <w:rFonts w:ascii="Times New Roman" w:eastAsia="Times New Roman" w:hAnsi="Times New Roman" w:cs="Times New Roman"/>
          <w:b/>
          <w:bCs/>
          <w:sz w:val="24"/>
          <w:szCs w:val="24"/>
        </w:rPr>
        <w:t>Simplification of Loan Processes:</w:t>
      </w:r>
      <w:r w:rsidRPr="0070612E">
        <w:rPr>
          <w:rFonts w:ascii="Times New Roman" w:eastAsia="Times New Roman" w:hAnsi="Times New Roman" w:cs="Times New Roman"/>
          <w:sz w:val="24"/>
          <w:szCs w:val="24"/>
        </w:rPr>
        <w:t>To address the bureaucratic bottlenecks that hinder SME access to finance, banks should digitize and streamline their loan application and approval processes. Embracing fintech solutions can facilitate faster credit evaluation, minimize human error and subjectivity, and make loan processing timelines shorter and more predictable, thereby encouraging more SSEs to apply for funding.</w:t>
      </w:r>
    </w:p>
    <w:p w14:paraId="772B9445" w14:textId="77777777" w:rsidR="006E51A7" w:rsidRPr="0070612E" w:rsidRDefault="006E51A7" w:rsidP="00390FA4">
      <w:pPr>
        <w:spacing w:before="100" w:beforeAutospacing="1" w:after="100" w:afterAutospacing="1" w:line="360" w:lineRule="auto"/>
        <w:jc w:val="both"/>
        <w:rPr>
          <w:rFonts w:ascii="Times New Roman" w:eastAsia="Times New Roman" w:hAnsi="Times New Roman" w:cs="Times New Roman"/>
          <w:sz w:val="24"/>
          <w:szCs w:val="24"/>
        </w:rPr>
      </w:pPr>
      <w:r w:rsidRPr="0070612E">
        <w:rPr>
          <w:rFonts w:ascii="Times New Roman" w:eastAsia="Times New Roman" w:hAnsi="Times New Roman" w:cs="Times New Roman"/>
          <w:b/>
          <w:bCs/>
          <w:sz w:val="24"/>
          <w:szCs w:val="24"/>
        </w:rPr>
        <w:t>Development and Promotion of SME-Focused Lending Programs:</w:t>
      </w:r>
      <w:r w:rsidRPr="0070612E">
        <w:rPr>
          <w:rFonts w:ascii="Times New Roman" w:eastAsia="Times New Roman" w:hAnsi="Times New Roman" w:cs="Times New Roman"/>
          <w:sz w:val="24"/>
          <w:szCs w:val="24"/>
        </w:rPr>
        <w:t xml:space="preserve">First Bank should introduce bespoke financial products targeted explicitly at SMEs, such as microloans, working capital finance, asset acquisition loans, and sector-specific credit programs (e.g., for agriculture, retail, and technology). These products should come with flexible terms, competitive interest rates, and grace periods to accommodate the unique cash flow patterns of small businesses. </w:t>
      </w:r>
    </w:p>
    <w:p w14:paraId="5DE405FD" w14:textId="77777777" w:rsidR="006E51A7" w:rsidRPr="0070612E" w:rsidRDefault="006E51A7" w:rsidP="00390FA4">
      <w:pPr>
        <w:spacing w:before="100" w:beforeAutospacing="1" w:after="100" w:afterAutospacing="1" w:line="360" w:lineRule="auto"/>
        <w:jc w:val="both"/>
        <w:rPr>
          <w:rFonts w:ascii="Times New Roman" w:eastAsia="Times New Roman" w:hAnsi="Times New Roman" w:cs="Times New Roman"/>
          <w:sz w:val="24"/>
          <w:szCs w:val="24"/>
        </w:rPr>
      </w:pPr>
      <w:r w:rsidRPr="0070612E">
        <w:rPr>
          <w:rFonts w:ascii="Times New Roman" w:eastAsia="Times New Roman" w:hAnsi="Times New Roman" w:cs="Times New Roman"/>
          <w:b/>
          <w:bCs/>
          <w:sz w:val="24"/>
          <w:szCs w:val="24"/>
        </w:rPr>
        <w:t>Capacity Building and Entrepreneurial Training for Small Business Owners:</w:t>
      </w:r>
      <w:r w:rsidRPr="0070612E">
        <w:rPr>
          <w:rFonts w:ascii="Times New Roman" w:eastAsia="Times New Roman" w:hAnsi="Times New Roman" w:cs="Times New Roman"/>
          <w:sz w:val="24"/>
          <w:szCs w:val="24"/>
        </w:rPr>
        <w:t xml:space="preserve">Recognizing that access to finance is closely linked to business viability and financial management, First Bank should collaborate with relevant stakeholders (such as SMEDAN, BOI, and NGOs) to offer periodic training workshops, mentorship programs, and financial literacy sessions for small business owners. </w:t>
      </w:r>
    </w:p>
    <w:p w14:paraId="0FC69C8C" w14:textId="77777777" w:rsidR="006E51A7" w:rsidRPr="0070612E" w:rsidRDefault="006E51A7" w:rsidP="00BF27FD">
      <w:pPr>
        <w:spacing w:before="100" w:beforeAutospacing="1" w:after="100" w:afterAutospacing="1" w:line="360" w:lineRule="auto"/>
        <w:jc w:val="both"/>
        <w:rPr>
          <w:rFonts w:ascii="Times New Roman" w:eastAsia="Times New Roman" w:hAnsi="Times New Roman" w:cs="Times New Roman"/>
          <w:sz w:val="24"/>
          <w:szCs w:val="24"/>
        </w:rPr>
      </w:pPr>
      <w:r w:rsidRPr="0070612E">
        <w:rPr>
          <w:rFonts w:ascii="Times New Roman" w:eastAsia="Times New Roman" w:hAnsi="Times New Roman" w:cs="Times New Roman"/>
          <w:b/>
          <w:bCs/>
          <w:sz w:val="24"/>
          <w:szCs w:val="24"/>
        </w:rPr>
        <w:t>Implementation of a Robust Monitoring and Evaluation Framework:</w:t>
      </w:r>
      <w:r w:rsidRPr="0070612E">
        <w:rPr>
          <w:rFonts w:ascii="Times New Roman" w:eastAsia="Times New Roman" w:hAnsi="Times New Roman" w:cs="Times New Roman"/>
          <w:sz w:val="24"/>
          <w:szCs w:val="24"/>
        </w:rPr>
        <w:t>Banks must establish clear monitoring and evaluation (M&amp;E) frameworks to periodically assess the effectiveness of their SME financing initiatives. This includes collecting data on loan performance, customer satisfaction, and credit delivery bottlenecks. Such feedback mechanisms would enable banks to fine-tune their lending policies and products to better serve the evolving needs of small-scale businesses.</w:t>
      </w:r>
    </w:p>
    <w:p w14:paraId="51704DF9" w14:textId="77777777" w:rsidR="006E51A7" w:rsidRPr="0070612E" w:rsidRDefault="006E51A7" w:rsidP="00BF27FD">
      <w:pPr>
        <w:spacing w:before="100" w:beforeAutospacing="1" w:after="100" w:afterAutospacing="1" w:line="360" w:lineRule="auto"/>
        <w:jc w:val="both"/>
        <w:rPr>
          <w:rFonts w:ascii="Times New Roman" w:eastAsia="Times New Roman" w:hAnsi="Times New Roman" w:cs="Times New Roman"/>
          <w:sz w:val="24"/>
          <w:szCs w:val="24"/>
        </w:rPr>
      </w:pPr>
      <w:r w:rsidRPr="0070612E">
        <w:rPr>
          <w:rFonts w:ascii="Times New Roman" w:eastAsia="Times New Roman" w:hAnsi="Times New Roman" w:cs="Times New Roman"/>
          <w:b/>
          <w:bCs/>
          <w:sz w:val="24"/>
          <w:szCs w:val="24"/>
        </w:rPr>
        <w:lastRenderedPageBreak/>
        <w:t>Strengthened Policy Support from Regulatory Authorities:</w:t>
      </w:r>
      <w:r w:rsidRPr="0070612E">
        <w:rPr>
          <w:rFonts w:ascii="Times New Roman" w:eastAsia="Times New Roman" w:hAnsi="Times New Roman" w:cs="Times New Roman"/>
          <w:sz w:val="24"/>
          <w:szCs w:val="24"/>
        </w:rPr>
        <w:t>The Central Bank of Nigeria (CBN) and other regulatory bodies should complement recapitalization efforts with strong policy frameworks that incentivize banks to prioritize SME lending. Policies could include tax reliefs for banks achieving SME lending targets, establishment of a national SME credit guarantee scheme to mitigate bank risks, and mandating more transparent SME financing disclosure requirements to encourage best practices and accountability within the banking sector.</w:t>
      </w:r>
    </w:p>
    <w:p w14:paraId="5C6C1C40" w14:textId="77777777" w:rsidR="006E51A7" w:rsidRPr="0070612E" w:rsidRDefault="006E51A7" w:rsidP="00BF27FD">
      <w:pPr>
        <w:spacing w:before="100" w:beforeAutospacing="1" w:after="100" w:afterAutospacing="1" w:line="360" w:lineRule="auto"/>
        <w:jc w:val="both"/>
        <w:rPr>
          <w:rFonts w:ascii="Times New Roman" w:eastAsia="Times New Roman" w:hAnsi="Times New Roman" w:cs="Times New Roman"/>
          <w:sz w:val="24"/>
          <w:szCs w:val="24"/>
        </w:rPr>
      </w:pPr>
      <w:r w:rsidRPr="0070612E">
        <w:rPr>
          <w:rFonts w:ascii="Times New Roman" w:eastAsia="Times New Roman" w:hAnsi="Times New Roman" w:cs="Times New Roman"/>
          <w:b/>
          <w:bCs/>
          <w:sz w:val="24"/>
          <w:szCs w:val="24"/>
        </w:rPr>
        <w:t>Promotion of Alternative Financing Avenues:</w:t>
      </w:r>
      <w:r w:rsidRPr="0070612E">
        <w:rPr>
          <w:rFonts w:ascii="Times New Roman" w:eastAsia="Times New Roman" w:hAnsi="Times New Roman" w:cs="Times New Roman"/>
          <w:sz w:val="24"/>
          <w:szCs w:val="24"/>
        </w:rPr>
        <w:t>To lessen overdependence on traditional bank credit, there should be deliberate efforts to promote alternative financing channels for SSEs, such as venture capital, crowdfunding platforms, cooperatives, and microfinance institutions. First Bank could also create partnerships with development finance institutions to create blended finance programs that de-risk lending to small businesses.</w:t>
      </w:r>
    </w:p>
    <w:p w14:paraId="3A84B870" w14:textId="77777777" w:rsidR="006E51A7" w:rsidRPr="0070612E" w:rsidRDefault="006E51A7" w:rsidP="00BF27FD">
      <w:pPr>
        <w:spacing w:before="100" w:beforeAutospacing="1" w:after="100" w:afterAutospacing="1" w:line="360" w:lineRule="auto"/>
        <w:jc w:val="both"/>
        <w:rPr>
          <w:rFonts w:ascii="Times New Roman" w:eastAsia="Times New Roman" w:hAnsi="Times New Roman" w:cs="Times New Roman"/>
          <w:sz w:val="24"/>
          <w:szCs w:val="24"/>
        </w:rPr>
      </w:pPr>
      <w:r w:rsidRPr="0070612E">
        <w:rPr>
          <w:rFonts w:ascii="Times New Roman" w:eastAsia="Times New Roman" w:hAnsi="Times New Roman" w:cs="Times New Roman"/>
          <w:sz w:val="24"/>
          <w:szCs w:val="24"/>
        </w:rPr>
        <w:t>Through the comprehensive implementation of these recommendations, it is anticipated that the gap between bank capitalization strength and actual credit access by small businesses will be narrowed, thereby fostering inclusive economic growth, innovation, and sustainable development across Nigeria.</w:t>
      </w:r>
    </w:p>
    <w:p w14:paraId="10A47DD4" w14:textId="77777777" w:rsidR="006E51A7" w:rsidRPr="0070612E" w:rsidRDefault="006E51A7" w:rsidP="00BF27FD">
      <w:pPr>
        <w:pStyle w:val="Heading3"/>
        <w:spacing w:line="360" w:lineRule="auto"/>
        <w:jc w:val="both"/>
        <w:rPr>
          <w:sz w:val="24"/>
          <w:szCs w:val="24"/>
        </w:rPr>
      </w:pPr>
      <w:r w:rsidRPr="0070612E">
        <w:rPr>
          <w:rStyle w:val="Strong"/>
          <w:b/>
          <w:bCs/>
          <w:sz w:val="24"/>
          <w:szCs w:val="24"/>
        </w:rPr>
        <w:t xml:space="preserve">5.4 </w:t>
      </w:r>
      <w:r w:rsidR="00BA6EF0" w:rsidRPr="0070612E">
        <w:rPr>
          <w:rStyle w:val="Strong"/>
          <w:b/>
          <w:bCs/>
          <w:sz w:val="24"/>
          <w:szCs w:val="24"/>
        </w:rPr>
        <w:tab/>
      </w:r>
      <w:r w:rsidRPr="0070612E">
        <w:rPr>
          <w:rStyle w:val="Strong"/>
          <w:b/>
          <w:bCs/>
          <w:sz w:val="24"/>
          <w:szCs w:val="24"/>
        </w:rPr>
        <w:t>Limitations to the Study</w:t>
      </w:r>
    </w:p>
    <w:p w14:paraId="117BD907" w14:textId="77777777" w:rsidR="006E51A7" w:rsidRPr="0070612E" w:rsidRDefault="006E51A7" w:rsidP="00BF27FD">
      <w:pPr>
        <w:pStyle w:val="NormalWeb"/>
        <w:spacing w:line="360" w:lineRule="auto"/>
        <w:jc w:val="both"/>
      </w:pPr>
      <w:r w:rsidRPr="0070612E">
        <w:t>While this research provides valuable insights, certain limitations must be acknowledged:</w:t>
      </w:r>
    </w:p>
    <w:p w14:paraId="57419F0F" w14:textId="77777777" w:rsidR="006E51A7" w:rsidRPr="0070612E" w:rsidRDefault="00BA6EF0" w:rsidP="00BF27FD">
      <w:pPr>
        <w:pStyle w:val="NormalWeb"/>
        <w:spacing w:line="360" w:lineRule="auto"/>
        <w:ind w:left="720" w:hanging="720"/>
        <w:jc w:val="both"/>
      </w:pPr>
      <w:proofErr w:type="spellStart"/>
      <w:r w:rsidRPr="0070612E">
        <w:rPr>
          <w:rStyle w:val="Strong"/>
        </w:rPr>
        <w:t>i</w:t>
      </w:r>
      <w:proofErr w:type="spellEnd"/>
      <w:r w:rsidRPr="0070612E">
        <w:rPr>
          <w:rStyle w:val="Strong"/>
        </w:rPr>
        <w:t>.</w:t>
      </w:r>
      <w:r w:rsidRPr="0070612E">
        <w:rPr>
          <w:rStyle w:val="Strong"/>
        </w:rPr>
        <w:tab/>
      </w:r>
      <w:r w:rsidR="006E51A7" w:rsidRPr="0070612E">
        <w:rPr>
          <w:rStyle w:val="Strong"/>
        </w:rPr>
        <w:t>Institutional Scope Restriction:</w:t>
      </w:r>
      <w:r w:rsidR="006E51A7" w:rsidRPr="0070612E">
        <w:t>The study focused solely on First Bank of Nigeria Plc. Findings may not be fully generalizable across all banks in Nigeria.</w:t>
      </w:r>
    </w:p>
    <w:p w14:paraId="0B7FE12A" w14:textId="77777777" w:rsidR="006E51A7" w:rsidRPr="0070612E" w:rsidRDefault="00BA6EF0" w:rsidP="00BF27FD">
      <w:pPr>
        <w:pStyle w:val="NormalWeb"/>
        <w:spacing w:line="360" w:lineRule="auto"/>
        <w:ind w:left="720" w:hanging="720"/>
        <w:jc w:val="both"/>
      </w:pPr>
      <w:r w:rsidRPr="0070612E">
        <w:rPr>
          <w:rStyle w:val="Strong"/>
        </w:rPr>
        <w:t>ii.</w:t>
      </w:r>
      <w:r w:rsidRPr="0070612E">
        <w:rPr>
          <w:rStyle w:val="Strong"/>
        </w:rPr>
        <w:tab/>
      </w:r>
      <w:r w:rsidR="006E51A7" w:rsidRPr="0070612E">
        <w:rPr>
          <w:rStyle w:val="Strong"/>
        </w:rPr>
        <w:t>Geographical Concentration:</w:t>
      </w:r>
      <w:r w:rsidR="006E51A7" w:rsidRPr="0070612E">
        <w:t>Data collection was concentrated in selected urban and semi-urban areas, possibly excluding rural dynamics where access to banking services could differ significantly.</w:t>
      </w:r>
    </w:p>
    <w:p w14:paraId="43EDAC26" w14:textId="77777777" w:rsidR="006E51A7" w:rsidRPr="0070612E" w:rsidRDefault="0078596F" w:rsidP="00BF27FD">
      <w:pPr>
        <w:pStyle w:val="NormalWeb"/>
        <w:spacing w:line="360" w:lineRule="auto"/>
        <w:ind w:left="720" w:hanging="720"/>
        <w:jc w:val="both"/>
      </w:pPr>
      <w:r w:rsidRPr="0070612E">
        <w:rPr>
          <w:rStyle w:val="Strong"/>
        </w:rPr>
        <w:lastRenderedPageBreak/>
        <w:t>iii.</w:t>
      </w:r>
      <w:r w:rsidRPr="0070612E">
        <w:rPr>
          <w:rStyle w:val="Strong"/>
        </w:rPr>
        <w:tab/>
      </w:r>
      <w:r w:rsidR="006E51A7" w:rsidRPr="0070612E">
        <w:rPr>
          <w:rStyle w:val="Strong"/>
        </w:rPr>
        <w:t>Sample Size Constraints:</w:t>
      </w:r>
      <w:r w:rsidR="006E51A7" w:rsidRPr="0070612E">
        <w:t>Although a sample of 200 SMEs and 10 bank officials was used, a larger and more diverse sample could provide deeper insights and stronger statistical validity.</w:t>
      </w:r>
    </w:p>
    <w:p w14:paraId="0FF207DF" w14:textId="77777777" w:rsidR="006E51A7" w:rsidRPr="0070612E" w:rsidRDefault="0078596F" w:rsidP="00BF27FD">
      <w:pPr>
        <w:pStyle w:val="NormalWeb"/>
        <w:spacing w:line="360" w:lineRule="auto"/>
        <w:ind w:left="720" w:hanging="720"/>
        <w:jc w:val="both"/>
      </w:pPr>
      <w:r w:rsidRPr="0070612E">
        <w:rPr>
          <w:rStyle w:val="Strong"/>
        </w:rPr>
        <w:t>iv.</w:t>
      </w:r>
      <w:r w:rsidRPr="0070612E">
        <w:rPr>
          <w:rStyle w:val="Strong"/>
        </w:rPr>
        <w:tab/>
      </w:r>
      <w:r w:rsidR="006E51A7" w:rsidRPr="0070612E">
        <w:rPr>
          <w:rStyle w:val="Strong"/>
        </w:rPr>
        <w:t>Time Frame:</w:t>
      </w:r>
      <w:r w:rsidR="006E51A7" w:rsidRPr="0070612E">
        <w:t>The study primarily focused on post-2005 recapitalization events up to the announcement of the 2024 directive; actual impacts of the 2024 recapitalization could not be fully measured as they are still unfolding.</w:t>
      </w:r>
    </w:p>
    <w:p w14:paraId="5324B639" w14:textId="77777777" w:rsidR="006E51A7" w:rsidRPr="0070612E" w:rsidRDefault="0078596F" w:rsidP="0070612E">
      <w:pPr>
        <w:pStyle w:val="NormalWeb"/>
        <w:spacing w:line="360" w:lineRule="auto"/>
        <w:ind w:left="720" w:hanging="720"/>
        <w:jc w:val="both"/>
      </w:pPr>
      <w:r w:rsidRPr="0070612E">
        <w:rPr>
          <w:rStyle w:val="Strong"/>
        </w:rPr>
        <w:t>v.</w:t>
      </w:r>
      <w:r w:rsidRPr="0070612E">
        <w:rPr>
          <w:rStyle w:val="Strong"/>
        </w:rPr>
        <w:tab/>
      </w:r>
      <w:r w:rsidR="006E51A7" w:rsidRPr="0070612E">
        <w:rPr>
          <w:rStyle w:val="Strong"/>
        </w:rPr>
        <w:t>Self-Reported Data:</w:t>
      </w:r>
      <w:r w:rsidR="006E51A7" w:rsidRPr="0070612E">
        <w:t>Much of the data relied on respondents' perceptions, which could introduce subjective biases into the findings.</w:t>
      </w:r>
    </w:p>
    <w:p w14:paraId="426F9C19" w14:textId="77777777" w:rsidR="006E51A7" w:rsidRPr="0070612E" w:rsidRDefault="006E51A7" w:rsidP="0070612E">
      <w:pPr>
        <w:pStyle w:val="NormalWeb"/>
        <w:spacing w:line="360" w:lineRule="auto"/>
        <w:jc w:val="both"/>
      </w:pPr>
      <w:r w:rsidRPr="0070612E">
        <w:t>Despite these limitations, the study serves as a solid foundation for understanding the relationship between bank recapitalization and SME financing in Nigeria.</w:t>
      </w:r>
      <w:bookmarkEnd w:id="0"/>
    </w:p>
    <w:p w14:paraId="4EC43A6E" w14:textId="77777777" w:rsidR="00CF3165" w:rsidRPr="0070612E" w:rsidRDefault="00CF3165" w:rsidP="0070612E">
      <w:pPr>
        <w:pStyle w:val="NormalWeb"/>
        <w:spacing w:line="360" w:lineRule="auto"/>
        <w:jc w:val="both"/>
      </w:pPr>
    </w:p>
    <w:p w14:paraId="59027583" w14:textId="77777777" w:rsidR="00CF3165" w:rsidRPr="0070612E" w:rsidRDefault="00CF3165" w:rsidP="0070612E">
      <w:pPr>
        <w:pStyle w:val="NormalWeb"/>
        <w:spacing w:line="360" w:lineRule="auto"/>
        <w:jc w:val="both"/>
      </w:pPr>
    </w:p>
    <w:p w14:paraId="4E62FD7A" w14:textId="77777777" w:rsidR="00CF3165" w:rsidRPr="0070612E" w:rsidRDefault="00CF3165" w:rsidP="0070612E">
      <w:pPr>
        <w:pStyle w:val="NormalWeb"/>
        <w:spacing w:line="360" w:lineRule="auto"/>
        <w:jc w:val="both"/>
      </w:pPr>
    </w:p>
    <w:p w14:paraId="46A317D2" w14:textId="77777777" w:rsidR="00390FA4" w:rsidRDefault="00390FA4" w:rsidP="0070612E">
      <w:pPr>
        <w:pStyle w:val="NormalWeb"/>
        <w:spacing w:line="360" w:lineRule="auto"/>
        <w:ind w:left="720" w:hanging="720"/>
        <w:rPr>
          <w:rStyle w:val="Strong"/>
        </w:rPr>
      </w:pPr>
    </w:p>
    <w:p w14:paraId="79D5BFB5" w14:textId="77777777" w:rsidR="00390FA4" w:rsidRDefault="00390FA4" w:rsidP="0070612E">
      <w:pPr>
        <w:pStyle w:val="NormalWeb"/>
        <w:spacing w:line="360" w:lineRule="auto"/>
        <w:ind w:left="720" w:hanging="720"/>
        <w:rPr>
          <w:rStyle w:val="Strong"/>
        </w:rPr>
      </w:pPr>
    </w:p>
    <w:p w14:paraId="18287C97" w14:textId="77777777" w:rsidR="00390FA4" w:rsidRDefault="00390FA4">
      <w:pPr>
        <w:rPr>
          <w:rStyle w:val="Strong"/>
          <w:rFonts w:ascii="Times New Roman" w:eastAsia="Times New Roman" w:hAnsi="Times New Roman" w:cs="Times New Roman"/>
          <w:sz w:val="24"/>
          <w:szCs w:val="24"/>
        </w:rPr>
      </w:pPr>
      <w:r>
        <w:rPr>
          <w:rStyle w:val="Strong"/>
        </w:rPr>
        <w:br w:type="page"/>
      </w:r>
    </w:p>
    <w:p w14:paraId="64406DD1" w14:textId="77777777" w:rsidR="007F2021" w:rsidRPr="0070612E" w:rsidRDefault="00390FA4" w:rsidP="00FA1C65">
      <w:pPr>
        <w:pStyle w:val="NormalWeb"/>
        <w:ind w:left="720" w:hanging="720"/>
        <w:jc w:val="center"/>
      </w:pPr>
      <w:r w:rsidRPr="0070612E">
        <w:rPr>
          <w:rStyle w:val="Strong"/>
        </w:rPr>
        <w:lastRenderedPageBreak/>
        <w:t>REFERENCES</w:t>
      </w:r>
    </w:p>
    <w:p w14:paraId="16C1D746" w14:textId="77777777" w:rsidR="00FA1C65" w:rsidRPr="00FA1C65" w:rsidRDefault="00FA1C65" w:rsidP="00FA1C65">
      <w:pPr>
        <w:pStyle w:val="NormalWeb"/>
        <w:ind w:left="720" w:hanging="720"/>
        <w:jc w:val="both"/>
        <w:rPr>
          <w:szCs w:val="26"/>
        </w:rPr>
      </w:pPr>
      <w:r w:rsidRPr="00FA1C65">
        <w:rPr>
          <w:szCs w:val="26"/>
        </w:rPr>
        <w:t xml:space="preserve">Adebayo, T., &amp; Ibrahim, K. (2022). The politics of bank lending and financial inclusion:Evidence from post-recapitalization Nigeria. </w:t>
      </w:r>
      <w:r w:rsidRPr="00FA1C65">
        <w:rPr>
          <w:rStyle w:val="Emphasis"/>
          <w:szCs w:val="26"/>
        </w:rPr>
        <w:t>Journal of Development Finance, 8</w:t>
      </w:r>
      <w:r w:rsidRPr="00FA1C65">
        <w:rPr>
          <w:szCs w:val="26"/>
        </w:rPr>
        <w:t>(2), 101–117.</w:t>
      </w:r>
    </w:p>
    <w:p w14:paraId="256C64EF" w14:textId="77777777" w:rsidR="00FA1C65" w:rsidRPr="00FA1C65" w:rsidRDefault="00FA1C65" w:rsidP="00FA1C65">
      <w:pPr>
        <w:pStyle w:val="NormalWeb"/>
        <w:ind w:left="720" w:hanging="720"/>
        <w:jc w:val="both"/>
        <w:rPr>
          <w:szCs w:val="26"/>
        </w:rPr>
      </w:pPr>
      <w:r w:rsidRPr="00FA1C65">
        <w:rPr>
          <w:szCs w:val="26"/>
        </w:rPr>
        <w:t xml:space="preserve">Adeleke, T. (2020). </w:t>
      </w:r>
      <w:r w:rsidRPr="00FA1C65">
        <w:rPr>
          <w:rStyle w:val="Emphasis"/>
          <w:szCs w:val="26"/>
        </w:rPr>
        <w:t>An analysis of SME financing trends in First Bank of Nigeria Plc post-recapitalization</w:t>
      </w:r>
      <w:r w:rsidRPr="00FA1C65">
        <w:rPr>
          <w:szCs w:val="26"/>
        </w:rPr>
        <w:t>. [Unpublished study].</w:t>
      </w:r>
    </w:p>
    <w:p w14:paraId="4A68E9C2" w14:textId="77777777" w:rsidR="00FA1C65" w:rsidRPr="00FA1C65" w:rsidRDefault="00FA1C65" w:rsidP="00FA1C65">
      <w:pPr>
        <w:pStyle w:val="NormalWeb"/>
        <w:ind w:left="720" w:hanging="720"/>
        <w:jc w:val="both"/>
        <w:rPr>
          <w:szCs w:val="26"/>
        </w:rPr>
      </w:pPr>
      <w:proofErr w:type="spellStart"/>
      <w:r w:rsidRPr="00FA1C65">
        <w:rPr>
          <w:szCs w:val="26"/>
        </w:rPr>
        <w:t>Aremu</w:t>
      </w:r>
      <w:proofErr w:type="spellEnd"/>
      <w:r w:rsidRPr="00FA1C65">
        <w:rPr>
          <w:szCs w:val="26"/>
        </w:rPr>
        <w:t xml:space="preserve">, M. A., &amp; Adeyemi, S. L. (2019). Small and medium scale enterprises as a survival strategy for employment generation in Nigeria. </w:t>
      </w:r>
      <w:r w:rsidRPr="00FA1C65">
        <w:rPr>
          <w:rStyle w:val="Emphasis"/>
          <w:szCs w:val="26"/>
        </w:rPr>
        <w:t>Journal of Sustainable Development, 4</w:t>
      </w:r>
      <w:r w:rsidRPr="00FA1C65">
        <w:rPr>
          <w:szCs w:val="26"/>
        </w:rPr>
        <w:t>(1), 200–206.</w:t>
      </w:r>
    </w:p>
    <w:p w14:paraId="35DC9583" w14:textId="77777777" w:rsidR="00FA1C65" w:rsidRPr="00FA1C65" w:rsidRDefault="00FA1C65" w:rsidP="00FA1C65">
      <w:pPr>
        <w:pStyle w:val="NormalWeb"/>
        <w:ind w:left="720" w:hanging="720"/>
        <w:jc w:val="both"/>
        <w:rPr>
          <w:szCs w:val="26"/>
        </w:rPr>
      </w:pPr>
      <w:proofErr w:type="spellStart"/>
      <w:r w:rsidRPr="00FA1C65">
        <w:rPr>
          <w:szCs w:val="26"/>
        </w:rPr>
        <w:t>Ariyo</w:t>
      </w:r>
      <w:proofErr w:type="spellEnd"/>
      <w:r w:rsidRPr="00FA1C65">
        <w:rPr>
          <w:szCs w:val="26"/>
        </w:rPr>
        <w:t xml:space="preserve">, D., &amp; Jerome, A. (2020). Small and medium enterprises and economic development in Nigeria: Lessons from other nations. </w:t>
      </w:r>
      <w:r w:rsidRPr="00FA1C65">
        <w:rPr>
          <w:rStyle w:val="Emphasis"/>
          <w:szCs w:val="26"/>
        </w:rPr>
        <w:t>African Economic Policy Discussion Paper No. 20</w:t>
      </w:r>
      <w:r w:rsidRPr="00FA1C65">
        <w:rPr>
          <w:szCs w:val="26"/>
        </w:rPr>
        <w:t>. African Institute for Applied Economics.</w:t>
      </w:r>
    </w:p>
    <w:p w14:paraId="6A609ADA" w14:textId="77777777" w:rsidR="00FA1C65" w:rsidRPr="00FA1C65" w:rsidRDefault="00FA1C65" w:rsidP="00FA1C65">
      <w:pPr>
        <w:pStyle w:val="NormalWeb"/>
        <w:ind w:left="720" w:hanging="720"/>
        <w:jc w:val="both"/>
        <w:rPr>
          <w:szCs w:val="26"/>
        </w:rPr>
      </w:pPr>
      <w:proofErr w:type="spellStart"/>
      <w:r w:rsidRPr="00FA1C65">
        <w:rPr>
          <w:szCs w:val="26"/>
        </w:rPr>
        <w:t>Ariyo</w:t>
      </w:r>
      <w:proofErr w:type="spellEnd"/>
      <w:r w:rsidRPr="00FA1C65">
        <w:rPr>
          <w:szCs w:val="26"/>
        </w:rPr>
        <w:t xml:space="preserve">, D., &amp; Jerome, A. (2020). The role of small and medium enterprises in economic development: The Nigerian experience. </w:t>
      </w:r>
      <w:r w:rsidRPr="00FA1C65">
        <w:rPr>
          <w:rStyle w:val="Emphasis"/>
          <w:szCs w:val="26"/>
        </w:rPr>
        <w:t>African Economic Research Consortium</w:t>
      </w:r>
      <w:r w:rsidRPr="00FA1C65">
        <w:rPr>
          <w:szCs w:val="26"/>
        </w:rPr>
        <w:t>.</w:t>
      </w:r>
    </w:p>
    <w:p w14:paraId="17219C5A" w14:textId="77777777" w:rsidR="00FA1C65" w:rsidRPr="00FA1C65" w:rsidRDefault="00FA1C65" w:rsidP="00FA1C65">
      <w:pPr>
        <w:pStyle w:val="NormalWeb"/>
        <w:ind w:left="720" w:hanging="720"/>
        <w:jc w:val="both"/>
        <w:rPr>
          <w:szCs w:val="26"/>
        </w:rPr>
      </w:pPr>
      <w:r w:rsidRPr="00FA1C65">
        <w:rPr>
          <w:szCs w:val="26"/>
        </w:rPr>
        <w:t>Beck, T., &amp;</w:t>
      </w:r>
      <w:proofErr w:type="spellStart"/>
      <w:r w:rsidRPr="00FA1C65">
        <w:rPr>
          <w:szCs w:val="26"/>
        </w:rPr>
        <w:t>Demirgüç-Kunt</w:t>
      </w:r>
      <w:proofErr w:type="spellEnd"/>
      <w:r w:rsidRPr="00FA1C65">
        <w:rPr>
          <w:szCs w:val="26"/>
        </w:rPr>
        <w:t xml:space="preserve">, A. (2006). Small and medium-size enterprises: Access to finance as a growth constraint. </w:t>
      </w:r>
      <w:r w:rsidRPr="00FA1C65">
        <w:rPr>
          <w:rStyle w:val="Emphasis"/>
          <w:szCs w:val="26"/>
        </w:rPr>
        <w:t>Journal of Banking &amp; Finance, 30</w:t>
      </w:r>
      <w:r w:rsidRPr="00FA1C65">
        <w:rPr>
          <w:szCs w:val="26"/>
        </w:rPr>
        <w:t xml:space="preserve">(11), 2931–2943. </w:t>
      </w:r>
    </w:p>
    <w:p w14:paraId="7F77E589" w14:textId="77777777" w:rsidR="00FA1C65" w:rsidRPr="00FA1C65" w:rsidRDefault="00FA1C65" w:rsidP="00FA1C65">
      <w:pPr>
        <w:pStyle w:val="NormalWeb"/>
        <w:ind w:left="720" w:hanging="720"/>
        <w:jc w:val="both"/>
        <w:rPr>
          <w:szCs w:val="26"/>
        </w:rPr>
      </w:pPr>
      <w:r w:rsidRPr="00FA1C65">
        <w:rPr>
          <w:szCs w:val="26"/>
        </w:rPr>
        <w:t xml:space="preserve">Central Bank of Nigeria (CBN). (2024). </w:t>
      </w:r>
      <w:r w:rsidRPr="00FA1C65">
        <w:rPr>
          <w:rStyle w:val="Emphasis"/>
          <w:szCs w:val="26"/>
        </w:rPr>
        <w:t>Circular on the revised minimum capital requirements for commercial banks</w:t>
      </w:r>
      <w:r w:rsidRPr="00FA1C65">
        <w:rPr>
          <w:szCs w:val="26"/>
        </w:rPr>
        <w:t>. Abuja: CBN Publications.</w:t>
      </w:r>
    </w:p>
    <w:p w14:paraId="35ADA57E" w14:textId="77777777" w:rsidR="00FA1C65" w:rsidRPr="00FA1C65" w:rsidRDefault="00FA1C65" w:rsidP="00FA1C65">
      <w:pPr>
        <w:pStyle w:val="NormalWeb"/>
        <w:ind w:left="720" w:hanging="720"/>
        <w:jc w:val="both"/>
        <w:rPr>
          <w:szCs w:val="26"/>
        </w:rPr>
      </w:pPr>
      <w:r w:rsidRPr="00FA1C65">
        <w:rPr>
          <w:szCs w:val="26"/>
        </w:rPr>
        <w:t xml:space="preserve">Central Bank of Nigeria (CBN). (2024). </w:t>
      </w:r>
      <w:r w:rsidRPr="00FA1C65">
        <w:rPr>
          <w:rStyle w:val="Emphasis"/>
          <w:szCs w:val="26"/>
        </w:rPr>
        <w:t>New recapitalization policy framework</w:t>
      </w:r>
      <w:r w:rsidRPr="00FA1C65">
        <w:rPr>
          <w:szCs w:val="26"/>
        </w:rPr>
        <w:t>. Abuja: Central Bank of Nigeria.</w:t>
      </w:r>
    </w:p>
    <w:p w14:paraId="61B29BD4" w14:textId="77777777" w:rsidR="00FA1C65" w:rsidRPr="00FA1C65" w:rsidRDefault="00FA1C65" w:rsidP="00FA1C65">
      <w:pPr>
        <w:pStyle w:val="NormalWeb"/>
        <w:ind w:left="720" w:hanging="720"/>
        <w:jc w:val="both"/>
        <w:rPr>
          <w:szCs w:val="26"/>
        </w:rPr>
      </w:pPr>
      <w:r w:rsidRPr="00FA1C65">
        <w:rPr>
          <w:szCs w:val="26"/>
        </w:rPr>
        <w:t xml:space="preserve">Central Bank of Nigeria (CBN). (2024). </w:t>
      </w:r>
      <w:r w:rsidRPr="00FA1C65">
        <w:rPr>
          <w:rStyle w:val="Emphasis"/>
          <w:szCs w:val="26"/>
        </w:rPr>
        <w:t>Revised capital requirements for Nigerian banks</w:t>
      </w:r>
      <w:r w:rsidRPr="00FA1C65">
        <w:rPr>
          <w:szCs w:val="26"/>
        </w:rPr>
        <w:t>. Abuja: Central Bank of Nigeria.</w:t>
      </w:r>
    </w:p>
    <w:p w14:paraId="1C10F1AE" w14:textId="77777777" w:rsidR="00FA1C65" w:rsidRPr="00FA1C65" w:rsidRDefault="00FA1C65" w:rsidP="00FA1C65">
      <w:pPr>
        <w:pStyle w:val="NormalWeb"/>
        <w:ind w:left="720" w:hanging="720"/>
        <w:jc w:val="both"/>
        <w:rPr>
          <w:szCs w:val="26"/>
        </w:rPr>
      </w:pPr>
      <w:r w:rsidRPr="00FA1C65">
        <w:rPr>
          <w:szCs w:val="26"/>
        </w:rPr>
        <w:t xml:space="preserve">Coase, R. H. (1937). The nature of the firm. </w:t>
      </w:r>
      <w:proofErr w:type="spellStart"/>
      <w:r w:rsidRPr="00FA1C65">
        <w:rPr>
          <w:rStyle w:val="Emphasis"/>
          <w:szCs w:val="26"/>
        </w:rPr>
        <w:t>Economica</w:t>
      </w:r>
      <w:proofErr w:type="spellEnd"/>
      <w:r w:rsidRPr="00FA1C65">
        <w:rPr>
          <w:rStyle w:val="Emphasis"/>
          <w:szCs w:val="26"/>
        </w:rPr>
        <w:t>, 4</w:t>
      </w:r>
      <w:r w:rsidRPr="00FA1C65">
        <w:rPr>
          <w:szCs w:val="26"/>
        </w:rPr>
        <w:t xml:space="preserve">(16), 386–405. </w:t>
      </w:r>
    </w:p>
    <w:p w14:paraId="511455A2" w14:textId="77777777" w:rsidR="00FA1C65" w:rsidRPr="00FA1C65" w:rsidRDefault="00FA1C65" w:rsidP="00FA1C65">
      <w:pPr>
        <w:pStyle w:val="NormalWeb"/>
        <w:ind w:left="720" w:hanging="720"/>
        <w:jc w:val="both"/>
        <w:rPr>
          <w:szCs w:val="26"/>
        </w:rPr>
      </w:pPr>
      <w:proofErr w:type="spellStart"/>
      <w:r w:rsidRPr="00FA1C65">
        <w:rPr>
          <w:szCs w:val="26"/>
        </w:rPr>
        <w:t>Eze</w:t>
      </w:r>
      <w:proofErr w:type="spellEnd"/>
      <w:r w:rsidRPr="00FA1C65">
        <w:rPr>
          <w:szCs w:val="26"/>
        </w:rPr>
        <w:t xml:space="preserve">, C., &amp; Okoye, U. (2022). </w:t>
      </w:r>
      <w:r w:rsidRPr="00FA1C65">
        <w:rPr>
          <w:rStyle w:val="Emphasis"/>
          <w:szCs w:val="26"/>
        </w:rPr>
        <w:t>Macroeconomic influences on SME financing in Nigerian banks post-recapitalization</w:t>
      </w:r>
      <w:r w:rsidRPr="00FA1C65">
        <w:rPr>
          <w:szCs w:val="26"/>
        </w:rPr>
        <w:t>. [Unpublished study].</w:t>
      </w:r>
    </w:p>
    <w:p w14:paraId="14261540" w14:textId="77777777" w:rsidR="00FA1C65" w:rsidRPr="00FA1C65" w:rsidRDefault="00FA1C65" w:rsidP="00FA1C65">
      <w:pPr>
        <w:pStyle w:val="NormalWeb"/>
        <w:ind w:left="720" w:hanging="720"/>
        <w:jc w:val="both"/>
        <w:rPr>
          <w:szCs w:val="26"/>
        </w:rPr>
      </w:pPr>
      <w:r w:rsidRPr="00FA1C65">
        <w:rPr>
          <w:szCs w:val="26"/>
        </w:rPr>
        <w:t>Jensen, M. C., &amp;</w:t>
      </w:r>
      <w:proofErr w:type="spellStart"/>
      <w:r w:rsidRPr="00FA1C65">
        <w:rPr>
          <w:szCs w:val="26"/>
        </w:rPr>
        <w:t>Meckling</w:t>
      </w:r>
      <w:proofErr w:type="spellEnd"/>
      <w:r w:rsidRPr="00FA1C65">
        <w:rPr>
          <w:szCs w:val="26"/>
        </w:rPr>
        <w:t xml:space="preserve">, W. H. (1976). Theory of the firm: Managerial behavior, agency costs, and ownership structure. </w:t>
      </w:r>
      <w:r w:rsidRPr="00FA1C65">
        <w:rPr>
          <w:rStyle w:val="Emphasis"/>
          <w:szCs w:val="26"/>
        </w:rPr>
        <w:t>Journal of Financial Economics, 3</w:t>
      </w:r>
      <w:r w:rsidRPr="00FA1C65">
        <w:rPr>
          <w:szCs w:val="26"/>
        </w:rPr>
        <w:t xml:space="preserve">(4), 305–360. </w:t>
      </w:r>
    </w:p>
    <w:p w14:paraId="1409F339" w14:textId="77777777" w:rsidR="00FA1C65" w:rsidRPr="00FA1C65" w:rsidRDefault="00FA1C65" w:rsidP="00FA1C65">
      <w:pPr>
        <w:pStyle w:val="NormalWeb"/>
        <w:ind w:left="720" w:hanging="720"/>
        <w:jc w:val="both"/>
        <w:rPr>
          <w:szCs w:val="26"/>
        </w:rPr>
      </w:pPr>
      <w:r w:rsidRPr="00FA1C65">
        <w:rPr>
          <w:szCs w:val="26"/>
        </w:rPr>
        <w:lastRenderedPageBreak/>
        <w:t xml:space="preserve">Levine, R. (1997). Financial development and economic growth: Views and agenda. </w:t>
      </w:r>
      <w:r w:rsidRPr="00FA1C65">
        <w:rPr>
          <w:rStyle w:val="Emphasis"/>
          <w:szCs w:val="26"/>
        </w:rPr>
        <w:t>Journal of Economic Literature, 35</w:t>
      </w:r>
      <w:r w:rsidRPr="00FA1C65">
        <w:rPr>
          <w:szCs w:val="26"/>
        </w:rPr>
        <w:t>(2), 688–726.</w:t>
      </w:r>
    </w:p>
    <w:p w14:paraId="5CC4834F" w14:textId="77777777" w:rsidR="00FA1C65" w:rsidRPr="00FA1C65" w:rsidRDefault="00FA1C65" w:rsidP="00FA1C65">
      <w:pPr>
        <w:pStyle w:val="NormalWeb"/>
        <w:ind w:left="720" w:hanging="720"/>
        <w:jc w:val="both"/>
        <w:rPr>
          <w:szCs w:val="26"/>
        </w:rPr>
      </w:pPr>
      <w:r w:rsidRPr="00FA1C65">
        <w:rPr>
          <w:szCs w:val="26"/>
        </w:rPr>
        <w:t>Myers, S. C., &amp;</w:t>
      </w:r>
      <w:proofErr w:type="spellStart"/>
      <w:r w:rsidRPr="00FA1C65">
        <w:rPr>
          <w:szCs w:val="26"/>
        </w:rPr>
        <w:t>Majluf</w:t>
      </w:r>
      <w:proofErr w:type="spellEnd"/>
      <w:r w:rsidRPr="00FA1C65">
        <w:rPr>
          <w:szCs w:val="26"/>
        </w:rPr>
        <w:t xml:space="preserve">, N. S. (1984). Corporate financing and investment decisions when firms have information that investors do not have. </w:t>
      </w:r>
      <w:r w:rsidRPr="00FA1C65">
        <w:rPr>
          <w:rStyle w:val="Emphasis"/>
          <w:szCs w:val="26"/>
        </w:rPr>
        <w:t>Journal of Financial Economics, 13</w:t>
      </w:r>
      <w:r w:rsidRPr="00FA1C65">
        <w:rPr>
          <w:szCs w:val="26"/>
        </w:rPr>
        <w:t xml:space="preserve">(2), 187–221. </w:t>
      </w:r>
    </w:p>
    <w:p w14:paraId="79EE50FA" w14:textId="77777777" w:rsidR="00FA1C65" w:rsidRPr="00FA1C65" w:rsidRDefault="00FA1C65" w:rsidP="00FA1C65">
      <w:pPr>
        <w:pStyle w:val="NormalWeb"/>
        <w:ind w:left="720" w:hanging="720"/>
        <w:jc w:val="both"/>
        <w:rPr>
          <w:szCs w:val="26"/>
        </w:rPr>
      </w:pPr>
      <w:proofErr w:type="spellStart"/>
      <w:r w:rsidRPr="00FA1C65">
        <w:rPr>
          <w:szCs w:val="26"/>
        </w:rPr>
        <w:t>Nwaeze</w:t>
      </w:r>
      <w:proofErr w:type="spellEnd"/>
      <w:r w:rsidRPr="00FA1C65">
        <w:rPr>
          <w:szCs w:val="26"/>
        </w:rPr>
        <w:t>, C. D., Okonkwo, U. J., &amp;</w:t>
      </w:r>
      <w:proofErr w:type="spellStart"/>
      <w:r w:rsidRPr="00FA1C65">
        <w:rPr>
          <w:szCs w:val="26"/>
        </w:rPr>
        <w:t>Umeh</w:t>
      </w:r>
      <w:proofErr w:type="spellEnd"/>
      <w:r w:rsidRPr="00FA1C65">
        <w:rPr>
          <w:szCs w:val="26"/>
        </w:rPr>
        <w:t xml:space="preserve">, G. O. (2021). Post-recapitalization lending behavior of banks and small business financing in Nigeria. </w:t>
      </w:r>
      <w:r w:rsidRPr="00FA1C65">
        <w:rPr>
          <w:rStyle w:val="Emphasis"/>
          <w:szCs w:val="26"/>
        </w:rPr>
        <w:t>International Journal of Economics and Finance, 13</w:t>
      </w:r>
      <w:r w:rsidRPr="00FA1C65">
        <w:rPr>
          <w:szCs w:val="26"/>
        </w:rPr>
        <w:t>(2), 45–56.</w:t>
      </w:r>
    </w:p>
    <w:p w14:paraId="46A57A82" w14:textId="77777777" w:rsidR="00FA1C65" w:rsidRPr="00FA1C65" w:rsidRDefault="00FA1C65" w:rsidP="00FA1C65">
      <w:pPr>
        <w:pStyle w:val="NormalWeb"/>
        <w:ind w:left="720" w:hanging="720"/>
        <w:jc w:val="both"/>
        <w:rPr>
          <w:szCs w:val="26"/>
        </w:rPr>
      </w:pPr>
      <w:proofErr w:type="spellStart"/>
      <w:r w:rsidRPr="00FA1C65">
        <w:rPr>
          <w:szCs w:val="26"/>
        </w:rPr>
        <w:t>Nwaeze</w:t>
      </w:r>
      <w:proofErr w:type="spellEnd"/>
      <w:r w:rsidRPr="00FA1C65">
        <w:rPr>
          <w:szCs w:val="26"/>
        </w:rPr>
        <w:t xml:space="preserve">, I., </w:t>
      </w:r>
      <w:proofErr w:type="spellStart"/>
      <w:r w:rsidRPr="00FA1C65">
        <w:rPr>
          <w:szCs w:val="26"/>
        </w:rPr>
        <w:t>Ofor</w:t>
      </w:r>
      <w:proofErr w:type="spellEnd"/>
      <w:r w:rsidRPr="00FA1C65">
        <w:rPr>
          <w:szCs w:val="26"/>
        </w:rPr>
        <w:t xml:space="preserve">, C., &amp; Emmanuel, O. (2021). Evaluating the impact of banking recapitalization on credit access for SMEs in Nigeria. </w:t>
      </w:r>
      <w:r w:rsidRPr="00FA1C65">
        <w:rPr>
          <w:rStyle w:val="Emphasis"/>
          <w:szCs w:val="26"/>
        </w:rPr>
        <w:t>Nigerian Journal of Banking and Finance, 12</w:t>
      </w:r>
      <w:r w:rsidRPr="00FA1C65">
        <w:rPr>
          <w:szCs w:val="26"/>
        </w:rPr>
        <w:t>(1), 33–49.</w:t>
      </w:r>
    </w:p>
    <w:p w14:paraId="5559B873" w14:textId="77777777" w:rsidR="00FA1C65" w:rsidRPr="00FA1C65" w:rsidRDefault="00FA1C65" w:rsidP="00FA1C65">
      <w:pPr>
        <w:pStyle w:val="NormalWeb"/>
        <w:ind w:left="720" w:hanging="720"/>
        <w:jc w:val="both"/>
        <w:rPr>
          <w:szCs w:val="26"/>
        </w:rPr>
      </w:pPr>
      <w:proofErr w:type="spellStart"/>
      <w:r w:rsidRPr="00FA1C65">
        <w:rPr>
          <w:szCs w:val="26"/>
        </w:rPr>
        <w:t>Obamuyi</w:t>
      </w:r>
      <w:proofErr w:type="spellEnd"/>
      <w:r w:rsidRPr="00FA1C65">
        <w:rPr>
          <w:szCs w:val="26"/>
        </w:rPr>
        <w:t xml:space="preserve">, T. M. (2019). Credit delivery and small and medium enterprises: Post-recapitalization experience of Nigerian banks. </w:t>
      </w:r>
      <w:r w:rsidRPr="00FA1C65">
        <w:rPr>
          <w:rStyle w:val="Emphasis"/>
          <w:szCs w:val="26"/>
        </w:rPr>
        <w:t>International Journal of Business and Social Science, 10</w:t>
      </w:r>
      <w:r w:rsidRPr="00FA1C65">
        <w:rPr>
          <w:szCs w:val="26"/>
        </w:rPr>
        <w:t>(5), 122–134.</w:t>
      </w:r>
    </w:p>
    <w:p w14:paraId="6E05EAD7" w14:textId="77777777" w:rsidR="00FA1C65" w:rsidRPr="00FA1C65" w:rsidRDefault="00FA1C65" w:rsidP="00FA1C65">
      <w:pPr>
        <w:pStyle w:val="NormalWeb"/>
        <w:ind w:left="720" w:hanging="720"/>
        <w:jc w:val="both"/>
        <w:rPr>
          <w:szCs w:val="26"/>
        </w:rPr>
      </w:pPr>
      <w:proofErr w:type="spellStart"/>
      <w:r w:rsidRPr="00FA1C65">
        <w:rPr>
          <w:szCs w:val="26"/>
        </w:rPr>
        <w:t>Ogujiuba</w:t>
      </w:r>
      <w:proofErr w:type="spellEnd"/>
      <w:r w:rsidRPr="00FA1C65">
        <w:rPr>
          <w:szCs w:val="26"/>
        </w:rPr>
        <w:t xml:space="preserve">, K., </w:t>
      </w:r>
      <w:proofErr w:type="spellStart"/>
      <w:r w:rsidRPr="00FA1C65">
        <w:rPr>
          <w:szCs w:val="26"/>
        </w:rPr>
        <w:t>Ohuche</w:t>
      </w:r>
      <w:proofErr w:type="spellEnd"/>
      <w:r w:rsidRPr="00FA1C65">
        <w:rPr>
          <w:szCs w:val="26"/>
        </w:rPr>
        <w:t xml:space="preserve">, F., &amp; Adenuga, A. (2004). Credit availability to small and medium scale enterprises in Nigeria: The importance of new capital base for banks–Background and issues. </w:t>
      </w:r>
      <w:r w:rsidRPr="00FA1C65">
        <w:rPr>
          <w:rStyle w:val="Emphasis"/>
          <w:szCs w:val="26"/>
        </w:rPr>
        <w:t>CBN Working Paper Series</w:t>
      </w:r>
      <w:r w:rsidRPr="00FA1C65">
        <w:rPr>
          <w:szCs w:val="26"/>
        </w:rPr>
        <w:t>. Abuja: Central Bank of Nigeria.</w:t>
      </w:r>
    </w:p>
    <w:p w14:paraId="740F3CDA" w14:textId="77777777" w:rsidR="00FA1C65" w:rsidRPr="00FA1C65" w:rsidRDefault="00FA1C65" w:rsidP="00FA1C65">
      <w:pPr>
        <w:pStyle w:val="NormalWeb"/>
        <w:ind w:left="720" w:hanging="720"/>
        <w:jc w:val="both"/>
        <w:rPr>
          <w:szCs w:val="26"/>
        </w:rPr>
      </w:pPr>
      <w:r w:rsidRPr="00FA1C65">
        <w:rPr>
          <w:szCs w:val="26"/>
        </w:rPr>
        <w:t xml:space="preserve">Okafor, L. E., &amp; Chukwuemeka, E. (2023). Commercial bank recapitalization and access to credit for SMEs in Nigeria. </w:t>
      </w:r>
      <w:r w:rsidRPr="00FA1C65">
        <w:rPr>
          <w:rStyle w:val="Emphasis"/>
          <w:szCs w:val="26"/>
        </w:rPr>
        <w:t>Nigerian Journal of Financial Research, 8</w:t>
      </w:r>
      <w:r w:rsidRPr="00FA1C65">
        <w:rPr>
          <w:szCs w:val="26"/>
        </w:rPr>
        <w:t>(1), 78–93.</w:t>
      </w:r>
    </w:p>
    <w:p w14:paraId="079E760D" w14:textId="77777777" w:rsidR="00FA1C65" w:rsidRPr="00FA1C65" w:rsidRDefault="00FA1C65" w:rsidP="00FA1C65">
      <w:pPr>
        <w:pStyle w:val="NormalWeb"/>
        <w:ind w:left="720" w:hanging="720"/>
        <w:jc w:val="both"/>
        <w:rPr>
          <w:szCs w:val="26"/>
        </w:rPr>
      </w:pPr>
      <w:r w:rsidRPr="00FA1C65">
        <w:rPr>
          <w:szCs w:val="26"/>
        </w:rPr>
        <w:t xml:space="preserve">Okafor, L. E., &amp; Chukwuemeka, E. (2023). Commercial bank recapitalization and SME financing in Nigeria: A sectoral approach. </w:t>
      </w:r>
      <w:r w:rsidRPr="00FA1C65">
        <w:rPr>
          <w:rStyle w:val="Emphasis"/>
          <w:szCs w:val="26"/>
        </w:rPr>
        <w:t>Nigerian Journal of Financial Studies, 9</w:t>
      </w:r>
      <w:r w:rsidRPr="00FA1C65">
        <w:rPr>
          <w:szCs w:val="26"/>
        </w:rPr>
        <w:t>(1), 78–94.</w:t>
      </w:r>
    </w:p>
    <w:p w14:paraId="65239821" w14:textId="77777777" w:rsidR="00FA1C65" w:rsidRPr="00FA1C65" w:rsidRDefault="00FA1C65" w:rsidP="00FA1C65">
      <w:pPr>
        <w:pStyle w:val="NormalWeb"/>
        <w:ind w:left="720" w:hanging="720"/>
        <w:jc w:val="both"/>
        <w:rPr>
          <w:szCs w:val="26"/>
        </w:rPr>
      </w:pPr>
      <w:r w:rsidRPr="00FA1C65">
        <w:rPr>
          <w:szCs w:val="26"/>
        </w:rPr>
        <w:t xml:space="preserve">Okafor, P. U., &amp; Chukwuemeka, E. (2023). Post-recapitalization banking reforms and SME growth in Nigeria. </w:t>
      </w:r>
      <w:r w:rsidRPr="00FA1C65">
        <w:rPr>
          <w:rStyle w:val="Emphasis"/>
          <w:szCs w:val="26"/>
        </w:rPr>
        <w:t>International Review of Business and Finance, 18</w:t>
      </w:r>
      <w:r w:rsidRPr="00FA1C65">
        <w:rPr>
          <w:szCs w:val="26"/>
        </w:rPr>
        <w:t>(1), 112–128.</w:t>
      </w:r>
    </w:p>
    <w:p w14:paraId="219007CD" w14:textId="77777777" w:rsidR="00FA1C65" w:rsidRPr="00FA1C65" w:rsidRDefault="00FA1C65" w:rsidP="00FA1C65">
      <w:pPr>
        <w:pStyle w:val="NormalWeb"/>
        <w:ind w:left="720" w:hanging="720"/>
        <w:jc w:val="both"/>
        <w:rPr>
          <w:szCs w:val="26"/>
        </w:rPr>
      </w:pPr>
      <w:proofErr w:type="spellStart"/>
      <w:r w:rsidRPr="00FA1C65">
        <w:rPr>
          <w:szCs w:val="26"/>
        </w:rPr>
        <w:t>Oladeji</w:t>
      </w:r>
      <w:proofErr w:type="spellEnd"/>
      <w:r w:rsidRPr="00FA1C65">
        <w:rPr>
          <w:szCs w:val="26"/>
        </w:rPr>
        <w:t>, S. I., &amp;</w:t>
      </w:r>
      <w:proofErr w:type="spellStart"/>
      <w:r w:rsidRPr="00FA1C65">
        <w:rPr>
          <w:szCs w:val="26"/>
        </w:rPr>
        <w:t>Ogunrinola</w:t>
      </w:r>
      <w:proofErr w:type="spellEnd"/>
      <w:r w:rsidRPr="00FA1C65">
        <w:rPr>
          <w:szCs w:val="26"/>
        </w:rPr>
        <w:t xml:space="preserve">, I. O. (2001). Determinants of informal sector employment in urban Nigeria. </w:t>
      </w:r>
      <w:r w:rsidRPr="00FA1C65">
        <w:rPr>
          <w:rStyle w:val="Emphasis"/>
          <w:szCs w:val="26"/>
        </w:rPr>
        <w:t>African Journal of Economic Policy, 8</w:t>
      </w:r>
      <w:r w:rsidRPr="00FA1C65">
        <w:rPr>
          <w:szCs w:val="26"/>
        </w:rPr>
        <w:t>(1), 91–111.</w:t>
      </w:r>
    </w:p>
    <w:p w14:paraId="2D8806D6" w14:textId="77777777" w:rsidR="00FA1C65" w:rsidRPr="00FA1C65" w:rsidRDefault="00FA1C65" w:rsidP="00FA1C65">
      <w:pPr>
        <w:pStyle w:val="NormalWeb"/>
        <w:ind w:left="720" w:hanging="720"/>
        <w:jc w:val="both"/>
        <w:rPr>
          <w:szCs w:val="26"/>
        </w:rPr>
      </w:pPr>
      <w:r w:rsidRPr="00FA1C65">
        <w:rPr>
          <w:szCs w:val="26"/>
        </w:rPr>
        <w:t xml:space="preserve">Olowe, R. A., </w:t>
      </w:r>
      <w:proofErr w:type="spellStart"/>
      <w:r w:rsidRPr="00FA1C65">
        <w:rPr>
          <w:szCs w:val="26"/>
        </w:rPr>
        <w:t>Moradeyo</w:t>
      </w:r>
      <w:proofErr w:type="spellEnd"/>
      <w:r w:rsidRPr="00FA1C65">
        <w:rPr>
          <w:szCs w:val="26"/>
        </w:rPr>
        <w:t xml:space="preserve">, A. O., &amp; Babalola, Y. A. (2013). Empirical study of the impact of access to finance on small and medium enterprises in Nigeria. </w:t>
      </w:r>
      <w:r w:rsidRPr="00FA1C65">
        <w:rPr>
          <w:rStyle w:val="Emphasis"/>
          <w:szCs w:val="26"/>
        </w:rPr>
        <w:t>Journal of Economic and Sustainable Development, 4</w:t>
      </w:r>
      <w:r w:rsidRPr="00FA1C65">
        <w:rPr>
          <w:szCs w:val="26"/>
        </w:rPr>
        <w:t>(19), 84–92.</w:t>
      </w:r>
    </w:p>
    <w:p w14:paraId="567AFE88" w14:textId="77777777" w:rsidR="00FA1C65" w:rsidRPr="00FA1C65" w:rsidRDefault="00FA1C65" w:rsidP="00FA1C65">
      <w:pPr>
        <w:pStyle w:val="NormalWeb"/>
        <w:ind w:left="720" w:hanging="720"/>
        <w:jc w:val="both"/>
        <w:rPr>
          <w:szCs w:val="26"/>
        </w:rPr>
      </w:pPr>
      <w:r w:rsidRPr="00FA1C65">
        <w:rPr>
          <w:szCs w:val="26"/>
        </w:rPr>
        <w:lastRenderedPageBreak/>
        <w:t xml:space="preserve">Oni, E. O. (2019). Collateral challenges facing small businesses in Nigeria. </w:t>
      </w:r>
      <w:r w:rsidRPr="00FA1C65">
        <w:rPr>
          <w:rStyle w:val="Emphasis"/>
          <w:szCs w:val="26"/>
        </w:rPr>
        <w:t>International Journal of Business and Social Science, 10</w:t>
      </w:r>
      <w:r w:rsidRPr="00FA1C65">
        <w:rPr>
          <w:szCs w:val="26"/>
        </w:rPr>
        <w:t>(5), 20–30.</w:t>
      </w:r>
    </w:p>
    <w:p w14:paraId="4783897D" w14:textId="77777777" w:rsidR="00FA1C65" w:rsidRPr="00FA1C65" w:rsidRDefault="00FA1C65" w:rsidP="00FA1C65">
      <w:pPr>
        <w:pStyle w:val="NormalWeb"/>
        <w:ind w:left="720" w:hanging="720"/>
        <w:jc w:val="both"/>
        <w:rPr>
          <w:szCs w:val="26"/>
        </w:rPr>
      </w:pPr>
      <w:r w:rsidRPr="00FA1C65">
        <w:rPr>
          <w:szCs w:val="26"/>
        </w:rPr>
        <w:t xml:space="preserve">Sanusi, L. S. (2010). The Nigerian banking industry: What went wrong and the way forward. </w:t>
      </w:r>
      <w:r w:rsidRPr="00FA1C65">
        <w:rPr>
          <w:rStyle w:val="Emphasis"/>
          <w:szCs w:val="26"/>
        </w:rPr>
        <w:t xml:space="preserve">Convocation Lecture, </w:t>
      </w:r>
      <w:proofErr w:type="spellStart"/>
      <w:r w:rsidRPr="00FA1C65">
        <w:rPr>
          <w:rStyle w:val="Emphasis"/>
          <w:szCs w:val="26"/>
        </w:rPr>
        <w:t>Bayero</w:t>
      </w:r>
      <w:proofErr w:type="spellEnd"/>
      <w:r w:rsidRPr="00FA1C65">
        <w:rPr>
          <w:rStyle w:val="Emphasis"/>
          <w:szCs w:val="26"/>
        </w:rPr>
        <w:t xml:space="preserve"> University Kano</w:t>
      </w:r>
      <w:r w:rsidRPr="00FA1C65">
        <w:rPr>
          <w:szCs w:val="26"/>
        </w:rPr>
        <w:t xml:space="preserve">. Retrieved from </w:t>
      </w:r>
      <w:hyperlink r:id="rId8" w:history="1">
        <w:r w:rsidRPr="00FA1C65">
          <w:rPr>
            <w:rStyle w:val="Hyperlink"/>
            <w:szCs w:val="26"/>
          </w:rPr>
          <w:t>https://www.cbn.gov.ng/OUT/SPEECHES/2010/GOV_CONVOCATION_LEECTURE</w:t>
        </w:r>
      </w:hyperlink>
    </w:p>
    <w:p w14:paraId="1C3E5156" w14:textId="77777777" w:rsidR="00FA1C65" w:rsidRPr="00FA1C65" w:rsidRDefault="00FA1C65" w:rsidP="00FA1C65">
      <w:pPr>
        <w:pStyle w:val="NormalWeb"/>
        <w:ind w:left="720" w:hanging="720"/>
        <w:jc w:val="both"/>
        <w:rPr>
          <w:szCs w:val="26"/>
        </w:rPr>
      </w:pPr>
      <w:r w:rsidRPr="00FA1C65">
        <w:rPr>
          <w:szCs w:val="26"/>
        </w:rPr>
        <w:t xml:space="preserve">Schumpeter, J. A. (1934). </w:t>
      </w:r>
      <w:r w:rsidRPr="00FA1C65">
        <w:rPr>
          <w:rStyle w:val="Emphasis"/>
          <w:szCs w:val="26"/>
        </w:rPr>
        <w:t>The theory of economic development: An inquiry into profits, capital, credit, interest, and the business cycle</w:t>
      </w:r>
      <w:r w:rsidRPr="00FA1C65">
        <w:rPr>
          <w:szCs w:val="26"/>
        </w:rPr>
        <w:t>. Cambridge, MA: Harvard University Press.</w:t>
      </w:r>
    </w:p>
    <w:p w14:paraId="1DC30A50" w14:textId="77777777" w:rsidR="00FA1C65" w:rsidRPr="00FA1C65" w:rsidRDefault="00FA1C65" w:rsidP="00FA1C65">
      <w:pPr>
        <w:pStyle w:val="NormalWeb"/>
        <w:ind w:left="720" w:hanging="720"/>
        <w:jc w:val="both"/>
        <w:rPr>
          <w:szCs w:val="26"/>
        </w:rPr>
      </w:pPr>
      <w:r w:rsidRPr="00FA1C65">
        <w:rPr>
          <w:szCs w:val="26"/>
        </w:rPr>
        <w:t xml:space="preserve">Soludo, C. C. (2004). Consolidating the Nigerian banking industry to meet the development challenges of the 21st century. </w:t>
      </w:r>
      <w:r w:rsidRPr="00FA1C65">
        <w:rPr>
          <w:rStyle w:val="Emphasis"/>
          <w:szCs w:val="26"/>
        </w:rPr>
        <w:t>Address delivered to the Special Meeting of the Bankers’ Committee, Abuja, July 6</w:t>
      </w:r>
      <w:r w:rsidRPr="00FA1C65">
        <w:rPr>
          <w:szCs w:val="26"/>
        </w:rPr>
        <w:t>.</w:t>
      </w:r>
    </w:p>
    <w:p w14:paraId="5E6F7022" w14:textId="77777777" w:rsidR="00FA1C65" w:rsidRPr="00FA1C65" w:rsidRDefault="00FA1C65" w:rsidP="00FA1C65">
      <w:pPr>
        <w:pStyle w:val="NormalWeb"/>
        <w:ind w:left="720" w:hanging="720"/>
        <w:jc w:val="both"/>
        <w:rPr>
          <w:szCs w:val="26"/>
        </w:rPr>
      </w:pPr>
      <w:r w:rsidRPr="00FA1C65">
        <w:rPr>
          <w:szCs w:val="26"/>
        </w:rPr>
        <w:t xml:space="preserve">Stiglitz, J. E., &amp; Weiss, A. (1981). Credit rationing in markets with imperfect information. </w:t>
      </w:r>
      <w:r w:rsidRPr="00FA1C65">
        <w:rPr>
          <w:rStyle w:val="Emphasis"/>
          <w:szCs w:val="26"/>
        </w:rPr>
        <w:t>The American Economic Review, 71</w:t>
      </w:r>
      <w:r w:rsidRPr="00FA1C65">
        <w:rPr>
          <w:szCs w:val="26"/>
        </w:rPr>
        <w:t>(3), 393–410.</w:t>
      </w:r>
    </w:p>
    <w:p w14:paraId="742DB6B8" w14:textId="77777777" w:rsidR="00FA1C65" w:rsidRPr="00FA1C65" w:rsidRDefault="00FA1C65" w:rsidP="00FA1C65">
      <w:pPr>
        <w:pStyle w:val="NormalWeb"/>
        <w:ind w:left="720" w:hanging="720"/>
        <w:jc w:val="both"/>
        <w:rPr>
          <w:szCs w:val="26"/>
        </w:rPr>
      </w:pPr>
      <w:r w:rsidRPr="00FA1C65">
        <w:rPr>
          <w:szCs w:val="26"/>
        </w:rPr>
        <w:t xml:space="preserve">Williamson, O. E. (1981). The economics of organization: The transaction cost approach. </w:t>
      </w:r>
      <w:r w:rsidRPr="00FA1C65">
        <w:rPr>
          <w:rStyle w:val="Emphasis"/>
          <w:szCs w:val="26"/>
        </w:rPr>
        <w:t>American Journal of Sociology, 87</w:t>
      </w:r>
      <w:r w:rsidRPr="00FA1C65">
        <w:rPr>
          <w:szCs w:val="26"/>
        </w:rPr>
        <w:t xml:space="preserve">(3), 548–577. </w:t>
      </w:r>
    </w:p>
    <w:p w14:paraId="18C7A00A" w14:textId="77777777" w:rsidR="00CF3165" w:rsidRPr="0070612E" w:rsidRDefault="00CF3165" w:rsidP="00FA1C65">
      <w:pPr>
        <w:pStyle w:val="NormalWeb"/>
        <w:spacing w:line="360" w:lineRule="auto"/>
        <w:ind w:left="720" w:hanging="720"/>
        <w:jc w:val="both"/>
      </w:pPr>
      <w:bookmarkStart w:id="2" w:name="_GoBack"/>
      <w:bookmarkEnd w:id="2"/>
    </w:p>
    <w:sectPr w:rsidR="00CF3165" w:rsidRPr="0070612E" w:rsidSect="00C347D5">
      <w:footerReference w:type="default" r:id="rId9"/>
      <w:pgSz w:w="12240" w:h="1440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A595B" w14:textId="77777777" w:rsidR="00295712" w:rsidRDefault="00295712" w:rsidP="00B965EC">
      <w:pPr>
        <w:spacing w:after="0" w:line="240" w:lineRule="auto"/>
      </w:pPr>
      <w:r>
        <w:separator/>
      </w:r>
    </w:p>
  </w:endnote>
  <w:endnote w:type="continuationSeparator" w:id="0">
    <w:p w14:paraId="650E11D8" w14:textId="77777777" w:rsidR="00295712" w:rsidRDefault="00295712" w:rsidP="00B96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9022574"/>
      <w:docPartObj>
        <w:docPartGallery w:val="Page Numbers (Bottom of Page)"/>
        <w:docPartUnique/>
      </w:docPartObj>
    </w:sdtPr>
    <w:sdtEndPr>
      <w:rPr>
        <w:noProof/>
      </w:rPr>
    </w:sdtEndPr>
    <w:sdtContent>
      <w:p w14:paraId="1D5C979F" w14:textId="77777777" w:rsidR="00295712" w:rsidRDefault="00AC74B1">
        <w:pPr>
          <w:pStyle w:val="Footer"/>
          <w:jc w:val="center"/>
        </w:pPr>
        <w:r>
          <w:fldChar w:fldCharType="begin"/>
        </w:r>
        <w:r w:rsidR="00295712">
          <w:instrText xml:space="preserve"> PAGE   \* MERGEFORMAT </w:instrText>
        </w:r>
        <w:r>
          <w:fldChar w:fldCharType="separate"/>
        </w:r>
        <w:r w:rsidR="00096AA2">
          <w:rPr>
            <w:noProof/>
          </w:rPr>
          <w:t>49</w:t>
        </w:r>
        <w:r>
          <w:rPr>
            <w:noProof/>
          </w:rPr>
          <w:fldChar w:fldCharType="end"/>
        </w:r>
      </w:p>
    </w:sdtContent>
  </w:sdt>
  <w:p w14:paraId="0431605E" w14:textId="77777777" w:rsidR="00295712" w:rsidRDefault="00295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36864" w14:textId="77777777" w:rsidR="00295712" w:rsidRDefault="00295712" w:rsidP="00B965EC">
      <w:pPr>
        <w:spacing w:after="0" w:line="240" w:lineRule="auto"/>
      </w:pPr>
      <w:r>
        <w:separator/>
      </w:r>
    </w:p>
  </w:footnote>
  <w:footnote w:type="continuationSeparator" w:id="0">
    <w:p w14:paraId="649DF2CE" w14:textId="77777777" w:rsidR="00295712" w:rsidRDefault="00295712" w:rsidP="00B965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6012"/>
    <w:multiLevelType w:val="multilevel"/>
    <w:tmpl w:val="A9E40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34EA6"/>
    <w:multiLevelType w:val="multilevel"/>
    <w:tmpl w:val="0DDE3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67372"/>
    <w:multiLevelType w:val="multilevel"/>
    <w:tmpl w:val="62082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25E92"/>
    <w:multiLevelType w:val="multilevel"/>
    <w:tmpl w:val="84648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3326F6"/>
    <w:multiLevelType w:val="multilevel"/>
    <w:tmpl w:val="D1C28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A70641"/>
    <w:multiLevelType w:val="multilevel"/>
    <w:tmpl w:val="54D86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976DA4"/>
    <w:multiLevelType w:val="multilevel"/>
    <w:tmpl w:val="FD4A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2913A8"/>
    <w:multiLevelType w:val="multilevel"/>
    <w:tmpl w:val="AEC2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DD0F25"/>
    <w:multiLevelType w:val="multilevel"/>
    <w:tmpl w:val="68DEA6AE"/>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5383AF3"/>
    <w:multiLevelType w:val="multilevel"/>
    <w:tmpl w:val="819EF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90761A"/>
    <w:multiLevelType w:val="multilevel"/>
    <w:tmpl w:val="40380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BD687F"/>
    <w:multiLevelType w:val="hybridMultilevel"/>
    <w:tmpl w:val="401CF0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D31DCC"/>
    <w:multiLevelType w:val="multilevel"/>
    <w:tmpl w:val="9A4E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F42A8A"/>
    <w:multiLevelType w:val="multilevel"/>
    <w:tmpl w:val="76D8A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266C38"/>
    <w:multiLevelType w:val="multilevel"/>
    <w:tmpl w:val="FF22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33107C"/>
    <w:multiLevelType w:val="multilevel"/>
    <w:tmpl w:val="0CF0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916CED"/>
    <w:multiLevelType w:val="multilevel"/>
    <w:tmpl w:val="25B8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3C7FBF"/>
    <w:multiLevelType w:val="multilevel"/>
    <w:tmpl w:val="12C429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3A438B"/>
    <w:multiLevelType w:val="multilevel"/>
    <w:tmpl w:val="C020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04069B"/>
    <w:multiLevelType w:val="multilevel"/>
    <w:tmpl w:val="11F2E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44351A"/>
    <w:multiLevelType w:val="multilevel"/>
    <w:tmpl w:val="D27EE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773687"/>
    <w:multiLevelType w:val="multilevel"/>
    <w:tmpl w:val="1BD2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586CF0"/>
    <w:multiLevelType w:val="multilevel"/>
    <w:tmpl w:val="16AAF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434656"/>
    <w:multiLevelType w:val="multilevel"/>
    <w:tmpl w:val="37CA9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D22AF8"/>
    <w:multiLevelType w:val="multilevel"/>
    <w:tmpl w:val="60AAB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49553D"/>
    <w:multiLevelType w:val="multilevel"/>
    <w:tmpl w:val="9BC41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CC2FCF"/>
    <w:multiLevelType w:val="multilevel"/>
    <w:tmpl w:val="869EC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79023C"/>
    <w:multiLevelType w:val="multilevel"/>
    <w:tmpl w:val="A8E62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F56547"/>
    <w:multiLevelType w:val="multilevel"/>
    <w:tmpl w:val="37A6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0333B1"/>
    <w:multiLevelType w:val="multilevel"/>
    <w:tmpl w:val="B398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56163D"/>
    <w:multiLevelType w:val="multilevel"/>
    <w:tmpl w:val="9B720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9A3472"/>
    <w:multiLevelType w:val="multilevel"/>
    <w:tmpl w:val="7F08B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AA73EF"/>
    <w:multiLevelType w:val="multilevel"/>
    <w:tmpl w:val="BC06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A62BBC"/>
    <w:multiLevelType w:val="multilevel"/>
    <w:tmpl w:val="E8E43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E10695"/>
    <w:multiLevelType w:val="multilevel"/>
    <w:tmpl w:val="54C0A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79A4D6A"/>
    <w:multiLevelType w:val="multilevel"/>
    <w:tmpl w:val="1DE6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D527C5"/>
    <w:multiLevelType w:val="multilevel"/>
    <w:tmpl w:val="B2D2D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4A069E"/>
    <w:multiLevelType w:val="multilevel"/>
    <w:tmpl w:val="50F2E244"/>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3A0FFA"/>
    <w:multiLevelType w:val="multilevel"/>
    <w:tmpl w:val="17EC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2949D3"/>
    <w:multiLevelType w:val="multilevel"/>
    <w:tmpl w:val="B784C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EC4814"/>
    <w:multiLevelType w:val="multilevel"/>
    <w:tmpl w:val="E27A0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4"/>
  </w:num>
  <w:num w:numId="3">
    <w:abstractNumId w:val="38"/>
  </w:num>
  <w:num w:numId="4">
    <w:abstractNumId w:val="19"/>
  </w:num>
  <w:num w:numId="5">
    <w:abstractNumId w:val="11"/>
  </w:num>
  <w:num w:numId="6">
    <w:abstractNumId w:val="2"/>
  </w:num>
  <w:num w:numId="7">
    <w:abstractNumId w:val="5"/>
  </w:num>
  <w:num w:numId="8">
    <w:abstractNumId w:val="15"/>
  </w:num>
  <w:num w:numId="9">
    <w:abstractNumId w:val="1"/>
  </w:num>
  <w:num w:numId="10">
    <w:abstractNumId w:val="27"/>
  </w:num>
  <w:num w:numId="11">
    <w:abstractNumId w:val="24"/>
  </w:num>
  <w:num w:numId="12">
    <w:abstractNumId w:val="35"/>
  </w:num>
  <w:num w:numId="13">
    <w:abstractNumId w:val="18"/>
  </w:num>
  <w:num w:numId="14">
    <w:abstractNumId w:val="8"/>
  </w:num>
  <w:num w:numId="15">
    <w:abstractNumId w:val="10"/>
  </w:num>
  <w:num w:numId="16">
    <w:abstractNumId w:val="16"/>
  </w:num>
  <w:num w:numId="17">
    <w:abstractNumId w:val="13"/>
  </w:num>
  <w:num w:numId="18">
    <w:abstractNumId w:val="28"/>
  </w:num>
  <w:num w:numId="19">
    <w:abstractNumId w:val="3"/>
  </w:num>
  <w:num w:numId="20">
    <w:abstractNumId w:val="20"/>
  </w:num>
  <w:num w:numId="21">
    <w:abstractNumId w:val="36"/>
  </w:num>
  <w:num w:numId="22">
    <w:abstractNumId w:val="33"/>
  </w:num>
  <w:num w:numId="23">
    <w:abstractNumId w:val="40"/>
  </w:num>
  <w:num w:numId="24">
    <w:abstractNumId w:val="31"/>
  </w:num>
  <w:num w:numId="25">
    <w:abstractNumId w:val="39"/>
  </w:num>
  <w:num w:numId="26">
    <w:abstractNumId w:val="26"/>
  </w:num>
  <w:num w:numId="27">
    <w:abstractNumId w:val="30"/>
  </w:num>
  <w:num w:numId="28">
    <w:abstractNumId w:val="17"/>
  </w:num>
  <w:num w:numId="29">
    <w:abstractNumId w:val="7"/>
  </w:num>
  <w:num w:numId="30">
    <w:abstractNumId w:val="21"/>
  </w:num>
  <w:num w:numId="31">
    <w:abstractNumId w:val="25"/>
  </w:num>
  <w:num w:numId="32">
    <w:abstractNumId w:val="22"/>
  </w:num>
  <w:num w:numId="33">
    <w:abstractNumId w:val="23"/>
  </w:num>
  <w:num w:numId="34">
    <w:abstractNumId w:val="12"/>
  </w:num>
  <w:num w:numId="35">
    <w:abstractNumId w:val="6"/>
  </w:num>
  <w:num w:numId="36">
    <w:abstractNumId w:val="4"/>
  </w:num>
  <w:num w:numId="37">
    <w:abstractNumId w:val="9"/>
  </w:num>
  <w:num w:numId="38">
    <w:abstractNumId w:val="29"/>
  </w:num>
  <w:num w:numId="39">
    <w:abstractNumId w:val="14"/>
  </w:num>
  <w:num w:numId="40">
    <w:abstractNumId w:val="32"/>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5C97"/>
    <w:rsid w:val="000432BA"/>
    <w:rsid w:val="00044809"/>
    <w:rsid w:val="00051A00"/>
    <w:rsid w:val="000542B0"/>
    <w:rsid w:val="00054AD0"/>
    <w:rsid w:val="0008307E"/>
    <w:rsid w:val="00096AA2"/>
    <w:rsid w:val="000B2D18"/>
    <w:rsid w:val="000B444B"/>
    <w:rsid w:val="000C2FF0"/>
    <w:rsid w:val="000F1091"/>
    <w:rsid w:val="000F42C6"/>
    <w:rsid w:val="000F6DD6"/>
    <w:rsid w:val="00107839"/>
    <w:rsid w:val="00107F36"/>
    <w:rsid w:val="001117CE"/>
    <w:rsid w:val="0016157E"/>
    <w:rsid w:val="00195750"/>
    <w:rsid w:val="001A5100"/>
    <w:rsid w:val="001A6707"/>
    <w:rsid w:val="001B3A7B"/>
    <w:rsid w:val="001C4ADB"/>
    <w:rsid w:val="001D165C"/>
    <w:rsid w:val="001E5C97"/>
    <w:rsid w:val="001F407B"/>
    <w:rsid w:val="001F5E39"/>
    <w:rsid w:val="001F5FB3"/>
    <w:rsid w:val="001F720A"/>
    <w:rsid w:val="00205512"/>
    <w:rsid w:val="00206E00"/>
    <w:rsid w:val="002236FA"/>
    <w:rsid w:val="00224002"/>
    <w:rsid w:val="0023015A"/>
    <w:rsid w:val="00255A93"/>
    <w:rsid w:val="00293F8F"/>
    <w:rsid w:val="00295712"/>
    <w:rsid w:val="002B5EF8"/>
    <w:rsid w:val="002C419E"/>
    <w:rsid w:val="002E1841"/>
    <w:rsid w:val="002F021D"/>
    <w:rsid w:val="002F4A05"/>
    <w:rsid w:val="003056FA"/>
    <w:rsid w:val="00317F04"/>
    <w:rsid w:val="003242CC"/>
    <w:rsid w:val="003427E2"/>
    <w:rsid w:val="003465C9"/>
    <w:rsid w:val="00346C85"/>
    <w:rsid w:val="003565FD"/>
    <w:rsid w:val="0036566E"/>
    <w:rsid w:val="00370A9E"/>
    <w:rsid w:val="0038505B"/>
    <w:rsid w:val="00390FA4"/>
    <w:rsid w:val="003B1946"/>
    <w:rsid w:val="00414237"/>
    <w:rsid w:val="00424912"/>
    <w:rsid w:val="00440F11"/>
    <w:rsid w:val="00451C86"/>
    <w:rsid w:val="004568DD"/>
    <w:rsid w:val="00481F49"/>
    <w:rsid w:val="00486DA5"/>
    <w:rsid w:val="004A5E82"/>
    <w:rsid w:val="004E7C53"/>
    <w:rsid w:val="004F1B67"/>
    <w:rsid w:val="00511D25"/>
    <w:rsid w:val="00535ADF"/>
    <w:rsid w:val="0055006B"/>
    <w:rsid w:val="00554727"/>
    <w:rsid w:val="00560B7F"/>
    <w:rsid w:val="0057745A"/>
    <w:rsid w:val="0058222D"/>
    <w:rsid w:val="005929E7"/>
    <w:rsid w:val="005A6D1B"/>
    <w:rsid w:val="005B6697"/>
    <w:rsid w:val="005B688A"/>
    <w:rsid w:val="005D537F"/>
    <w:rsid w:val="00601157"/>
    <w:rsid w:val="006230AA"/>
    <w:rsid w:val="00623E96"/>
    <w:rsid w:val="00634B2F"/>
    <w:rsid w:val="006377B1"/>
    <w:rsid w:val="00637D04"/>
    <w:rsid w:val="00684EB9"/>
    <w:rsid w:val="006A0140"/>
    <w:rsid w:val="006D4E06"/>
    <w:rsid w:val="006E51A7"/>
    <w:rsid w:val="006F6946"/>
    <w:rsid w:val="0070612E"/>
    <w:rsid w:val="007154DF"/>
    <w:rsid w:val="00717836"/>
    <w:rsid w:val="00717B11"/>
    <w:rsid w:val="007407B1"/>
    <w:rsid w:val="00745FA0"/>
    <w:rsid w:val="00755B1C"/>
    <w:rsid w:val="00763584"/>
    <w:rsid w:val="00765A33"/>
    <w:rsid w:val="00775D46"/>
    <w:rsid w:val="007841A3"/>
    <w:rsid w:val="0078596F"/>
    <w:rsid w:val="007F1AAC"/>
    <w:rsid w:val="007F2021"/>
    <w:rsid w:val="007F338F"/>
    <w:rsid w:val="007F5B61"/>
    <w:rsid w:val="008018A6"/>
    <w:rsid w:val="008118D2"/>
    <w:rsid w:val="00813298"/>
    <w:rsid w:val="0081570D"/>
    <w:rsid w:val="00830D41"/>
    <w:rsid w:val="0083713E"/>
    <w:rsid w:val="00841BEF"/>
    <w:rsid w:val="0084234F"/>
    <w:rsid w:val="00844905"/>
    <w:rsid w:val="00855D64"/>
    <w:rsid w:val="008635CF"/>
    <w:rsid w:val="008662FF"/>
    <w:rsid w:val="00873E71"/>
    <w:rsid w:val="00893202"/>
    <w:rsid w:val="008D704A"/>
    <w:rsid w:val="008E051B"/>
    <w:rsid w:val="008F240E"/>
    <w:rsid w:val="00900418"/>
    <w:rsid w:val="00911D0C"/>
    <w:rsid w:val="009166BF"/>
    <w:rsid w:val="00934F8D"/>
    <w:rsid w:val="009365B4"/>
    <w:rsid w:val="009418BF"/>
    <w:rsid w:val="00941F29"/>
    <w:rsid w:val="0096293E"/>
    <w:rsid w:val="00975A66"/>
    <w:rsid w:val="00976183"/>
    <w:rsid w:val="0099073B"/>
    <w:rsid w:val="0099113E"/>
    <w:rsid w:val="0099560D"/>
    <w:rsid w:val="009B0451"/>
    <w:rsid w:val="009B5A71"/>
    <w:rsid w:val="009C6E46"/>
    <w:rsid w:val="009D4044"/>
    <w:rsid w:val="009E2774"/>
    <w:rsid w:val="00A164AA"/>
    <w:rsid w:val="00A16A17"/>
    <w:rsid w:val="00A2189E"/>
    <w:rsid w:val="00A21EAB"/>
    <w:rsid w:val="00A261EE"/>
    <w:rsid w:val="00A34910"/>
    <w:rsid w:val="00A4362A"/>
    <w:rsid w:val="00A504DE"/>
    <w:rsid w:val="00A528C1"/>
    <w:rsid w:val="00A62CAD"/>
    <w:rsid w:val="00A86DFB"/>
    <w:rsid w:val="00A90B67"/>
    <w:rsid w:val="00AB1613"/>
    <w:rsid w:val="00AC74B1"/>
    <w:rsid w:val="00AD5371"/>
    <w:rsid w:val="00AF5618"/>
    <w:rsid w:val="00B04ED2"/>
    <w:rsid w:val="00B12BBA"/>
    <w:rsid w:val="00B1307C"/>
    <w:rsid w:val="00B24A5B"/>
    <w:rsid w:val="00B40F16"/>
    <w:rsid w:val="00B53FBF"/>
    <w:rsid w:val="00B70BAB"/>
    <w:rsid w:val="00B75AC6"/>
    <w:rsid w:val="00B769D4"/>
    <w:rsid w:val="00B83630"/>
    <w:rsid w:val="00B965EC"/>
    <w:rsid w:val="00BA6EF0"/>
    <w:rsid w:val="00BB5C82"/>
    <w:rsid w:val="00BC7CB5"/>
    <w:rsid w:val="00BF27FD"/>
    <w:rsid w:val="00C01B4B"/>
    <w:rsid w:val="00C20513"/>
    <w:rsid w:val="00C21321"/>
    <w:rsid w:val="00C347D5"/>
    <w:rsid w:val="00C551A9"/>
    <w:rsid w:val="00C8202A"/>
    <w:rsid w:val="00CA70D4"/>
    <w:rsid w:val="00CD669C"/>
    <w:rsid w:val="00CE1342"/>
    <w:rsid w:val="00CF3165"/>
    <w:rsid w:val="00CF6CC8"/>
    <w:rsid w:val="00D00968"/>
    <w:rsid w:val="00D0404F"/>
    <w:rsid w:val="00D12DDB"/>
    <w:rsid w:val="00D14924"/>
    <w:rsid w:val="00D242AC"/>
    <w:rsid w:val="00D539F8"/>
    <w:rsid w:val="00D6082F"/>
    <w:rsid w:val="00D62232"/>
    <w:rsid w:val="00D66453"/>
    <w:rsid w:val="00DD3DCF"/>
    <w:rsid w:val="00DE1FB0"/>
    <w:rsid w:val="00DE375A"/>
    <w:rsid w:val="00E05121"/>
    <w:rsid w:val="00E204EE"/>
    <w:rsid w:val="00E22BC2"/>
    <w:rsid w:val="00E3151F"/>
    <w:rsid w:val="00E373B6"/>
    <w:rsid w:val="00E63E62"/>
    <w:rsid w:val="00E66A05"/>
    <w:rsid w:val="00E7271F"/>
    <w:rsid w:val="00E8082A"/>
    <w:rsid w:val="00EB1D31"/>
    <w:rsid w:val="00EB7EF7"/>
    <w:rsid w:val="00ED1534"/>
    <w:rsid w:val="00ED4D0C"/>
    <w:rsid w:val="00ED4F27"/>
    <w:rsid w:val="00ED7BF3"/>
    <w:rsid w:val="00EE461C"/>
    <w:rsid w:val="00EF1AA4"/>
    <w:rsid w:val="00EF605A"/>
    <w:rsid w:val="00F26489"/>
    <w:rsid w:val="00F34824"/>
    <w:rsid w:val="00F65FC5"/>
    <w:rsid w:val="00F739D9"/>
    <w:rsid w:val="00F73D8B"/>
    <w:rsid w:val="00FA1C65"/>
    <w:rsid w:val="00FA71D0"/>
    <w:rsid w:val="00FA7287"/>
    <w:rsid w:val="00FC5167"/>
    <w:rsid w:val="00FE7F4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70546"/>
  <w15:docId w15:val="{80DD93A1-AB6E-40BD-B34B-9F4EEACE9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F29"/>
  </w:style>
  <w:style w:type="paragraph" w:styleId="Heading1">
    <w:name w:val="heading 1"/>
    <w:basedOn w:val="Normal"/>
    <w:next w:val="Normal"/>
    <w:link w:val="Heading1Char"/>
    <w:uiPriority w:val="9"/>
    <w:qFormat/>
    <w:rsid w:val="00206E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06E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E5C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58222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1329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E5C97"/>
    <w:rPr>
      <w:rFonts w:ascii="Times New Roman" w:eastAsia="Times New Roman" w:hAnsi="Times New Roman" w:cs="Times New Roman"/>
      <w:b/>
      <w:bCs/>
      <w:sz w:val="27"/>
      <w:szCs w:val="27"/>
    </w:rPr>
  </w:style>
  <w:style w:type="paragraph" w:styleId="NormalWeb">
    <w:name w:val="Normal (Web)"/>
    <w:basedOn w:val="Normal"/>
    <w:uiPriority w:val="99"/>
    <w:unhideWhenUsed/>
    <w:rsid w:val="001E5C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5C97"/>
    <w:rPr>
      <w:b/>
      <w:bCs/>
    </w:rPr>
  </w:style>
  <w:style w:type="character" w:styleId="Emphasis">
    <w:name w:val="Emphasis"/>
    <w:basedOn w:val="DefaultParagraphFont"/>
    <w:uiPriority w:val="20"/>
    <w:qFormat/>
    <w:rsid w:val="008F240E"/>
    <w:rPr>
      <w:i/>
      <w:iCs/>
    </w:rPr>
  </w:style>
  <w:style w:type="character" w:styleId="Hyperlink">
    <w:name w:val="Hyperlink"/>
    <w:basedOn w:val="DefaultParagraphFont"/>
    <w:uiPriority w:val="99"/>
    <w:unhideWhenUsed/>
    <w:rsid w:val="008F240E"/>
    <w:rPr>
      <w:color w:val="0000FF"/>
      <w:u w:val="single"/>
    </w:rPr>
  </w:style>
  <w:style w:type="paragraph" w:styleId="Header">
    <w:name w:val="header"/>
    <w:basedOn w:val="Normal"/>
    <w:link w:val="HeaderChar"/>
    <w:uiPriority w:val="99"/>
    <w:unhideWhenUsed/>
    <w:rsid w:val="00B965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5EC"/>
  </w:style>
  <w:style w:type="paragraph" w:styleId="Footer">
    <w:name w:val="footer"/>
    <w:basedOn w:val="Normal"/>
    <w:link w:val="FooterChar"/>
    <w:uiPriority w:val="99"/>
    <w:unhideWhenUsed/>
    <w:rsid w:val="00B965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5EC"/>
  </w:style>
  <w:style w:type="paragraph" w:styleId="ListParagraph">
    <w:name w:val="List Paragraph"/>
    <w:basedOn w:val="Normal"/>
    <w:uiPriority w:val="34"/>
    <w:qFormat/>
    <w:rsid w:val="00F65FC5"/>
    <w:pPr>
      <w:ind w:left="720"/>
      <w:contextualSpacing/>
    </w:pPr>
  </w:style>
  <w:style w:type="character" w:customStyle="1" w:styleId="Heading4Char">
    <w:name w:val="Heading 4 Char"/>
    <w:basedOn w:val="DefaultParagraphFont"/>
    <w:link w:val="Heading4"/>
    <w:uiPriority w:val="9"/>
    <w:rsid w:val="0058222D"/>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206E0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06E00"/>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rsid w:val="00813298"/>
    <w:rPr>
      <w:rFonts w:asciiTheme="majorHAnsi" w:eastAsiaTheme="majorEastAsia" w:hAnsiTheme="majorHAnsi" w:cstheme="majorBidi"/>
      <w:color w:val="2F5496" w:themeColor="accent1" w:themeShade="BF"/>
    </w:rPr>
  </w:style>
  <w:style w:type="table" w:styleId="TableGrid">
    <w:name w:val="Table Grid"/>
    <w:basedOn w:val="TableNormal"/>
    <w:uiPriority w:val="39"/>
    <w:rsid w:val="00BC7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A1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74475">
      <w:bodyDiv w:val="1"/>
      <w:marLeft w:val="0"/>
      <w:marRight w:val="0"/>
      <w:marTop w:val="0"/>
      <w:marBottom w:val="0"/>
      <w:divBdr>
        <w:top w:val="none" w:sz="0" w:space="0" w:color="auto"/>
        <w:left w:val="none" w:sz="0" w:space="0" w:color="auto"/>
        <w:bottom w:val="none" w:sz="0" w:space="0" w:color="auto"/>
        <w:right w:val="none" w:sz="0" w:space="0" w:color="auto"/>
      </w:divBdr>
    </w:div>
    <w:div w:id="112095702">
      <w:bodyDiv w:val="1"/>
      <w:marLeft w:val="0"/>
      <w:marRight w:val="0"/>
      <w:marTop w:val="0"/>
      <w:marBottom w:val="0"/>
      <w:divBdr>
        <w:top w:val="none" w:sz="0" w:space="0" w:color="auto"/>
        <w:left w:val="none" w:sz="0" w:space="0" w:color="auto"/>
        <w:bottom w:val="none" w:sz="0" w:space="0" w:color="auto"/>
        <w:right w:val="none" w:sz="0" w:space="0" w:color="auto"/>
      </w:divBdr>
    </w:div>
    <w:div w:id="211229754">
      <w:bodyDiv w:val="1"/>
      <w:marLeft w:val="0"/>
      <w:marRight w:val="0"/>
      <w:marTop w:val="0"/>
      <w:marBottom w:val="0"/>
      <w:divBdr>
        <w:top w:val="none" w:sz="0" w:space="0" w:color="auto"/>
        <w:left w:val="none" w:sz="0" w:space="0" w:color="auto"/>
        <w:bottom w:val="none" w:sz="0" w:space="0" w:color="auto"/>
        <w:right w:val="none" w:sz="0" w:space="0" w:color="auto"/>
      </w:divBdr>
    </w:div>
    <w:div w:id="217597172">
      <w:bodyDiv w:val="1"/>
      <w:marLeft w:val="0"/>
      <w:marRight w:val="0"/>
      <w:marTop w:val="0"/>
      <w:marBottom w:val="0"/>
      <w:divBdr>
        <w:top w:val="none" w:sz="0" w:space="0" w:color="auto"/>
        <w:left w:val="none" w:sz="0" w:space="0" w:color="auto"/>
        <w:bottom w:val="none" w:sz="0" w:space="0" w:color="auto"/>
        <w:right w:val="none" w:sz="0" w:space="0" w:color="auto"/>
      </w:divBdr>
    </w:div>
    <w:div w:id="296028368">
      <w:bodyDiv w:val="1"/>
      <w:marLeft w:val="0"/>
      <w:marRight w:val="0"/>
      <w:marTop w:val="0"/>
      <w:marBottom w:val="0"/>
      <w:divBdr>
        <w:top w:val="none" w:sz="0" w:space="0" w:color="auto"/>
        <w:left w:val="none" w:sz="0" w:space="0" w:color="auto"/>
        <w:bottom w:val="none" w:sz="0" w:space="0" w:color="auto"/>
        <w:right w:val="none" w:sz="0" w:space="0" w:color="auto"/>
      </w:divBdr>
    </w:div>
    <w:div w:id="313294563">
      <w:bodyDiv w:val="1"/>
      <w:marLeft w:val="0"/>
      <w:marRight w:val="0"/>
      <w:marTop w:val="0"/>
      <w:marBottom w:val="0"/>
      <w:divBdr>
        <w:top w:val="none" w:sz="0" w:space="0" w:color="auto"/>
        <w:left w:val="none" w:sz="0" w:space="0" w:color="auto"/>
        <w:bottom w:val="none" w:sz="0" w:space="0" w:color="auto"/>
        <w:right w:val="none" w:sz="0" w:space="0" w:color="auto"/>
      </w:divBdr>
    </w:div>
    <w:div w:id="398794572">
      <w:bodyDiv w:val="1"/>
      <w:marLeft w:val="0"/>
      <w:marRight w:val="0"/>
      <w:marTop w:val="0"/>
      <w:marBottom w:val="0"/>
      <w:divBdr>
        <w:top w:val="none" w:sz="0" w:space="0" w:color="auto"/>
        <w:left w:val="none" w:sz="0" w:space="0" w:color="auto"/>
        <w:bottom w:val="none" w:sz="0" w:space="0" w:color="auto"/>
        <w:right w:val="none" w:sz="0" w:space="0" w:color="auto"/>
      </w:divBdr>
    </w:div>
    <w:div w:id="415252069">
      <w:bodyDiv w:val="1"/>
      <w:marLeft w:val="0"/>
      <w:marRight w:val="0"/>
      <w:marTop w:val="0"/>
      <w:marBottom w:val="0"/>
      <w:divBdr>
        <w:top w:val="none" w:sz="0" w:space="0" w:color="auto"/>
        <w:left w:val="none" w:sz="0" w:space="0" w:color="auto"/>
        <w:bottom w:val="none" w:sz="0" w:space="0" w:color="auto"/>
        <w:right w:val="none" w:sz="0" w:space="0" w:color="auto"/>
      </w:divBdr>
    </w:div>
    <w:div w:id="463086503">
      <w:bodyDiv w:val="1"/>
      <w:marLeft w:val="0"/>
      <w:marRight w:val="0"/>
      <w:marTop w:val="0"/>
      <w:marBottom w:val="0"/>
      <w:divBdr>
        <w:top w:val="none" w:sz="0" w:space="0" w:color="auto"/>
        <w:left w:val="none" w:sz="0" w:space="0" w:color="auto"/>
        <w:bottom w:val="none" w:sz="0" w:space="0" w:color="auto"/>
        <w:right w:val="none" w:sz="0" w:space="0" w:color="auto"/>
      </w:divBdr>
    </w:div>
    <w:div w:id="518812340">
      <w:bodyDiv w:val="1"/>
      <w:marLeft w:val="0"/>
      <w:marRight w:val="0"/>
      <w:marTop w:val="0"/>
      <w:marBottom w:val="0"/>
      <w:divBdr>
        <w:top w:val="none" w:sz="0" w:space="0" w:color="auto"/>
        <w:left w:val="none" w:sz="0" w:space="0" w:color="auto"/>
        <w:bottom w:val="none" w:sz="0" w:space="0" w:color="auto"/>
        <w:right w:val="none" w:sz="0" w:space="0" w:color="auto"/>
      </w:divBdr>
    </w:div>
    <w:div w:id="591011034">
      <w:bodyDiv w:val="1"/>
      <w:marLeft w:val="0"/>
      <w:marRight w:val="0"/>
      <w:marTop w:val="0"/>
      <w:marBottom w:val="0"/>
      <w:divBdr>
        <w:top w:val="none" w:sz="0" w:space="0" w:color="auto"/>
        <w:left w:val="none" w:sz="0" w:space="0" w:color="auto"/>
        <w:bottom w:val="none" w:sz="0" w:space="0" w:color="auto"/>
        <w:right w:val="none" w:sz="0" w:space="0" w:color="auto"/>
      </w:divBdr>
    </w:div>
    <w:div w:id="629747302">
      <w:bodyDiv w:val="1"/>
      <w:marLeft w:val="0"/>
      <w:marRight w:val="0"/>
      <w:marTop w:val="0"/>
      <w:marBottom w:val="0"/>
      <w:divBdr>
        <w:top w:val="none" w:sz="0" w:space="0" w:color="auto"/>
        <w:left w:val="none" w:sz="0" w:space="0" w:color="auto"/>
        <w:bottom w:val="none" w:sz="0" w:space="0" w:color="auto"/>
        <w:right w:val="none" w:sz="0" w:space="0" w:color="auto"/>
      </w:divBdr>
    </w:div>
    <w:div w:id="753622418">
      <w:bodyDiv w:val="1"/>
      <w:marLeft w:val="0"/>
      <w:marRight w:val="0"/>
      <w:marTop w:val="0"/>
      <w:marBottom w:val="0"/>
      <w:divBdr>
        <w:top w:val="none" w:sz="0" w:space="0" w:color="auto"/>
        <w:left w:val="none" w:sz="0" w:space="0" w:color="auto"/>
        <w:bottom w:val="none" w:sz="0" w:space="0" w:color="auto"/>
        <w:right w:val="none" w:sz="0" w:space="0" w:color="auto"/>
      </w:divBdr>
    </w:div>
    <w:div w:id="820854040">
      <w:bodyDiv w:val="1"/>
      <w:marLeft w:val="0"/>
      <w:marRight w:val="0"/>
      <w:marTop w:val="0"/>
      <w:marBottom w:val="0"/>
      <w:divBdr>
        <w:top w:val="none" w:sz="0" w:space="0" w:color="auto"/>
        <w:left w:val="none" w:sz="0" w:space="0" w:color="auto"/>
        <w:bottom w:val="none" w:sz="0" w:space="0" w:color="auto"/>
        <w:right w:val="none" w:sz="0" w:space="0" w:color="auto"/>
      </w:divBdr>
    </w:div>
    <w:div w:id="850878493">
      <w:bodyDiv w:val="1"/>
      <w:marLeft w:val="0"/>
      <w:marRight w:val="0"/>
      <w:marTop w:val="0"/>
      <w:marBottom w:val="0"/>
      <w:divBdr>
        <w:top w:val="none" w:sz="0" w:space="0" w:color="auto"/>
        <w:left w:val="none" w:sz="0" w:space="0" w:color="auto"/>
        <w:bottom w:val="none" w:sz="0" w:space="0" w:color="auto"/>
        <w:right w:val="none" w:sz="0" w:space="0" w:color="auto"/>
      </w:divBdr>
    </w:div>
    <w:div w:id="891159995">
      <w:bodyDiv w:val="1"/>
      <w:marLeft w:val="0"/>
      <w:marRight w:val="0"/>
      <w:marTop w:val="0"/>
      <w:marBottom w:val="0"/>
      <w:divBdr>
        <w:top w:val="none" w:sz="0" w:space="0" w:color="auto"/>
        <w:left w:val="none" w:sz="0" w:space="0" w:color="auto"/>
        <w:bottom w:val="none" w:sz="0" w:space="0" w:color="auto"/>
        <w:right w:val="none" w:sz="0" w:space="0" w:color="auto"/>
      </w:divBdr>
    </w:div>
    <w:div w:id="955258685">
      <w:bodyDiv w:val="1"/>
      <w:marLeft w:val="0"/>
      <w:marRight w:val="0"/>
      <w:marTop w:val="0"/>
      <w:marBottom w:val="0"/>
      <w:divBdr>
        <w:top w:val="none" w:sz="0" w:space="0" w:color="auto"/>
        <w:left w:val="none" w:sz="0" w:space="0" w:color="auto"/>
        <w:bottom w:val="none" w:sz="0" w:space="0" w:color="auto"/>
        <w:right w:val="none" w:sz="0" w:space="0" w:color="auto"/>
      </w:divBdr>
    </w:div>
    <w:div w:id="983659562">
      <w:bodyDiv w:val="1"/>
      <w:marLeft w:val="0"/>
      <w:marRight w:val="0"/>
      <w:marTop w:val="0"/>
      <w:marBottom w:val="0"/>
      <w:divBdr>
        <w:top w:val="none" w:sz="0" w:space="0" w:color="auto"/>
        <w:left w:val="none" w:sz="0" w:space="0" w:color="auto"/>
        <w:bottom w:val="none" w:sz="0" w:space="0" w:color="auto"/>
        <w:right w:val="none" w:sz="0" w:space="0" w:color="auto"/>
      </w:divBdr>
    </w:div>
    <w:div w:id="1035695597">
      <w:bodyDiv w:val="1"/>
      <w:marLeft w:val="0"/>
      <w:marRight w:val="0"/>
      <w:marTop w:val="0"/>
      <w:marBottom w:val="0"/>
      <w:divBdr>
        <w:top w:val="none" w:sz="0" w:space="0" w:color="auto"/>
        <w:left w:val="none" w:sz="0" w:space="0" w:color="auto"/>
        <w:bottom w:val="none" w:sz="0" w:space="0" w:color="auto"/>
        <w:right w:val="none" w:sz="0" w:space="0" w:color="auto"/>
      </w:divBdr>
    </w:div>
    <w:div w:id="1084687744">
      <w:bodyDiv w:val="1"/>
      <w:marLeft w:val="0"/>
      <w:marRight w:val="0"/>
      <w:marTop w:val="0"/>
      <w:marBottom w:val="0"/>
      <w:divBdr>
        <w:top w:val="none" w:sz="0" w:space="0" w:color="auto"/>
        <w:left w:val="none" w:sz="0" w:space="0" w:color="auto"/>
        <w:bottom w:val="none" w:sz="0" w:space="0" w:color="auto"/>
        <w:right w:val="none" w:sz="0" w:space="0" w:color="auto"/>
      </w:divBdr>
    </w:div>
    <w:div w:id="1132164390">
      <w:bodyDiv w:val="1"/>
      <w:marLeft w:val="0"/>
      <w:marRight w:val="0"/>
      <w:marTop w:val="0"/>
      <w:marBottom w:val="0"/>
      <w:divBdr>
        <w:top w:val="none" w:sz="0" w:space="0" w:color="auto"/>
        <w:left w:val="none" w:sz="0" w:space="0" w:color="auto"/>
        <w:bottom w:val="none" w:sz="0" w:space="0" w:color="auto"/>
        <w:right w:val="none" w:sz="0" w:space="0" w:color="auto"/>
      </w:divBdr>
    </w:div>
    <w:div w:id="1157263153">
      <w:bodyDiv w:val="1"/>
      <w:marLeft w:val="0"/>
      <w:marRight w:val="0"/>
      <w:marTop w:val="0"/>
      <w:marBottom w:val="0"/>
      <w:divBdr>
        <w:top w:val="none" w:sz="0" w:space="0" w:color="auto"/>
        <w:left w:val="none" w:sz="0" w:space="0" w:color="auto"/>
        <w:bottom w:val="none" w:sz="0" w:space="0" w:color="auto"/>
        <w:right w:val="none" w:sz="0" w:space="0" w:color="auto"/>
      </w:divBdr>
    </w:div>
    <w:div w:id="1173227387">
      <w:bodyDiv w:val="1"/>
      <w:marLeft w:val="0"/>
      <w:marRight w:val="0"/>
      <w:marTop w:val="0"/>
      <w:marBottom w:val="0"/>
      <w:divBdr>
        <w:top w:val="none" w:sz="0" w:space="0" w:color="auto"/>
        <w:left w:val="none" w:sz="0" w:space="0" w:color="auto"/>
        <w:bottom w:val="none" w:sz="0" w:space="0" w:color="auto"/>
        <w:right w:val="none" w:sz="0" w:space="0" w:color="auto"/>
      </w:divBdr>
    </w:div>
    <w:div w:id="1264999060">
      <w:bodyDiv w:val="1"/>
      <w:marLeft w:val="0"/>
      <w:marRight w:val="0"/>
      <w:marTop w:val="0"/>
      <w:marBottom w:val="0"/>
      <w:divBdr>
        <w:top w:val="none" w:sz="0" w:space="0" w:color="auto"/>
        <w:left w:val="none" w:sz="0" w:space="0" w:color="auto"/>
        <w:bottom w:val="none" w:sz="0" w:space="0" w:color="auto"/>
        <w:right w:val="none" w:sz="0" w:space="0" w:color="auto"/>
      </w:divBdr>
    </w:div>
    <w:div w:id="1355156107">
      <w:bodyDiv w:val="1"/>
      <w:marLeft w:val="0"/>
      <w:marRight w:val="0"/>
      <w:marTop w:val="0"/>
      <w:marBottom w:val="0"/>
      <w:divBdr>
        <w:top w:val="none" w:sz="0" w:space="0" w:color="auto"/>
        <w:left w:val="none" w:sz="0" w:space="0" w:color="auto"/>
        <w:bottom w:val="none" w:sz="0" w:space="0" w:color="auto"/>
        <w:right w:val="none" w:sz="0" w:space="0" w:color="auto"/>
      </w:divBdr>
    </w:div>
    <w:div w:id="1623413586">
      <w:bodyDiv w:val="1"/>
      <w:marLeft w:val="0"/>
      <w:marRight w:val="0"/>
      <w:marTop w:val="0"/>
      <w:marBottom w:val="0"/>
      <w:divBdr>
        <w:top w:val="none" w:sz="0" w:space="0" w:color="auto"/>
        <w:left w:val="none" w:sz="0" w:space="0" w:color="auto"/>
        <w:bottom w:val="none" w:sz="0" w:space="0" w:color="auto"/>
        <w:right w:val="none" w:sz="0" w:space="0" w:color="auto"/>
      </w:divBdr>
    </w:div>
    <w:div w:id="1659920037">
      <w:bodyDiv w:val="1"/>
      <w:marLeft w:val="0"/>
      <w:marRight w:val="0"/>
      <w:marTop w:val="0"/>
      <w:marBottom w:val="0"/>
      <w:divBdr>
        <w:top w:val="none" w:sz="0" w:space="0" w:color="auto"/>
        <w:left w:val="none" w:sz="0" w:space="0" w:color="auto"/>
        <w:bottom w:val="none" w:sz="0" w:space="0" w:color="auto"/>
        <w:right w:val="none" w:sz="0" w:space="0" w:color="auto"/>
      </w:divBdr>
    </w:div>
    <w:div w:id="1677995221">
      <w:bodyDiv w:val="1"/>
      <w:marLeft w:val="0"/>
      <w:marRight w:val="0"/>
      <w:marTop w:val="0"/>
      <w:marBottom w:val="0"/>
      <w:divBdr>
        <w:top w:val="none" w:sz="0" w:space="0" w:color="auto"/>
        <w:left w:val="none" w:sz="0" w:space="0" w:color="auto"/>
        <w:bottom w:val="none" w:sz="0" w:space="0" w:color="auto"/>
        <w:right w:val="none" w:sz="0" w:space="0" w:color="auto"/>
      </w:divBdr>
    </w:div>
    <w:div w:id="1995598895">
      <w:bodyDiv w:val="1"/>
      <w:marLeft w:val="0"/>
      <w:marRight w:val="0"/>
      <w:marTop w:val="0"/>
      <w:marBottom w:val="0"/>
      <w:divBdr>
        <w:top w:val="none" w:sz="0" w:space="0" w:color="auto"/>
        <w:left w:val="none" w:sz="0" w:space="0" w:color="auto"/>
        <w:bottom w:val="none" w:sz="0" w:space="0" w:color="auto"/>
        <w:right w:val="none" w:sz="0" w:space="0" w:color="auto"/>
      </w:divBdr>
    </w:div>
    <w:div w:id="1995716931">
      <w:bodyDiv w:val="1"/>
      <w:marLeft w:val="0"/>
      <w:marRight w:val="0"/>
      <w:marTop w:val="0"/>
      <w:marBottom w:val="0"/>
      <w:divBdr>
        <w:top w:val="none" w:sz="0" w:space="0" w:color="auto"/>
        <w:left w:val="none" w:sz="0" w:space="0" w:color="auto"/>
        <w:bottom w:val="none" w:sz="0" w:space="0" w:color="auto"/>
        <w:right w:val="none" w:sz="0" w:space="0" w:color="auto"/>
      </w:divBdr>
    </w:div>
    <w:div w:id="2026667698">
      <w:bodyDiv w:val="1"/>
      <w:marLeft w:val="0"/>
      <w:marRight w:val="0"/>
      <w:marTop w:val="0"/>
      <w:marBottom w:val="0"/>
      <w:divBdr>
        <w:top w:val="none" w:sz="0" w:space="0" w:color="auto"/>
        <w:left w:val="none" w:sz="0" w:space="0" w:color="auto"/>
        <w:bottom w:val="none" w:sz="0" w:space="0" w:color="auto"/>
        <w:right w:val="none" w:sz="0" w:space="0" w:color="auto"/>
      </w:divBdr>
    </w:div>
    <w:div w:id="2051150117">
      <w:bodyDiv w:val="1"/>
      <w:marLeft w:val="0"/>
      <w:marRight w:val="0"/>
      <w:marTop w:val="0"/>
      <w:marBottom w:val="0"/>
      <w:divBdr>
        <w:top w:val="none" w:sz="0" w:space="0" w:color="auto"/>
        <w:left w:val="none" w:sz="0" w:space="0" w:color="auto"/>
        <w:bottom w:val="none" w:sz="0" w:space="0" w:color="auto"/>
        <w:right w:val="none" w:sz="0" w:space="0" w:color="auto"/>
      </w:divBdr>
    </w:div>
    <w:div w:id="206563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n.gov.ng/OUT/SPEECHES/2010/GOV_CONVOCATION_LEECTU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9508F-52EC-4051-B090-1666E8CA2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49</Pages>
  <Words>12661</Words>
  <Characters>72168</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YODAYO</dc:creator>
  <cp:keywords/>
  <dc:description/>
  <cp:lastModifiedBy>YODAYO</cp:lastModifiedBy>
  <cp:revision>18</cp:revision>
  <dcterms:created xsi:type="dcterms:W3CDTF">2025-06-01T15:30:00Z</dcterms:created>
  <dcterms:modified xsi:type="dcterms:W3CDTF">2025-06-20T18:59:00Z</dcterms:modified>
</cp:coreProperties>
</file>