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9570C" w14:textId="1283A833" w:rsidR="000648AA" w:rsidRPr="00141027" w:rsidRDefault="00141027" w:rsidP="006645C0">
      <w:pPr>
        <w:spacing w:before="0" w:after="0" w:line="276" w:lineRule="auto"/>
        <w:jc w:val="center"/>
      </w:pPr>
      <w:bookmarkStart w:id="0" w:name="_Hlk196698662"/>
      <w:r w:rsidRPr="00141027">
        <w:t>CHAPTER ONE</w:t>
      </w:r>
    </w:p>
    <w:p w14:paraId="0A0A81FF" w14:textId="552DA6D0" w:rsidR="00141027" w:rsidRDefault="00141027" w:rsidP="006645C0">
      <w:pPr>
        <w:spacing w:before="0" w:after="0" w:line="276" w:lineRule="auto"/>
        <w:jc w:val="center"/>
      </w:pPr>
      <w:r w:rsidRPr="00141027">
        <w:t>INTRODUCTION</w:t>
      </w:r>
    </w:p>
    <w:p w14:paraId="1D6AB025" w14:textId="1CC40AAB" w:rsidR="00141027" w:rsidRPr="00141027" w:rsidRDefault="00141027" w:rsidP="006645C0">
      <w:pPr>
        <w:spacing w:before="0" w:after="0" w:line="276" w:lineRule="auto"/>
      </w:pPr>
      <w:r>
        <w:t>1.0</w:t>
      </w:r>
      <w:r>
        <w:tab/>
        <w:t>Background of the Study</w:t>
      </w:r>
    </w:p>
    <w:p w14:paraId="17301846" w14:textId="77777777" w:rsidR="009231B0" w:rsidRPr="009231B0" w:rsidRDefault="009231B0" w:rsidP="006645C0">
      <w:pPr>
        <w:spacing w:before="0" w:after="0" w:line="276" w:lineRule="auto"/>
        <w:jc w:val="both"/>
        <w:rPr>
          <w:rFonts w:cs="Times New Roman"/>
          <w:b w:val="0"/>
          <w:bCs/>
        </w:rPr>
      </w:pPr>
      <w:r w:rsidRPr="009231B0">
        <w:rPr>
          <w:rFonts w:cs="Times New Roman"/>
          <w:b w:val="0"/>
          <w:bCs/>
        </w:rPr>
        <w:t>Deposit money banks, often referred to as commercial banks, are financial institutions that accept deposits from the public, create credit, and provide loans and other services such as wealth management and foreign exchange. These banks form the backbone of an economy by facilitating financial transactions, supporting economic development, and enhancing capital flow. Their operations are critical to the financial stability of a country, as they play a significant role in the monetary system. In Nigeria, deposit money banks are highly regulated by the Central Bank of Nigeria (CBN), which establishes and enforces rules governing banking activities, including interest rates, capital adequacy, and liquidity requirements.</w:t>
      </w:r>
    </w:p>
    <w:p w14:paraId="2B1FEE01" w14:textId="77777777" w:rsidR="009231B0" w:rsidRPr="009231B0" w:rsidRDefault="009231B0" w:rsidP="006645C0">
      <w:pPr>
        <w:spacing w:before="0" w:after="0" w:line="276" w:lineRule="auto"/>
        <w:jc w:val="both"/>
        <w:rPr>
          <w:rFonts w:cs="Times New Roman"/>
          <w:b w:val="0"/>
          <w:bCs/>
        </w:rPr>
      </w:pPr>
      <w:r w:rsidRPr="009231B0">
        <w:rPr>
          <w:rFonts w:cs="Times New Roman"/>
          <w:b w:val="0"/>
          <w:bCs/>
        </w:rPr>
        <w:t>Deposit money banks hold a unique position in the economy due to their dual role in collecting deposits from the public and lending these funds to individuals and businesses. This process is essential for ensuring a continuous flow of money within the economy. Additionally, these banks engage in foreign exchange, help manage inflation, and support government economic policies through credit creation and monetary interventions (</w:t>
      </w:r>
      <w:proofErr w:type="spellStart"/>
      <w:r w:rsidRPr="009231B0">
        <w:rPr>
          <w:rFonts w:cs="Times New Roman"/>
          <w:b w:val="0"/>
          <w:bCs/>
        </w:rPr>
        <w:t>Adegbie</w:t>
      </w:r>
      <w:proofErr w:type="spellEnd"/>
      <w:r w:rsidRPr="009231B0">
        <w:rPr>
          <w:rFonts w:cs="Times New Roman"/>
          <w:b w:val="0"/>
          <w:bCs/>
        </w:rPr>
        <w:t xml:space="preserve"> &amp; </w:t>
      </w:r>
      <w:proofErr w:type="spellStart"/>
      <w:r w:rsidRPr="009231B0">
        <w:rPr>
          <w:rFonts w:cs="Times New Roman"/>
          <w:b w:val="0"/>
          <w:bCs/>
        </w:rPr>
        <w:t>Olamide</w:t>
      </w:r>
      <w:proofErr w:type="spellEnd"/>
      <w:r w:rsidRPr="009231B0">
        <w:rPr>
          <w:rFonts w:cs="Times New Roman"/>
          <w:b w:val="0"/>
          <w:bCs/>
        </w:rPr>
        <w:t>, 2021).</w:t>
      </w:r>
    </w:p>
    <w:p w14:paraId="02FA552A" w14:textId="77777777" w:rsidR="009231B0" w:rsidRPr="009231B0" w:rsidRDefault="009231B0" w:rsidP="006645C0">
      <w:pPr>
        <w:spacing w:before="0" w:after="0" w:line="276" w:lineRule="auto"/>
        <w:jc w:val="both"/>
        <w:rPr>
          <w:rFonts w:cs="Times New Roman"/>
          <w:b w:val="0"/>
          <w:bCs/>
        </w:rPr>
      </w:pPr>
      <w:r w:rsidRPr="009231B0">
        <w:rPr>
          <w:rFonts w:cs="Times New Roman"/>
          <w:b w:val="0"/>
          <w:bCs/>
        </w:rPr>
        <w:t>With the emergence of fintech and digital banking, traditional deposit money banks have been forced to innovate and adopt new technologies to meet customers' evolving needs. For instance, online banking platforms, mobile banking apps, and blockchain technology have become integral to the banking experience in the 21st century. This innovation ensures better customer engagement, faster services, and more efficient financial operations (Oluwaseun, 2022).</w:t>
      </w:r>
    </w:p>
    <w:p w14:paraId="58A1D398" w14:textId="77777777" w:rsidR="009231B0" w:rsidRPr="009231B0" w:rsidRDefault="009231B0" w:rsidP="006645C0">
      <w:pPr>
        <w:spacing w:before="0" w:after="0" w:line="276" w:lineRule="auto"/>
        <w:jc w:val="both"/>
        <w:rPr>
          <w:rFonts w:cs="Times New Roman"/>
          <w:b w:val="0"/>
          <w:bCs/>
        </w:rPr>
      </w:pPr>
      <w:r w:rsidRPr="009231B0">
        <w:rPr>
          <w:rFonts w:cs="Times New Roman"/>
          <w:b w:val="0"/>
          <w:bCs/>
        </w:rPr>
        <w:t>In Nigeria, deposit money banks like Guaranty Trust Bank (</w:t>
      </w:r>
      <w:proofErr w:type="spellStart"/>
      <w:r w:rsidRPr="009231B0">
        <w:rPr>
          <w:rFonts w:cs="Times New Roman"/>
          <w:b w:val="0"/>
          <w:bCs/>
        </w:rPr>
        <w:t>GTBank</w:t>
      </w:r>
      <w:proofErr w:type="spellEnd"/>
      <w:r w:rsidRPr="009231B0">
        <w:rPr>
          <w:rFonts w:cs="Times New Roman"/>
          <w:b w:val="0"/>
          <w:bCs/>
        </w:rPr>
        <w:t>) have established themselves as leaders in the market by adapting to these changes while maintaining strong customer relationships and financial health. Through efficient management practices, enhanced service delivery, and constant investments in technology, they have become integral to the economic progress of the nation (Ogundipe &amp; Adebayo, 2023).</w:t>
      </w:r>
    </w:p>
    <w:p w14:paraId="1FA94DD7" w14:textId="77777777" w:rsidR="009231B0" w:rsidRPr="009231B0" w:rsidRDefault="009231B0" w:rsidP="006645C0">
      <w:pPr>
        <w:spacing w:before="0" w:after="0" w:line="276" w:lineRule="auto"/>
        <w:jc w:val="both"/>
        <w:rPr>
          <w:rFonts w:cs="Times New Roman"/>
          <w:b w:val="0"/>
          <w:bCs/>
        </w:rPr>
      </w:pPr>
      <w:r w:rsidRPr="009231B0">
        <w:rPr>
          <w:rFonts w:cs="Times New Roman"/>
          <w:b w:val="0"/>
          <w:bCs/>
        </w:rPr>
        <w:t>The financial performance of deposit money banks is a critical aspect of their operations and success. It is commonly assessed using a variety of financial metrics such as profitability, liquidity, return on assets (ROA), return on equity (ROE), capital adequacy, and asset quality. Profitability is a key indicator, often measured through metrics such as net interest margin (NIM) and earnings per share (EPS). High profitability ensures that banks can maintain their capital structure, expand operations, and pay dividends to shareholders, thus enhancing their stability and reputation in the market.</w:t>
      </w:r>
    </w:p>
    <w:p w14:paraId="3D1BFD75" w14:textId="77777777" w:rsidR="009231B0" w:rsidRPr="009231B0" w:rsidRDefault="009231B0" w:rsidP="006645C0">
      <w:pPr>
        <w:spacing w:before="0" w:after="0" w:line="276" w:lineRule="auto"/>
        <w:jc w:val="both"/>
        <w:rPr>
          <w:rFonts w:cs="Times New Roman"/>
          <w:b w:val="0"/>
          <w:bCs/>
        </w:rPr>
      </w:pPr>
      <w:r w:rsidRPr="009231B0">
        <w:rPr>
          <w:rFonts w:cs="Times New Roman"/>
          <w:b w:val="0"/>
          <w:bCs/>
        </w:rPr>
        <w:t>Liquidity, another important indicator, refers to the bank's ability to meet short-term obligations without incurring significant losses. The ability to maintain optimal liquidity is essential for protecting depositors' funds and ensuring the smooth operation of the financial system. A balance between profitability and liquidity is a hallmark of well-managed deposit money banks (Aliyu &amp; Yusuff, 2020).</w:t>
      </w:r>
    </w:p>
    <w:p w14:paraId="75D74EDD" w14:textId="77777777" w:rsidR="009231B0" w:rsidRPr="009231B0" w:rsidRDefault="009231B0" w:rsidP="006645C0">
      <w:pPr>
        <w:spacing w:before="0" w:after="0" w:line="276" w:lineRule="auto"/>
        <w:jc w:val="both"/>
        <w:rPr>
          <w:rFonts w:cs="Times New Roman"/>
          <w:b w:val="0"/>
          <w:bCs/>
        </w:rPr>
      </w:pPr>
      <w:r w:rsidRPr="009231B0">
        <w:rPr>
          <w:rFonts w:cs="Times New Roman"/>
          <w:b w:val="0"/>
          <w:bCs/>
        </w:rPr>
        <w:t xml:space="preserve">The financial performance of deposit money banks can also be assessed through their risk management strategies. Effective risk management ensures that banks are prepared for economic downturns and unexpected financial crises. For example, a solid credit risk management framework ensures that loan defaults are minimized, while proper operational risk management </w:t>
      </w:r>
      <w:r w:rsidRPr="009231B0">
        <w:rPr>
          <w:rFonts w:cs="Times New Roman"/>
          <w:b w:val="0"/>
          <w:bCs/>
        </w:rPr>
        <w:lastRenderedPageBreak/>
        <w:t>safeguards against potential losses due to internal or external factors (Adeleke &amp; Salami, 2021). In the case of Guaranty Trust Bank (</w:t>
      </w:r>
      <w:proofErr w:type="spellStart"/>
      <w:r w:rsidRPr="009231B0">
        <w:rPr>
          <w:rFonts w:cs="Times New Roman"/>
          <w:b w:val="0"/>
          <w:bCs/>
        </w:rPr>
        <w:t>GTBank</w:t>
      </w:r>
      <w:proofErr w:type="spellEnd"/>
      <w:r w:rsidRPr="009231B0">
        <w:rPr>
          <w:rFonts w:cs="Times New Roman"/>
          <w:b w:val="0"/>
          <w:bCs/>
        </w:rPr>
        <w:t>), consistent strong financial performance has been attributed to effective risk management and a disciplined approach to lending and capital allocation (Olawale &amp; Balogun, 2022).</w:t>
      </w:r>
    </w:p>
    <w:p w14:paraId="5FF95A90" w14:textId="77777777" w:rsidR="009231B0" w:rsidRPr="009231B0" w:rsidRDefault="009231B0" w:rsidP="006645C0">
      <w:pPr>
        <w:spacing w:before="0" w:after="0" w:line="276" w:lineRule="auto"/>
        <w:jc w:val="both"/>
        <w:rPr>
          <w:rFonts w:cs="Times New Roman"/>
          <w:b w:val="0"/>
          <w:bCs/>
        </w:rPr>
      </w:pPr>
      <w:r w:rsidRPr="009231B0">
        <w:rPr>
          <w:rFonts w:cs="Times New Roman"/>
          <w:b w:val="0"/>
          <w:bCs/>
        </w:rPr>
        <w:t xml:space="preserve">In Nigeria, deposit money banks face several challenges that can impact their financial performance. These include regulatory changes, economic volatility, currency fluctuations, and competition from both traditional and non-traditional financial institutions. However, strong banks like </w:t>
      </w:r>
      <w:proofErr w:type="spellStart"/>
      <w:r w:rsidRPr="009231B0">
        <w:rPr>
          <w:rFonts w:cs="Times New Roman"/>
          <w:b w:val="0"/>
          <w:bCs/>
        </w:rPr>
        <w:t>GTBank</w:t>
      </w:r>
      <w:proofErr w:type="spellEnd"/>
      <w:r w:rsidRPr="009231B0">
        <w:rPr>
          <w:rFonts w:cs="Times New Roman"/>
          <w:b w:val="0"/>
          <w:bCs/>
        </w:rPr>
        <w:t xml:space="preserve"> have been able to mitigate these challenges by diversifying their revenue streams, adopting digital banking technologies, and expanding their product offerings to include services like wealth management and investment banking (Durojaiye &amp; Oyenuga, 2023).</w:t>
      </w:r>
    </w:p>
    <w:p w14:paraId="6CE3EE47" w14:textId="77777777" w:rsidR="009231B0" w:rsidRPr="009231B0" w:rsidRDefault="009231B0" w:rsidP="006645C0">
      <w:pPr>
        <w:spacing w:before="0" w:after="0" w:line="276" w:lineRule="auto"/>
        <w:jc w:val="both"/>
        <w:rPr>
          <w:rFonts w:cs="Times New Roman"/>
          <w:b w:val="0"/>
          <w:bCs/>
        </w:rPr>
      </w:pPr>
      <w:r w:rsidRPr="009231B0">
        <w:rPr>
          <w:rFonts w:cs="Times New Roman"/>
          <w:b w:val="0"/>
          <w:bCs/>
        </w:rPr>
        <w:t>Corporate governance refers to the systems, rules, and practices that direct and control an organization’s operations, ensuring accountability and transparency among stakeholders. In the context of deposit money banks, corporate governance is crucial for ensuring that banks are managed in a manner that aligns the interests of shareholders, management, customers, and regulatory bodies. Effective governance practices are particularly important for maintaining the integrity of financial reporting, compliance with regulatory standards, and managing risks associated with banking operations (Elumelu &amp; Adegoke, 2020).</w:t>
      </w:r>
    </w:p>
    <w:p w14:paraId="7F39029D" w14:textId="77777777" w:rsidR="009231B0" w:rsidRPr="009231B0" w:rsidRDefault="009231B0" w:rsidP="006645C0">
      <w:pPr>
        <w:spacing w:before="0" w:after="0" w:line="276" w:lineRule="auto"/>
        <w:jc w:val="both"/>
        <w:rPr>
          <w:rFonts w:cs="Times New Roman"/>
          <w:b w:val="0"/>
          <w:bCs/>
        </w:rPr>
      </w:pPr>
      <w:r w:rsidRPr="009231B0">
        <w:rPr>
          <w:rFonts w:cs="Times New Roman"/>
          <w:b w:val="0"/>
          <w:bCs/>
        </w:rPr>
        <w:t>For banks like Guaranty Trust Bank (</w:t>
      </w:r>
      <w:proofErr w:type="spellStart"/>
      <w:r w:rsidRPr="009231B0">
        <w:rPr>
          <w:rFonts w:cs="Times New Roman"/>
          <w:b w:val="0"/>
          <w:bCs/>
        </w:rPr>
        <w:t>GTBank</w:t>
      </w:r>
      <w:proofErr w:type="spellEnd"/>
      <w:r w:rsidRPr="009231B0">
        <w:rPr>
          <w:rFonts w:cs="Times New Roman"/>
          <w:b w:val="0"/>
          <w:bCs/>
        </w:rPr>
        <w:t>), corporate governance structures typically include a board of directors, an audit committee, risk management committees, and internal control systems. These governance structures work to ensure that financial performance is consistently monitored and that proper checks and balances are in place to minimize conflicts of interest and enhance decision-making. In Nigeria, regulatory bodies like the Central Bank of Nigeria (CBN) and the Securities and Exchange Commission (SEC) provide corporate governance codes that banks are required to follow (Akinyele &amp; Oladipo, 2023).</w:t>
      </w:r>
    </w:p>
    <w:p w14:paraId="08D2BA0D" w14:textId="65686D56" w:rsidR="00141027" w:rsidRDefault="00141027" w:rsidP="006645C0">
      <w:pPr>
        <w:spacing w:before="0" w:after="0" w:line="276" w:lineRule="auto"/>
        <w:jc w:val="both"/>
        <w:rPr>
          <w:rFonts w:cs="Times New Roman"/>
          <w:bCs/>
        </w:rPr>
      </w:pPr>
      <w:r>
        <w:rPr>
          <w:rFonts w:cs="Times New Roman"/>
          <w:b w:val="0"/>
          <w:bCs/>
        </w:rPr>
        <w:t>1.2</w:t>
      </w:r>
      <w:r>
        <w:rPr>
          <w:rFonts w:cs="Times New Roman"/>
          <w:b w:val="0"/>
          <w:bCs/>
        </w:rPr>
        <w:tab/>
      </w:r>
      <w:r w:rsidRPr="00141027">
        <w:rPr>
          <w:rFonts w:cs="Times New Roman"/>
          <w:bCs/>
        </w:rPr>
        <w:t>Statement of Problem.</w:t>
      </w:r>
    </w:p>
    <w:p w14:paraId="736A5B5B" w14:textId="77777777" w:rsidR="00050FE0" w:rsidRPr="00050FE0" w:rsidRDefault="00050FE0" w:rsidP="006645C0">
      <w:pPr>
        <w:spacing w:before="0" w:after="0" w:line="276" w:lineRule="auto"/>
        <w:jc w:val="both"/>
        <w:rPr>
          <w:rFonts w:cs="Times New Roman"/>
          <w:b w:val="0"/>
          <w:bCs/>
        </w:rPr>
      </w:pPr>
      <w:r w:rsidRPr="00050FE0">
        <w:rPr>
          <w:rFonts w:cs="Times New Roman"/>
          <w:b w:val="0"/>
          <w:bCs/>
        </w:rPr>
        <w:t>The Nigerian banking sector has faced significant financial challenges, particularly in terms of liquidity management. These challenges, which have at times led to financial instability, have also triggered mergers and acquisitions as survival strategies. Key contributors to liquidity problems in banks include non-performing loans, risky investments, economic instability, and weak risk management practices. For banks like Guaranty Trust Bank (</w:t>
      </w:r>
      <w:proofErr w:type="spellStart"/>
      <w:r w:rsidRPr="00050FE0">
        <w:rPr>
          <w:rFonts w:cs="Times New Roman"/>
          <w:b w:val="0"/>
          <w:bCs/>
        </w:rPr>
        <w:t>GTBank</w:t>
      </w:r>
      <w:proofErr w:type="spellEnd"/>
      <w:r w:rsidRPr="00050FE0">
        <w:rPr>
          <w:rFonts w:cs="Times New Roman"/>
          <w:b w:val="0"/>
          <w:bCs/>
        </w:rPr>
        <w:t>), liquidity issues may still arise despite having a strong corporate governance framework if those practices are not consistently enforced (Akinyemi &amp; Ajayi, 2021).</w:t>
      </w:r>
    </w:p>
    <w:p w14:paraId="523FA4FF" w14:textId="77777777" w:rsidR="00050FE0" w:rsidRPr="00050FE0" w:rsidRDefault="00050FE0" w:rsidP="006645C0">
      <w:pPr>
        <w:spacing w:before="0" w:after="0" w:line="276" w:lineRule="auto"/>
        <w:jc w:val="both"/>
        <w:rPr>
          <w:rFonts w:cs="Times New Roman"/>
          <w:b w:val="0"/>
          <w:bCs/>
        </w:rPr>
      </w:pPr>
      <w:r w:rsidRPr="00050FE0">
        <w:rPr>
          <w:rFonts w:cs="Times New Roman"/>
          <w:b w:val="0"/>
          <w:bCs/>
        </w:rPr>
        <w:t>Corporate governance plays a pivotal role in addressing liquidity challenges by ensuring proper risk management, transparency, and accountability in decision-making processes. Weak corporate governance can exacerbate liquidity problems, leading to ineffective management of resources and increased vulnerability to financial crises (Owolabi &amp; Ajibade, 2020). Conversely, strong governance mechanisms can strengthen financial stability, improving a bank’s ability to manage liquidity risks and financial performance (</w:t>
      </w:r>
      <w:proofErr w:type="spellStart"/>
      <w:r w:rsidRPr="00050FE0">
        <w:rPr>
          <w:rFonts w:cs="Times New Roman"/>
          <w:b w:val="0"/>
          <w:bCs/>
        </w:rPr>
        <w:t>Adebisi</w:t>
      </w:r>
      <w:proofErr w:type="spellEnd"/>
      <w:r w:rsidRPr="00050FE0">
        <w:rPr>
          <w:rFonts w:cs="Times New Roman"/>
          <w:b w:val="0"/>
          <w:bCs/>
        </w:rPr>
        <w:t xml:space="preserve"> &amp; </w:t>
      </w:r>
      <w:proofErr w:type="spellStart"/>
      <w:r w:rsidRPr="00050FE0">
        <w:rPr>
          <w:rFonts w:cs="Times New Roman"/>
          <w:b w:val="0"/>
          <w:bCs/>
        </w:rPr>
        <w:t>Akinlo</w:t>
      </w:r>
      <w:proofErr w:type="spellEnd"/>
      <w:r w:rsidRPr="00050FE0">
        <w:rPr>
          <w:rFonts w:cs="Times New Roman"/>
          <w:b w:val="0"/>
          <w:bCs/>
        </w:rPr>
        <w:t>, 2022).</w:t>
      </w:r>
    </w:p>
    <w:p w14:paraId="6EA9BD0D" w14:textId="77777777" w:rsidR="00050FE0" w:rsidRPr="00050FE0" w:rsidRDefault="00050FE0" w:rsidP="006645C0">
      <w:pPr>
        <w:spacing w:before="0" w:after="0" w:line="276" w:lineRule="auto"/>
        <w:jc w:val="both"/>
        <w:rPr>
          <w:rFonts w:cs="Times New Roman"/>
          <w:b w:val="0"/>
          <w:bCs/>
        </w:rPr>
      </w:pPr>
      <w:r w:rsidRPr="00050FE0">
        <w:rPr>
          <w:rFonts w:cs="Times New Roman"/>
          <w:b w:val="0"/>
          <w:bCs/>
        </w:rPr>
        <w:t>In response to persistent liquidity problems, mergers offer a potential solution for banks. Mergers can lead to economies of scale, a strengthened capital base, diversification of risks, and improved customer confidence. For banks facing liquidity constraints, mergers can provide the financial stability necessary to remain competitive in a volatile market (Ifeanyi &amp; Obi, 2023).</w:t>
      </w:r>
    </w:p>
    <w:p w14:paraId="00C68394" w14:textId="77777777" w:rsidR="00050FE0" w:rsidRPr="00050FE0" w:rsidRDefault="00050FE0" w:rsidP="006645C0">
      <w:pPr>
        <w:spacing w:before="0" w:after="0" w:line="276" w:lineRule="auto"/>
        <w:jc w:val="both"/>
        <w:rPr>
          <w:rFonts w:cs="Times New Roman"/>
          <w:b w:val="0"/>
          <w:bCs/>
        </w:rPr>
      </w:pPr>
      <w:r w:rsidRPr="00050FE0">
        <w:rPr>
          <w:rFonts w:cs="Times New Roman"/>
          <w:b w:val="0"/>
          <w:bCs/>
        </w:rPr>
        <w:lastRenderedPageBreak/>
        <w:t xml:space="preserve">This study aims to assess the impact of corporate governance on the financial performance of </w:t>
      </w:r>
      <w:proofErr w:type="spellStart"/>
      <w:r w:rsidRPr="00050FE0">
        <w:rPr>
          <w:rFonts w:cs="Times New Roman"/>
          <w:b w:val="0"/>
          <w:bCs/>
        </w:rPr>
        <w:t>GTBank</w:t>
      </w:r>
      <w:proofErr w:type="spellEnd"/>
      <w:r w:rsidRPr="00050FE0">
        <w:rPr>
          <w:rFonts w:cs="Times New Roman"/>
          <w:b w:val="0"/>
          <w:bCs/>
        </w:rPr>
        <w:t>, focusing on how governance practices influence liquidity management and how mergers can serve as a strategy to address liquidity challenges in Nigerian banks.</w:t>
      </w:r>
    </w:p>
    <w:p w14:paraId="15614892" w14:textId="77777777" w:rsidR="004A1ED4" w:rsidRPr="000A27CC" w:rsidRDefault="004A1ED4" w:rsidP="006645C0">
      <w:pPr>
        <w:pStyle w:val="ListParagraph"/>
        <w:numPr>
          <w:ilvl w:val="1"/>
          <w:numId w:val="4"/>
        </w:numPr>
        <w:spacing w:before="0" w:after="0" w:line="276" w:lineRule="auto"/>
        <w:jc w:val="both"/>
        <w:rPr>
          <w:rFonts w:cs="Times New Roman"/>
        </w:rPr>
      </w:pPr>
      <w:r w:rsidRPr="000A27CC">
        <w:rPr>
          <w:rFonts w:cs="Times New Roman"/>
        </w:rPr>
        <w:t>RESEARCH QUESTIONS</w:t>
      </w:r>
    </w:p>
    <w:p w14:paraId="5029D145" w14:textId="4E241400" w:rsidR="004A1ED4" w:rsidRDefault="008B39ED" w:rsidP="006645C0">
      <w:pPr>
        <w:pStyle w:val="ListParagraph"/>
        <w:numPr>
          <w:ilvl w:val="0"/>
          <w:numId w:val="6"/>
        </w:numPr>
        <w:spacing w:before="0" w:after="0" w:line="276" w:lineRule="auto"/>
        <w:jc w:val="both"/>
        <w:rPr>
          <w:rFonts w:cs="Times New Roman"/>
          <w:b w:val="0"/>
        </w:rPr>
      </w:pPr>
      <w:r>
        <w:rPr>
          <w:rFonts w:cs="Times New Roman"/>
          <w:b w:val="0"/>
        </w:rPr>
        <w:t>H</w:t>
      </w:r>
      <w:r w:rsidR="00457E5D">
        <w:rPr>
          <w:rFonts w:cs="Times New Roman"/>
          <w:b w:val="0"/>
        </w:rPr>
        <w:t xml:space="preserve">ow does </w:t>
      </w:r>
      <w:r w:rsidR="004A1ED4" w:rsidRPr="00123984">
        <w:rPr>
          <w:rFonts w:cs="Times New Roman"/>
          <w:b w:val="0"/>
        </w:rPr>
        <w:t xml:space="preserve">the relationship between board composition and the financial performance of </w:t>
      </w:r>
      <w:proofErr w:type="spellStart"/>
      <w:r w:rsidR="004A1ED4" w:rsidRPr="00123984">
        <w:rPr>
          <w:rFonts w:cs="Times New Roman"/>
          <w:b w:val="0"/>
        </w:rPr>
        <w:t>GTBank</w:t>
      </w:r>
      <w:proofErr w:type="spellEnd"/>
      <w:r w:rsidR="004A1ED4" w:rsidRPr="00123984">
        <w:rPr>
          <w:rFonts w:cs="Times New Roman"/>
          <w:b w:val="0"/>
        </w:rPr>
        <w:t>?</w:t>
      </w:r>
    </w:p>
    <w:p w14:paraId="6F4E21CD" w14:textId="77777777" w:rsidR="004A1ED4" w:rsidRDefault="004A1ED4" w:rsidP="006645C0">
      <w:pPr>
        <w:pStyle w:val="ListParagraph"/>
        <w:numPr>
          <w:ilvl w:val="0"/>
          <w:numId w:val="6"/>
        </w:numPr>
        <w:spacing w:before="0" w:after="0" w:line="276" w:lineRule="auto"/>
        <w:jc w:val="both"/>
        <w:rPr>
          <w:rFonts w:cs="Times New Roman"/>
          <w:b w:val="0"/>
        </w:rPr>
      </w:pPr>
      <w:r w:rsidRPr="00123984">
        <w:rPr>
          <w:rFonts w:cs="Times New Roman"/>
          <w:b w:val="0"/>
        </w:rPr>
        <w:t xml:space="preserve">How does the effectiveness of the audit committee influence the financial performance of </w:t>
      </w:r>
      <w:proofErr w:type="spellStart"/>
      <w:r w:rsidRPr="00123984">
        <w:rPr>
          <w:rFonts w:cs="Times New Roman"/>
          <w:b w:val="0"/>
        </w:rPr>
        <w:t>GTBank</w:t>
      </w:r>
      <w:proofErr w:type="spellEnd"/>
      <w:r w:rsidRPr="00123984">
        <w:rPr>
          <w:rFonts w:cs="Times New Roman"/>
          <w:b w:val="0"/>
        </w:rPr>
        <w:t>?</w:t>
      </w:r>
    </w:p>
    <w:p w14:paraId="23F3258A" w14:textId="680DC5CE" w:rsidR="00141027" w:rsidRDefault="00141027" w:rsidP="006645C0">
      <w:pPr>
        <w:spacing w:before="0" w:after="0" w:line="276" w:lineRule="auto"/>
        <w:jc w:val="both"/>
        <w:rPr>
          <w:rFonts w:cs="Times New Roman"/>
          <w:b w:val="0"/>
          <w:bCs/>
        </w:rPr>
      </w:pPr>
    </w:p>
    <w:p w14:paraId="30BFCB18" w14:textId="1A3DCB38" w:rsidR="00141027" w:rsidRPr="00141027" w:rsidRDefault="00141027" w:rsidP="006645C0">
      <w:pPr>
        <w:pStyle w:val="ListParagraph"/>
        <w:numPr>
          <w:ilvl w:val="1"/>
          <w:numId w:val="4"/>
        </w:numPr>
        <w:spacing w:before="0" w:after="0" w:line="276" w:lineRule="auto"/>
        <w:jc w:val="both"/>
        <w:rPr>
          <w:rFonts w:cs="Times New Roman"/>
        </w:rPr>
      </w:pPr>
      <w:r w:rsidRPr="00141027">
        <w:rPr>
          <w:rFonts w:cs="Times New Roman"/>
        </w:rPr>
        <w:t>Objectives of the Study</w:t>
      </w:r>
    </w:p>
    <w:p w14:paraId="3D657D06" w14:textId="77777777" w:rsidR="00141027" w:rsidRDefault="00141027" w:rsidP="006645C0">
      <w:pPr>
        <w:pStyle w:val="ListParagraph"/>
        <w:numPr>
          <w:ilvl w:val="0"/>
          <w:numId w:val="3"/>
        </w:numPr>
        <w:spacing w:before="0" w:after="0" w:line="276" w:lineRule="auto"/>
        <w:jc w:val="both"/>
        <w:rPr>
          <w:rFonts w:cs="Times New Roman"/>
          <w:b w:val="0"/>
        </w:rPr>
      </w:pPr>
      <w:r w:rsidRPr="00141027">
        <w:rPr>
          <w:rFonts w:cs="Times New Roman"/>
          <w:b w:val="0"/>
        </w:rPr>
        <w:t xml:space="preserve">To evaluate the relationship between board composition and the financial performance of </w:t>
      </w:r>
      <w:proofErr w:type="spellStart"/>
      <w:r w:rsidRPr="00141027">
        <w:rPr>
          <w:rFonts w:cs="Times New Roman"/>
          <w:b w:val="0"/>
        </w:rPr>
        <w:t>GTBank</w:t>
      </w:r>
      <w:proofErr w:type="spellEnd"/>
      <w:r w:rsidRPr="00141027">
        <w:rPr>
          <w:rFonts w:cs="Times New Roman"/>
          <w:b w:val="0"/>
        </w:rPr>
        <w:t>.</w:t>
      </w:r>
    </w:p>
    <w:p w14:paraId="060A655B" w14:textId="77777777" w:rsidR="00141027" w:rsidRDefault="00141027" w:rsidP="006645C0">
      <w:pPr>
        <w:pStyle w:val="ListParagraph"/>
        <w:numPr>
          <w:ilvl w:val="0"/>
          <w:numId w:val="3"/>
        </w:numPr>
        <w:spacing w:before="0" w:after="0" w:line="276" w:lineRule="auto"/>
        <w:jc w:val="both"/>
        <w:rPr>
          <w:rFonts w:cs="Times New Roman"/>
          <w:b w:val="0"/>
        </w:rPr>
      </w:pPr>
      <w:r w:rsidRPr="00141027">
        <w:rPr>
          <w:rFonts w:cs="Times New Roman"/>
          <w:b w:val="0"/>
        </w:rPr>
        <w:t xml:space="preserve">To assess how audit committee effectiveness influences </w:t>
      </w:r>
      <w:proofErr w:type="spellStart"/>
      <w:r w:rsidRPr="00141027">
        <w:rPr>
          <w:rFonts w:cs="Times New Roman"/>
          <w:b w:val="0"/>
        </w:rPr>
        <w:t>GTBank</w:t>
      </w:r>
      <w:r>
        <w:rPr>
          <w:rFonts w:cs="Times New Roman"/>
          <w:b w:val="0"/>
        </w:rPr>
        <w:t>’</w:t>
      </w:r>
      <w:r w:rsidRPr="00141027">
        <w:rPr>
          <w:rFonts w:cs="Times New Roman"/>
          <w:b w:val="0"/>
        </w:rPr>
        <w:t>s</w:t>
      </w:r>
      <w:proofErr w:type="spellEnd"/>
      <w:r w:rsidRPr="00141027">
        <w:rPr>
          <w:rFonts w:cs="Times New Roman"/>
          <w:b w:val="0"/>
        </w:rPr>
        <w:t xml:space="preserve"> financial outcomes.</w:t>
      </w:r>
    </w:p>
    <w:p w14:paraId="60AC1090" w14:textId="54BDCB37" w:rsidR="00141027" w:rsidRPr="007C4EAC" w:rsidRDefault="00141027" w:rsidP="006645C0">
      <w:pPr>
        <w:spacing w:before="0" w:after="0" w:line="276" w:lineRule="auto"/>
        <w:ind w:left="360"/>
        <w:jc w:val="both"/>
        <w:rPr>
          <w:rFonts w:cs="Times New Roman"/>
          <w:b w:val="0"/>
        </w:rPr>
      </w:pPr>
    </w:p>
    <w:p w14:paraId="6E79E00B" w14:textId="37943FB8" w:rsidR="00141027" w:rsidRPr="00123984" w:rsidRDefault="00AF3AA4" w:rsidP="006645C0">
      <w:pPr>
        <w:spacing w:before="0" w:after="0" w:line="276" w:lineRule="auto"/>
        <w:jc w:val="both"/>
        <w:rPr>
          <w:rFonts w:cs="Times New Roman"/>
        </w:rPr>
      </w:pPr>
      <w:r w:rsidRPr="00123984">
        <w:rPr>
          <w:rFonts w:cs="Times New Roman"/>
        </w:rPr>
        <w:t>1.5</w:t>
      </w:r>
      <w:r w:rsidRPr="00123984">
        <w:rPr>
          <w:rFonts w:cs="Times New Roman"/>
        </w:rPr>
        <w:tab/>
        <w:t>RESEARCH HYPOTHESIS</w:t>
      </w:r>
    </w:p>
    <w:p w14:paraId="428B1C23" w14:textId="77777777" w:rsidR="008E6DAD" w:rsidRPr="008E6DAD" w:rsidRDefault="008E6DAD" w:rsidP="006645C0">
      <w:pPr>
        <w:spacing w:before="0" w:after="0" w:line="276" w:lineRule="auto"/>
        <w:jc w:val="both"/>
        <w:rPr>
          <w:rFonts w:cs="Times New Roman"/>
          <w:b w:val="0"/>
        </w:rPr>
      </w:pPr>
      <w:r w:rsidRPr="008E6DAD">
        <w:rPr>
          <w:rFonts w:cs="Times New Roman"/>
          <w:bCs/>
        </w:rPr>
        <w:t>H1</w:t>
      </w:r>
      <w:r w:rsidRPr="008E6DAD">
        <w:rPr>
          <w:rFonts w:cs="Times New Roman"/>
          <w:b w:val="0"/>
        </w:rPr>
        <w:t xml:space="preserve">: There is a significant relationship between board composition and the financial performance of </w:t>
      </w:r>
      <w:proofErr w:type="spellStart"/>
      <w:r w:rsidRPr="008E6DAD">
        <w:rPr>
          <w:rFonts w:cs="Times New Roman"/>
          <w:b w:val="0"/>
        </w:rPr>
        <w:t>GTBank</w:t>
      </w:r>
      <w:proofErr w:type="spellEnd"/>
      <w:r w:rsidRPr="008E6DAD">
        <w:rPr>
          <w:rFonts w:cs="Times New Roman"/>
          <w:b w:val="0"/>
        </w:rPr>
        <w:t>.</w:t>
      </w:r>
    </w:p>
    <w:p w14:paraId="6DC34FCA" w14:textId="77777777" w:rsidR="008E6DAD" w:rsidRPr="008E6DAD" w:rsidRDefault="008E6DAD" w:rsidP="006645C0">
      <w:pPr>
        <w:spacing w:before="0" w:after="0" w:line="276" w:lineRule="auto"/>
        <w:jc w:val="both"/>
        <w:rPr>
          <w:rFonts w:cs="Times New Roman"/>
          <w:b w:val="0"/>
        </w:rPr>
      </w:pPr>
      <w:r w:rsidRPr="008E6DAD">
        <w:rPr>
          <w:rFonts w:cs="Times New Roman"/>
          <w:bCs/>
        </w:rPr>
        <w:t>H2</w:t>
      </w:r>
      <w:r w:rsidRPr="008E6DAD">
        <w:rPr>
          <w:rFonts w:cs="Times New Roman"/>
          <w:b w:val="0"/>
        </w:rPr>
        <w:t xml:space="preserve">: The effectiveness of the audit committee has a significant impact on the financial performance of </w:t>
      </w:r>
      <w:proofErr w:type="spellStart"/>
      <w:r w:rsidRPr="008E6DAD">
        <w:rPr>
          <w:rFonts w:cs="Times New Roman"/>
          <w:b w:val="0"/>
        </w:rPr>
        <w:t>GTBank</w:t>
      </w:r>
      <w:proofErr w:type="spellEnd"/>
      <w:r w:rsidRPr="008E6DAD">
        <w:rPr>
          <w:rFonts w:cs="Times New Roman"/>
          <w:b w:val="0"/>
        </w:rPr>
        <w:t>.</w:t>
      </w:r>
    </w:p>
    <w:p w14:paraId="588E5626" w14:textId="56069DD7" w:rsidR="00123984" w:rsidRPr="00AF3AA4" w:rsidRDefault="00AF3AA4" w:rsidP="006645C0">
      <w:pPr>
        <w:spacing w:before="0" w:after="0" w:line="276" w:lineRule="auto"/>
        <w:jc w:val="both"/>
        <w:rPr>
          <w:rFonts w:cs="Times New Roman"/>
          <w:bCs/>
        </w:rPr>
      </w:pPr>
      <w:r w:rsidRPr="00AF3AA4">
        <w:rPr>
          <w:rFonts w:cs="Times New Roman"/>
          <w:bCs/>
        </w:rPr>
        <w:t>1.6</w:t>
      </w:r>
      <w:r w:rsidRPr="00AF3AA4">
        <w:rPr>
          <w:rFonts w:cs="Times New Roman"/>
          <w:bCs/>
        </w:rPr>
        <w:tab/>
        <w:t>SCOPE OF THE STUDY</w:t>
      </w:r>
    </w:p>
    <w:p w14:paraId="2A3DDB2D" w14:textId="29A8D625" w:rsidR="00123984" w:rsidRPr="00123984" w:rsidRDefault="00123984" w:rsidP="006645C0">
      <w:pPr>
        <w:spacing w:before="0" w:after="0" w:line="276" w:lineRule="auto"/>
        <w:jc w:val="both"/>
        <w:rPr>
          <w:rFonts w:cs="Times New Roman"/>
          <w:b w:val="0"/>
          <w:bCs/>
        </w:rPr>
      </w:pPr>
      <w:r>
        <w:rPr>
          <w:rFonts w:cs="Times New Roman"/>
          <w:b w:val="0"/>
        </w:rPr>
        <w:tab/>
      </w:r>
      <w:r w:rsidRPr="00123984">
        <w:rPr>
          <w:rFonts w:cs="Times New Roman"/>
          <w:b w:val="0"/>
          <w:bCs/>
        </w:rPr>
        <w:t>This study focuses on examining the relationship between corporate governance and financial performance, with Guaranty Trust Bank (</w:t>
      </w:r>
      <w:proofErr w:type="spellStart"/>
      <w:r w:rsidRPr="00123984">
        <w:rPr>
          <w:rFonts w:cs="Times New Roman"/>
          <w:b w:val="0"/>
          <w:bCs/>
        </w:rPr>
        <w:t>GTBank</w:t>
      </w:r>
      <w:proofErr w:type="spellEnd"/>
      <w:r w:rsidRPr="00123984">
        <w:rPr>
          <w:rFonts w:cs="Times New Roman"/>
          <w:b w:val="0"/>
          <w:bCs/>
        </w:rPr>
        <w:t xml:space="preserve">) serving as the case study. The scope is limited to </w:t>
      </w:r>
      <w:proofErr w:type="spellStart"/>
      <w:r w:rsidRPr="00123984">
        <w:rPr>
          <w:rFonts w:cs="Times New Roman"/>
          <w:b w:val="0"/>
          <w:bCs/>
        </w:rPr>
        <w:t>GTBank</w:t>
      </w:r>
      <w:proofErr w:type="spellEnd"/>
      <w:r w:rsidRPr="00123984">
        <w:rPr>
          <w:rFonts w:cs="Times New Roman"/>
          <w:b w:val="0"/>
          <w:bCs/>
        </w:rPr>
        <w:t xml:space="preserve"> due to its prominence in Nigeria's banking sector, consistent financial performance, and adherence to corporate governance best practices. The research investigates key corporate governance components, including board composition, audit committee effectiveness, ownership structure, and managerial accountability, and how these influence the bank’s financial performance indicators such as return on assets (ROA), return on equity (ROE), and net profit margin.</w:t>
      </w:r>
    </w:p>
    <w:p w14:paraId="38535B47" w14:textId="77777777" w:rsidR="00123984" w:rsidRPr="00123984" w:rsidRDefault="00123984" w:rsidP="006645C0">
      <w:pPr>
        <w:spacing w:before="0" w:after="0" w:line="276" w:lineRule="auto"/>
        <w:jc w:val="both"/>
        <w:rPr>
          <w:rFonts w:cs="Times New Roman"/>
          <w:b w:val="0"/>
        </w:rPr>
      </w:pPr>
      <w:r w:rsidRPr="00123984">
        <w:rPr>
          <w:rFonts w:cs="Times New Roman"/>
          <w:b w:val="0"/>
        </w:rPr>
        <w:t xml:space="preserve">Geographically, the study is limited to </w:t>
      </w:r>
      <w:proofErr w:type="spellStart"/>
      <w:r w:rsidRPr="00123984">
        <w:rPr>
          <w:rFonts w:cs="Times New Roman"/>
          <w:b w:val="0"/>
        </w:rPr>
        <w:t>GTBank's</w:t>
      </w:r>
      <w:proofErr w:type="spellEnd"/>
      <w:r w:rsidRPr="00123984">
        <w:rPr>
          <w:rFonts w:cs="Times New Roman"/>
          <w:b w:val="0"/>
        </w:rPr>
        <w:t xml:space="preserve"> operations within Nigeria, even though the bank has subsidiaries in other African countries and the United Kingdom. This geographical limitation ensures a focused and manageable analysis, taking into account the regulatory environment of the Central Bank of Nigeria (CBN) and the corporate governance code issued by the Financial Reporting Council of Nigeria (FRCN).</w:t>
      </w:r>
    </w:p>
    <w:p w14:paraId="3545E5F3" w14:textId="3BA305A3" w:rsidR="00123984" w:rsidRPr="00764700" w:rsidRDefault="00123984" w:rsidP="006645C0">
      <w:pPr>
        <w:spacing w:before="0" w:after="0" w:line="276" w:lineRule="auto"/>
        <w:jc w:val="both"/>
        <w:rPr>
          <w:rFonts w:cs="Times New Roman"/>
          <w:bCs/>
        </w:rPr>
      </w:pPr>
      <w:r w:rsidRPr="00764700">
        <w:rPr>
          <w:rFonts w:cs="Times New Roman"/>
          <w:bCs/>
        </w:rPr>
        <w:t>1.7</w:t>
      </w:r>
      <w:r w:rsidRPr="00764700">
        <w:rPr>
          <w:rFonts w:cs="Times New Roman"/>
          <w:bCs/>
        </w:rPr>
        <w:tab/>
        <w:t>Significance of the study</w:t>
      </w:r>
    </w:p>
    <w:p w14:paraId="358B8FCB" w14:textId="77777777" w:rsidR="00123984" w:rsidRPr="00123984" w:rsidRDefault="00123984" w:rsidP="006645C0">
      <w:pPr>
        <w:spacing w:before="0" w:after="0" w:line="276" w:lineRule="auto"/>
        <w:ind w:firstLine="720"/>
        <w:jc w:val="both"/>
        <w:rPr>
          <w:rFonts w:cs="Times New Roman"/>
          <w:b w:val="0"/>
        </w:rPr>
      </w:pPr>
      <w:r w:rsidRPr="00123984">
        <w:rPr>
          <w:rFonts w:cs="Times New Roman"/>
          <w:b w:val="0"/>
        </w:rPr>
        <w:t xml:space="preserve">This study is significant in several ways, as it provides insights into how corporate governance practices affect the financial performance of deposit money banks, using </w:t>
      </w:r>
      <w:proofErr w:type="spellStart"/>
      <w:r w:rsidRPr="00123984">
        <w:rPr>
          <w:rFonts w:cs="Times New Roman"/>
          <w:b w:val="0"/>
        </w:rPr>
        <w:t>GTBank</w:t>
      </w:r>
      <w:proofErr w:type="spellEnd"/>
      <w:r w:rsidRPr="00123984">
        <w:rPr>
          <w:rFonts w:cs="Times New Roman"/>
          <w:b w:val="0"/>
        </w:rPr>
        <w:t xml:space="preserve"> as a case study. The findings are expected to benefit various stakeholders within the banking and financial services sector in Nigeria and beyond.</w:t>
      </w:r>
    </w:p>
    <w:p w14:paraId="46183450" w14:textId="77777777" w:rsidR="00123984" w:rsidRPr="00123984" w:rsidRDefault="00123984" w:rsidP="006645C0">
      <w:pPr>
        <w:spacing w:before="0" w:after="0" w:line="276" w:lineRule="auto"/>
        <w:jc w:val="both"/>
        <w:rPr>
          <w:rFonts w:cs="Times New Roman"/>
          <w:b w:val="0"/>
        </w:rPr>
      </w:pPr>
      <w:r w:rsidRPr="00123984">
        <w:rPr>
          <w:rFonts w:cs="Times New Roman"/>
          <w:bCs/>
        </w:rPr>
        <w:t>For the banking industry</w:t>
      </w:r>
      <w:r w:rsidRPr="00123984">
        <w:rPr>
          <w:rFonts w:cs="Times New Roman"/>
          <w:b w:val="0"/>
        </w:rPr>
        <w:t xml:space="preserve">, the study will serve as a valuable reference for improving corporate governance structures. It highlights the importance of strong board oversight, effective audit committees, transparent ownership structures, and accountable management in driving financial </w:t>
      </w:r>
      <w:r w:rsidRPr="00123984">
        <w:rPr>
          <w:rFonts w:cs="Times New Roman"/>
          <w:b w:val="0"/>
        </w:rPr>
        <w:lastRenderedPageBreak/>
        <w:t>performance. Such insights can help banks adopt better governance practices to enhance profitability, efficiency, and shareholder value.</w:t>
      </w:r>
    </w:p>
    <w:p w14:paraId="299BCB8A" w14:textId="77777777" w:rsidR="00123984" w:rsidRPr="00123984" w:rsidRDefault="00123984" w:rsidP="006645C0">
      <w:pPr>
        <w:spacing w:before="0" w:after="0" w:line="276" w:lineRule="auto"/>
        <w:jc w:val="both"/>
        <w:rPr>
          <w:rFonts w:cs="Times New Roman"/>
          <w:b w:val="0"/>
        </w:rPr>
      </w:pPr>
      <w:r w:rsidRPr="00123984">
        <w:rPr>
          <w:rFonts w:cs="Times New Roman"/>
          <w:bCs/>
        </w:rPr>
        <w:t>For policymakers and regulators</w:t>
      </w:r>
      <w:r w:rsidRPr="00123984">
        <w:rPr>
          <w:rFonts w:cs="Times New Roman"/>
          <w:b w:val="0"/>
        </w:rPr>
        <w:t>, such as the Central Bank of Nigeria (CBN) and the Financial Reporting Council of Nigeria (FRCN), the research offers evidence-based recommendations for strengthening regulatory frameworks on corporate governance. This is especially relevant in ensuring financial system stability and minimizing risks associated with poor governance.</w:t>
      </w:r>
    </w:p>
    <w:p w14:paraId="58DC24E1" w14:textId="77777777" w:rsidR="00123984" w:rsidRPr="00123984" w:rsidRDefault="00123984" w:rsidP="006645C0">
      <w:pPr>
        <w:spacing w:before="0" w:after="0" w:line="276" w:lineRule="auto"/>
        <w:jc w:val="both"/>
        <w:rPr>
          <w:rFonts w:cs="Times New Roman"/>
          <w:b w:val="0"/>
        </w:rPr>
      </w:pPr>
      <w:r w:rsidRPr="00123984">
        <w:rPr>
          <w:rFonts w:cs="Times New Roman"/>
          <w:bCs/>
        </w:rPr>
        <w:t>For investors and shareholders</w:t>
      </w:r>
      <w:r w:rsidRPr="00123984">
        <w:rPr>
          <w:rFonts w:cs="Times New Roman"/>
          <w:b w:val="0"/>
        </w:rPr>
        <w:t>, the study provides information that will guide investment decisions, as sound corporate governance is often associated with better financial health and lower risk. Understanding how governance practices influence performance will help investors make more informed choices.</w:t>
      </w:r>
    </w:p>
    <w:p w14:paraId="107FAAFA" w14:textId="77777777" w:rsidR="00123984" w:rsidRPr="00123984" w:rsidRDefault="00123984" w:rsidP="006645C0">
      <w:pPr>
        <w:spacing w:before="0" w:after="0" w:line="276" w:lineRule="auto"/>
        <w:jc w:val="both"/>
        <w:rPr>
          <w:rFonts w:cs="Times New Roman"/>
          <w:b w:val="0"/>
        </w:rPr>
      </w:pPr>
      <w:r w:rsidRPr="00123984">
        <w:rPr>
          <w:rFonts w:cs="Times New Roman"/>
          <w:bCs/>
        </w:rPr>
        <w:t>For academic researchers and students</w:t>
      </w:r>
      <w:r w:rsidRPr="00123984">
        <w:rPr>
          <w:rFonts w:cs="Times New Roman"/>
          <w:b w:val="0"/>
        </w:rPr>
        <w:t>, the study contributes to the existing literature on corporate governance in emerging economies. It also serves as a foundation for further research on governance practices across other banks or sectors.</w:t>
      </w:r>
    </w:p>
    <w:p w14:paraId="0CCEE721" w14:textId="5374E81F" w:rsidR="00123984" w:rsidRPr="00123984" w:rsidRDefault="00123984" w:rsidP="006645C0">
      <w:pPr>
        <w:spacing w:before="0" w:after="0" w:line="276" w:lineRule="auto"/>
        <w:jc w:val="both"/>
        <w:rPr>
          <w:rFonts w:cs="Times New Roman"/>
          <w:b w:val="0"/>
        </w:rPr>
      </w:pPr>
      <w:r>
        <w:rPr>
          <w:rFonts w:cs="Times New Roman"/>
          <w:b w:val="0"/>
        </w:rPr>
        <w:t>F</w:t>
      </w:r>
      <w:r w:rsidRPr="00123984">
        <w:rPr>
          <w:rFonts w:cs="Times New Roman"/>
          <w:b w:val="0"/>
        </w:rPr>
        <w:t>or</w:t>
      </w:r>
      <w:r w:rsidRPr="00123984">
        <w:rPr>
          <w:rFonts w:cs="Times New Roman"/>
          <w:bCs/>
        </w:rPr>
        <w:t xml:space="preserve"> </w:t>
      </w:r>
      <w:proofErr w:type="spellStart"/>
      <w:r w:rsidRPr="00123984">
        <w:rPr>
          <w:rFonts w:cs="Times New Roman"/>
          <w:bCs/>
        </w:rPr>
        <w:t>GTBank</w:t>
      </w:r>
      <w:proofErr w:type="spellEnd"/>
      <w:r w:rsidRPr="00123984">
        <w:rPr>
          <w:rFonts w:cs="Times New Roman"/>
          <w:b w:val="0"/>
        </w:rPr>
        <w:t>, the study may reveal areas of improvement in its governance mechanisms and help it maintain or enhance its competitive edge in the banking sector.</w:t>
      </w:r>
    </w:p>
    <w:p w14:paraId="78859A34" w14:textId="77777777" w:rsidR="00123984" w:rsidRPr="00123984" w:rsidRDefault="00123984" w:rsidP="006645C0">
      <w:pPr>
        <w:spacing w:before="0" w:after="0" w:line="276" w:lineRule="auto"/>
        <w:jc w:val="both"/>
        <w:rPr>
          <w:rFonts w:cs="Times New Roman"/>
          <w:b w:val="0"/>
        </w:rPr>
      </w:pPr>
      <w:r w:rsidRPr="00123984">
        <w:rPr>
          <w:rFonts w:cs="Times New Roman"/>
          <w:b w:val="0"/>
        </w:rPr>
        <w:t>By evaluating the link between governance and performance, the study underscores the strategic role of corporate governance in achieving sustainable financial growth.</w:t>
      </w:r>
    </w:p>
    <w:p w14:paraId="68832660" w14:textId="7A850733" w:rsidR="00123984" w:rsidRPr="00123984" w:rsidRDefault="00AE2753" w:rsidP="006645C0">
      <w:pPr>
        <w:spacing w:before="0" w:after="0" w:line="276" w:lineRule="auto"/>
        <w:jc w:val="both"/>
        <w:rPr>
          <w:rFonts w:cs="Times New Roman"/>
          <w:bCs/>
        </w:rPr>
      </w:pPr>
      <w:r w:rsidRPr="00123984">
        <w:rPr>
          <w:rFonts w:cs="Times New Roman"/>
          <w:bCs/>
        </w:rPr>
        <w:t>1.8</w:t>
      </w:r>
      <w:r w:rsidRPr="00123984">
        <w:rPr>
          <w:rFonts w:cs="Times New Roman"/>
          <w:bCs/>
        </w:rPr>
        <w:tab/>
        <w:t>LIMITATION OF THE STUDY</w:t>
      </w:r>
    </w:p>
    <w:p w14:paraId="7072DC21" w14:textId="77777777" w:rsidR="00123984" w:rsidRPr="00123984" w:rsidRDefault="00123984" w:rsidP="006645C0">
      <w:pPr>
        <w:spacing w:before="0" w:after="0" w:line="276" w:lineRule="auto"/>
        <w:ind w:firstLine="720"/>
        <w:jc w:val="both"/>
        <w:rPr>
          <w:rFonts w:cs="Times New Roman"/>
          <w:b w:val="0"/>
        </w:rPr>
      </w:pPr>
      <w:r w:rsidRPr="00123984">
        <w:rPr>
          <w:rFonts w:cs="Times New Roman"/>
          <w:b w:val="0"/>
        </w:rPr>
        <w:t>This study is limited in several respects. Firstly, it focuses solely on Guaranty Trust Bank (</w:t>
      </w:r>
      <w:proofErr w:type="spellStart"/>
      <w:r w:rsidRPr="00123984">
        <w:rPr>
          <w:rFonts w:cs="Times New Roman"/>
          <w:b w:val="0"/>
        </w:rPr>
        <w:t>GTBank</w:t>
      </w:r>
      <w:proofErr w:type="spellEnd"/>
      <w:r w:rsidRPr="00123984">
        <w:rPr>
          <w:rFonts w:cs="Times New Roman"/>
          <w:b w:val="0"/>
        </w:rPr>
        <w:t xml:space="preserve">), which may restrict the generalizability of the findings to other deposit money banks in Nigeria. While </w:t>
      </w:r>
      <w:proofErr w:type="spellStart"/>
      <w:r w:rsidRPr="00123984">
        <w:rPr>
          <w:rFonts w:cs="Times New Roman"/>
          <w:b w:val="0"/>
        </w:rPr>
        <w:t>GTBank</w:t>
      </w:r>
      <w:proofErr w:type="spellEnd"/>
      <w:r w:rsidRPr="00123984">
        <w:rPr>
          <w:rFonts w:cs="Times New Roman"/>
          <w:b w:val="0"/>
        </w:rPr>
        <w:t xml:space="preserve"> is a leading financial institution, its corporate governance structure and financial performance may differ significantly from those of other banks. Secondly, the study relies heavily on secondary data such as annual reports and financial statements, which may not fully capture internal governance challenges or informal practices. The use of primary data through interviews or questionnaires may also face limitations due to restricted access to key personnel and potential bias in responses. Additionally, the study is confined to the period between 2020 and 2024, which may not reflect long-term trends or the impact of recent regulatory changes. Finally, external factors such as economic instability, inflation, or changes in monetary policy, which could also influence financial performance, are not deeply analyzed, thereby limiting the study’s ability to isolate corporate governance as the sole determinant.</w:t>
      </w:r>
    </w:p>
    <w:p w14:paraId="32AD50CD" w14:textId="65E41858" w:rsidR="00123984" w:rsidRPr="00DA3457" w:rsidRDefault="00FD7AD3" w:rsidP="006645C0">
      <w:pPr>
        <w:spacing w:before="0" w:after="0" w:line="276" w:lineRule="auto"/>
        <w:jc w:val="both"/>
        <w:rPr>
          <w:rFonts w:cs="Times New Roman"/>
          <w:bCs/>
        </w:rPr>
      </w:pPr>
      <w:r w:rsidRPr="00DA3457">
        <w:rPr>
          <w:rFonts w:cs="Times New Roman"/>
          <w:bCs/>
        </w:rPr>
        <w:t>1.9</w:t>
      </w:r>
      <w:r w:rsidRPr="00DA3457">
        <w:rPr>
          <w:rFonts w:cs="Times New Roman"/>
          <w:bCs/>
        </w:rPr>
        <w:tab/>
        <w:t>DEFINITION OF TERMS</w:t>
      </w:r>
    </w:p>
    <w:p w14:paraId="25364800" w14:textId="30C617BF" w:rsidR="00DA3457" w:rsidRPr="00DA3457" w:rsidRDefault="00DA3457" w:rsidP="006645C0">
      <w:pPr>
        <w:spacing w:before="0" w:after="0" w:line="276" w:lineRule="auto"/>
        <w:jc w:val="both"/>
        <w:rPr>
          <w:rFonts w:cs="Times New Roman"/>
          <w:b w:val="0"/>
        </w:rPr>
      </w:pPr>
      <w:r w:rsidRPr="00DA3457">
        <w:rPr>
          <w:rFonts w:cs="Times New Roman"/>
          <w:bCs/>
        </w:rPr>
        <w:t>1. Corporate Governance:</w:t>
      </w:r>
      <w:r w:rsidRPr="00DA3457">
        <w:rPr>
          <w:rFonts w:cs="Times New Roman"/>
          <w:b w:val="0"/>
        </w:rPr>
        <w:t xml:space="preserve"> Corporate governance refers to the system of rules, practices, and processes by which a company is directed and controlled. It involves balancing the interests of stakeholders such as shareholders, management, customers, regulators, and the wider community (Tricker, 2019).</w:t>
      </w:r>
    </w:p>
    <w:p w14:paraId="2E74FFD1" w14:textId="039D44A5" w:rsidR="00DA3457" w:rsidRPr="00DA3457" w:rsidRDefault="00DA3457" w:rsidP="006645C0">
      <w:pPr>
        <w:spacing w:before="0" w:after="0" w:line="276" w:lineRule="auto"/>
        <w:jc w:val="both"/>
        <w:rPr>
          <w:rFonts w:cs="Times New Roman"/>
          <w:b w:val="0"/>
        </w:rPr>
      </w:pPr>
      <w:r w:rsidRPr="00DA3457">
        <w:rPr>
          <w:rFonts w:cs="Times New Roman"/>
          <w:bCs/>
        </w:rPr>
        <w:t>2. Financial Performance:</w:t>
      </w:r>
      <w:r w:rsidRPr="00DA3457">
        <w:rPr>
          <w:rFonts w:cs="Times New Roman"/>
          <w:b w:val="0"/>
        </w:rPr>
        <w:t xml:space="preserve"> Financial performance is a measure of how well a firm uses its assets to generate revenue and profit. It is typically assessed using indicators such as Return on Assets (ROA), Return on Equity (ROE), Net Profit Margin, and Earnings Per Share (EPS).</w:t>
      </w:r>
    </w:p>
    <w:p w14:paraId="5986CA45" w14:textId="784DB85B" w:rsidR="00DA3457" w:rsidRPr="00DA3457" w:rsidRDefault="00DA3457" w:rsidP="006645C0">
      <w:pPr>
        <w:spacing w:before="0" w:after="0" w:line="276" w:lineRule="auto"/>
        <w:jc w:val="both"/>
        <w:rPr>
          <w:rFonts w:cs="Times New Roman"/>
          <w:b w:val="0"/>
        </w:rPr>
      </w:pPr>
      <w:r w:rsidRPr="00DA3457">
        <w:rPr>
          <w:rFonts w:cs="Times New Roman"/>
          <w:bCs/>
        </w:rPr>
        <w:t>3. Deposit Money Banks</w:t>
      </w:r>
      <w:r w:rsidRPr="00DA3457">
        <w:rPr>
          <w:rFonts w:cs="Times New Roman"/>
          <w:b w:val="0"/>
        </w:rPr>
        <w:t xml:space="preserve"> These are financial institutions licensed by the Central Bank of Nigeria (CBN) to accept deposits from the public, provide loans, and offer other financial services. </w:t>
      </w:r>
      <w:proofErr w:type="spellStart"/>
      <w:r w:rsidRPr="00DA3457">
        <w:rPr>
          <w:rFonts w:cs="Times New Roman"/>
          <w:b w:val="0"/>
        </w:rPr>
        <w:t>GTBank</w:t>
      </w:r>
      <w:proofErr w:type="spellEnd"/>
      <w:r w:rsidRPr="00DA3457">
        <w:rPr>
          <w:rFonts w:cs="Times New Roman"/>
          <w:b w:val="0"/>
        </w:rPr>
        <w:t xml:space="preserve"> is an example of a deposit money bank in Nigeria.</w:t>
      </w:r>
    </w:p>
    <w:p w14:paraId="230A8EA3" w14:textId="2B6B4765" w:rsidR="00DA3457" w:rsidRPr="00DA3457" w:rsidRDefault="00DA3457" w:rsidP="006645C0">
      <w:pPr>
        <w:spacing w:before="0" w:after="0" w:line="276" w:lineRule="auto"/>
        <w:jc w:val="both"/>
        <w:rPr>
          <w:rFonts w:cs="Times New Roman"/>
          <w:b w:val="0"/>
        </w:rPr>
      </w:pPr>
      <w:r w:rsidRPr="00DA3457">
        <w:rPr>
          <w:rFonts w:cs="Times New Roman"/>
          <w:bCs/>
        </w:rPr>
        <w:lastRenderedPageBreak/>
        <w:t>4. Board Composition:</w:t>
      </w:r>
      <w:r w:rsidRPr="00DA3457">
        <w:rPr>
          <w:rFonts w:cs="Times New Roman"/>
          <w:b w:val="0"/>
        </w:rPr>
        <w:t xml:space="preserve"> Board composition refers to the structure of the board of directors, including the number of executive and non-executive directors, their qualifications, independence, and diversity, which influence governance effectiveness.</w:t>
      </w:r>
    </w:p>
    <w:p w14:paraId="670EC753" w14:textId="1608E2EF" w:rsidR="00DA3457" w:rsidRPr="00DA3457" w:rsidRDefault="00DA3457" w:rsidP="006645C0">
      <w:pPr>
        <w:spacing w:before="0" w:after="0" w:line="276" w:lineRule="auto"/>
        <w:jc w:val="both"/>
        <w:rPr>
          <w:rFonts w:cs="Times New Roman"/>
          <w:b w:val="0"/>
        </w:rPr>
      </w:pPr>
      <w:r w:rsidRPr="00DA3457">
        <w:rPr>
          <w:rFonts w:cs="Times New Roman"/>
          <w:bCs/>
        </w:rPr>
        <w:t>5. Audit Committee:</w:t>
      </w:r>
      <w:r w:rsidRPr="00DA3457">
        <w:rPr>
          <w:rFonts w:cs="Times New Roman"/>
          <w:b w:val="0"/>
        </w:rPr>
        <w:t xml:space="preserve"> An audit committee is a subcommittee of the board of directors responsible for overseeing financial reporting, internal controls, and compliance with regulatory standards. Its effectiveness is crucial to maintaining transparency and accountability.</w:t>
      </w:r>
    </w:p>
    <w:p w14:paraId="3D019943" w14:textId="52B567F6" w:rsidR="00DA3457" w:rsidRPr="00DA3457" w:rsidRDefault="00DA3457" w:rsidP="006645C0">
      <w:pPr>
        <w:spacing w:before="0" w:after="0" w:line="276" w:lineRule="auto"/>
        <w:jc w:val="both"/>
        <w:rPr>
          <w:rFonts w:cs="Times New Roman"/>
          <w:b w:val="0"/>
        </w:rPr>
      </w:pPr>
      <w:r w:rsidRPr="00DA3457">
        <w:rPr>
          <w:rFonts w:cs="Times New Roman"/>
          <w:bCs/>
        </w:rPr>
        <w:t>6. Ownership Structure:</w:t>
      </w:r>
      <w:r w:rsidRPr="00DA3457">
        <w:rPr>
          <w:rFonts w:cs="Times New Roman"/>
          <w:b w:val="0"/>
        </w:rPr>
        <w:t xml:space="preserve"> This term describes the distribution of ownership rights in a company, including the proportion held by individuals, institutional investors, or government bodies. Ownership structure can affect decision-making and control within the bank.</w:t>
      </w:r>
    </w:p>
    <w:p w14:paraId="01617E94" w14:textId="14EC8DD3" w:rsidR="00DA3457" w:rsidRPr="00DA3457" w:rsidRDefault="00DA3457" w:rsidP="006645C0">
      <w:pPr>
        <w:spacing w:before="0" w:after="0" w:line="276" w:lineRule="auto"/>
        <w:jc w:val="both"/>
        <w:rPr>
          <w:rFonts w:cs="Times New Roman"/>
          <w:b w:val="0"/>
        </w:rPr>
      </w:pPr>
      <w:r w:rsidRPr="00DA3457">
        <w:rPr>
          <w:rFonts w:cs="Times New Roman"/>
          <w:bCs/>
        </w:rPr>
        <w:t>7. Management Accountability:</w:t>
      </w:r>
      <w:r w:rsidRPr="00DA3457">
        <w:rPr>
          <w:rFonts w:cs="Times New Roman"/>
          <w:b w:val="0"/>
        </w:rPr>
        <w:t xml:space="preserve"> Management accountability refers to the obligation of the bank's executives to act in the best interests of stakeholders and to be answerable for their actions and decisions through proper reporting and transparency.</w:t>
      </w:r>
    </w:p>
    <w:p w14:paraId="7CDB9441" w14:textId="124EBE55" w:rsidR="003B74AB" w:rsidRDefault="003B74AB" w:rsidP="006645C0">
      <w:pPr>
        <w:spacing w:before="0" w:after="0" w:line="276" w:lineRule="auto"/>
        <w:rPr>
          <w:rFonts w:cs="Times New Roman"/>
          <w:b w:val="0"/>
        </w:rPr>
      </w:pPr>
      <w:r>
        <w:rPr>
          <w:rFonts w:cs="Times New Roman"/>
          <w:b w:val="0"/>
        </w:rPr>
        <w:br w:type="page"/>
      </w:r>
    </w:p>
    <w:p w14:paraId="71E88D21" w14:textId="0E075EBB" w:rsidR="00123984" w:rsidRPr="00FD7AD3" w:rsidRDefault="00575636" w:rsidP="006645C0">
      <w:pPr>
        <w:spacing w:before="0" w:after="0" w:line="276" w:lineRule="auto"/>
        <w:jc w:val="center"/>
        <w:rPr>
          <w:rFonts w:cs="Times New Roman"/>
          <w:bCs/>
        </w:rPr>
      </w:pPr>
      <w:r w:rsidRPr="00FD7AD3">
        <w:rPr>
          <w:rFonts w:cs="Times New Roman"/>
          <w:bCs/>
        </w:rPr>
        <w:lastRenderedPageBreak/>
        <w:t>CHAPTER TWO</w:t>
      </w:r>
    </w:p>
    <w:p w14:paraId="1B9AC4AA" w14:textId="0A672218" w:rsidR="00575636" w:rsidRDefault="00F71D2B" w:rsidP="006645C0">
      <w:pPr>
        <w:spacing w:before="0" w:after="0" w:line="276" w:lineRule="auto"/>
        <w:jc w:val="center"/>
        <w:rPr>
          <w:rFonts w:cs="Times New Roman"/>
          <w:bCs/>
        </w:rPr>
      </w:pPr>
      <w:r w:rsidRPr="00FD7AD3">
        <w:rPr>
          <w:rFonts w:cs="Times New Roman"/>
          <w:bCs/>
        </w:rPr>
        <w:t>LITERATURE REVIEW</w:t>
      </w:r>
    </w:p>
    <w:p w14:paraId="3FE71D82" w14:textId="6BAB526F" w:rsidR="00A15F4D" w:rsidRDefault="00A15F4D" w:rsidP="006645C0">
      <w:pPr>
        <w:spacing w:before="0" w:after="0" w:line="276" w:lineRule="auto"/>
        <w:rPr>
          <w:rFonts w:cs="Times New Roman"/>
          <w:bCs/>
        </w:rPr>
      </w:pPr>
      <w:r>
        <w:rPr>
          <w:rFonts w:cs="Times New Roman"/>
          <w:bCs/>
        </w:rPr>
        <w:t>2.1 INTRODUCTION</w:t>
      </w:r>
    </w:p>
    <w:p w14:paraId="151CC017" w14:textId="37D02DDC" w:rsidR="00A15F4D" w:rsidRPr="00A15F4D" w:rsidRDefault="00E874CB" w:rsidP="006645C0">
      <w:pPr>
        <w:spacing w:before="0" w:after="0" w:line="276" w:lineRule="auto"/>
        <w:jc w:val="both"/>
        <w:rPr>
          <w:rFonts w:cs="Times New Roman"/>
          <w:b w:val="0"/>
        </w:rPr>
      </w:pPr>
      <w:r>
        <w:rPr>
          <w:rFonts w:cs="Times New Roman"/>
          <w:b w:val="0"/>
        </w:rPr>
        <w:t>This chapter</w:t>
      </w:r>
      <w:r w:rsidR="00A15F4D" w:rsidRPr="00A15F4D">
        <w:rPr>
          <w:rFonts w:cs="Times New Roman"/>
          <w:b w:val="0"/>
        </w:rPr>
        <w:t xml:space="preserve"> presents a comprehensive review of existing literature related to corporate governance and its impact on the financial performance of banks, with a particular focus on Guaranty Trust Bank (</w:t>
      </w:r>
      <w:proofErr w:type="spellStart"/>
      <w:r w:rsidR="00A15F4D" w:rsidRPr="00A15F4D">
        <w:rPr>
          <w:rFonts w:cs="Times New Roman"/>
          <w:b w:val="0"/>
        </w:rPr>
        <w:t>GTBank</w:t>
      </w:r>
      <w:proofErr w:type="spellEnd"/>
      <w:r w:rsidR="00A15F4D" w:rsidRPr="00A15F4D">
        <w:rPr>
          <w:rFonts w:cs="Times New Roman"/>
          <w:b w:val="0"/>
        </w:rPr>
        <w:t>). The purpose of this chapter is to establish a theoretical foundation for understanding how various corporate governance mechanisms, particularly board composition and the effectiveness of audit committees, influence the financial outcomes of banks.</w:t>
      </w:r>
    </w:p>
    <w:p w14:paraId="0B01E04A" w14:textId="77777777" w:rsidR="00A15F4D" w:rsidRPr="00A15F4D" w:rsidRDefault="00A15F4D" w:rsidP="006645C0">
      <w:pPr>
        <w:spacing w:before="0" w:after="0" w:line="276" w:lineRule="auto"/>
        <w:jc w:val="both"/>
        <w:rPr>
          <w:rFonts w:cs="Times New Roman"/>
          <w:b w:val="0"/>
        </w:rPr>
      </w:pPr>
      <w:r w:rsidRPr="00A15F4D">
        <w:rPr>
          <w:rFonts w:cs="Times New Roman"/>
          <w:b w:val="0"/>
        </w:rPr>
        <w:t>The chapter begins by reviewing key concepts in corporate governance, followed by a detailed examination of how board composition, as a governance structure, affects the decision-making processes within financial institutions. The literature also explores the crucial role of audit committees in ensuring financial accountability, transparency, and stability, which are essential for the financial health of banks.</w:t>
      </w:r>
    </w:p>
    <w:p w14:paraId="6206379E" w14:textId="77777777" w:rsidR="00A15F4D" w:rsidRPr="00A15F4D" w:rsidRDefault="00A15F4D" w:rsidP="006645C0">
      <w:pPr>
        <w:spacing w:before="0" w:after="0" w:line="276" w:lineRule="auto"/>
        <w:jc w:val="both"/>
        <w:rPr>
          <w:rFonts w:cs="Times New Roman"/>
          <w:b w:val="0"/>
        </w:rPr>
      </w:pPr>
      <w:r w:rsidRPr="00A15F4D">
        <w:rPr>
          <w:rFonts w:cs="Times New Roman"/>
          <w:b w:val="0"/>
        </w:rPr>
        <w:t>In addition to these specific governance mechanisms, this chapter highlights relevant empirical studies that examine the relationship between corporate governance and financial performance in the banking sector. These studies provide insights into how governance structures impact key financial indicators such as profitability, liquidity, and overall financial stability.</w:t>
      </w:r>
    </w:p>
    <w:p w14:paraId="2390A635" w14:textId="77777777" w:rsidR="00A15F4D" w:rsidRPr="00A15F4D" w:rsidRDefault="00A15F4D" w:rsidP="006645C0">
      <w:pPr>
        <w:spacing w:before="0" w:after="0" w:line="276" w:lineRule="auto"/>
        <w:jc w:val="both"/>
        <w:rPr>
          <w:rFonts w:cs="Times New Roman"/>
          <w:b w:val="0"/>
        </w:rPr>
      </w:pPr>
      <w:r w:rsidRPr="00A15F4D">
        <w:rPr>
          <w:rFonts w:cs="Times New Roman"/>
          <w:b w:val="0"/>
        </w:rPr>
        <w:t xml:space="preserve">By synthesizing findings from various sources, this literature review aims to identify gaps in existing research and provide a clear theoretical framework for evaluating the impact of corporate governance on the financial performance of </w:t>
      </w:r>
      <w:proofErr w:type="spellStart"/>
      <w:r w:rsidRPr="00A15F4D">
        <w:rPr>
          <w:rFonts w:cs="Times New Roman"/>
          <w:b w:val="0"/>
        </w:rPr>
        <w:t>GTBank</w:t>
      </w:r>
      <w:proofErr w:type="spellEnd"/>
      <w:r w:rsidRPr="00A15F4D">
        <w:rPr>
          <w:rFonts w:cs="Times New Roman"/>
          <w:b w:val="0"/>
        </w:rPr>
        <w:t>. The insights gained from this review will help inform the research hypotheses and guide the subsequent analysis of the relationship between corporate governance and financial performance in the Nigerian banking sector.</w:t>
      </w:r>
    </w:p>
    <w:p w14:paraId="35D3F00F" w14:textId="77777777" w:rsidR="00A15F4D" w:rsidRPr="00A15F4D" w:rsidRDefault="00A15F4D" w:rsidP="006645C0">
      <w:pPr>
        <w:spacing w:before="0" w:after="0" w:line="276" w:lineRule="auto"/>
        <w:rPr>
          <w:rFonts w:cs="Times New Roman"/>
          <w:b w:val="0"/>
        </w:rPr>
      </w:pPr>
    </w:p>
    <w:p w14:paraId="4BBD90B5" w14:textId="7997F196" w:rsidR="00C95912" w:rsidRPr="00FD7AD3" w:rsidRDefault="00FD7AD3" w:rsidP="006645C0">
      <w:pPr>
        <w:spacing w:before="0" w:after="0" w:line="276" w:lineRule="auto"/>
        <w:rPr>
          <w:rFonts w:cs="Times New Roman"/>
          <w:bCs/>
        </w:rPr>
      </w:pPr>
      <w:r w:rsidRPr="00FD7AD3">
        <w:rPr>
          <w:rFonts w:cs="Times New Roman"/>
          <w:bCs/>
        </w:rPr>
        <w:t>2.</w:t>
      </w:r>
      <w:r w:rsidR="00173649">
        <w:rPr>
          <w:rFonts w:cs="Times New Roman"/>
          <w:bCs/>
        </w:rPr>
        <w:t>2</w:t>
      </w:r>
      <w:r w:rsidRPr="00FD7AD3">
        <w:rPr>
          <w:rFonts w:cs="Times New Roman"/>
          <w:bCs/>
        </w:rPr>
        <w:tab/>
        <w:t>CONCEPTUAL FRAMEWORK</w:t>
      </w:r>
    </w:p>
    <w:p w14:paraId="0CEDE33E" w14:textId="303D5F61" w:rsidR="00272D6E" w:rsidRPr="00B6333C" w:rsidRDefault="00475E7B" w:rsidP="006645C0">
      <w:pPr>
        <w:spacing w:before="0" w:after="0" w:line="276" w:lineRule="auto"/>
        <w:jc w:val="both"/>
        <w:rPr>
          <w:rFonts w:cs="Times New Roman"/>
        </w:rPr>
      </w:pPr>
      <w:r w:rsidRPr="00B6333C">
        <w:rPr>
          <w:rFonts w:cs="Times New Roman"/>
        </w:rPr>
        <w:t>2.</w:t>
      </w:r>
      <w:r w:rsidR="00173649">
        <w:rPr>
          <w:rFonts w:cs="Times New Roman"/>
        </w:rPr>
        <w:t>2</w:t>
      </w:r>
      <w:r w:rsidRPr="00B6333C">
        <w:rPr>
          <w:rFonts w:cs="Times New Roman"/>
        </w:rPr>
        <w:t>.1</w:t>
      </w:r>
      <w:r w:rsidRPr="00B6333C">
        <w:rPr>
          <w:rFonts w:cs="Times New Roman"/>
        </w:rPr>
        <w:tab/>
      </w:r>
      <w:r w:rsidR="00B6333C" w:rsidRPr="00B6333C">
        <w:rPr>
          <w:rFonts w:cs="Times New Roman"/>
        </w:rPr>
        <w:t xml:space="preserve">CONCEPT OF </w:t>
      </w:r>
      <w:r w:rsidRPr="00B6333C">
        <w:rPr>
          <w:rFonts w:cs="Times New Roman"/>
        </w:rPr>
        <w:t xml:space="preserve">CORPORATE GOVERNANCE </w:t>
      </w:r>
    </w:p>
    <w:p w14:paraId="330391C3" w14:textId="3370F2C8" w:rsidR="002A6CBC" w:rsidRPr="002A6CBC" w:rsidRDefault="002A6CBC" w:rsidP="006645C0">
      <w:pPr>
        <w:spacing w:before="0" w:after="0" w:line="276" w:lineRule="auto"/>
        <w:jc w:val="both"/>
        <w:rPr>
          <w:rFonts w:cs="Times New Roman"/>
          <w:b w:val="0"/>
          <w:bCs/>
        </w:rPr>
      </w:pPr>
      <w:r w:rsidRPr="001D26DF">
        <w:rPr>
          <w:rFonts w:cs="Times New Roman"/>
          <w:b w:val="0"/>
          <w:bCs/>
        </w:rPr>
        <w:t>The concept of corporate governance takes its lead from a Greek word “</w:t>
      </w:r>
      <w:proofErr w:type="spellStart"/>
      <w:r w:rsidRPr="001D26DF">
        <w:rPr>
          <w:rFonts w:cs="Times New Roman"/>
          <w:b w:val="0"/>
          <w:bCs/>
        </w:rPr>
        <w:t>kyberman</w:t>
      </w:r>
      <w:proofErr w:type="spellEnd"/>
      <w:r w:rsidRPr="001D26DF">
        <w:rPr>
          <w:rFonts w:cs="Times New Roman"/>
          <w:b w:val="0"/>
          <w:bCs/>
        </w:rPr>
        <w:t>” meaning to steer, guide and govern; it then revolved to Latin, where it was known as “</w:t>
      </w:r>
      <w:proofErr w:type="spellStart"/>
      <w:r w:rsidRPr="001D26DF">
        <w:rPr>
          <w:rFonts w:cs="Times New Roman"/>
          <w:b w:val="0"/>
          <w:bCs/>
        </w:rPr>
        <w:t>gubernare</w:t>
      </w:r>
      <w:proofErr w:type="spellEnd"/>
      <w:r w:rsidRPr="001D26DF">
        <w:rPr>
          <w:rFonts w:cs="Times New Roman"/>
          <w:b w:val="0"/>
          <w:bCs/>
        </w:rPr>
        <w:t>” and to French as “governor”. To be precise, corporate governance is the process of decisions making and the process by which decisions may be implemented, hence forth, it has much a different meaning to different organizations (Abu-</w:t>
      </w:r>
      <w:proofErr w:type="spellStart"/>
      <w:r w:rsidRPr="001D26DF">
        <w:rPr>
          <w:rFonts w:cs="Times New Roman"/>
          <w:b w:val="0"/>
          <w:bCs/>
        </w:rPr>
        <w:t>Tapanjeh</w:t>
      </w:r>
      <w:proofErr w:type="spellEnd"/>
      <w:r w:rsidRPr="001D26DF">
        <w:rPr>
          <w:rFonts w:cs="Times New Roman"/>
          <w:b w:val="0"/>
          <w:bCs/>
        </w:rPr>
        <w:t>, 2008). In recent years, corporate governance was seen as a system of checks and balances between/among the board, management and investors so as to produce an efficiently functioning corporation, ideally geared to produce long-term value (Brancato and Plath, 2013). Jayashree (2016) defines it thus: “Corporate Governance when used in the context of business organization is a system of making directors accountable to shareholders for effective management of the companies in the best interest of the company and the shareholders along with concern for ethics and values.</w:t>
      </w:r>
    </w:p>
    <w:p w14:paraId="7DBB775D" w14:textId="77777777" w:rsidR="002D64C5" w:rsidRPr="002D64C5" w:rsidRDefault="002D64C5" w:rsidP="006645C0">
      <w:pPr>
        <w:spacing w:before="0" w:after="0" w:line="276" w:lineRule="auto"/>
        <w:jc w:val="both"/>
        <w:rPr>
          <w:rFonts w:cs="Times New Roman"/>
          <w:b w:val="0"/>
        </w:rPr>
      </w:pPr>
      <w:r w:rsidRPr="002D64C5">
        <w:rPr>
          <w:rFonts w:cs="Times New Roman"/>
          <w:b w:val="0"/>
        </w:rPr>
        <w:t xml:space="preserve">Corporate governance refers to the system by which companies are directed and controlled. It involves the structures, processes, and relationships through which corporations are managed, ensuring that the interests of all stakeholders, including shareholders, employees, customers, and regulators, are considered. In essence, corporate governance dictates how decisions are made, who has the authority to make them, and how the interests of various stakeholders are aligned with the overall objectives of the organization. Effective corporate governance is vital for promoting </w:t>
      </w:r>
      <w:r w:rsidRPr="002D64C5">
        <w:rPr>
          <w:rFonts w:cs="Times New Roman"/>
          <w:b w:val="0"/>
        </w:rPr>
        <w:lastRenderedPageBreak/>
        <w:t>transparency, accountability, and ethical conduct, ultimately contributing to the sustainable success of the company. Particularly in financial institutions such as banks, good governance ensures that risks are properly managed and resources are allocated efficiently, reducing the possibility of financial mismanagement and crises (Alhassan, 2021). This is especially crucial for banks, as their primary role involves managing public trust and handling large volumes of capital, and any lapse in governance can lead to significant financial and reputational consequences.</w:t>
      </w:r>
    </w:p>
    <w:p w14:paraId="1BDF2D63" w14:textId="77777777" w:rsidR="002D64C5" w:rsidRPr="002D64C5" w:rsidRDefault="002D64C5" w:rsidP="006645C0">
      <w:pPr>
        <w:spacing w:before="0" w:after="0" w:line="276" w:lineRule="auto"/>
        <w:jc w:val="both"/>
        <w:rPr>
          <w:rFonts w:cs="Times New Roman"/>
          <w:b w:val="0"/>
        </w:rPr>
      </w:pPr>
      <w:r w:rsidRPr="002D64C5">
        <w:rPr>
          <w:rFonts w:cs="Times New Roman"/>
          <w:b w:val="0"/>
        </w:rPr>
        <w:t>In the banking sector, corporate governance is a fundamental determinant of financial performance. Strong governance structures help ensure that a bank operates within the bounds of regulations, maintains adequate liquidity, and practices sound risk management strategies. This is important because banks are highly regulated entities that are often exposed to significant risks, including credit risk, market risk, operational risk, and liquidity risk. Therefore, a well-structured governance framework that includes an effective board of directors, audit committee, and robust internal controls is crucial for mitigating these risks and maintaining financial stability (Ahmed &amp; Baig, 2020). Poor governance can result in financial instability, poor decision-making, and weak risk controls, ultimately affecting the bank's profitability and its ability to meet its obligations. Consequently, effective corporate governance has a direct impact on a bank's financial performance, including key metrics such as profitability, asset quality, capital adequacy, and liquidity (</w:t>
      </w:r>
      <w:proofErr w:type="spellStart"/>
      <w:r w:rsidRPr="002D64C5">
        <w:rPr>
          <w:rFonts w:cs="Times New Roman"/>
          <w:b w:val="0"/>
        </w:rPr>
        <w:t>Akinbode</w:t>
      </w:r>
      <w:proofErr w:type="spellEnd"/>
      <w:r w:rsidRPr="002D64C5">
        <w:rPr>
          <w:rFonts w:cs="Times New Roman"/>
          <w:b w:val="0"/>
        </w:rPr>
        <w:t xml:space="preserve"> &amp; </w:t>
      </w:r>
      <w:proofErr w:type="spellStart"/>
      <w:r w:rsidRPr="002D64C5">
        <w:rPr>
          <w:rFonts w:cs="Times New Roman"/>
          <w:b w:val="0"/>
        </w:rPr>
        <w:t>Olayanju</w:t>
      </w:r>
      <w:proofErr w:type="spellEnd"/>
      <w:r w:rsidRPr="002D64C5">
        <w:rPr>
          <w:rFonts w:cs="Times New Roman"/>
          <w:b w:val="0"/>
        </w:rPr>
        <w:t>, 2022). Furthermore, financial institutions with sound governance structures are better positioned to attract investments, maintain stakeholder confidence, and ensure long-term growth.</w:t>
      </w:r>
    </w:p>
    <w:p w14:paraId="5BDCF984" w14:textId="77777777" w:rsidR="002D64C5" w:rsidRPr="002D64C5" w:rsidRDefault="002D64C5" w:rsidP="006645C0">
      <w:pPr>
        <w:spacing w:before="0" w:after="0" w:line="276" w:lineRule="auto"/>
        <w:jc w:val="both"/>
        <w:rPr>
          <w:rFonts w:cs="Times New Roman"/>
          <w:b w:val="0"/>
        </w:rPr>
      </w:pPr>
      <w:r w:rsidRPr="002D64C5">
        <w:rPr>
          <w:rFonts w:cs="Times New Roman"/>
          <w:b w:val="0"/>
        </w:rPr>
        <w:t>The core components of corporate governance include the board of directors, the audit committee, and shareholder rights. The board of directors is responsible for overseeing the management of the bank, ensuring that it operates in the best interests of shareholders and other stakeholders. A well-composed board that includes both executive and non-executive directors brings diverse expertise, which enhances decision-making and oversight (Kariuki &amp; Kinyua, 2021). The composition of the board is critical because it influences the level of independence, transparency, and accountability within the bank’s governance structure. Non-executive directors, especially those with relevant expertise in banking and finance, can provide objective oversight, challenge management decisions when necessary, and bring valuable perspectives to strategic decisions. Additionally, the separation of the roles of CEO and Chairman of the Board can prevent any concentration of power, ensuring that there is a check and balance in decision-making processes (Thompson, 2023). This structure helps improve the quality of corporate governance by making management more accountable and reducing potential conflicts of interest.</w:t>
      </w:r>
    </w:p>
    <w:p w14:paraId="475D32E4" w14:textId="77777777" w:rsidR="002D64C5" w:rsidRPr="002D64C5" w:rsidRDefault="002D64C5" w:rsidP="006645C0">
      <w:pPr>
        <w:spacing w:before="0" w:after="0" w:line="276" w:lineRule="auto"/>
        <w:jc w:val="both"/>
        <w:rPr>
          <w:rFonts w:cs="Times New Roman"/>
          <w:b w:val="0"/>
        </w:rPr>
      </w:pPr>
      <w:r w:rsidRPr="002D64C5">
        <w:rPr>
          <w:rFonts w:cs="Times New Roman"/>
          <w:b w:val="0"/>
        </w:rPr>
        <w:t xml:space="preserve">Another essential governance mechanism in banks is the audit committee. The audit committee is responsible for ensuring the integrity of the bank's financial reporting, monitoring internal controls, and overseeing the external auditing process. An independent and effective audit committee helps to ensure that the bank’s financial statements are accurate, reliable, and free from material misstatements. In addition, the committee plays a crucial role in identifying and addressing any weaknesses in internal controls or financial reporting procedures (Okoye &amp; Ige, 2020). The role of the audit committee in safeguarding the integrity of financial statements and ensuring compliance with regulatory standards cannot be overstated, as poor financial reporting can lead to significant financial losses and reputational damage. Studies have shown that banks with strong </w:t>
      </w:r>
      <w:r w:rsidRPr="002D64C5">
        <w:rPr>
          <w:rFonts w:cs="Times New Roman"/>
          <w:b w:val="0"/>
        </w:rPr>
        <w:lastRenderedPageBreak/>
        <w:t>and independent audit committees are less likely to face financial scandals and regulatory penalties, and they tend to perform better financially in the long term (Chijioke &amp; Ogunleye, 2021). As such, the effectiveness of the audit committee is a crucial determinant of a bank's financial performance and overall corporate governance.</w:t>
      </w:r>
    </w:p>
    <w:p w14:paraId="5D762AEB" w14:textId="77777777" w:rsidR="002D64C5" w:rsidRPr="002D64C5" w:rsidRDefault="002D64C5" w:rsidP="006645C0">
      <w:pPr>
        <w:spacing w:before="0" w:after="0" w:line="276" w:lineRule="auto"/>
        <w:jc w:val="both"/>
        <w:rPr>
          <w:rFonts w:cs="Times New Roman"/>
          <w:b w:val="0"/>
        </w:rPr>
      </w:pPr>
      <w:r w:rsidRPr="002D64C5">
        <w:rPr>
          <w:rFonts w:cs="Times New Roman"/>
          <w:b w:val="0"/>
        </w:rPr>
        <w:t>Corporate governance also includes the protection of shareholder rights. Shareholders, particularly institutional investors, play a significant role in shaping the governance practices of banks. Ensuring that shareholders' rights are protected and that they have an avenue for participating in key decisions through mechanisms like annual general meetings (AGMs) fosters transparency and accountability. Shareholder engagement can encourage management to adopt strategies that maximize long-term shareholder value and safeguard the interests of all stakeholders (</w:t>
      </w:r>
      <w:proofErr w:type="spellStart"/>
      <w:r w:rsidRPr="002D64C5">
        <w:rPr>
          <w:rFonts w:cs="Times New Roman"/>
          <w:b w:val="0"/>
        </w:rPr>
        <w:t>Owolabi</w:t>
      </w:r>
      <w:proofErr w:type="spellEnd"/>
      <w:r w:rsidRPr="002D64C5">
        <w:rPr>
          <w:rFonts w:cs="Times New Roman"/>
          <w:b w:val="0"/>
        </w:rPr>
        <w:t xml:space="preserve"> &amp; </w:t>
      </w:r>
      <w:proofErr w:type="spellStart"/>
      <w:r w:rsidRPr="002D64C5">
        <w:rPr>
          <w:rFonts w:cs="Times New Roman"/>
          <w:b w:val="0"/>
        </w:rPr>
        <w:t>Olowookere</w:t>
      </w:r>
      <w:proofErr w:type="spellEnd"/>
      <w:r w:rsidRPr="002D64C5">
        <w:rPr>
          <w:rFonts w:cs="Times New Roman"/>
          <w:b w:val="0"/>
        </w:rPr>
        <w:t>, 2023). Furthermore, ensuring that shareholders have access to timely and accurate information about the bank’s financial status and governance practices strengthens market confidence and supports the bank’s financial performance. Proper engagement with shareholders also ensures that management remains aligned with the interests of the owners and stakeholders, minimizing the risk of decisions that could undermine the bank’s financial stability (Olawale &amp; Ojo, 2022).</w:t>
      </w:r>
    </w:p>
    <w:p w14:paraId="19596E43" w14:textId="77777777" w:rsidR="002D64C5" w:rsidRPr="002D64C5" w:rsidRDefault="002D64C5" w:rsidP="006645C0">
      <w:pPr>
        <w:spacing w:before="0" w:after="0" w:line="276" w:lineRule="auto"/>
        <w:jc w:val="both"/>
        <w:rPr>
          <w:rFonts w:cs="Times New Roman"/>
          <w:b w:val="0"/>
        </w:rPr>
      </w:pPr>
      <w:r w:rsidRPr="002D64C5">
        <w:rPr>
          <w:rFonts w:cs="Times New Roman"/>
          <w:b w:val="0"/>
        </w:rPr>
        <w:t>Finally, adherence to regulatory compliance is a fundamental component of corporate governance in banks. Regulatory frameworks, such as the Basel Accords and national banking regulations, are designed to ensure that banks maintain adequate capital, follow sound risk management practices, and operate within legal and ethical boundaries. Effective governance helps ensure that the bank complies with these regulations, thereby minimizing the risk of regulatory penalties and maintaining financial stability (Adebayo &amp; Ayo, 2021). For example, the Central Bank of Nigeria (CBN) and other regulatory bodies impose stringent rules on banks to ensure that they operate safely and soundly. A bank that adheres to these regulations is more likely to avoid legal challenges, reputational damage, and financial instability, which positively influences its overall financial performance.</w:t>
      </w:r>
    </w:p>
    <w:p w14:paraId="16E7C19B" w14:textId="1E0181A6" w:rsidR="002D64C5" w:rsidRPr="002D64C5" w:rsidRDefault="00173649" w:rsidP="006645C0">
      <w:pPr>
        <w:spacing w:before="0" w:after="0" w:line="276" w:lineRule="auto"/>
        <w:jc w:val="both"/>
        <w:rPr>
          <w:rFonts w:cs="Times New Roman"/>
          <w:b w:val="0"/>
        </w:rPr>
      </w:pPr>
      <w:r>
        <w:rPr>
          <w:rFonts w:cs="Times New Roman"/>
          <w:b w:val="0"/>
        </w:rPr>
        <w:t>C</w:t>
      </w:r>
      <w:r w:rsidR="002D64C5" w:rsidRPr="002D64C5">
        <w:rPr>
          <w:rFonts w:cs="Times New Roman"/>
          <w:b w:val="0"/>
        </w:rPr>
        <w:t xml:space="preserve">orporate governance plays a pivotal role in the financial performance of banks by ensuring that management is accountable, risks are properly managed, and shareholder interests are protected. The board of directors, the audit committee, shareholder rights, and regulatory compliance are all key components that contribute to effective corporate governance in financial institutions. Banks with strong governance frameworks are better able to manage risks, maintain liquidity, and perform well financially, which ultimately enhances investor confidence and promotes long-term sustainability. In the case of Nigerian banks like </w:t>
      </w:r>
      <w:proofErr w:type="spellStart"/>
      <w:r w:rsidR="002D64C5" w:rsidRPr="002D64C5">
        <w:rPr>
          <w:rFonts w:cs="Times New Roman"/>
          <w:b w:val="0"/>
        </w:rPr>
        <w:t>GTBank</w:t>
      </w:r>
      <w:proofErr w:type="spellEnd"/>
      <w:r w:rsidR="002D64C5" w:rsidRPr="002D64C5">
        <w:rPr>
          <w:rFonts w:cs="Times New Roman"/>
          <w:b w:val="0"/>
        </w:rPr>
        <w:t>, good corporate governance practices are essential for maintaining financial stability, meeting regulatory requirements, and ensuring profitability (</w:t>
      </w:r>
      <w:proofErr w:type="spellStart"/>
      <w:r w:rsidR="002D64C5" w:rsidRPr="002D64C5">
        <w:rPr>
          <w:rFonts w:cs="Times New Roman"/>
          <w:b w:val="0"/>
        </w:rPr>
        <w:t>Akinbode</w:t>
      </w:r>
      <w:proofErr w:type="spellEnd"/>
      <w:r w:rsidR="002D64C5" w:rsidRPr="002D64C5">
        <w:rPr>
          <w:rFonts w:cs="Times New Roman"/>
          <w:b w:val="0"/>
        </w:rPr>
        <w:t xml:space="preserve"> &amp; </w:t>
      </w:r>
      <w:proofErr w:type="spellStart"/>
      <w:r w:rsidR="002D64C5" w:rsidRPr="002D64C5">
        <w:rPr>
          <w:rFonts w:cs="Times New Roman"/>
          <w:b w:val="0"/>
        </w:rPr>
        <w:t>Olayanju</w:t>
      </w:r>
      <w:proofErr w:type="spellEnd"/>
      <w:r w:rsidR="002D64C5" w:rsidRPr="002D64C5">
        <w:rPr>
          <w:rFonts w:cs="Times New Roman"/>
          <w:b w:val="0"/>
        </w:rPr>
        <w:t xml:space="preserve">, 2022; </w:t>
      </w:r>
      <w:proofErr w:type="spellStart"/>
      <w:r w:rsidR="002D64C5" w:rsidRPr="002D64C5">
        <w:rPr>
          <w:rFonts w:cs="Times New Roman"/>
          <w:b w:val="0"/>
        </w:rPr>
        <w:t>Alhassan</w:t>
      </w:r>
      <w:proofErr w:type="spellEnd"/>
      <w:r w:rsidR="002D64C5" w:rsidRPr="002D64C5">
        <w:rPr>
          <w:rFonts w:cs="Times New Roman"/>
          <w:b w:val="0"/>
        </w:rPr>
        <w:t>, 2021).</w:t>
      </w:r>
    </w:p>
    <w:p w14:paraId="7BA98FFE" w14:textId="77777777" w:rsidR="0016685C" w:rsidRDefault="0016685C" w:rsidP="006645C0">
      <w:pPr>
        <w:spacing w:before="0" w:after="0" w:line="276" w:lineRule="auto"/>
        <w:jc w:val="both"/>
        <w:rPr>
          <w:rFonts w:cs="Times New Roman"/>
          <w:b w:val="0"/>
          <w:bCs/>
        </w:rPr>
      </w:pPr>
    </w:p>
    <w:p w14:paraId="1C0D948B" w14:textId="09BBBEC7" w:rsidR="00494F10" w:rsidRPr="00EE1659" w:rsidRDefault="00E05296" w:rsidP="006645C0">
      <w:pPr>
        <w:spacing w:before="0" w:after="0" w:line="276" w:lineRule="auto"/>
        <w:rPr>
          <w:rFonts w:cs="Times New Roman"/>
        </w:rPr>
      </w:pPr>
      <w:r w:rsidRPr="00EE1659">
        <w:rPr>
          <w:rFonts w:cs="Times New Roman"/>
        </w:rPr>
        <w:t>2.</w:t>
      </w:r>
      <w:r w:rsidR="0024354F">
        <w:rPr>
          <w:rFonts w:cs="Times New Roman"/>
        </w:rPr>
        <w:t xml:space="preserve">2.2 </w:t>
      </w:r>
      <w:r w:rsidR="00EE1659" w:rsidRPr="00EE1659">
        <w:rPr>
          <w:rFonts w:cs="Times New Roman"/>
        </w:rPr>
        <w:t xml:space="preserve">CONCEPT OF </w:t>
      </w:r>
      <w:r w:rsidR="00494F10" w:rsidRPr="00EE1659">
        <w:rPr>
          <w:rFonts w:cs="Times New Roman"/>
        </w:rPr>
        <w:t>FINANCIAL PERFORMANCE</w:t>
      </w:r>
    </w:p>
    <w:p w14:paraId="3699744E" w14:textId="77777777" w:rsidR="00EE1659" w:rsidRPr="00EE1659" w:rsidRDefault="00EE1659" w:rsidP="006645C0">
      <w:pPr>
        <w:spacing w:before="0" w:after="0" w:line="276" w:lineRule="auto"/>
        <w:jc w:val="both"/>
        <w:rPr>
          <w:rFonts w:cs="Times New Roman"/>
          <w:b w:val="0"/>
        </w:rPr>
      </w:pPr>
      <w:r w:rsidRPr="00EE1659">
        <w:rPr>
          <w:rFonts w:cs="Times New Roman"/>
          <w:b w:val="0"/>
        </w:rPr>
        <w:t xml:space="preserve">Financial performance is a critical metric that is widely used to evaluate the success of a business or organization in utilizing its resources to generate revenue and profit. In essence, it represents the effectiveness and efficiency with which a company manages its assets to achieve financial goals over a specific period. Financial performance serves as a key barometer for stakeholders, including investors, creditors, management, and regulators, in assessing the financial health and </w:t>
      </w:r>
      <w:r w:rsidRPr="00EE1659">
        <w:rPr>
          <w:rFonts w:cs="Times New Roman"/>
          <w:b w:val="0"/>
        </w:rPr>
        <w:lastRenderedPageBreak/>
        <w:t xml:space="preserve">stability of a company. For banks, such as </w:t>
      </w:r>
      <w:proofErr w:type="spellStart"/>
      <w:r w:rsidRPr="00EE1659">
        <w:rPr>
          <w:rFonts w:cs="Times New Roman"/>
          <w:b w:val="0"/>
        </w:rPr>
        <w:t>GTBank</w:t>
      </w:r>
      <w:proofErr w:type="spellEnd"/>
      <w:r w:rsidRPr="00EE1659">
        <w:rPr>
          <w:rFonts w:cs="Times New Roman"/>
          <w:b w:val="0"/>
        </w:rPr>
        <w:t>, financial performance is particularly important as it influences not only the bank’s ability to sustain profitability but also its capacity to meet regulatory standards, ensure liquidity, and create value for shareholders (</w:t>
      </w:r>
      <w:proofErr w:type="spellStart"/>
      <w:r w:rsidRPr="00EE1659">
        <w:rPr>
          <w:rFonts w:cs="Times New Roman"/>
          <w:b w:val="0"/>
        </w:rPr>
        <w:t>Olowokere</w:t>
      </w:r>
      <w:proofErr w:type="spellEnd"/>
      <w:r w:rsidRPr="00EE1659">
        <w:rPr>
          <w:rFonts w:cs="Times New Roman"/>
          <w:b w:val="0"/>
        </w:rPr>
        <w:t>, 2020).</w:t>
      </w:r>
    </w:p>
    <w:p w14:paraId="380FB48B" w14:textId="77777777" w:rsidR="00EE1659" w:rsidRPr="00EE1659" w:rsidRDefault="00EE1659" w:rsidP="006645C0">
      <w:pPr>
        <w:spacing w:before="0" w:after="0" w:line="276" w:lineRule="auto"/>
        <w:jc w:val="both"/>
        <w:rPr>
          <w:rFonts w:cs="Times New Roman"/>
          <w:b w:val="0"/>
        </w:rPr>
      </w:pPr>
      <w:r w:rsidRPr="00EE1659">
        <w:rPr>
          <w:rFonts w:cs="Times New Roman"/>
          <w:b w:val="0"/>
        </w:rPr>
        <w:t>Financial performance is typically assessed through various financial metrics and ratios that reflect a company’s profitability, liquidity, solvency, and operational efficiency. The most common indicators of financial performance include profitability ratios, return on assets (ROA), return on equity (ROE), earnings per share (EPS), liquidity ratios, and operational efficiency measures. These metrics provide valuable insights into the company’s ability to generate income, manage its short-term and long-term obligations, and utilize its resources effectively to achieve strategic objectives (Kariuki &amp; Kinyua, 2021). Each of these indicators contributes to an overall understanding of a company’s financial health, which is essential for making informed investment decisions and managing risks.</w:t>
      </w:r>
    </w:p>
    <w:p w14:paraId="4D8E1B07" w14:textId="77777777" w:rsidR="00EE1659" w:rsidRPr="00EE1659" w:rsidRDefault="00EE1659" w:rsidP="006645C0">
      <w:pPr>
        <w:spacing w:before="0" w:after="0" w:line="276" w:lineRule="auto"/>
        <w:jc w:val="both"/>
        <w:rPr>
          <w:rFonts w:cs="Times New Roman"/>
          <w:b w:val="0"/>
        </w:rPr>
      </w:pPr>
      <w:r w:rsidRPr="00EE1659">
        <w:rPr>
          <w:rFonts w:cs="Times New Roman"/>
          <w:b w:val="0"/>
        </w:rPr>
        <w:t xml:space="preserve">One of the primary components of financial performance is </w:t>
      </w:r>
      <w:r w:rsidRPr="00EE1659">
        <w:rPr>
          <w:rFonts w:cs="Times New Roman"/>
          <w:bCs/>
        </w:rPr>
        <w:t>profitability</w:t>
      </w:r>
      <w:r w:rsidRPr="00EE1659">
        <w:rPr>
          <w:rFonts w:cs="Times New Roman"/>
          <w:b w:val="0"/>
        </w:rPr>
        <w:t xml:space="preserve">, which refers to a company's ability to generate profits relative to its sales, assets, or equity. Profitability ratios, such as net profit margin, gross profit margin, ROA, and ROE, provide insights into how effectively a company is generating profit from its resources. </w:t>
      </w:r>
      <w:r w:rsidRPr="00EE1659">
        <w:rPr>
          <w:rFonts w:cs="Times New Roman"/>
          <w:bCs/>
        </w:rPr>
        <w:t>Return on assets (ROA)</w:t>
      </w:r>
      <w:r w:rsidRPr="00EE1659">
        <w:rPr>
          <w:rFonts w:cs="Times New Roman"/>
          <w:b w:val="0"/>
        </w:rPr>
        <w:t xml:space="preserve"> measures the ability of a company to generate profit from its assets, while </w:t>
      </w:r>
      <w:r w:rsidRPr="00EE1659">
        <w:rPr>
          <w:rFonts w:cs="Times New Roman"/>
          <w:bCs/>
        </w:rPr>
        <w:t>return on equity (ROE)</w:t>
      </w:r>
      <w:r w:rsidRPr="00EE1659">
        <w:rPr>
          <w:rFonts w:cs="Times New Roman"/>
          <w:b w:val="0"/>
        </w:rPr>
        <w:t xml:space="preserve"> evaluates how efficiently a company uses its equity to generate profit (</w:t>
      </w:r>
      <w:proofErr w:type="spellStart"/>
      <w:r w:rsidRPr="00EE1659">
        <w:rPr>
          <w:rFonts w:cs="Times New Roman"/>
          <w:b w:val="0"/>
        </w:rPr>
        <w:t>Odebiyi</w:t>
      </w:r>
      <w:proofErr w:type="spellEnd"/>
      <w:r w:rsidRPr="00EE1659">
        <w:rPr>
          <w:rFonts w:cs="Times New Roman"/>
          <w:b w:val="0"/>
        </w:rPr>
        <w:t xml:space="preserve"> &amp; </w:t>
      </w:r>
      <w:proofErr w:type="spellStart"/>
      <w:r w:rsidRPr="00EE1659">
        <w:rPr>
          <w:rFonts w:cs="Times New Roman"/>
          <w:b w:val="0"/>
        </w:rPr>
        <w:t>Olajide</w:t>
      </w:r>
      <w:proofErr w:type="spellEnd"/>
      <w:r w:rsidRPr="00EE1659">
        <w:rPr>
          <w:rFonts w:cs="Times New Roman"/>
          <w:b w:val="0"/>
        </w:rPr>
        <w:t xml:space="preserve">, 2020). For banks like </w:t>
      </w:r>
      <w:proofErr w:type="spellStart"/>
      <w:r w:rsidRPr="00EE1659">
        <w:rPr>
          <w:rFonts w:cs="Times New Roman"/>
          <w:b w:val="0"/>
        </w:rPr>
        <w:t>GTBank</w:t>
      </w:r>
      <w:proofErr w:type="spellEnd"/>
      <w:r w:rsidRPr="00EE1659">
        <w:rPr>
          <w:rFonts w:cs="Times New Roman"/>
          <w:b w:val="0"/>
        </w:rPr>
        <w:t>, profitability is a critical indicator as it not only ensures the financial viability of the bank but also increases investor confidence and provides the resources necessary for expansion and business development. A bank that demonstrates strong profitability is more likely to secure additional capital, maintain liquidity, and sustain growth, all of which are key drivers of long-term success.</w:t>
      </w:r>
    </w:p>
    <w:p w14:paraId="5FAFAFE9" w14:textId="77777777" w:rsidR="00EE1659" w:rsidRPr="00EE1659" w:rsidRDefault="00EE1659" w:rsidP="006645C0">
      <w:pPr>
        <w:spacing w:before="0" w:after="0" w:line="276" w:lineRule="auto"/>
        <w:jc w:val="both"/>
        <w:rPr>
          <w:rFonts w:cs="Times New Roman"/>
          <w:b w:val="0"/>
        </w:rPr>
      </w:pPr>
      <w:r w:rsidRPr="00EE1659">
        <w:rPr>
          <w:rFonts w:cs="Times New Roman"/>
          <w:b w:val="0"/>
        </w:rPr>
        <w:t xml:space="preserve">In the banking sector, </w:t>
      </w:r>
      <w:r w:rsidRPr="00EE1659">
        <w:rPr>
          <w:rFonts w:cs="Times New Roman"/>
          <w:bCs/>
        </w:rPr>
        <w:t>liquidity</w:t>
      </w:r>
      <w:r w:rsidRPr="00EE1659">
        <w:rPr>
          <w:rFonts w:cs="Times New Roman"/>
          <w:b w:val="0"/>
        </w:rPr>
        <w:t xml:space="preserve"> is another essential aspect of financial performance. Liquidity refers to a company’s ability to meet its short-term financial obligations, such as repaying depositors and servicing its short-term debt. Banks, by nature, have a high volume of short-term liabilities and assets, and their ability to maintain sufficient liquidity is vital for day-to-day operations. Liquidity ratios, such as the </w:t>
      </w:r>
      <w:r w:rsidRPr="00EE1659">
        <w:rPr>
          <w:rFonts w:cs="Times New Roman"/>
          <w:bCs/>
        </w:rPr>
        <w:t>current ratio</w:t>
      </w:r>
      <w:r w:rsidRPr="00EE1659">
        <w:rPr>
          <w:rFonts w:cs="Times New Roman"/>
          <w:b w:val="0"/>
        </w:rPr>
        <w:t xml:space="preserve"> and </w:t>
      </w:r>
      <w:r w:rsidRPr="00EE1659">
        <w:rPr>
          <w:rFonts w:cs="Times New Roman"/>
          <w:bCs/>
        </w:rPr>
        <w:t>quick ratio</w:t>
      </w:r>
      <w:r w:rsidRPr="00EE1659">
        <w:rPr>
          <w:rFonts w:cs="Times New Roman"/>
          <w:b w:val="0"/>
        </w:rPr>
        <w:t>, are commonly used to measure a company’s ability to manage short-term obligations without facing significant financial distress (Adebayo &amp; Ayo, 2021). For banks, managing liquidity effectively is crucial for maintaining customer trust, managing risks, and ensuring smooth operations, especially in times of financial uncertainty. A bank with a strong liquidity position can meet withdrawal demands, respond to changes in interest rates, and continue lending activities, all of which contribute to its financial performance.</w:t>
      </w:r>
    </w:p>
    <w:p w14:paraId="71FC6BB6" w14:textId="77777777" w:rsidR="00EE1659" w:rsidRPr="00EE1659" w:rsidRDefault="00EE1659" w:rsidP="006645C0">
      <w:pPr>
        <w:spacing w:before="0" w:after="0" w:line="276" w:lineRule="auto"/>
        <w:jc w:val="both"/>
        <w:rPr>
          <w:rFonts w:cs="Times New Roman"/>
          <w:b w:val="0"/>
        </w:rPr>
      </w:pPr>
      <w:r w:rsidRPr="00EE1659">
        <w:rPr>
          <w:rFonts w:cs="Times New Roman"/>
          <w:b w:val="0"/>
        </w:rPr>
        <w:t xml:space="preserve">Another key element of financial performance is </w:t>
      </w:r>
      <w:r w:rsidRPr="00EE1659">
        <w:rPr>
          <w:rFonts w:cs="Times New Roman"/>
          <w:bCs/>
        </w:rPr>
        <w:t>solvency</w:t>
      </w:r>
      <w:r w:rsidRPr="00EE1659">
        <w:rPr>
          <w:rFonts w:cs="Times New Roman"/>
          <w:b w:val="0"/>
        </w:rPr>
        <w:t xml:space="preserve">, which refers to a company’s ability to meet its long-term financial obligations. Solvency is a critical aspect for banks because it indicates their capacity to remain financially stable over the long term. </w:t>
      </w:r>
      <w:r w:rsidRPr="00EE1659">
        <w:rPr>
          <w:rFonts w:cs="Times New Roman"/>
          <w:bCs/>
        </w:rPr>
        <w:t>Solvency ratios</w:t>
      </w:r>
      <w:r w:rsidRPr="00EE1659">
        <w:rPr>
          <w:rFonts w:cs="Times New Roman"/>
          <w:b w:val="0"/>
        </w:rPr>
        <w:t xml:space="preserve">, such as the </w:t>
      </w:r>
      <w:r w:rsidRPr="00EE1659">
        <w:rPr>
          <w:rFonts w:cs="Times New Roman"/>
          <w:bCs/>
        </w:rPr>
        <w:t>debt-to-equity ratio</w:t>
      </w:r>
      <w:r w:rsidRPr="00EE1659">
        <w:rPr>
          <w:rFonts w:cs="Times New Roman"/>
          <w:b w:val="0"/>
        </w:rPr>
        <w:t xml:space="preserve">, measure the proportion of a company’s financing that comes from debt relative to equity. A higher debt ratio can indicate increased financial risk, as it suggests that a bank is relying more on debt financing than equity, potentially leading to financial strain during times of economic downturns or market volatility (Thompson, 2023). For banks like </w:t>
      </w:r>
      <w:proofErr w:type="spellStart"/>
      <w:r w:rsidRPr="00EE1659">
        <w:rPr>
          <w:rFonts w:cs="Times New Roman"/>
          <w:b w:val="0"/>
        </w:rPr>
        <w:t>GTBank</w:t>
      </w:r>
      <w:proofErr w:type="spellEnd"/>
      <w:r w:rsidRPr="00EE1659">
        <w:rPr>
          <w:rFonts w:cs="Times New Roman"/>
          <w:b w:val="0"/>
        </w:rPr>
        <w:t xml:space="preserve">, maintaining an optimal balance between debt and equity is necessary to ensure that they can meet both short-term and </w:t>
      </w:r>
      <w:r w:rsidRPr="00EE1659">
        <w:rPr>
          <w:rFonts w:cs="Times New Roman"/>
          <w:b w:val="0"/>
        </w:rPr>
        <w:lastRenderedPageBreak/>
        <w:t>long-term obligations without jeopardizing their financial stability. A highly leveraged bank is more vulnerable to financial distress, which can negatively impact its overall financial performance.</w:t>
      </w:r>
    </w:p>
    <w:p w14:paraId="7BBD1ECC" w14:textId="77777777" w:rsidR="00EE1659" w:rsidRPr="00EE1659" w:rsidRDefault="00EE1659" w:rsidP="006645C0">
      <w:pPr>
        <w:spacing w:before="0" w:after="0" w:line="276" w:lineRule="auto"/>
        <w:jc w:val="both"/>
        <w:rPr>
          <w:rFonts w:cs="Times New Roman"/>
          <w:b w:val="0"/>
        </w:rPr>
      </w:pPr>
      <w:r w:rsidRPr="00EE1659">
        <w:rPr>
          <w:rFonts w:cs="Times New Roman"/>
          <w:bCs/>
        </w:rPr>
        <w:t>Operational efficiency</w:t>
      </w:r>
      <w:r w:rsidRPr="00EE1659">
        <w:rPr>
          <w:rFonts w:cs="Times New Roman"/>
          <w:b w:val="0"/>
        </w:rPr>
        <w:t xml:space="preserve"> is also a key measure of financial performance. Efficiency ratios, such as the </w:t>
      </w:r>
      <w:r w:rsidRPr="00EE1659">
        <w:rPr>
          <w:rFonts w:cs="Times New Roman"/>
          <w:bCs/>
        </w:rPr>
        <w:t>asset turnover ratio</w:t>
      </w:r>
      <w:r w:rsidRPr="00EE1659">
        <w:rPr>
          <w:rFonts w:cs="Times New Roman"/>
          <w:b w:val="0"/>
        </w:rPr>
        <w:t xml:space="preserve"> and </w:t>
      </w:r>
      <w:r w:rsidRPr="00EE1659">
        <w:rPr>
          <w:rFonts w:cs="Times New Roman"/>
          <w:bCs/>
        </w:rPr>
        <w:t>operating efficiency ratio</w:t>
      </w:r>
      <w:r w:rsidRPr="00EE1659">
        <w:rPr>
          <w:rFonts w:cs="Times New Roman"/>
          <w:b w:val="0"/>
        </w:rPr>
        <w:t xml:space="preserve">, assess how effectively a company uses its assets to generate revenue. In the case of banks, operational efficiency is often related to the ability to manage operating costs, such as administrative expenses, staff costs, and technology infrastructure, relative to revenue generation. An efficient bank can minimize unnecessary costs while maintaining high service quality, thereby improving its profitability. For </w:t>
      </w:r>
      <w:proofErr w:type="spellStart"/>
      <w:r w:rsidRPr="00EE1659">
        <w:rPr>
          <w:rFonts w:cs="Times New Roman"/>
          <w:b w:val="0"/>
        </w:rPr>
        <w:t>GTBank</w:t>
      </w:r>
      <w:proofErr w:type="spellEnd"/>
      <w:r w:rsidRPr="00EE1659">
        <w:rPr>
          <w:rFonts w:cs="Times New Roman"/>
          <w:b w:val="0"/>
        </w:rPr>
        <w:t>, achieving high levels of operational efficiency allows the bank to deliver competitive products and services, attract new customers, and generate more revenue from its operations. On the other hand, inefficiencies in operations, such as excessive administrative costs or ineffective utilization of assets, can erode profitability and reduce the bank’s ability to compete in the financial market (Kariuki &amp; Kinyua, 2021).</w:t>
      </w:r>
    </w:p>
    <w:p w14:paraId="215377B7" w14:textId="77777777" w:rsidR="00EE1659" w:rsidRPr="00EE1659" w:rsidRDefault="00EE1659" w:rsidP="006645C0">
      <w:pPr>
        <w:spacing w:before="0" w:after="0" w:line="276" w:lineRule="auto"/>
        <w:jc w:val="both"/>
        <w:rPr>
          <w:rFonts w:cs="Times New Roman"/>
          <w:b w:val="0"/>
        </w:rPr>
      </w:pPr>
      <w:r w:rsidRPr="00EE1659">
        <w:rPr>
          <w:rFonts w:cs="Times New Roman"/>
          <w:b w:val="0"/>
        </w:rPr>
        <w:t xml:space="preserve">Another critical component of financial performance is the concept of </w:t>
      </w:r>
      <w:r w:rsidRPr="00EE1659">
        <w:rPr>
          <w:rFonts w:cs="Times New Roman"/>
          <w:bCs/>
        </w:rPr>
        <w:t>risk management</w:t>
      </w:r>
      <w:r w:rsidRPr="00EE1659">
        <w:rPr>
          <w:rFonts w:cs="Times New Roman"/>
          <w:b w:val="0"/>
        </w:rPr>
        <w:t xml:space="preserve">. In the banking sector, managing various types of financial risks—such as credit risk, market risk, and operational risk—is essential for ensuring long-term stability and profitability. Banks face significant risks associated with lending activities, exposure to market fluctuations, and operational challenges. Effective risk management strategies, such as diversifying loan portfolios, managing interest rate exposure, and implementing robust internal controls, help banks minimize potential losses and safeguard their financial health. </w:t>
      </w:r>
      <w:proofErr w:type="spellStart"/>
      <w:r w:rsidRPr="00EE1659">
        <w:rPr>
          <w:rFonts w:cs="Times New Roman"/>
          <w:b w:val="0"/>
        </w:rPr>
        <w:t>GTBank’s</w:t>
      </w:r>
      <w:proofErr w:type="spellEnd"/>
      <w:r w:rsidRPr="00EE1659">
        <w:rPr>
          <w:rFonts w:cs="Times New Roman"/>
          <w:b w:val="0"/>
        </w:rPr>
        <w:t xml:space="preserve"> ability to manage these risks effectively plays a vital role in its overall financial performance. A bank that fails to adequately address risks can face significant losses, leading to a decline in profitability and shareholder value (Adebayo &amp; Ayo, 2021).</w:t>
      </w:r>
    </w:p>
    <w:p w14:paraId="1A2467D9" w14:textId="77777777" w:rsidR="00EE1659" w:rsidRPr="00EE1659" w:rsidRDefault="00EE1659" w:rsidP="006645C0">
      <w:pPr>
        <w:spacing w:before="0" w:after="0" w:line="276" w:lineRule="auto"/>
        <w:jc w:val="both"/>
        <w:rPr>
          <w:rFonts w:cs="Times New Roman"/>
          <w:b w:val="0"/>
        </w:rPr>
      </w:pPr>
      <w:r w:rsidRPr="00EE1659">
        <w:rPr>
          <w:rFonts w:cs="Times New Roman"/>
          <w:bCs/>
        </w:rPr>
        <w:t>Corporate governance</w:t>
      </w:r>
      <w:r w:rsidRPr="00EE1659">
        <w:rPr>
          <w:rFonts w:cs="Times New Roman"/>
          <w:b w:val="0"/>
        </w:rPr>
        <w:t xml:space="preserve"> is also intricately linked to financial performance. The governance structures and practices of a bank can significantly influence its financial outcomes. Effective corporate governance ensures that the bank’s management team makes informed, ethical, and accountable decisions that align with the interests of shareholders and other stakeholders. The </w:t>
      </w:r>
      <w:r w:rsidRPr="00EE1659">
        <w:rPr>
          <w:rFonts w:cs="Times New Roman"/>
          <w:bCs/>
        </w:rPr>
        <w:t>board of directors</w:t>
      </w:r>
      <w:r w:rsidRPr="00EE1659">
        <w:rPr>
          <w:rFonts w:cs="Times New Roman"/>
          <w:b w:val="0"/>
        </w:rPr>
        <w:t xml:space="preserve"> and </w:t>
      </w:r>
      <w:r w:rsidRPr="00EE1659">
        <w:rPr>
          <w:rFonts w:cs="Times New Roman"/>
          <w:bCs/>
        </w:rPr>
        <w:t>audit committee</w:t>
      </w:r>
      <w:r w:rsidRPr="00EE1659">
        <w:rPr>
          <w:rFonts w:cs="Times New Roman"/>
          <w:b w:val="0"/>
        </w:rPr>
        <w:t xml:space="preserve"> play key roles in overseeing financial performance by ensuring transparency, accountability, and ethical decision-making. A bank with a strong corporate governance framework is more likely to exhibit sustainable financial performance, as governance structures help mitigate risks, prevent fraud, and ensure compliance with regulations (</w:t>
      </w:r>
      <w:proofErr w:type="spellStart"/>
      <w:r w:rsidRPr="00EE1659">
        <w:rPr>
          <w:rFonts w:cs="Times New Roman"/>
          <w:b w:val="0"/>
        </w:rPr>
        <w:t>Odebiyi</w:t>
      </w:r>
      <w:proofErr w:type="spellEnd"/>
      <w:r w:rsidRPr="00EE1659">
        <w:rPr>
          <w:rFonts w:cs="Times New Roman"/>
          <w:b w:val="0"/>
        </w:rPr>
        <w:t xml:space="preserve"> &amp; </w:t>
      </w:r>
      <w:proofErr w:type="spellStart"/>
      <w:r w:rsidRPr="00EE1659">
        <w:rPr>
          <w:rFonts w:cs="Times New Roman"/>
          <w:b w:val="0"/>
        </w:rPr>
        <w:t>Olajide</w:t>
      </w:r>
      <w:proofErr w:type="spellEnd"/>
      <w:r w:rsidRPr="00EE1659">
        <w:rPr>
          <w:rFonts w:cs="Times New Roman"/>
          <w:b w:val="0"/>
        </w:rPr>
        <w:t xml:space="preserve">, 2020). For </w:t>
      </w:r>
      <w:proofErr w:type="spellStart"/>
      <w:r w:rsidRPr="00EE1659">
        <w:rPr>
          <w:rFonts w:cs="Times New Roman"/>
          <w:b w:val="0"/>
        </w:rPr>
        <w:t>GTBank</w:t>
      </w:r>
      <w:proofErr w:type="spellEnd"/>
      <w:r w:rsidRPr="00EE1659">
        <w:rPr>
          <w:rFonts w:cs="Times New Roman"/>
          <w:b w:val="0"/>
        </w:rPr>
        <w:t>, strong corporate governance practices are essential in maintaining investor confidence, managing risk, and achieving long-term financial success.</w:t>
      </w:r>
    </w:p>
    <w:p w14:paraId="01B0A470" w14:textId="77777777" w:rsidR="00EE1659" w:rsidRPr="00EE1659" w:rsidRDefault="00EE1659" w:rsidP="006645C0">
      <w:pPr>
        <w:spacing w:before="0" w:after="0" w:line="276" w:lineRule="auto"/>
        <w:jc w:val="both"/>
        <w:rPr>
          <w:rFonts w:cs="Times New Roman"/>
          <w:b w:val="0"/>
        </w:rPr>
      </w:pPr>
      <w:r w:rsidRPr="00EE1659">
        <w:rPr>
          <w:rFonts w:cs="Times New Roman"/>
          <w:b w:val="0"/>
        </w:rPr>
        <w:t xml:space="preserve">In addition to internal factors, external factors also influence financial performance. Economic conditions, such as inflation, interest rates, and economic growth, can have a profound impact on a bank’s profitability and risk exposure. Regulatory changes, such as changes in capital adequacy requirements or interest rate policies, can also affect financial performance. For example, higher capital adequacy requirements may require banks to hold more reserves, which can limit their lending capacity and reduce profitability in the short term. Similarly, changes in interest rates can influence a bank’s net interest margin, affecting its ability to generate income from loans and </w:t>
      </w:r>
      <w:r w:rsidRPr="00EE1659">
        <w:rPr>
          <w:rFonts w:cs="Times New Roman"/>
          <w:b w:val="0"/>
        </w:rPr>
        <w:lastRenderedPageBreak/>
        <w:t>investments (</w:t>
      </w:r>
      <w:proofErr w:type="spellStart"/>
      <w:r w:rsidRPr="00EE1659">
        <w:rPr>
          <w:rFonts w:cs="Times New Roman"/>
          <w:b w:val="0"/>
        </w:rPr>
        <w:t>Akinbode</w:t>
      </w:r>
      <w:proofErr w:type="spellEnd"/>
      <w:r w:rsidRPr="00EE1659">
        <w:rPr>
          <w:rFonts w:cs="Times New Roman"/>
          <w:b w:val="0"/>
        </w:rPr>
        <w:t xml:space="preserve"> &amp; </w:t>
      </w:r>
      <w:proofErr w:type="spellStart"/>
      <w:r w:rsidRPr="00EE1659">
        <w:rPr>
          <w:rFonts w:cs="Times New Roman"/>
          <w:b w:val="0"/>
        </w:rPr>
        <w:t>Olayanju</w:t>
      </w:r>
      <w:proofErr w:type="spellEnd"/>
      <w:r w:rsidRPr="00EE1659">
        <w:rPr>
          <w:rFonts w:cs="Times New Roman"/>
          <w:b w:val="0"/>
        </w:rPr>
        <w:t>, 2022). Banks must therefore be adaptable to changes in both the economic and regulatory environment to maintain strong financial performance.</w:t>
      </w:r>
    </w:p>
    <w:p w14:paraId="70A0FD6E" w14:textId="77777777" w:rsidR="00EE1659" w:rsidRDefault="00EE1659" w:rsidP="006645C0">
      <w:pPr>
        <w:spacing w:before="0" w:after="0" w:line="276" w:lineRule="auto"/>
        <w:jc w:val="both"/>
        <w:rPr>
          <w:rFonts w:cs="Times New Roman"/>
          <w:b w:val="0"/>
        </w:rPr>
      </w:pPr>
      <w:r w:rsidRPr="00EE1659">
        <w:rPr>
          <w:rFonts w:cs="Times New Roman"/>
          <w:b w:val="0"/>
        </w:rPr>
        <w:t xml:space="preserve">In conclusion, financial performance is a multifaceted concept that encompasses profitability, liquidity, solvency, operational efficiency, and risk management. For banks like </w:t>
      </w:r>
      <w:proofErr w:type="spellStart"/>
      <w:r w:rsidRPr="00EE1659">
        <w:rPr>
          <w:rFonts w:cs="Times New Roman"/>
          <w:b w:val="0"/>
        </w:rPr>
        <w:t>GTBank</w:t>
      </w:r>
      <w:proofErr w:type="spellEnd"/>
      <w:r w:rsidRPr="00EE1659">
        <w:rPr>
          <w:rFonts w:cs="Times New Roman"/>
          <w:b w:val="0"/>
        </w:rPr>
        <w:t>, maintaining strong financial performance is crucial for sustaining growth, ensuring regulatory compliance, and creating value for shareholders. Effective corporate governance plays a vital role in shaping financial performance by providing the necessary oversight and ensuring that strategic decisions are made in the best interest of the bank and its stakeholders. Additionally, external factors, such as economic conditions and regulatory changes, influence the financial performance of banks, making it essential for banks to be responsive to these factors in order to maintain financial stability and profitability (</w:t>
      </w:r>
      <w:proofErr w:type="spellStart"/>
      <w:r w:rsidRPr="00EE1659">
        <w:rPr>
          <w:rFonts w:cs="Times New Roman"/>
          <w:b w:val="0"/>
        </w:rPr>
        <w:t>Olowokere</w:t>
      </w:r>
      <w:proofErr w:type="spellEnd"/>
      <w:r w:rsidRPr="00EE1659">
        <w:rPr>
          <w:rFonts w:cs="Times New Roman"/>
          <w:b w:val="0"/>
        </w:rPr>
        <w:t>, 2020).</w:t>
      </w:r>
    </w:p>
    <w:p w14:paraId="6C21CF2C" w14:textId="77777777" w:rsidR="007D3BD6" w:rsidRDefault="007D3BD6" w:rsidP="006645C0">
      <w:pPr>
        <w:spacing w:before="0" w:after="0" w:line="276" w:lineRule="auto"/>
        <w:jc w:val="both"/>
        <w:rPr>
          <w:rFonts w:cs="Times New Roman"/>
          <w:b w:val="0"/>
        </w:rPr>
      </w:pPr>
    </w:p>
    <w:p w14:paraId="6EE993DF" w14:textId="354D98FA" w:rsidR="007D3BD6" w:rsidRPr="007D3BD6" w:rsidRDefault="0024354F" w:rsidP="006645C0">
      <w:pPr>
        <w:spacing w:before="0" w:after="0" w:line="276" w:lineRule="auto"/>
        <w:jc w:val="both"/>
        <w:rPr>
          <w:rFonts w:cs="Times New Roman"/>
          <w:b w:val="0"/>
        </w:rPr>
      </w:pPr>
      <w:r w:rsidRPr="007D3BD6">
        <w:rPr>
          <w:rFonts w:cs="Times New Roman"/>
          <w:bCs/>
        </w:rPr>
        <w:t>2.</w:t>
      </w:r>
      <w:r>
        <w:rPr>
          <w:rFonts w:cs="Times New Roman"/>
          <w:bCs/>
        </w:rPr>
        <w:t>2</w:t>
      </w:r>
      <w:r w:rsidRPr="007D3BD6">
        <w:rPr>
          <w:rFonts w:cs="Times New Roman"/>
          <w:bCs/>
        </w:rPr>
        <w:t>.3 CONCEPT OF DEPOSIT MONEY BANK</w:t>
      </w:r>
    </w:p>
    <w:p w14:paraId="11DAC3FB" w14:textId="77777777" w:rsidR="007D3BD6" w:rsidRPr="007D3BD6" w:rsidRDefault="007D3BD6" w:rsidP="006645C0">
      <w:pPr>
        <w:spacing w:before="0" w:after="0" w:line="276" w:lineRule="auto"/>
        <w:jc w:val="both"/>
        <w:rPr>
          <w:rFonts w:cs="Times New Roman"/>
          <w:b w:val="0"/>
        </w:rPr>
      </w:pPr>
      <w:r w:rsidRPr="007D3BD6">
        <w:rPr>
          <w:rFonts w:cs="Times New Roman"/>
          <w:b w:val="0"/>
        </w:rPr>
        <w:t xml:space="preserve">Deposit money banks, often referred to as commercial banks, are financial institutions that provide a wide range of financial services, primarily focusing on accepting deposits and making loans. These banks play a crucial role in the financial system by facilitating the movement of money within the economy, promoting economic development, and providing businesses and individuals with access to capital. The core functions of deposit money banks are centered around their ability to receive deposits from the public and lend money to various sectors of the economy, including households, businesses, and government entities (Adebayo &amp; </w:t>
      </w:r>
      <w:proofErr w:type="spellStart"/>
      <w:r w:rsidRPr="007D3BD6">
        <w:rPr>
          <w:rFonts w:cs="Times New Roman"/>
          <w:b w:val="0"/>
        </w:rPr>
        <w:t>Olayanju</w:t>
      </w:r>
      <w:proofErr w:type="spellEnd"/>
      <w:r w:rsidRPr="007D3BD6">
        <w:rPr>
          <w:rFonts w:cs="Times New Roman"/>
          <w:b w:val="0"/>
        </w:rPr>
        <w:t>, 2021). This process is fundamental to economic growth as it ensures the efficient allocation of resources, promotes investment, and supports consumption.</w:t>
      </w:r>
    </w:p>
    <w:p w14:paraId="109D324D" w14:textId="77777777" w:rsidR="007D3BD6" w:rsidRPr="007D3BD6" w:rsidRDefault="007D3BD6" w:rsidP="006645C0">
      <w:pPr>
        <w:spacing w:before="0" w:after="0" w:line="276" w:lineRule="auto"/>
        <w:jc w:val="both"/>
        <w:rPr>
          <w:rFonts w:cs="Times New Roman"/>
          <w:b w:val="0"/>
        </w:rPr>
      </w:pPr>
      <w:r w:rsidRPr="007D3BD6">
        <w:rPr>
          <w:rFonts w:cs="Times New Roman"/>
          <w:b w:val="0"/>
        </w:rPr>
        <w:t>Deposit money banks act as intermediaries between savers and borrowers, a role that is central to the functioning of the modern financial system. Savers deposit their money into the bank with the expectation of earning interest or earning returns through various financial products, while borrowers access the bank’s funds in the form of loans for consumption or investment purposes. The difference between the interest rate paid to depositors and the interest rate charged to borrowers is known as the bank's net interest margin (Kariuki &amp; Kinyua, 2021). This margin is one of the primary sources of revenue for deposit money banks, and it directly influences their profitability and financial stability.</w:t>
      </w:r>
    </w:p>
    <w:p w14:paraId="799F7DB3" w14:textId="77777777" w:rsidR="007D3BD6" w:rsidRPr="007D3BD6" w:rsidRDefault="007D3BD6" w:rsidP="006645C0">
      <w:pPr>
        <w:spacing w:before="0" w:after="0" w:line="276" w:lineRule="auto"/>
        <w:jc w:val="both"/>
        <w:rPr>
          <w:rFonts w:cs="Times New Roman"/>
          <w:b w:val="0"/>
        </w:rPr>
      </w:pPr>
      <w:r w:rsidRPr="007D3BD6">
        <w:rPr>
          <w:rFonts w:cs="Times New Roman"/>
          <w:b w:val="0"/>
        </w:rPr>
        <w:t>One of the most important characteristics of deposit money banks is their ability to create money. Through the process of fractional reserve banking, banks are able to lend out a portion of the deposits they receive, thereby increasing the money supply in the economy. This money creation process is regulated by central banks, which set reserve requirements that determine the minimum amount of reserves that commercial banks must hold against their deposits. The central bank's role in regulating money supply is crucial for maintaining economic stability and controlling inflation. As a result, deposit money banks are an integral part of the broader monetary system (Adebayo &amp; Ayo, 2021).</w:t>
      </w:r>
    </w:p>
    <w:p w14:paraId="76A63209" w14:textId="77777777" w:rsidR="007D3BD6" w:rsidRPr="007D3BD6" w:rsidRDefault="007D3BD6" w:rsidP="006645C0">
      <w:pPr>
        <w:spacing w:before="0" w:after="0" w:line="276" w:lineRule="auto"/>
        <w:jc w:val="both"/>
        <w:rPr>
          <w:rFonts w:cs="Times New Roman"/>
          <w:b w:val="0"/>
        </w:rPr>
      </w:pPr>
      <w:r w:rsidRPr="007D3BD6">
        <w:rPr>
          <w:rFonts w:cs="Times New Roman"/>
          <w:b w:val="0"/>
        </w:rPr>
        <w:t xml:space="preserve">In addition to providing loans and accepting deposits, deposit money banks offer various financial services designed to meet the needs of their customers. These services typically include current accounts, savings accounts, fixed deposits, electronic banking, remittance services, and foreign exchange transactions. By offering these services, deposit money banks support both individual </w:t>
      </w:r>
      <w:r w:rsidRPr="007D3BD6">
        <w:rPr>
          <w:rFonts w:cs="Times New Roman"/>
          <w:b w:val="0"/>
        </w:rPr>
        <w:lastRenderedPageBreak/>
        <w:t>and corporate clients in managing their finances. Current accounts, for example, provide individuals with a safe place to store their money and facilitate everyday transactions, while savings accounts help customers accumulate interest on their deposits (</w:t>
      </w:r>
      <w:proofErr w:type="spellStart"/>
      <w:r w:rsidRPr="007D3BD6">
        <w:rPr>
          <w:rFonts w:cs="Times New Roman"/>
          <w:b w:val="0"/>
        </w:rPr>
        <w:t>Olowokere</w:t>
      </w:r>
      <w:proofErr w:type="spellEnd"/>
      <w:r w:rsidRPr="007D3BD6">
        <w:rPr>
          <w:rFonts w:cs="Times New Roman"/>
          <w:b w:val="0"/>
        </w:rPr>
        <w:t>, 2020). For businesses, banks offer products that help manage cash flow, such as business loans, lines of credit, and merchant services, which allow for seamless payments and financing.</w:t>
      </w:r>
    </w:p>
    <w:p w14:paraId="60DA86C4" w14:textId="77777777" w:rsidR="007D3BD6" w:rsidRPr="007D3BD6" w:rsidRDefault="007D3BD6" w:rsidP="006645C0">
      <w:pPr>
        <w:spacing w:before="0" w:after="0" w:line="276" w:lineRule="auto"/>
        <w:jc w:val="both"/>
        <w:rPr>
          <w:rFonts w:cs="Times New Roman"/>
          <w:b w:val="0"/>
        </w:rPr>
      </w:pPr>
      <w:r w:rsidRPr="007D3BD6">
        <w:rPr>
          <w:rFonts w:cs="Times New Roman"/>
          <w:b w:val="0"/>
        </w:rPr>
        <w:t>The regulatory framework surrounding deposit money banks is designed to ensure financial stability, protect depositors, and maintain public confidence in the banking system. Central banks, such as the Central Bank of Nigeria (CBN) or the Federal Reserve in the United States, are responsible for overseeing the activities of deposit money banks and enforcing banking regulations. These regulations include requirements for capital adequacy, liquidity, and solvency, as well as guidelines for risk management, anti-money laundering practices, and customer protection (</w:t>
      </w:r>
      <w:proofErr w:type="spellStart"/>
      <w:r w:rsidRPr="007D3BD6">
        <w:rPr>
          <w:rFonts w:cs="Times New Roman"/>
          <w:b w:val="0"/>
        </w:rPr>
        <w:t>Odebiyi</w:t>
      </w:r>
      <w:proofErr w:type="spellEnd"/>
      <w:r w:rsidRPr="007D3BD6">
        <w:rPr>
          <w:rFonts w:cs="Times New Roman"/>
          <w:b w:val="0"/>
        </w:rPr>
        <w:t xml:space="preserve"> &amp; </w:t>
      </w:r>
      <w:proofErr w:type="spellStart"/>
      <w:r w:rsidRPr="007D3BD6">
        <w:rPr>
          <w:rFonts w:cs="Times New Roman"/>
          <w:b w:val="0"/>
        </w:rPr>
        <w:t>Olajide</w:t>
      </w:r>
      <w:proofErr w:type="spellEnd"/>
      <w:r w:rsidRPr="007D3BD6">
        <w:rPr>
          <w:rFonts w:cs="Times New Roman"/>
          <w:b w:val="0"/>
        </w:rPr>
        <w:t>, 2020). By maintaining strict oversight, regulatory authorities aim to prevent banking crises, ensure that banks are adequately capitalized, and mitigate systemic risks that could negatively impact the economy.</w:t>
      </w:r>
    </w:p>
    <w:p w14:paraId="3A710504" w14:textId="77777777" w:rsidR="007D3BD6" w:rsidRPr="007D3BD6" w:rsidRDefault="007D3BD6" w:rsidP="006645C0">
      <w:pPr>
        <w:spacing w:before="0" w:after="0" w:line="276" w:lineRule="auto"/>
        <w:jc w:val="both"/>
        <w:rPr>
          <w:rFonts w:cs="Times New Roman"/>
          <w:b w:val="0"/>
        </w:rPr>
      </w:pPr>
      <w:r w:rsidRPr="007D3BD6">
        <w:rPr>
          <w:rFonts w:cs="Times New Roman"/>
          <w:b w:val="0"/>
        </w:rPr>
        <w:t>In many countries, deposit money banks are also required to meet certain capital adequacy ratios to safeguard against financial instability. These ratios ensure that banks have sufficient capital to absorb potential losses, thereby preventing insolvency and protecting the interests of depositors. For instance, the Basel III regulations, which were introduced after the 2008 financial crisis, require banks to maintain higher levels of capital to increase their resilience in times of economic stress. The capital adequacy ratio is just one example of the many regulatory measures that banks must adhere to in order to maintain their operational license and continue providing services to the public (Thompson, 2023).</w:t>
      </w:r>
    </w:p>
    <w:p w14:paraId="1CDA2EF1" w14:textId="77777777" w:rsidR="007D3BD6" w:rsidRPr="007D3BD6" w:rsidRDefault="007D3BD6" w:rsidP="006645C0">
      <w:pPr>
        <w:spacing w:before="0" w:after="0" w:line="276" w:lineRule="auto"/>
        <w:jc w:val="both"/>
        <w:rPr>
          <w:rFonts w:cs="Times New Roman"/>
          <w:b w:val="0"/>
        </w:rPr>
      </w:pPr>
      <w:r w:rsidRPr="007D3BD6">
        <w:rPr>
          <w:rFonts w:cs="Times New Roman"/>
          <w:b w:val="0"/>
        </w:rPr>
        <w:t>Moreover, deposit money banks have an important role to play in the credit creation process. By lending out a portion of their deposits, banks are able to increase the money supply in the economy, which can be used to finance business expansions, infrastructure projects, and personal consumption. This process is essential for stimulating economic growth, particularly in developing economies where access to capital can be limited. In turn, the availability of credit influences investment decisions and fosters entrepreneurial activities, which are essential for job creation and poverty reduction (Adebayo &amp; Ayo, 2021). Therefore, the ability of deposit money banks to effectively manage their loan portfolios is crucial to supporting economic development.</w:t>
      </w:r>
    </w:p>
    <w:p w14:paraId="794787C6" w14:textId="77777777" w:rsidR="007D3BD6" w:rsidRPr="007D3BD6" w:rsidRDefault="007D3BD6" w:rsidP="006645C0">
      <w:pPr>
        <w:spacing w:before="0" w:after="0" w:line="276" w:lineRule="auto"/>
        <w:jc w:val="both"/>
        <w:rPr>
          <w:rFonts w:cs="Times New Roman"/>
          <w:b w:val="0"/>
        </w:rPr>
      </w:pPr>
      <w:r w:rsidRPr="007D3BD6">
        <w:rPr>
          <w:rFonts w:cs="Times New Roman"/>
          <w:b w:val="0"/>
        </w:rPr>
        <w:t xml:space="preserve">Deposit money banks also act as important facilitators of international trade and investment. Through services such as foreign exchange transactions and trade finance, they enable businesses to conduct cross-border transactions and manage currency risk. For example, </w:t>
      </w:r>
      <w:proofErr w:type="spellStart"/>
      <w:r w:rsidRPr="007D3BD6">
        <w:rPr>
          <w:rFonts w:cs="Times New Roman"/>
          <w:b w:val="0"/>
        </w:rPr>
        <w:t>GTBank</w:t>
      </w:r>
      <w:proofErr w:type="spellEnd"/>
      <w:r w:rsidRPr="007D3BD6">
        <w:rPr>
          <w:rFonts w:cs="Times New Roman"/>
          <w:b w:val="0"/>
        </w:rPr>
        <w:t>, like many other commercial banks, provides foreign exchange services that allow businesses to convert one currency into another, thus facilitating international trade. Additionally, banks play a critical role in trade financing by offering products like letters of credit and trade credit insurance, which help reduce the risks associated with cross-border transactions (Kariuki &amp; Kinyua, 2021). This role is particularly important in the globalized economy, where trade flows and investment opportunities transcend national borders.</w:t>
      </w:r>
    </w:p>
    <w:p w14:paraId="4830A7EC" w14:textId="77777777" w:rsidR="007D3BD6" w:rsidRPr="007D3BD6" w:rsidRDefault="007D3BD6" w:rsidP="006645C0">
      <w:pPr>
        <w:spacing w:before="0" w:after="0" w:line="276" w:lineRule="auto"/>
        <w:jc w:val="both"/>
        <w:rPr>
          <w:rFonts w:cs="Times New Roman"/>
          <w:b w:val="0"/>
        </w:rPr>
      </w:pPr>
      <w:r w:rsidRPr="007D3BD6">
        <w:rPr>
          <w:rFonts w:cs="Times New Roman"/>
          <w:b w:val="0"/>
        </w:rPr>
        <w:t xml:space="preserve">Furthermore, deposit money banks are key players in financial inclusion, which is an important goal for economic development, especially in developing nations. Financial inclusion refers to the ability of individuals and businesses to access affordable and appropriate financial services. </w:t>
      </w:r>
      <w:r w:rsidRPr="007D3BD6">
        <w:rPr>
          <w:rFonts w:cs="Times New Roman"/>
          <w:b w:val="0"/>
        </w:rPr>
        <w:lastRenderedPageBreak/>
        <w:t xml:space="preserve">Through the provision of basic banking services such as savings accounts, microloans, and insurance products, deposit money banks enable previously underserved populations to participate in the formal economy. For example, </w:t>
      </w:r>
      <w:proofErr w:type="spellStart"/>
      <w:r w:rsidRPr="007D3BD6">
        <w:rPr>
          <w:rFonts w:cs="Times New Roman"/>
          <w:b w:val="0"/>
        </w:rPr>
        <w:t>GTBank’s</w:t>
      </w:r>
      <w:proofErr w:type="spellEnd"/>
      <w:r w:rsidRPr="007D3BD6">
        <w:rPr>
          <w:rFonts w:cs="Times New Roman"/>
          <w:b w:val="0"/>
        </w:rPr>
        <w:t xml:space="preserve"> initiatives in mobile banking and branchless banking have played a significant role in expanding access to financial services in rural areas, contributing to financial inclusion efforts in Nigeria (</w:t>
      </w:r>
      <w:proofErr w:type="spellStart"/>
      <w:r w:rsidRPr="007D3BD6">
        <w:rPr>
          <w:rFonts w:cs="Times New Roman"/>
          <w:b w:val="0"/>
        </w:rPr>
        <w:t>Olowokere</w:t>
      </w:r>
      <w:proofErr w:type="spellEnd"/>
      <w:r w:rsidRPr="007D3BD6">
        <w:rPr>
          <w:rFonts w:cs="Times New Roman"/>
          <w:b w:val="0"/>
        </w:rPr>
        <w:t>, 2020).</w:t>
      </w:r>
    </w:p>
    <w:p w14:paraId="0DA6DF48" w14:textId="77777777" w:rsidR="007D3BD6" w:rsidRPr="007D3BD6" w:rsidRDefault="007D3BD6" w:rsidP="006645C0">
      <w:pPr>
        <w:spacing w:before="0" w:after="0" w:line="276" w:lineRule="auto"/>
        <w:jc w:val="both"/>
        <w:rPr>
          <w:rFonts w:cs="Times New Roman"/>
          <w:b w:val="0"/>
        </w:rPr>
      </w:pPr>
      <w:r w:rsidRPr="007D3BD6">
        <w:rPr>
          <w:rFonts w:cs="Times New Roman"/>
          <w:b w:val="0"/>
        </w:rPr>
        <w:t>The operations of deposit money banks are also influenced by the dynamic nature of the global economy, where factors such as technological advancements, regulatory changes, and economic shifts affect the banking landscape. For instance, the rise of digital banking and fintech solutions has transformed the way banks interact with customers. Through mobile banking apps and online platforms, deposit money banks can now offer a wider range of services, making banking more accessible and convenient. However, these technological advancements also introduce new risks, such as cybersecurity threats and the potential for financial fraud, which banks must address through robust risk management strategies and the adoption of new technologies (</w:t>
      </w:r>
      <w:proofErr w:type="spellStart"/>
      <w:r w:rsidRPr="007D3BD6">
        <w:rPr>
          <w:rFonts w:cs="Times New Roman"/>
          <w:b w:val="0"/>
        </w:rPr>
        <w:t>Akinbode</w:t>
      </w:r>
      <w:proofErr w:type="spellEnd"/>
      <w:r w:rsidRPr="007D3BD6">
        <w:rPr>
          <w:rFonts w:cs="Times New Roman"/>
          <w:b w:val="0"/>
        </w:rPr>
        <w:t xml:space="preserve"> &amp; </w:t>
      </w:r>
      <w:proofErr w:type="spellStart"/>
      <w:r w:rsidRPr="007D3BD6">
        <w:rPr>
          <w:rFonts w:cs="Times New Roman"/>
          <w:b w:val="0"/>
        </w:rPr>
        <w:t>Olayanju</w:t>
      </w:r>
      <w:proofErr w:type="spellEnd"/>
      <w:r w:rsidRPr="007D3BD6">
        <w:rPr>
          <w:rFonts w:cs="Times New Roman"/>
          <w:b w:val="0"/>
        </w:rPr>
        <w:t>, 2022).</w:t>
      </w:r>
    </w:p>
    <w:p w14:paraId="55D078C3" w14:textId="05B38646" w:rsidR="007D3BD6" w:rsidRPr="007D3BD6" w:rsidRDefault="0024354F" w:rsidP="006645C0">
      <w:pPr>
        <w:spacing w:before="0" w:after="0" w:line="276" w:lineRule="auto"/>
        <w:jc w:val="both"/>
        <w:rPr>
          <w:rFonts w:cs="Times New Roman"/>
          <w:b w:val="0"/>
        </w:rPr>
      </w:pPr>
      <w:r>
        <w:rPr>
          <w:rFonts w:cs="Times New Roman"/>
          <w:b w:val="0"/>
        </w:rPr>
        <w:t>D</w:t>
      </w:r>
      <w:r w:rsidR="007D3BD6" w:rsidRPr="007D3BD6">
        <w:rPr>
          <w:rFonts w:cs="Times New Roman"/>
          <w:b w:val="0"/>
        </w:rPr>
        <w:t>eposit money banks are central to the functioning of the financial system and the broader economy. They provide essential services that support savings, investment, and economic development, while also managing risks through careful regulation and oversight. By offering loans, accepting deposits, and facilitating financial transactions, these banks contribute to the creation of wealth and the smooth operation of the economy. In addition to their traditional functions, deposit money banks also play a key role in promoting financial inclusion, facilitating international trade, and responding to technological changes in the banking industry. As such, the concept of deposit money banks is integral to understanding the functioning of modern economies and their ability to support sustainable growth.</w:t>
      </w:r>
    </w:p>
    <w:p w14:paraId="116F46E5" w14:textId="77777777" w:rsidR="00CB6CBD" w:rsidRDefault="00CB6CBD" w:rsidP="006645C0">
      <w:pPr>
        <w:spacing w:before="0" w:after="0" w:line="276" w:lineRule="auto"/>
        <w:jc w:val="both"/>
        <w:rPr>
          <w:rFonts w:cs="Times New Roman"/>
          <w:b w:val="0"/>
        </w:rPr>
      </w:pPr>
    </w:p>
    <w:p w14:paraId="7AB5437A" w14:textId="406FBB04" w:rsidR="00257955" w:rsidRDefault="00257955" w:rsidP="006645C0">
      <w:pPr>
        <w:spacing w:before="0" w:after="0" w:line="276" w:lineRule="auto"/>
        <w:jc w:val="both"/>
        <w:rPr>
          <w:rFonts w:cs="Times New Roman"/>
          <w:bCs/>
        </w:rPr>
      </w:pPr>
      <w:r w:rsidRPr="0024354F">
        <w:rPr>
          <w:rFonts w:cs="Times New Roman"/>
          <w:bCs/>
        </w:rPr>
        <w:t>2.</w:t>
      </w:r>
      <w:r>
        <w:rPr>
          <w:rFonts w:cs="Times New Roman"/>
          <w:bCs/>
        </w:rPr>
        <w:t>2</w:t>
      </w:r>
      <w:r w:rsidRPr="0024354F">
        <w:rPr>
          <w:rFonts w:cs="Times New Roman"/>
          <w:bCs/>
        </w:rPr>
        <w:t>.4 CORPORATE GOVERNANCE AND ITS IMPACT ON FINANCIAL PERFORMANCE</w:t>
      </w:r>
    </w:p>
    <w:p w14:paraId="08B70837" w14:textId="78C362E1" w:rsidR="009250C2" w:rsidRPr="009250C2" w:rsidRDefault="009250C2" w:rsidP="006645C0">
      <w:pPr>
        <w:spacing w:before="0" w:after="0" w:line="276" w:lineRule="auto"/>
        <w:jc w:val="both"/>
        <w:rPr>
          <w:rFonts w:cs="Times New Roman"/>
          <w:b w:val="0"/>
        </w:rPr>
      </w:pPr>
      <w:r w:rsidRPr="009250C2">
        <w:rPr>
          <w:rFonts w:cs="Times New Roman"/>
          <w:b w:val="0"/>
        </w:rPr>
        <w:t>Corporate governance refers to the systems, principles, and processes by which companies are directed and controlled. It involves a framework of rules and practices that govern the relationship between a company's management, its board of directors, shareholders, and other stakeholders. Good corporate governance ensures transparency, accountability, and fairness in a company's operations, fostering long-term business sustainability and creating value for shareholders. It also involves compliance with legal and regulatory frameworks to ensure that companies operate within the established norms (Jensen &amp; Meckling, 2020).</w:t>
      </w:r>
    </w:p>
    <w:p w14:paraId="70C2D435" w14:textId="77777777" w:rsidR="009250C2" w:rsidRPr="009250C2" w:rsidRDefault="009250C2" w:rsidP="006645C0">
      <w:pPr>
        <w:spacing w:before="0" w:after="0" w:line="276" w:lineRule="auto"/>
        <w:jc w:val="both"/>
        <w:rPr>
          <w:rFonts w:cs="Times New Roman"/>
          <w:b w:val="0"/>
        </w:rPr>
      </w:pPr>
      <w:r w:rsidRPr="009250C2">
        <w:rPr>
          <w:rFonts w:cs="Times New Roman"/>
          <w:b w:val="0"/>
        </w:rPr>
        <w:t>The concept of corporate governance plays a crucial role in the financial performance of companies, especially in the banking sector. Financial performance refers to how well a company can use its assets to generate revenue and profits. The banking industry, due to its high level of regulation, its need for maintaining public trust, and its role in the economic system, requires a strong governance structure to ensure effective performance and mitigate potential risks. The role of corporate governance in shaping financial performance is multi-dimensional and encompasses the structure of the board, the effectiveness of internal control systems, the role of the audit committee, risk management strategies, and the alignment of managerial interests with those of shareholders.</w:t>
      </w:r>
    </w:p>
    <w:p w14:paraId="7D53F83A" w14:textId="77777777" w:rsidR="009250C2" w:rsidRPr="009250C2" w:rsidRDefault="009250C2" w:rsidP="006645C0">
      <w:pPr>
        <w:spacing w:before="0" w:after="0" w:line="276" w:lineRule="auto"/>
        <w:jc w:val="both"/>
        <w:rPr>
          <w:rFonts w:cs="Times New Roman"/>
          <w:b w:val="0"/>
        </w:rPr>
      </w:pPr>
      <w:r w:rsidRPr="009250C2">
        <w:rPr>
          <w:rFonts w:cs="Times New Roman"/>
          <w:b w:val="0"/>
        </w:rPr>
        <w:lastRenderedPageBreak/>
        <w:t xml:space="preserve">One of the key elements of corporate governance is the composition of the board of directors. A well-structured board with diverse expertise and experience can significantly influence the financial outcomes of a bank. The board’s primary role is to oversee management, ensure that the bank’s strategy aligns with its goals, and ensure that resources are utilized efficiently. According to </w:t>
      </w:r>
      <w:proofErr w:type="spellStart"/>
      <w:r w:rsidRPr="009250C2">
        <w:rPr>
          <w:rFonts w:cs="Times New Roman"/>
          <w:b w:val="0"/>
        </w:rPr>
        <w:t>Lipy</w:t>
      </w:r>
      <w:proofErr w:type="spellEnd"/>
      <w:r w:rsidRPr="009250C2">
        <w:rPr>
          <w:rFonts w:cs="Times New Roman"/>
          <w:b w:val="0"/>
        </w:rPr>
        <w:t xml:space="preserve"> et al. (2022), boards with a diverse mix of skills and backgrounds tend to make better strategic decisions, which can have a positive impact on the bank’s profitability and overall performance. For example, a board with members possessing financial expertise and experience in banking regulations will likely provide better oversight in terms of risk management, compliance, and financial strategies, ultimately leading to improved financial performance.</w:t>
      </w:r>
    </w:p>
    <w:p w14:paraId="1966B665" w14:textId="77777777" w:rsidR="009250C2" w:rsidRPr="009250C2" w:rsidRDefault="009250C2" w:rsidP="006645C0">
      <w:pPr>
        <w:spacing w:before="0" w:after="0" w:line="276" w:lineRule="auto"/>
        <w:jc w:val="both"/>
        <w:rPr>
          <w:rFonts w:cs="Times New Roman"/>
          <w:b w:val="0"/>
        </w:rPr>
      </w:pPr>
      <w:r w:rsidRPr="009250C2">
        <w:rPr>
          <w:rFonts w:cs="Times New Roman"/>
          <w:b w:val="0"/>
        </w:rPr>
        <w:t>Furthermore, the separation of the roles of CEO and board chairman is another important aspect of corporate governance that affects a bank's financial performance. This separation ensures a clear division of power, preventing conflicts of interest and promoting checks and balances within the organization. When the roles are combined, there may be a risk of poor decision-making and inadequate oversight, potentially leading to financial mismanagement or corporate scandals (Adebayo &amp; Ayo, 2021). Studies have shown that banks with independent board members and separate leadership roles tend to experience better financial performance, as the board can offer objective oversight, contributing to more informed and strategic decisions (</w:t>
      </w:r>
      <w:proofErr w:type="spellStart"/>
      <w:r w:rsidRPr="009250C2">
        <w:rPr>
          <w:rFonts w:cs="Times New Roman"/>
          <w:b w:val="0"/>
        </w:rPr>
        <w:t>Olowokere</w:t>
      </w:r>
      <w:proofErr w:type="spellEnd"/>
      <w:r w:rsidRPr="009250C2">
        <w:rPr>
          <w:rFonts w:cs="Times New Roman"/>
          <w:b w:val="0"/>
        </w:rPr>
        <w:t>, 2020).</w:t>
      </w:r>
    </w:p>
    <w:p w14:paraId="146FF4C5" w14:textId="77777777" w:rsidR="009250C2" w:rsidRPr="009250C2" w:rsidRDefault="009250C2" w:rsidP="006645C0">
      <w:pPr>
        <w:spacing w:before="0" w:after="0" w:line="276" w:lineRule="auto"/>
        <w:jc w:val="both"/>
        <w:rPr>
          <w:rFonts w:cs="Times New Roman"/>
          <w:b w:val="0"/>
        </w:rPr>
      </w:pPr>
      <w:r w:rsidRPr="009250C2">
        <w:rPr>
          <w:rFonts w:cs="Times New Roman"/>
          <w:b w:val="0"/>
        </w:rPr>
        <w:t>Corporate governance also involves the effective functioning of the audit committee, which is responsible for overseeing financial reporting, internal controls, and compliance with relevant regulations. The audit committee’s role is particularly crucial in banks, as accurate financial reporting is vital for maintaining stakeholder confidence and ensuring regulatory compliance. The committee is tasked with monitoring the integrity of financial statements, ensuring that proper accounting practices are followed, and reviewing the effectiveness of internal controls and risk management systems. Research by Kariuki &amp; Kinyua (2021) suggests that banks with strong and independent audit committees tend to exhibit higher levels of financial transparency and reliability, which, in turn, enhances their financial performance by mitigating financial risks and fraud.</w:t>
      </w:r>
    </w:p>
    <w:p w14:paraId="260DE643" w14:textId="77777777" w:rsidR="009250C2" w:rsidRPr="009250C2" w:rsidRDefault="009250C2" w:rsidP="006645C0">
      <w:pPr>
        <w:spacing w:before="0" w:after="0" w:line="276" w:lineRule="auto"/>
        <w:jc w:val="both"/>
        <w:rPr>
          <w:rFonts w:cs="Times New Roman"/>
          <w:b w:val="0"/>
        </w:rPr>
      </w:pPr>
      <w:r w:rsidRPr="009250C2">
        <w:rPr>
          <w:rFonts w:cs="Times New Roman"/>
          <w:b w:val="0"/>
        </w:rPr>
        <w:t>In addition to board composition and audit effectiveness, the implementation of robust risk management strategies is another critical aspect of corporate governance that affects financial performance. Risk management in banks involves identifying, assessing, and mitigating potential risks, including credit risk, market risk, operational risk, and liquidity risk. A bank's ability to effectively manage these risks is vital for its long-term profitability and survival. Corporate governance mechanisms that promote strong risk management practices—such as regular risk assessments, clear risk policies, and risk reporting—ensure that banks can avoid significant financial losses and maintain their capital reserves (</w:t>
      </w:r>
      <w:proofErr w:type="spellStart"/>
      <w:r w:rsidRPr="009250C2">
        <w:rPr>
          <w:rFonts w:cs="Times New Roman"/>
          <w:b w:val="0"/>
        </w:rPr>
        <w:t>Odebiyi</w:t>
      </w:r>
      <w:proofErr w:type="spellEnd"/>
      <w:r w:rsidRPr="009250C2">
        <w:rPr>
          <w:rFonts w:cs="Times New Roman"/>
          <w:b w:val="0"/>
        </w:rPr>
        <w:t xml:space="preserve"> &amp; </w:t>
      </w:r>
      <w:proofErr w:type="spellStart"/>
      <w:r w:rsidRPr="009250C2">
        <w:rPr>
          <w:rFonts w:cs="Times New Roman"/>
          <w:b w:val="0"/>
        </w:rPr>
        <w:t>Olajide</w:t>
      </w:r>
      <w:proofErr w:type="spellEnd"/>
      <w:r w:rsidRPr="009250C2">
        <w:rPr>
          <w:rFonts w:cs="Times New Roman"/>
          <w:b w:val="0"/>
        </w:rPr>
        <w:t>, 2020). Effective risk management is particularly crucial during periods of economic uncertainty or financial crises, when banks are more susceptible to market volatility and adverse economic conditions.</w:t>
      </w:r>
    </w:p>
    <w:p w14:paraId="7E4750C2" w14:textId="77777777" w:rsidR="009250C2" w:rsidRPr="009250C2" w:rsidRDefault="009250C2" w:rsidP="006645C0">
      <w:pPr>
        <w:spacing w:before="0" w:after="0" w:line="276" w:lineRule="auto"/>
        <w:jc w:val="both"/>
        <w:rPr>
          <w:rFonts w:cs="Times New Roman"/>
          <w:b w:val="0"/>
        </w:rPr>
      </w:pPr>
      <w:r w:rsidRPr="009250C2">
        <w:rPr>
          <w:rFonts w:cs="Times New Roman"/>
          <w:b w:val="0"/>
        </w:rPr>
        <w:t xml:space="preserve">Another significant impact of corporate governance on financial performance is the alignment of management incentives with shareholder interests. In many cases, the interests of the bank’s managers may not fully align with those of shareholders, leading to agency problems where managers prioritize their interests over the financial health of the bank. Corporate governance mechanisms, such as performance-based compensation and stock ownership, can help align these interests. When managers are incentivized to act in the best interests of shareholders, they are more </w:t>
      </w:r>
      <w:r w:rsidRPr="009250C2">
        <w:rPr>
          <w:rFonts w:cs="Times New Roman"/>
          <w:b w:val="0"/>
        </w:rPr>
        <w:lastRenderedPageBreak/>
        <w:t xml:space="preserve">likely to make decisions that enhance the bank's profitability and financial performance (Adebayo &amp; </w:t>
      </w:r>
      <w:proofErr w:type="spellStart"/>
      <w:r w:rsidRPr="009250C2">
        <w:rPr>
          <w:rFonts w:cs="Times New Roman"/>
          <w:b w:val="0"/>
        </w:rPr>
        <w:t>Olayanju</w:t>
      </w:r>
      <w:proofErr w:type="spellEnd"/>
      <w:r w:rsidRPr="009250C2">
        <w:rPr>
          <w:rFonts w:cs="Times New Roman"/>
          <w:b w:val="0"/>
        </w:rPr>
        <w:t>, 2021). For instance, linking executive compensation to the long-term performance of the bank can encourage managers to focus on strategies that promote sustainable growth, improve profitability, and reduce risks.</w:t>
      </w:r>
    </w:p>
    <w:p w14:paraId="10F21A11" w14:textId="77777777" w:rsidR="009250C2" w:rsidRPr="009250C2" w:rsidRDefault="009250C2" w:rsidP="006645C0">
      <w:pPr>
        <w:spacing w:before="0" w:after="0" w:line="276" w:lineRule="auto"/>
        <w:jc w:val="both"/>
        <w:rPr>
          <w:rFonts w:cs="Times New Roman"/>
          <w:b w:val="0"/>
        </w:rPr>
      </w:pPr>
      <w:r w:rsidRPr="009250C2">
        <w:rPr>
          <w:rFonts w:cs="Times New Roman"/>
          <w:b w:val="0"/>
        </w:rPr>
        <w:t>The corporate governance structure in deposit money banks also plays a significant role in maintaining stakeholder trust and confidence, which are essential for long-term financial success. Trust is an intangible but valuable asset for banks, as it directly impacts customer loyalty, the willingness of investors to provide capital, and the bank’s ability to raise funds through debt or equity markets. When corporate governance practices are weak or when there is a lack of transparency in decision-making, it can lead to a loss of stakeholder confidence, causing customers and investors to withdraw their support, ultimately affecting the bank’s financial performance. According to Thompson (2023), strong corporate governance practices, such as transparency, accountability, and stakeholder engagement, help build trust and enhance the reputation of the bank, contributing positively to its financial outcomes.</w:t>
      </w:r>
    </w:p>
    <w:p w14:paraId="32DEADC2" w14:textId="77777777" w:rsidR="009250C2" w:rsidRPr="009250C2" w:rsidRDefault="009250C2" w:rsidP="006645C0">
      <w:pPr>
        <w:spacing w:before="0" w:after="0" w:line="276" w:lineRule="auto"/>
        <w:jc w:val="both"/>
        <w:rPr>
          <w:rFonts w:cs="Times New Roman"/>
          <w:b w:val="0"/>
        </w:rPr>
      </w:pPr>
      <w:r w:rsidRPr="009250C2">
        <w:rPr>
          <w:rFonts w:cs="Times New Roman"/>
          <w:b w:val="0"/>
        </w:rPr>
        <w:t>In the context of the Nigerian banking sector, the implementation of good corporate governance practices has been a topic of significant interest and research. The Central Bank of Nigeria (CBN) has issued various guidelines and regulations aimed at improving corporate governance within Nigerian banks. These regulations, which include requirements for board composition, audit committee effectiveness, and risk management practices, have been shown to positively influence the financial performance of banks operating in Nigeria (</w:t>
      </w:r>
      <w:proofErr w:type="spellStart"/>
      <w:r w:rsidRPr="009250C2">
        <w:rPr>
          <w:rFonts w:cs="Times New Roman"/>
          <w:b w:val="0"/>
        </w:rPr>
        <w:t>Olowokere</w:t>
      </w:r>
      <w:proofErr w:type="spellEnd"/>
      <w:r w:rsidRPr="009250C2">
        <w:rPr>
          <w:rFonts w:cs="Times New Roman"/>
          <w:b w:val="0"/>
        </w:rPr>
        <w:t>, 2020). For example, the CBN's Corporate Governance Code has set standards for the composition of boards, the role of independent directors, and the management of conflicts of interest, all of which are designed to strengthen governance and improve financial performance.</w:t>
      </w:r>
    </w:p>
    <w:p w14:paraId="23BCAC11" w14:textId="77777777" w:rsidR="009250C2" w:rsidRPr="009250C2" w:rsidRDefault="009250C2" w:rsidP="006645C0">
      <w:pPr>
        <w:spacing w:before="0" w:after="0" w:line="276" w:lineRule="auto"/>
        <w:jc w:val="both"/>
        <w:rPr>
          <w:rFonts w:cs="Times New Roman"/>
          <w:b w:val="0"/>
        </w:rPr>
      </w:pPr>
      <w:r w:rsidRPr="009250C2">
        <w:rPr>
          <w:rFonts w:cs="Times New Roman"/>
          <w:b w:val="0"/>
        </w:rPr>
        <w:t>In conclusion, corporate governance is a critical determinant of financial performance, particularly in the banking sector. The effectiveness of corporate governance mechanisms, including board composition, audit committee performance, risk management strategies, and alignment of management incentives with shareholder interests, has a direct impact on a bank's profitability, sustainability, and long-term growth. Strong corporate governance practices not only enhance financial performance but also promote stakeholder confidence, which is essential for a bank’s success in a competitive and highly regulated industry.</w:t>
      </w:r>
    </w:p>
    <w:p w14:paraId="1E6843C6" w14:textId="3C64FABD" w:rsidR="00753E97" w:rsidRPr="0011190C" w:rsidRDefault="00C05915" w:rsidP="006645C0">
      <w:pPr>
        <w:spacing w:before="0" w:after="0" w:line="276" w:lineRule="auto"/>
        <w:jc w:val="both"/>
        <w:rPr>
          <w:rFonts w:cs="Times New Roman"/>
          <w:bCs/>
        </w:rPr>
      </w:pPr>
      <w:r w:rsidRPr="0011190C">
        <w:rPr>
          <w:rFonts w:cs="Times New Roman"/>
          <w:bCs/>
        </w:rPr>
        <w:t>2.</w:t>
      </w:r>
      <w:r>
        <w:rPr>
          <w:rFonts w:cs="Times New Roman"/>
          <w:bCs/>
        </w:rPr>
        <w:t xml:space="preserve">2.5 </w:t>
      </w:r>
      <w:r w:rsidRPr="0011190C">
        <w:rPr>
          <w:rFonts w:cs="Times New Roman"/>
          <w:bCs/>
        </w:rPr>
        <w:t xml:space="preserve">FINANCIAL PERFORMANCE OF DEPOSIT MONEY BANK </w:t>
      </w:r>
    </w:p>
    <w:p w14:paraId="47D5F1CA" w14:textId="77777777" w:rsidR="00C05915" w:rsidRPr="00C05915" w:rsidRDefault="00C05915" w:rsidP="006645C0">
      <w:pPr>
        <w:spacing w:before="0" w:after="0" w:line="276" w:lineRule="auto"/>
        <w:jc w:val="both"/>
        <w:rPr>
          <w:rFonts w:cs="Times New Roman"/>
          <w:b w:val="0"/>
        </w:rPr>
      </w:pPr>
      <w:r w:rsidRPr="00C05915">
        <w:rPr>
          <w:rFonts w:cs="Times New Roman"/>
          <w:b w:val="0"/>
        </w:rPr>
        <w:t>The financial performance of deposit money banks (DMBs) refers to the ability of these financial institutions to generate profits, manage risks, and optimize the use of their financial resources while adhering to regulatory and industry standards. It is an important indicator of a bank's overall health and its capacity to meet the financial needs of its stakeholders, including shareholders, customers, employees, and regulators. Financial performance in this context can be assessed using various financial metrics, including profitability ratios, liquidity ratios, capital adequacy, and asset quality. These measures help determine how well a bank is managing its resources and operations, with the ultimate goal of sustaining growth and maintaining financial stability.</w:t>
      </w:r>
    </w:p>
    <w:p w14:paraId="75A9C0C0" w14:textId="77777777" w:rsidR="00C05915" w:rsidRPr="00C05915" w:rsidRDefault="00C05915" w:rsidP="006645C0">
      <w:pPr>
        <w:spacing w:before="0" w:after="0" w:line="276" w:lineRule="auto"/>
        <w:jc w:val="both"/>
        <w:rPr>
          <w:rFonts w:cs="Times New Roman"/>
          <w:bCs/>
        </w:rPr>
      </w:pPr>
      <w:r w:rsidRPr="00C05915">
        <w:rPr>
          <w:rFonts w:cs="Times New Roman"/>
          <w:bCs/>
        </w:rPr>
        <w:t>Key Indicators of Financial Performance in Deposit Money Banks</w:t>
      </w:r>
    </w:p>
    <w:p w14:paraId="0C5474F2" w14:textId="77777777" w:rsidR="00C05915" w:rsidRPr="00C05915" w:rsidRDefault="00C05915" w:rsidP="006645C0">
      <w:pPr>
        <w:spacing w:before="0" w:after="0" w:line="276" w:lineRule="auto"/>
        <w:jc w:val="both"/>
        <w:rPr>
          <w:rFonts w:cs="Times New Roman"/>
          <w:b w:val="0"/>
        </w:rPr>
      </w:pPr>
      <w:r w:rsidRPr="00C05915">
        <w:rPr>
          <w:rFonts w:cs="Times New Roman"/>
          <w:b w:val="0"/>
        </w:rPr>
        <w:lastRenderedPageBreak/>
        <w:t>Several indicators are typically used to evaluate the financial performance of DMBs. These indicators help assess various dimensions of a bank's operation, from its profitability to its ability to manage risks and comply with regulations.</w:t>
      </w:r>
    </w:p>
    <w:p w14:paraId="1F1730AC" w14:textId="0FAC3F08" w:rsidR="00C05915" w:rsidRPr="00C05915" w:rsidRDefault="00C05915" w:rsidP="006645C0">
      <w:pPr>
        <w:numPr>
          <w:ilvl w:val="0"/>
          <w:numId w:val="11"/>
        </w:numPr>
        <w:spacing w:before="0" w:after="0" w:line="276" w:lineRule="auto"/>
        <w:jc w:val="both"/>
        <w:rPr>
          <w:rFonts w:cs="Times New Roman"/>
          <w:b w:val="0"/>
        </w:rPr>
      </w:pPr>
      <w:r w:rsidRPr="00C05915">
        <w:rPr>
          <w:rFonts w:cs="Times New Roman"/>
          <w:bCs/>
        </w:rPr>
        <w:t>Profitability Ratios</w:t>
      </w:r>
      <w:r>
        <w:rPr>
          <w:rFonts w:cs="Times New Roman"/>
          <w:b w:val="0"/>
        </w:rPr>
        <w:t xml:space="preserve">: </w:t>
      </w:r>
      <w:r w:rsidRPr="00C05915">
        <w:rPr>
          <w:rFonts w:cs="Times New Roman"/>
          <w:b w:val="0"/>
        </w:rPr>
        <w:t>Profitability is one of the most important aspects of financial performance for any bank. Common profitability ratios include the Return on Assets (ROA) and Return on Equity (ROE). ROA measures the bank's ability to generate profit from its assets, while ROE evaluates the efficiency with which a bank uses its equity to generate profits. A higher ROA or ROE suggests that the bank is effectively using its assets or equity to create profits. According to Ojo (2022), banks with higher profitability ratios are better positioned to withstand financial downturns, enhance shareholder value, and meet customer needs. Additionally, the Net Interest Margin (NIM) is another profitability measure that reflects the difference between the interest income earned by a bank and the interest paid on its liabilities, expressed as a percentage of its assets.</w:t>
      </w:r>
    </w:p>
    <w:p w14:paraId="57B2F845" w14:textId="79CC3EEC" w:rsidR="00C05915" w:rsidRPr="00C05915" w:rsidRDefault="00C05915" w:rsidP="006645C0">
      <w:pPr>
        <w:numPr>
          <w:ilvl w:val="0"/>
          <w:numId w:val="11"/>
        </w:numPr>
        <w:spacing w:before="0" w:after="0" w:line="276" w:lineRule="auto"/>
        <w:jc w:val="both"/>
        <w:rPr>
          <w:rFonts w:cs="Times New Roman"/>
          <w:b w:val="0"/>
        </w:rPr>
      </w:pPr>
      <w:r w:rsidRPr="00C05915">
        <w:rPr>
          <w:rFonts w:cs="Times New Roman"/>
          <w:bCs/>
        </w:rPr>
        <w:t>Liquidity Ratios</w:t>
      </w:r>
      <w:r>
        <w:rPr>
          <w:rFonts w:cs="Times New Roman"/>
          <w:b w:val="0"/>
        </w:rPr>
        <w:t xml:space="preserve">: </w:t>
      </w:r>
      <w:r w:rsidRPr="00C05915">
        <w:rPr>
          <w:rFonts w:cs="Times New Roman"/>
          <w:b w:val="0"/>
        </w:rPr>
        <w:t>Liquidity is a critical component of a bank's financial performance. Liquidity ratios assess the bank's ability to meet its short-term obligations without affecting its operations. The liquidity coverage ratio (LCR) and the current ratio are commonly used to measure liquidity. The LCR, for instance, requires banks to hold sufficient high-quality liquid assets to survive a 30-day period of financial stress. A higher liquidity ratio suggests that the bank has a sufficient buffer to absorb shocks, such as withdrawals or disruptions in funding. According to the International Monetary Fund (IMF) (2021), liquidity ratios are especially crucial in the banking sector due to the inherent risks associated with banking operations, such as credit and market risks, and their potential impact on a bank's liquidity position.</w:t>
      </w:r>
    </w:p>
    <w:p w14:paraId="07EB5B57" w14:textId="6726AB7D" w:rsidR="00C05915" w:rsidRPr="00C05915" w:rsidRDefault="00C05915" w:rsidP="006645C0">
      <w:pPr>
        <w:numPr>
          <w:ilvl w:val="0"/>
          <w:numId w:val="11"/>
        </w:numPr>
        <w:spacing w:before="0" w:after="0" w:line="276" w:lineRule="auto"/>
        <w:jc w:val="both"/>
        <w:rPr>
          <w:rFonts w:cs="Times New Roman"/>
          <w:b w:val="0"/>
        </w:rPr>
      </w:pPr>
      <w:r w:rsidRPr="00C05915">
        <w:rPr>
          <w:rFonts w:cs="Times New Roman"/>
          <w:bCs/>
        </w:rPr>
        <w:t>Capital Adequacy</w:t>
      </w:r>
      <w:r>
        <w:rPr>
          <w:rFonts w:cs="Times New Roman"/>
          <w:b w:val="0"/>
        </w:rPr>
        <w:t xml:space="preserve">: </w:t>
      </w:r>
      <w:r w:rsidRPr="00C05915">
        <w:rPr>
          <w:rFonts w:cs="Times New Roman"/>
          <w:b w:val="0"/>
        </w:rPr>
        <w:t>The capital adequacy ratio (CAR) measures a bank’s capital in relation to its risk-weighted assets. This ratio is crucial for ensuring that a bank can absorb losses during financial downturns. Regulatory bodies, such as the Central Bank of Nigeria (CBN), often require banks to maintain a minimum CAR to safeguard against insolvency and protect depositors. A higher CAR indicates that the bank has more financial resources to absorb losses and is less likely to face liquidity crises. In the context of deposit money banks, a healthy CAR reflects sound financial performance and adherence to regulatory standards (Alabi, 2020). The CBN’s regulatory framework ensures that DMBs maintain adequate capital to mitigate risks and promote financial stability within the banking sector.</w:t>
      </w:r>
    </w:p>
    <w:p w14:paraId="6B1BDE23" w14:textId="53457AA9" w:rsidR="00C05915" w:rsidRPr="00C05915" w:rsidRDefault="00C05915" w:rsidP="006645C0">
      <w:pPr>
        <w:numPr>
          <w:ilvl w:val="0"/>
          <w:numId w:val="11"/>
        </w:numPr>
        <w:spacing w:before="0" w:after="0" w:line="276" w:lineRule="auto"/>
        <w:jc w:val="both"/>
        <w:rPr>
          <w:rFonts w:cs="Times New Roman"/>
          <w:b w:val="0"/>
        </w:rPr>
      </w:pPr>
      <w:r w:rsidRPr="00C05915">
        <w:rPr>
          <w:rFonts w:cs="Times New Roman"/>
          <w:bCs/>
        </w:rPr>
        <w:t>Asset Quality</w:t>
      </w:r>
      <w:r>
        <w:rPr>
          <w:rFonts w:cs="Times New Roman"/>
          <w:b w:val="0"/>
        </w:rPr>
        <w:t xml:space="preserve">: </w:t>
      </w:r>
      <w:r w:rsidRPr="00C05915">
        <w:rPr>
          <w:rFonts w:cs="Times New Roman"/>
          <w:b w:val="0"/>
        </w:rPr>
        <w:t>Asset quality refers to the level of risk associated with a bank’s loan portfolio and other assets. Non-performing loans (NPLs) are a key measure of asset quality. NPLs are loans that borrowers are unable to repay, and a high level of NPLs can severely impact a bank's financial performance. Banks with a large proportion of non-performing loans may struggle with profitability and liquidity, as they are unable to recover the full value of these loans. Conversely, a low level of NPLs is indicative of a bank's effective credit risk management practices, which can contribute to better financial performance (</w:t>
      </w:r>
      <w:proofErr w:type="spellStart"/>
      <w:r w:rsidRPr="00C05915">
        <w:rPr>
          <w:rFonts w:cs="Times New Roman"/>
          <w:b w:val="0"/>
        </w:rPr>
        <w:t>Olowokere</w:t>
      </w:r>
      <w:proofErr w:type="spellEnd"/>
      <w:r w:rsidRPr="00C05915">
        <w:rPr>
          <w:rFonts w:cs="Times New Roman"/>
          <w:b w:val="0"/>
        </w:rPr>
        <w:t>, 2020). In particular, banks with a sound loan review process and credit risk assessment are less likely to experience high levels of NPLs, which boosts their financial performance.</w:t>
      </w:r>
    </w:p>
    <w:p w14:paraId="1EC18862" w14:textId="3DA127A3" w:rsidR="0011190C" w:rsidRPr="00C10D76" w:rsidRDefault="00C10D76" w:rsidP="006645C0">
      <w:pPr>
        <w:spacing w:before="0" w:after="0" w:line="276" w:lineRule="auto"/>
        <w:jc w:val="both"/>
        <w:rPr>
          <w:rFonts w:cs="Times New Roman"/>
          <w:bCs/>
        </w:rPr>
      </w:pPr>
      <w:r w:rsidRPr="00C10D76">
        <w:rPr>
          <w:rFonts w:cs="Times New Roman"/>
          <w:bCs/>
        </w:rPr>
        <w:lastRenderedPageBreak/>
        <w:t>2.2</w:t>
      </w:r>
      <w:r w:rsidRPr="00C10D76">
        <w:rPr>
          <w:rFonts w:cs="Times New Roman"/>
          <w:bCs/>
        </w:rPr>
        <w:tab/>
        <w:t>THEORETICAL FRAMEWORK</w:t>
      </w:r>
    </w:p>
    <w:p w14:paraId="61B581D5" w14:textId="437834EE" w:rsidR="00034560" w:rsidRPr="008113D3" w:rsidRDefault="003D5F92" w:rsidP="006645C0">
      <w:pPr>
        <w:pStyle w:val="ListParagraph"/>
        <w:numPr>
          <w:ilvl w:val="0"/>
          <w:numId w:val="10"/>
        </w:numPr>
        <w:spacing w:before="0" w:after="0" w:line="276" w:lineRule="auto"/>
        <w:jc w:val="both"/>
        <w:rPr>
          <w:rFonts w:cs="Times New Roman"/>
          <w:b w:val="0"/>
        </w:rPr>
      </w:pPr>
      <w:r w:rsidRPr="003D5F92">
        <w:rPr>
          <w:rFonts w:cs="Times New Roman"/>
        </w:rPr>
        <w:t>Resource Dependence Theory</w:t>
      </w:r>
    </w:p>
    <w:p w14:paraId="53ECA300" w14:textId="5A85F213" w:rsidR="008113D3" w:rsidRDefault="008113D3" w:rsidP="006645C0">
      <w:pPr>
        <w:pStyle w:val="NormalWeb"/>
        <w:spacing w:after="0" w:afterAutospacing="0" w:line="276" w:lineRule="auto"/>
        <w:ind w:firstLine="360"/>
        <w:jc w:val="both"/>
      </w:pPr>
      <w:r w:rsidRPr="00DD03C2">
        <w:rPr>
          <w:rStyle w:val="Strong"/>
          <w:rFonts w:eastAsiaTheme="majorEastAsia"/>
          <w:b w:val="0"/>
          <w:bCs w:val="0"/>
        </w:rPr>
        <w:t>Resource Dependence Theory (RDT)</w:t>
      </w:r>
      <w:r w:rsidR="006B1A03">
        <w:rPr>
          <w:rStyle w:val="Strong"/>
          <w:rFonts w:eastAsiaTheme="majorEastAsia"/>
          <w:b w:val="0"/>
          <w:bCs w:val="0"/>
        </w:rPr>
        <w:t xml:space="preserve"> </w:t>
      </w:r>
      <w:r w:rsidR="006B1A03" w:rsidRPr="006B1A03">
        <w:rPr>
          <w:rFonts w:eastAsiaTheme="majorEastAsia"/>
          <w:bCs/>
        </w:rPr>
        <w:t>(</w:t>
      </w:r>
      <w:proofErr w:type="spellStart"/>
      <w:r w:rsidR="006B1A03" w:rsidRPr="006B1A03">
        <w:rPr>
          <w:rFonts w:eastAsiaTheme="majorEastAsia"/>
          <w:bCs/>
        </w:rPr>
        <w:t>Pfeffer</w:t>
      </w:r>
      <w:proofErr w:type="spellEnd"/>
      <w:r w:rsidR="006B1A03" w:rsidRPr="006B1A03">
        <w:rPr>
          <w:rFonts w:eastAsiaTheme="majorEastAsia"/>
          <w:bCs/>
        </w:rPr>
        <w:t xml:space="preserve"> &amp; </w:t>
      </w:r>
      <w:proofErr w:type="spellStart"/>
      <w:r w:rsidR="006B1A03" w:rsidRPr="006B1A03">
        <w:rPr>
          <w:rFonts w:eastAsiaTheme="majorEastAsia"/>
          <w:bCs/>
        </w:rPr>
        <w:t>Salancik</w:t>
      </w:r>
      <w:proofErr w:type="spellEnd"/>
      <w:r w:rsidR="006B1A03" w:rsidRPr="006B1A03">
        <w:rPr>
          <w:rFonts w:eastAsiaTheme="majorEastAsia"/>
          <w:bCs/>
        </w:rPr>
        <w:t>, 1978)</w:t>
      </w:r>
      <w:r w:rsidRPr="008113D3">
        <w:t xml:space="preserve"> posits</w:t>
      </w:r>
      <w:r>
        <w:t xml:space="preserve"> that organizations rely on resources that are controlled by external entities, such as suppliers, customers, or regulatory bodies, and these dependencies significantly influence their strategies and behavior. The theory emphasizes that organizations must manage relationships with these external stakeholders to secure critical resources needed for survival and success. It suggests that organizations are not entirely autonomous but are affected by external forces that can shape their decisions, policies, and overall performance. RDT underscores the importance of managing these external dependencies through strategic alliances, negotiations, and collaboration to reduce uncertainty and gain access to essential resources, thus ensuring organizational stability and growth.</w:t>
      </w:r>
    </w:p>
    <w:p w14:paraId="4FE8FD9D" w14:textId="77777777" w:rsidR="002A0C50" w:rsidRPr="002A0C50" w:rsidRDefault="002A0C50" w:rsidP="006645C0">
      <w:pPr>
        <w:spacing w:before="0" w:after="0" w:line="276" w:lineRule="auto"/>
        <w:ind w:firstLine="360"/>
        <w:jc w:val="both"/>
        <w:rPr>
          <w:rFonts w:cs="Times New Roman"/>
          <w:b w:val="0"/>
        </w:rPr>
      </w:pPr>
      <w:r w:rsidRPr="002A0C50">
        <w:rPr>
          <w:rFonts w:cs="Times New Roman"/>
          <w:b w:val="0"/>
        </w:rPr>
        <w:t xml:space="preserve">In the context of your study on corporate governance and financial performance of deposit money banks (DMBs) like </w:t>
      </w:r>
      <w:proofErr w:type="spellStart"/>
      <w:r w:rsidRPr="002A0C50">
        <w:rPr>
          <w:rFonts w:cs="Times New Roman"/>
          <w:b w:val="0"/>
        </w:rPr>
        <w:t>GTBank</w:t>
      </w:r>
      <w:proofErr w:type="spellEnd"/>
      <w:r w:rsidRPr="002A0C50">
        <w:rPr>
          <w:rFonts w:cs="Times New Roman"/>
          <w:b w:val="0"/>
        </w:rPr>
        <w:t>, Resource Dependence Theory (RDT) provides a valuable lens through which to understand how external factors influence governance and, in turn, financial outcomes. According to RDT, organizations, including banks, are not entirely autonomous; they rely heavily on resources controlled by external entities such as regulatory bodies (e.g., Central Bank of Nigeria), suppliers of capital, investors, and even customers. These dependencies significantly shape the strategic decisions and operational behavior of the bank.</w:t>
      </w:r>
    </w:p>
    <w:p w14:paraId="38565198" w14:textId="77777777" w:rsidR="002A0C50" w:rsidRPr="002A0C50" w:rsidRDefault="002A0C50" w:rsidP="006645C0">
      <w:pPr>
        <w:spacing w:before="0" w:after="0" w:line="276" w:lineRule="auto"/>
        <w:jc w:val="both"/>
        <w:rPr>
          <w:rFonts w:cs="Times New Roman"/>
          <w:b w:val="0"/>
        </w:rPr>
      </w:pPr>
      <w:r w:rsidRPr="002A0C50">
        <w:rPr>
          <w:rFonts w:cs="Times New Roman"/>
          <w:b w:val="0"/>
        </w:rPr>
        <w:t xml:space="preserve">For instance, </w:t>
      </w:r>
      <w:proofErr w:type="spellStart"/>
      <w:r w:rsidRPr="002A0C50">
        <w:rPr>
          <w:rFonts w:cs="Times New Roman"/>
          <w:b w:val="0"/>
        </w:rPr>
        <w:t>GTBank’s</w:t>
      </w:r>
      <w:proofErr w:type="spellEnd"/>
      <w:r w:rsidRPr="002A0C50">
        <w:rPr>
          <w:rFonts w:cs="Times New Roman"/>
          <w:b w:val="0"/>
        </w:rPr>
        <w:t xml:space="preserve"> corporate governance practices may be influenced by its need to comply with regulations set by the Central Bank of Nigeria (CBN) or other financial authorities. This reliance on regulatory bodies to maintain compliance, secure licenses, and access financial markets for capital can impact </w:t>
      </w:r>
      <w:proofErr w:type="spellStart"/>
      <w:r w:rsidRPr="002A0C50">
        <w:rPr>
          <w:rFonts w:cs="Times New Roman"/>
          <w:b w:val="0"/>
        </w:rPr>
        <w:t>GTBank's</w:t>
      </w:r>
      <w:proofErr w:type="spellEnd"/>
      <w:r w:rsidRPr="002A0C50">
        <w:rPr>
          <w:rFonts w:cs="Times New Roman"/>
          <w:b w:val="0"/>
        </w:rPr>
        <w:t xml:space="preserve"> financial performance. Effective management of these external relationships ensures that </w:t>
      </w:r>
      <w:proofErr w:type="spellStart"/>
      <w:r w:rsidRPr="002A0C50">
        <w:rPr>
          <w:rFonts w:cs="Times New Roman"/>
          <w:b w:val="0"/>
        </w:rPr>
        <w:t>GTBank</w:t>
      </w:r>
      <w:proofErr w:type="spellEnd"/>
      <w:r w:rsidRPr="002A0C50">
        <w:rPr>
          <w:rFonts w:cs="Times New Roman"/>
          <w:b w:val="0"/>
        </w:rPr>
        <w:t xml:space="preserve"> maintains sufficient capital reserves, adheres to risk management protocols, and secures the resources necessary to operate efficiently. As a result, </w:t>
      </w:r>
      <w:proofErr w:type="spellStart"/>
      <w:r w:rsidRPr="002A0C50">
        <w:rPr>
          <w:rFonts w:cs="Times New Roman"/>
          <w:b w:val="0"/>
        </w:rPr>
        <w:t>GTBank’s</w:t>
      </w:r>
      <w:proofErr w:type="spellEnd"/>
      <w:r w:rsidRPr="002A0C50">
        <w:rPr>
          <w:rFonts w:cs="Times New Roman"/>
          <w:b w:val="0"/>
        </w:rPr>
        <w:t xml:space="preserve"> ability to navigate these external dependencies through sound governance mechanisms is key to sustaining its financial health.</w:t>
      </w:r>
    </w:p>
    <w:p w14:paraId="275DF44A" w14:textId="7A73AB7E" w:rsidR="008113D3" w:rsidRDefault="002A0C50" w:rsidP="006645C0">
      <w:pPr>
        <w:pStyle w:val="ListParagraph"/>
        <w:numPr>
          <w:ilvl w:val="0"/>
          <w:numId w:val="10"/>
        </w:numPr>
        <w:spacing w:before="0" w:after="0" w:line="276" w:lineRule="auto"/>
        <w:jc w:val="both"/>
        <w:rPr>
          <w:rFonts w:cs="Times New Roman"/>
          <w:b w:val="0"/>
        </w:rPr>
      </w:pPr>
      <w:r>
        <w:rPr>
          <w:rFonts w:cs="Times New Roman"/>
          <w:b w:val="0"/>
        </w:rPr>
        <w:t>Stake</w:t>
      </w:r>
      <w:r w:rsidR="009D5FD8">
        <w:rPr>
          <w:rFonts w:cs="Times New Roman"/>
          <w:b w:val="0"/>
        </w:rPr>
        <w:t>holder Theory</w:t>
      </w:r>
    </w:p>
    <w:p w14:paraId="4F54731E" w14:textId="682202CA" w:rsidR="009D5FD8" w:rsidRDefault="00217E71" w:rsidP="006645C0">
      <w:pPr>
        <w:spacing w:before="0" w:after="0" w:line="276" w:lineRule="auto"/>
        <w:ind w:firstLine="360"/>
        <w:jc w:val="both"/>
        <w:rPr>
          <w:rFonts w:cs="Times New Roman"/>
          <w:b w:val="0"/>
          <w:bCs/>
        </w:rPr>
      </w:pPr>
      <w:r w:rsidRPr="00217E71">
        <w:rPr>
          <w:rFonts w:cs="Times New Roman"/>
          <w:b w:val="0"/>
          <w:bCs/>
        </w:rPr>
        <w:t>Stakeholder Theory (Freeman, 1984)</w:t>
      </w:r>
      <w:r>
        <w:rPr>
          <w:rFonts w:cs="Times New Roman"/>
          <w:b w:val="0"/>
          <w:bCs/>
        </w:rPr>
        <w:t xml:space="preserve"> </w:t>
      </w:r>
      <w:r w:rsidRPr="00217E71">
        <w:rPr>
          <w:rFonts w:cs="Times New Roman"/>
          <w:b w:val="0"/>
          <w:bCs/>
        </w:rPr>
        <w:t>posits that organizations are not only accountable to their shareholders but also to a wider group of stakeholders, including employees, customers, suppliers, regulators, and the local community. This theory emphasizes that an organization's success is tied to its ability to balance and address the interests and needs of all stakeholders, rather than focusing solely on maximizing shareholder wealth. Stakeholder Theory argues that by creating value for a diverse group of stakeholders, organizations can foster long-term success and sustainability. The theory is grounded in the belief that a company’s ethical responsibilities extend beyond profit generation to include positive social, environmental, and economic contributions to the broader community.</w:t>
      </w:r>
    </w:p>
    <w:p w14:paraId="0DC2259E" w14:textId="6686781B" w:rsidR="006A1E00" w:rsidRPr="006A1E00" w:rsidRDefault="006A1E00" w:rsidP="006645C0">
      <w:pPr>
        <w:spacing w:before="0" w:after="0" w:line="276" w:lineRule="auto"/>
        <w:jc w:val="both"/>
        <w:rPr>
          <w:rFonts w:cs="Times New Roman"/>
          <w:b w:val="0"/>
        </w:rPr>
      </w:pPr>
      <w:r>
        <w:rPr>
          <w:rFonts w:cs="Times New Roman"/>
          <w:b w:val="0"/>
        </w:rPr>
        <w:t>C</w:t>
      </w:r>
      <w:r w:rsidRPr="006A1E00">
        <w:rPr>
          <w:rFonts w:cs="Times New Roman"/>
          <w:b w:val="0"/>
        </w:rPr>
        <w:t xml:space="preserve">orporate governance and financial performance in deposit money banks (DMBs), particularly </w:t>
      </w:r>
      <w:proofErr w:type="spellStart"/>
      <w:r w:rsidRPr="006A1E00">
        <w:rPr>
          <w:rFonts w:cs="Times New Roman"/>
          <w:b w:val="0"/>
        </w:rPr>
        <w:t>GTBank</w:t>
      </w:r>
      <w:proofErr w:type="spellEnd"/>
      <w:r w:rsidRPr="006A1E00">
        <w:rPr>
          <w:rFonts w:cs="Times New Roman"/>
          <w:b w:val="0"/>
        </w:rPr>
        <w:t xml:space="preserve">, Stakeholder Theory offers valuable insights into how the bank’s governance practices affect its performance by considering the interests of all stakeholders. According to this theory, </w:t>
      </w:r>
      <w:proofErr w:type="spellStart"/>
      <w:r w:rsidRPr="006A1E00">
        <w:rPr>
          <w:rFonts w:cs="Times New Roman"/>
          <w:b w:val="0"/>
        </w:rPr>
        <w:t>GTBank’s</w:t>
      </w:r>
      <w:proofErr w:type="spellEnd"/>
      <w:r w:rsidRPr="006A1E00">
        <w:rPr>
          <w:rFonts w:cs="Times New Roman"/>
          <w:b w:val="0"/>
        </w:rPr>
        <w:t xml:space="preserve"> corporate governance structure must be designed not just to protect shareholders but </w:t>
      </w:r>
      <w:r w:rsidRPr="006A1E00">
        <w:rPr>
          <w:rFonts w:cs="Times New Roman"/>
          <w:b w:val="0"/>
        </w:rPr>
        <w:lastRenderedPageBreak/>
        <w:t>also to address the needs and concerns of other stakeholders, such as customers, employees, regulators, and the communities in which it operates.</w:t>
      </w:r>
    </w:p>
    <w:p w14:paraId="6C29E581" w14:textId="4FBA9E77" w:rsidR="006A1E00" w:rsidRPr="006A1E00" w:rsidRDefault="006A1E00" w:rsidP="006645C0">
      <w:pPr>
        <w:spacing w:before="0" w:after="0" w:line="276" w:lineRule="auto"/>
        <w:jc w:val="both"/>
        <w:rPr>
          <w:rFonts w:cs="Times New Roman"/>
          <w:b w:val="0"/>
        </w:rPr>
      </w:pPr>
      <w:proofErr w:type="spellStart"/>
      <w:r w:rsidRPr="006A1E00">
        <w:rPr>
          <w:rFonts w:cs="Times New Roman"/>
          <w:b w:val="0"/>
        </w:rPr>
        <w:t>GTBank’s</w:t>
      </w:r>
      <w:proofErr w:type="spellEnd"/>
      <w:r w:rsidRPr="006A1E00">
        <w:rPr>
          <w:rFonts w:cs="Times New Roman"/>
          <w:b w:val="0"/>
        </w:rPr>
        <w:t xml:space="preserve"> commitment to customer service, employee satisfaction, and regulatory compliance can positively influence its financial performance by fostering customer loyalty, improving employee productivity, and ensuring smooth regulatory operations. A strong governance framework that takes into account the interests of various stakeholders—such as ensuring compliance with Central Bank of Nigeria regulations, delivering superior customer experiences, and promoting ethical business practices—can build trust and enhance the bank’s reputation, thereby driving financial growth.</w:t>
      </w:r>
    </w:p>
    <w:p w14:paraId="1E566E2A" w14:textId="46F615EA" w:rsidR="006A1E00" w:rsidRPr="006A1E00" w:rsidRDefault="006A1E00" w:rsidP="006645C0">
      <w:pPr>
        <w:spacing w:before="0" w:after="0" w:line="276" w:lineRule="auto"/>
        <w:jc w:val="both"/>
        <w:rPr>
          <w:rFonts w:cs="Times New Roman"/>
          <w:b w:val="0"/>
        </w:rPr>
      </w:pPr>
      <w:r>
        <w:rPr>
          <w:rFonts w:cs="Times New Roman"/>
          <w:b w:val="0"/>
        </w:rPr>
        <w:t>This</w:t>
      </w:r>
      <w:r w:rsidRPr="006A1E00">
        <w:rPr>
          <w:rFonts w:cs="Times New Roman"/>
          <w:b w:val="0"/>
        </w:rPr>
        <w:t xml:space="preserve"> </w:t>
      </w:r>
      <w:r>
        <w:rPr>
          <w:rFonts w:cs="Times New Roman"/>
          <w:b w:val="0"/>
        </w:rPr>
        <w:t>t</w:t>
      </w:r>
      <w:r w:rsidRPr="006A1E00">
        <w:rPr>
          <w:rFonts w:cs="Times New Roman"/>
          <w:b w:val="0"/>
        </w:rPr>
        <w:t xml:space="preserve">heory would suggest that </w:t>
      </w:r>
      <w:proofErr w:type="spellStart"/>
      <w:r w:rsidRPr="006A1E00">
        <w:rPr>
          <w:rFonts w:cs="Times New Roman"/>
          <w:b w:val="0"/>
        </w:rPr>
        <w:t>GTBank’s</w:t>
      </w:r>
      <w:proofErr w:type="spellEnd"/>
      <w:r w:rsidRPr="006A1E00">
        <w:rPr>
          <w:rFonts w:cs="Times New Roman"/>
          <w:b w:val="0"/>
        </w:rPr>
        <w:t xml:space="preserve"> long-term profitability depends not only on short-term financial gains but on its ability to maintain strong, mutually beneficial relationships with all stakeholders. This could include partnerships with suppliers, ensuring fair labor practices for employees, contributing to social responsibility initiatives, and creating transparency in governance. As a result, the alignment of corporate governance practices with stakeholder interests is likely to improve </w:t>
      </w:r>
      <w:proofErr w:type="spellStart"/>
      <w:r w:rsidRPr="006A1E00">
        <w:rPr>
          <w:rFonts w:cs="Times New Roman"/>
          <w:b w:val="0"/>
        </w:rPr>
        <w:t>GTBank’s</w:t>
      </w:r>
      <w:proofErr w:type="spellEnd"/>
      <w:r w:rsidRPr="006A1E00">
        <w:rPr>
          <w:rFonts w:cs="Times New Roman"/>
          <w:b w:val="0"/>
        </w:rPr>
        <w:t xml:space="preserve"> reputation and financial sustainability in the competitive banking sector.</w:t>
      </w:r>
    </w:p>
    <w:p w14:paraId="54B238A8" w14:textId="04D0BA90" w:rsidR="006A1E00" w:rsidRPr="004702AC" w:rsidRDefault="002E4AE9" w:rsidP="006645C0">
      <w:pPr>
        <w:spacing w:before="0" w:after="0" w:line="276" w:lineRule="auto"/>
        <w:jc w:val="both"/>
        <w:rPr>
          <w:rFonts w:cs="Times New Roman"/>
        </w:rPr>
      </w:pPr>
      <w:r w:rsidRPr="004702AC">
        <w:rPr>
          <w:rFonts w:cs="Times New Roman"/>
        </w:rPr>
        <w:t>2.3</w:t>
      </w:r>
      <w:r w:rsidRPr="004702AC">
        <w:rPr>
          <w:rFonts w:cs="Times New Roman"/>
        </w:rPr>
        <w:tab/>
        <w:t>EMPERICAL REVIEW</w:t>
      </w:r>
    </w:p>
    <w:p w14:paraId="0A0D496C" w14:textId="77777777" w:rsidR="004702AC" w:rsidRPr="004702AC" w:rsidRDefault="004702AC" w:rsidP="006645C0">
      <w:pPr>
        <w:spacing w:before="0" w:after="0" w:line="276" w:lineRule="auto"/>
        <w:jc w:val="both"/>
        <w:rPr>
          <w:rFonts w:cs="Times New Roman"/>
          <w:b w:val="0"/>
          <w:bCs/>
        </w:rPr>
      </w:pPr>
      <w:r w:rsidRPr="004702AC">
        <w:rPr>
          <w:rFonts w:cs="Times New Roman"/>
          <w:b w:val="0"/>
          <w:bCs/>
        </w:rPr>
        <w:t xml:space="preserve">Numerous studies have explored the relationship between corporate governance and financial performance, particularly in the context of banks. For example, </w:t>
      </w:r>
      <w:proofErr w:type="spellStart"/>
      <w:r w:rsidRPr="004702AC">
        <w:rPr>
          <w:rFonts w:cs="Times New Roman"/>
          <w:b w:val="0"/>
          <w:bCs/>
        </w:rPr>
        <w:t>Heracleous</w:t>
      </w:r>
      <w:proofErr w:type="spellEnd"/>
      <w:r w:rsidRPr="004702AC">
        <w:rPr>
          <w:rFonts w:cs="Times New Roman"/>
          <w:b w:val="0"/>
          <w:bCs/>
        </w:rPr>
        <w:t xml:space="preserve"> (2001) found that effective corporate governance practices, including strong board oversight, transparency, and accountability, positively influenced the financial performance of banks. His study emphasized the importance of management's alignment with shareholder interests and the role of governance structures in mitigating risks. Similarly, </w:t>
      </w:r>
      <w:proofErr w:type="spellStart"/>
      <w:r w:rsidRPr="004702AC">
        <w:rPr>
          <w:rFonts w:cs="Times New Roman"/>
          <w:b w:val="0"/>
          <w:bCs/>
        </w:rPr>
        <w:t>Mollah</w:t>
      </w:r>
      <w:proofErr w:type="spellEnd"/>
      <w:r w:rsidRPr="004702AC">
        <w:rPr>
          <w:rFonts w:cs="Times New Roman"/>
          <w:b w:val="0"/>
          <w:bCs/>
        </w:rPr>
        <w:t xml:space="preserve"> and </w:t>
      </w:r>
      <w:proofErr w:type="spellStart"/>
      <w:r w:rsidRPr="004702AC">
        <w:rPr>
          <w:rFonts w:cs="Times New Roman"/>
          <w:b w:val="0"/>
          <w:bCs/>
        </w:rPr>
        <w:t>Lipy</w:t>
      </w:r>
      <w:proofErr w:type="spellEnd"/>
      <w:r w:rsidRPr="004702AC">
        <w:rPr>
          <w:rFonts w:cs="Times New Roman"/>
          <w:b w:val="0"/>
          <w:bCs/>
        </w:rPr>
        <w:t xml:space="preserve"> (2020) investigated the impact of corporate governance on the financial performance of commercial banks in Bangladesh and found that banks with better governance structures—such as independent boards and robust auditing processes—had higher return on assets (ROA) and return on equity (ROE), highlighting a direct correlation between governance quality and financial performance.</w:t>
      </w:r>
    </w:p>
    <w:p w14:paraId="3AC65AD3" w14:textId="77777777" w:rsidR="004702AC" w:rsidRPr="004702AC" w:rsidRDefault="004702AC" w:rsidP="006645C0">
      <w:pPr>
        <w:spacing w:before="0" w:after="0" w:line="276" w:lineRule="auto"/>
        <w:jc w:val="both"/>
        <w:rPr>
          <w:rFonts w:cs="Times New Roman"/>
          <w:b w:val="0"/>
          <w:bCs/>
        </w:rPr>
      </w:pPr>
      <w:r w:rsidRPr="004702AC">
        <w:rPr>
          <w:rFonts w:cs="Times New Roman"/>
          <w:b w:val="0"/>
          <w:bCs/>
        </w:rPr>
        <w:t xml:space="preserve">In the context of Nigerian banks, Abdullahi et al. (2020) examined the relationship between corporate governance mechanisms and financial performance, focusing on deposit money banks. The study concluded that banks with strong governance frameworks, including well-structured boards and effective risk management practices, exhibited better financial performance compared to those with weaker governance structures. This finding is consistent with the work of </w:t>
      </w:r>
      <w:proofErr w:type="spellStart"/>
      <w:r w:rsidRPr="004702AC">
        <w:rPr>
          <w:rFonts w:cs="Times New Roman"/>
          <w:b w:val="0"/>
          <w:bCs/>
        </w:rPr>
        <w:t>Egbunike</w:t>
      </w:r>
      <w:proofErr w:type="spellEnd"/>
      <w:r w:rsidRPr="004702AC">
        <w:rPr>
          <w:rFonts w:cs="Times New Roman"/>
          <w:b w:val="0"/>
          <w:bCs/>
        </w:rPr>
        <w:t xml:space="preserve"> et al. (2017), who explored the role of corporate governance in the performance of Nigerian banks and found that improved governance practices, particularly in terms of board composition and regulatory compliance, contributed to enhanced profitability and financial stability. These studies suggest that corporate governance plays a pivotal role in improving the financial outcomes of deposit money banks, such as </w:t>
      </w:r>
      <w:proofErr w:type="spellStart"/>
      <w:r w:rsidRPr="004702AC">
        <w:rPr>
          <w:rFonts w:cs="Times New Roman"/>
          <w:b w:val="0"/>
          <w:bCs/>
        </w:rPr>
        <w:t>GTBank</w:t>
      </w:r>
      <w:proofErr w:type="spellEnd"/>
      <w:r w:rsidRPr="004702AC">
        <w:rPr>
          <w:rFonts w:cs="Times New Roman"/>
          <w:b w:val="0"/>
          <w:bCs/>
        </w:rPr>
        <w:t>.</w:t>
      </w:r>
    </w:p>
    <w:p w14:paraId="2BBF5254" w14:textId="7BF5F1E0" w:rsidR="00D20CEE" w:rsidRDefault="00D20CEE" w:rsidP="006645C0">
      <w:pPr>
        <w:spacing w:before="0" w:after="0" w:line="276" w:lineRule="auto"/>
        <w:rPr>
          <w:rFonts w:cs="Times New Roman"/>
          <w:b w:val="0"/>
          <w:bCs/>
        </w:rPr>
      </w:pPr>
      <w:r>
        <w:rPr>
          <w:rFonts w:cs="Times New Roman"/>
          <w:b w:val="0"/>
          <w:bCs/>
        </w:rPr>
        <w:br w:type="page"/>
      </w:r>
    </w:p>
    <w:p w14:paraId="64B95121" w14:textId="77777777" w:rsidR="00D20CEE" w:rsidRPr="00D20CEE" w:rsidRDefault="00D20CEE" w:rsidP="006645C0">
      <w:pPr>
        <w:spacing w:before="0" w:after="0" w:line="276" w:lineRule="auto"/>
        <w:jc w:val="center"/>
        <w:rPr>
          <w:rFonts w:cs="Times New Roman"/>
        </w:rPr>
      </w:pPr>
      <w:r w:rsidRPr="00D20CEE">
        <w:rPr>
          <w:rFonts w:cs="Times New Roman"/>
        </w:rPr>
        <w:lastRenderedPageBreak/>
        <w:t>CHAPTER THREE</w:t>
      </w:r>
    </w:p>
    <w:p w14:paraId="346A47D0" w14:textId="77777777" w:rsidR="00D20CEE" w:rsidRPr="00D20CEE" w:rsidRDefault="00D20CEE" w:rsidP="006645C0">
      <w:pPr>
        <w:spacing w:before="0" w:after="0" w:line="276" w:lineRule="auto"/>
        <w:jc w:val="center"/>
        <w:rPr>
          <w:rFonts w:cs="Times New Roman"/>
        </w:rPr>
      </w:pPr>
      <w:r w:rsidRPr="00D20CEE">
        <w:rPr>
          <w:rFonts w:cs="Times New Roman"/>
        </w:rPr>
        <w:t>METHODOLOGY</w:t>
      </w:r>
    </w:p>
    <w:p w14:paraId="6C51D4D2" w14:textId="77777777" w:rsidR="00D20CEE" w:rsidRPr="00D20CEE" w:rsidRDefault="00D20CEE" w:rsidP="006645C0">
      <w:pPr>
        <w:spacing w:before="0" w:after="0" w:line="276" w:lineRule="auto"/>
        <w:jc w:val="both"/>
        <w:rPr>
          <w:rFonts w:cs="Times New Roman"/>
        </w:rPr>
      </w:pPr>
      <w:r w:rsidRPr="00D20CEE">
        <w:rPr>
          <w:rFonts w:cs="Times New Roman"/>
        </w:rPr>
        <w:t>3.1</w:t>
      </w:r>
      <w:r w:rsidRPr="00D20CEE">
        <w:rPr>
          <w:rFonts w:cs="Times New Roman"/>
        </w:rPr>
        <w:tab/>
        <w:t>INTRODUCTION</w:t>
      </w:r>
    </w:p>
    <w:p w14:paraId="1A5E6976" w14:textId="77777777" w:rsidR="00D20CEE" w:rsidRPr="00D20CEE" w:rsidRDefault="00D20CEE" w:rsidP="006645C0">
      <w:pPr>
        <w:spacing w:before="0" w:after="0" w:line="276" w:lineRule="auto"/>
        <w:jc w:val="both"/>
        <w:rPr>
          <w:rFonts w:cs="Times New Roman"/>
          <w:b w:val="0"/>
          <w:bCs/>
        </w:rPr>
      </w:pPr>
      <w:r w:rsidRPr="00D20CEE">
        <w:rPr>
          <w:rFonts w:cs="Times New Roman"/>
          <w:b w:val="0"/>
          <w:bCs/>
        </w:rPr>
        <w:t xml:space="preserve">This chapter </w:t>
      </w:r>
      <w:proofErr w:type="spellStart"/>
      <w:r w:rsidRPr="00D20CEE">
        <w:rPr>
          <w:rFonts w:cs="Times New Roman"/>
          <w:b w:val="0"/>
          <w:bCs/>
        </w:rPr>
        <w:t>centres</w:t>
      </w:r>
      <w:proofErr w:type="spellEnd"/>
      <w:r w:rsidRPr="00D20CEE">
        <w:rPr>
          <w:rFonts w:cs="Times New Roman"/>
          <w:b w:val="0"/>
          <w:bCs/>
        </w:rPr>
        <w:t xml:space="preserve"> on the various methods used in carrying not the research work. This includes research design population of the study, sample size and sampling techniques method, of data collection, research instrument, validity and reliability of instrument and method of data analysis.</w:t>
      </w:r>
    </w:p>
    <w:p w14:paraId="3300A05F" w14:textId="77777777" w:rsidR="00D20CEE" w:rsidRPr="00D20CEE" w:rsidRDefault="00D20CEE" w:rsidP="006645C0">
      <w:pPr>
        <w:spacing w:before="0" w:after="0" w:line="276" w:lineRule="auto"/>
        <w:rPr>
          <w:rFonts w:cs="Times New Roman"/>
        </w:rPr>
      </w:pPr>
      <w:r w:rsidRPr="00D20CEE">
        <w:rPr>
          <w:rFonts w:cs="Times New Roman"/>
        </w:rPr>
        <w:t>3.2</w:t>
      </w:r>
      <w:r w:rsidRPr="00D20CEE">
        <w:rPr>
          <w:rFonts w:cs="Times New Roman"/>
        </w:rPr>
        <w:tab/>
        <w:t xml:space="preserve"> RESEARCH DESIGN </w:t>
      </w:r>
    </w:p>
    <w:p w14:paraId="3A152172" w14:textId="77777777" w:rsidR="00D20CEE" w:rsidRPr="00D20CEE" w:rsidRDefault="00D20CEE" w:rsidP="006645C0">
      <w:pPr>
        <w:spacing w:before="0" w:after="0" w:line="276" w:lineRule="auto"/>
        <w:rPr>
          <w:rFonts w:cs="Times New Roman"/>
          <w:b w:val="0"/>
          <w:bCs/>
        </w:rPr>
      </w:pPr>
      <w:r w:rsidRPr="00D20CEE">
        <w:rPr>
          <w:rFonts w:cs="Times New Roman"/>
          <w:b w:val="0"/>
          <w:bCs/>
        </w:rPr>
        <w:tab/>
        <w:t>To obtain reliable data for analysis, descriptive research design was adopted couples with survey approach.</w:t>
      </w:r>
    </w:p>
    <w:p w14:paraId="57B0F073" w14:textId="77777777" w:rsidR="00D20CEE" w:rsidRPr="00D20CEE" w:rsidRDefault="00D20CEE" w:rsidP="006645C0">
      <w:pPr>
        <w:spacing w:before="0" w:after="0" w:line="276" w:lineRule="auto"/>
        <w:rPr>
          <w:rFonts w:cs="Times New Roman"/>
        </w:rPr>
      </w:pPr>
      <w:r w:rsidRPr="00D20CEE">
        <w:rPr>
          <w:rFonts w:cs="Times New Roman"/>
        </w:rPr>
        <w:t xml:space="preserve">3.3 </w:t>
      </w:r>
      <w:r w:rsidRPr="00D20CEE">
        <w:rPr>
          <w:rFonts w:cs="Times New Roman"/>
        </w:rPr>
        <w:tab/>
        <w:t>POPULATION OF THE STUDY</w:t>
      </w:r>
    </w:p>
    <w:p w14:paraId="3A05440B" w14:textId="77777777" w:rsidR="00D20CEE" w:rsidRPr="00D20CEE" w:rsidRDefault="00D20CEE" w:rsidP="006645C0">
      <w:pPr>
        <w:spacing w:before="0" w:after="0" w:line="276" w:lineRule="auto"/>
        <w:rPr>
          <w:rFonts w:cs="Times New Roman"/>
          <w:b w:val="0"/>
          <w:bCs/>
        </w:rPr>
      </w:pPr>
      <w:r w:rsidRPr="00D20CEE">
        <w:rPr>
          <w:rFonts w:cs="Times New Roman"/>
          <w:b w:val="0"/>
          <w:bCs/>
        </w:rPr>
        <w:t xml:space="preserve">The populations of the study are fourth year studies of two tertiary institutions in Ilorin Kwara State. These institutions are University of Ilorin and Kwara State Polytechnic. A total of 60 fourth year students are the population size of this research.  </w:t>
      </w:r>
    </w:p>
    <w:p w14:paraId="771032C8" w14:textId="77777777" w:rsidR="00D20CEE" w:rsidRPr="00D20CEE" w:rsidRDefault="00D20CEE" w:rsidP="006645C0">
      <w:pPr>
        <w:spacing w:before="0" w:after="0" w:line="276" w:lineRule="auto"/>
        <w:rPr>
          <w:rFonts w:cs="Times New Roman"/>
        </w:rPr>
      </w:pPr>
      <w:r w:rsidRPr="00D20CEE">
        <w:rPr>
          <w:rFonts w:cs="Times New Roman"/>
        </w:rPr>
        <w:t>3.4</w:t>
      </w:r>
      <w:r w:rsidRPr="00D20CEE">
        <w:rPr>
          <w:rFonts w:cs="Times New Roman"/>
        </w:rPr>
        <w:tab/>
        <w:t xml:space="preserve"> SAMPLING TECHNIQUES/ SAMPLE SIZE</w:t>
      </w:r>
    </w:p>
    <w:p w14:paraId="43792C3A" w14:textId="77777777" w:rsidR="00D20CEE" w:rsidRPr="00D20CEE" w:rsidRDefault="00D20CEE" w:rsidP="006645C0">
      <w:pPr>
        <w:spacing w:before="0" w:after="0" w:line="276" w:lineRule="auto"/>
        <w:rPr>
          <w:rFonts w:cs="Times New Roman"/>
          <w:b w:val="0"/>
          <w:bCs/>
        </w:rPr>
      </w:pPr>
      <w:r w:rsidRPr="00D20CEE">
        <w:rPr>
          <w:rFonts w:cs="Times New Roman"/>
          <w:b w:val="0"/>
          <w:bCs/>
        </w:rPr>
        <w:tab/>
        <w:t xml:space="preserve">The study is conducted on a random sampling of fourth year students of university of Ilorin and Kwara State Polytechnic. </w:t>
      </w:r>
      <w:proofErr w:type="spellStart"/>
      <w:r w:rsidRPr="00D20CEE">
        <w:rPr>
          <w:rFonts w:cs="Times New Roman"/>
          <w:b w:val="0"/>
          <w:bCs/>
        </w:rPr>
        <w:t>Kreijcire</w:t>
      </w:r>
      <w:proofErr w:type="spellEnd"/>
      <w:r w:rsidRPr="00D20CEE">
        <w:rPr>
          <w:rFonts w:cs="Times New Roman"/>
          <w:b w:val="0"/>
          <w:bCs/>
        </w:rPr>
        <w:t xml:space="preserve"> and Morgan (1970) statistical formular is used to determine sample size  for the study</w:t>
      </w:r>
    </w:p>
    <w:p w14:paraId="1AA2736E" w14:textId="77777777" w:rsidR="00D20CEE" w:rsidRPr="00D20CEE" w:rsidRDefault="00D20CEE" w:rsidP="006645C0">
      <w:pPr>
        <w:spacing w:before="0" w:after="0" w:line="276" w:lineRule="auto"/>
        <w:rPr>
          <w:rFonts w:cs="Times New Roman"/>
          <w:b w:val="0"/>
          <w:bCs/>
        </w:rPr>
      </w:pPr>
      <w:r w:rsidRPr="00D20CEE">
        <w:rPr>
          <w:rFonts w:cs="Times New Roman"/>
          <w:b w:val="0"/>
          <w:bCs/>
        </w:rPr>
        <w:t xml:space="preserve">                                    n=      </w:t>
      </w:r>
      <w:r w:rsidRPr="00D20CEE">
        <w:rPr>
          <w:rFonts w:cs="Times New Roman"/>
          <w:b w:val="0"/>
          <w:bCs/>
        </w:rPr>
        <w:tab/>
        <w:t xml:space="preserve">    x2 NP (1-P)</w:t>
      </w:r>
    </w:p>
    <w:p w14:paraId="65330BF0" w14:textId="77777777" w:rsidR="00D20CEE" w:rsidRPr="00D20CEE" w:rsidRDefault="00D20CEE" w:rsidP="006645C0">
      <w:pPr>
        <w:spacing w:before="0" w:after="0" w:line="276" w:lineRule="auto"/>
        <w:rPr>
          <w:rFonts w:cs="Times New Roman"/>
          <w:b w:val="0"/>
          <w:bCs/>
        </w:rPr>
      </w:pPr>
      <w:r w:rsidRPr="00D20CEE">
        <w:rPr>
          <w:rFonts w:cs="Times New Roman"/>
          <w:b w:val="0"/>
          <w:bCs/>
        </w:rPr>
        <w:t xml:space="preserve">         d2 (N-I)+ X2 P (I-P)</w:t>
      </w:r>
    </w:p>
    <w:p w14:paraId="725DF33D" w14:textId="77777777" w:rsidR="00D20CEE" w:rsidRPr="00D20CEE" w:rsidRDefault="00D20CEE" w:rsidP="006645C0">
      <w:pPr>
        <w:spacing w:before="0" w:after="0" w:line="276" w:lineRule="auto"/>
        <w:rPr>
          <w:rFonts w:cs="Times New Roman"/>
          <w:b w:val="0"/>
          <w:bCs/>
        </w:rPr>
      </w:pPr>
      <w:r w:rsidRPr="00D20CEE">
        <w:rPr>
          <w:rFonts w:cs="Times New Roman"/>
          <w:b w:val="0"/>
          <w:bCs/>
        </w:rPr>
        <w:t xml:space="preserve">Where n = sample size </w:t>
      </w:r>
    </w:p>
    <w:p w14:paraId="1949716F" w14:textId="77777777" w:rsidR="00D20CEE" w:rsidRPr="00D20CEE" w:rsidRDefault="00D20CEE" w:rsidP="006645C0">
      <w:pPr>
        <w:spacing w:before="0" w:after="0" w:line="276" w:lineRule="auto"/>
        <w:rPr>
          <w:rFonts w:cs="Times New Roman"/>
          <w:b w:val="0"/>
          <w:bCs/>
        </w:rPr>
      </w:pPr>
      <w:r w:rsidRPr="00D20CEE">
        <w:rPr>
          <w:rFonts w:cs="Times New Roman"/>
          <w:b w:val="0"/>
          <w:bCs/>
        </w:rPr>
        <w:t>X2 = chi-square value at degree of freedom = 3.84</w:t>
      </w:r>
    </w:p>
    <w:p w14:paraId="319175FC" w14:textId="77777777" w:rsidR="00D20CEE" w:rsidRPr="00D20CEE" w:rsidRDefault="00D20CEE" w:rsidP="006645C0">
      <w:pPr>
        <w:spacing w:before="0" w:after="0" w:line="276" w:lineRule="auto"/>
        <w:rPr>
          <w:rFonts w:cs="Times New Roman"/>
          <w:b w:val="0"/>
          <w:bCs/>
        </w:rPr>
      </w:pPr>
      <w:r w:rsidRPr="00D20CEE">
        <w:rPr>
          <w:rFonts w:cs="Times New Roman"/>
          <w:b w:val="0"/>
          <w:bCs/>
        </w:rPr>
        <w:t xml:space="preserve">n = population size = 60 </w:t>
      </w:r>
    </w:p>
    <w:p w14:paraId="3468030A" w14:textId="77777777" w:rsidR="00D20CEE" w:rsidRPr="00D20CEE" w:rsidRDefault="00D20CEE" w:rsidP="006645C0">
      <w:pPr>
        <w:spacing w:before="0" w:after="0" w:line="276" w:lineRule="auto"/>
        <w:rPr>
          <w:rFonts w:cs="Times New Roman"/>
          <w:b w:val="0"/>
          <w:bCs/>
        </w:rPr>
      </w:pPr>
      <w:r w:rsidRPr="00D20CEE">
        <w:rPr>
          <w:rFonts w:cs="Times New Roman"/>
          <w:b w:val="0"/>
          <w:bCs/>
        </w:rPr>
        <w:t>P= Population proportion expressed as decimal assumed to be 0.5 (50%)</w:t>
      </w:r>
    </w:p>
    <w:p w14:paraId="15495CD8" w14:textId="77777777" w:rsidR="00D20CEE" w:rsidRPr="00D20CEE" w:rsidRDefault="00D20CEE" w:rsidP="006645C0">
      <w:pPr>
        <w:spacing w:before="0" w:after="0" w:line="276" w:lineRule="auto"/>
        <w:rPr>
          <w:rFonts w:cs="Times New Roman"/>
          <w:b w:val="0"/>
          <w:bCs/>
        </w:rPr>
      </w:pPr>
      <w:r w:rsidRPr="00D20CEE">
        <w:rPr>
          <w:rFonts w:cs="Times New Roman"/>
          <w:b w:val="0"/>
          <w:bCs/>
        </w:rPr>
        <w:t xml:space="preserve">1 = constant value </w:t>
      </w:r>
    </w:p>
    <w:p w14:paraId="3A7B8583" w14:textId="77777777" w:rsidR="00D20CEE" w:rsidRPr="00D20CEE" w:rsidRDefault="00D20CEE" w:rsidP="006645C0">
      <w:pPr>
        <w:spacing w:before="0" w:after="0" w:line="276" w:lineRule="auto"/>
        <w:rPr>
          <w:rFonts w:cs="Times New Roman"/>
          <w:b w:val="0"/>
          <w:bCs/>
        </w:rPr>
      </w:pPr>
      <w:r w:rsidRPr="00D20CEE">
        <w:rPr>
          <w:rFonts w:cs="Times New Roman"/>
          <w:b w:val="0"/>
          <w:bCs/>
        </w:rPr>
        <w:t xml:space="preserve">d2 = Degree of accuracy (5%), expressed as a proportion = 0.05;2 it is margin of error </w:t>
      </w:r>
    </w:p>
    <w:p w14:paraId="2FBDD186" w14:textId="77777777" w:rsidR="00D20CEE" w:rsidRPr="00D20CEE" w:rsidRDefault="00D20CEE" w:rsidP="006645C0">
      <w:pPr>
        <w:spacing w:before="0" w:after="0" w:line="276" w:lineRule="auto"/>
        <w:rPr>
          <w:rFonts w:cs="Times New Roman"/>
          <w:b w:val="0"/>
          <w:bCs/>
        </w:rPr>
      </w:pPr>
      <w:r w:rsidRPr="00D20CEE">
        <w:rPr>
          <w:rFonts w:cs="Times New Roman"/>
          <w:b w:val="0"/>
          <w:bCs/>
        </w:rPr>
        <w:t>n = 3.84 x 60 x 0.5 x 0.5</w:t>
      </w:r>
    </w:p>
    <w:p w14:paraId="201BE0D7" w14:textId="77777777" w:rsidR="00D20CEE" w:rsidRPr="00D20CEE" w:rsidRDefault="00D20CEE" w:rsidP="006645C0">
      <w:pPr>
        <w:spacing w:before="0" w:after="0" w:line="276" w:lineRule="auto"/>
        <w:rPr>
          <w:rFonts w:cs="Times New Roman"/>
          <w:b w:val="0"/>
          <w:bCs/>
        </w:rPr>
      </w:pPr>
      <w:r w:rsidRPr="00D20CEE">
        <w:rPr>
          <w:rFonts w:cs="Times New Roman"/>
          <w:b w:val="0"/>
          <w:bCs/>
        </w:rPr>
        <w:t>0.052 (60-1) + 3.84 x 0.5 x 0.5</w:t>
      </w:r>
    </w:p>
    <w:p w14:paraId="688D65CE" w14:textId="77777777" w:rsidR="00D20CEE" w:rsidRPr="00D20CEE" w:rsidRDefault="00D20CEE" w:rsidP="006645C0">
      <w:pPr>
        <w:spacing w:before="0" w:after="0" w:line="276" w:lineRule="auto"/>
        <w:rPr>
          <w:rFonts w:cs="Times New Roman"/>
          <w:b w:val="0"/>
          <w:bCs/>
        </w:rPr>
      </w:pPr>
      <w:r w:rsidRPr="00D20CEE">
        <w:rPr>
          <w:rFonts w:cs="Times New Roman"/>
          <w:b w:val="0"/>
          <w:bCs/>
        </w:rPr>
        <w:t>n= 57.6</w:t>
      </w:r>
    </w:p>
    <w:p w14:paraId="1387778A" w14:textId="77777777" w:rsidR="00D20CEE" w:rsidRPr="00D20CEE" w:rsidRDefault="00D20CEE" w:rsidP="006645C0">
      <w:pPr>
        <w:spacing w:before="0" w:after="0" w:line="276" w:lineRule="auto"/>
        <w:rPr>
          <w:rFonts w:cs="Times New Roman"/>
          <w:b w:val="0"/>
          <w:bCs/>
        </w:rPr>
      </w:pPr>
      <w:r w:rsidRPr="00D20CEE">
        <w:rPr>
          <w:rFonts w:cs="Times New Roman"/>
          <w:b w:val="0"/>
          <w:bCs/>
        </w:rPr>
        <w:t>0.1475 + 0.96</w:t>
      </w:r>
    </w:p>
    <w:p w14:paraId="4F01AB98" w14:textId="77777777" w:rsidR="00D20CEE" w:rsidRPr="00D20CEE" w:rsidRDefault="00D20CEE" w:rsidP="006645C0">
      <w:pPr>
        <w:spacing w:before="0" w:after="0" w:line="276" w:lineRule="auto"/>
        <w:rPr>
          <w:rFonts w:cs="Times New Roman"/>
          <w:b w:val="0"/>
          <w:bCs/>
        </w:rPr>
      </w:pPr>
      <w:r w:rsidRPr="00D20CEE">
        <w:rPr>
          <w:rFonts w:cs="Times New Roman"/>
          <w:b w:val="0"/>
          <w:bCs/>
        </w:rPr>
        <w:t>n=  57.6</w:t>
      </w:r>
    </w:p>
    <w:p w14:paraId="0E20C47B" w14:textId="77777777" w:rsidR="00D20CEE" w:rsidRPr="00D20CEE" w:rsidRDefault="00D20CEE" w:rsidP="006645C0">
      <w:pPr>
        <w:spacing w:before="0" w:after="0" w:line="276" w:lineRule="auto"/>
        <w:rPr>
          <w:rFonts w:cs="Times New Roman"/>
          <w:b w:val="0"/>
          <w:bCs/>
        </w:rPr>
      </w:pPr>
      <w:r w:rsidRPr="00D20CEE">
        <w:rPr>
          <w:rFonts w:cs="Times New Roman"/>
          <w:b w:val="0"/>
          <w:bCs/>
        </w:rPr>
        <w:t xml:space="preserve">     1.1075</w:t>
      </w:r>
    </w:p>
    <w:p w14:paraId="1A1E697E" w14:textId="77777777" w:rsidR="00D20CEE" w:rsidRPr="00D20CEE" w:rsidRDefault="00D20CEE" w:rsidP="006645C0">
      <w:pPr>
        <w:spacing w:before="0" w:after="0" w:line="276" w:lineRule="auto"/>
        <w:rPr>
          <w:rFonts w:cs="Times New Roman"/>
          <w:b w:val="0"/>
          <w:bCs/>
        </w:rPr>
      </w:pPr>
      <w:r w:rsidRPr="00D20CEE">
        <w:rPr>
          <w:rFonts w:cs="Times New Roman"/>
          <w:b w:val="0"/>
          <w:bCs/>
        </w:rPr>
        <w:t xml:space="preserve">n= 52 sample size approximately  </w:t>
      </w:r>
    </w:p>
    <w:p w14:paraId="1BC1D334" w14:textId="77777777" w:rsidR="00D20CEE" w:rsidRPr="00D20CEE" w:rsidRDefault="00D20CEE" w:rsidP="006645C0">
      <w:pPr>
        <w:spacing w:before="0" w:after="0" w:line="276" w:lineRule="auto"/>
        <w:rPr>
          <w:rFonts w:cs="Times New Roman"/>
        </w:rPr>
      </w:pPr>
      <w:r w:rsidRPr="00D20CEE">
        <w:rPr>
          <w:rFonts w:cs="Times New Roman"/>
        </w:rPr>
        <w:t>3.5</w:t>
      </w:r>
      <w:r w:rsidRPr="00D20CEE">
        <w:rPr>
          <w:rFonts w:cs="Times New Roman"/>
        </w:rPr>
        <w:tab/>
        <w:t xml:space="preserve"> METHODS OF DATA COLLECTION </w:t>
      </w:r>
    </w:p>
    <w:p w14:paraId="75D02FDA" w14:textId="77777777" w:rsidR="00D20CEE" w:rsidRPr="00D20CEE" w:rsidRDefault="00D20CEE" w:rsidP="006645C0">
      <w:pPr>
        <w:spacing w:before="0" w:after="0" w:line="276" w:lineRule="auto"/>
        <w:rPr>
          <w:rFonts w:cs="Times New Roman"/>
          <w:b w:val="0"/>
          <w:bCs/>
        </w:rPr>
      </w:pPr>
      <w:r w:rsidRPr="00D20CEE">
        <w:rPr>
          <w:rFonts w:cs="Times New Roman"/>
          <w:b w:val="0"/>
          <w:bCs/>
        </w:rPr>
        <w:tab/>
        <w:t xml:space="preserve"> The study adopted both primary and secondary data. Questionnaire were administered to obtain primary data. While secondary data formed a sizeable portion of this research. The secondary data were mainly from books, journals, newspapers, unpublished projects, lectures and lastly internet sources.  </w:t>
      </w:r>
    </w:p>
    <w:p w14:paraId="4EC8C6B7" w14:textId="77777777" w:rsidR="00D20CEE" w:rsidRPr="00D20CEE" w:rsidRDefault="00D20CEE" w:rsidP="006645C0">
      <w:pPr>
        <w:spacing w:before="0" w:after="0" w:line="276" w:lineRule="auto"/>
        <w:rPr>
          <w:rFonts w:cs="Times New Roman"/>
        </w:rPr>
      </w:pPr>
      <w:r w:rsidRPr="00D20CEE">
        <w:rPr>
          <w:rFonts w:cs="Times New Roman"/>
        </w:rPr>
        <w:t xml:space="preserve">3.6 </w:t>
      </w:r>
      <w:r w:rsidRPr="00D20CEE">
        <w:rPr>
          <w:rFonts w:cs="Times New Roman"/>
        </w:rPr>
        <w:tab/>
        <w:t xml:space="preserve">INSTRUMENTS OF DATA COLLECTION </w:t>
      </w:r>
    </w:p>
    <w:p w14:paraId="077C3286" w14:textId="77777777" w:rsidR="00D20CEE" w:rsidRPr="00D20CEE" w:rsidRDefault="00D20CEE" w:rsidP="006645C0">
      <w:pPr>
        <w:spacing w:before="0" w:after="0" w:line="276" w:lineRule="auto"/>
        <w:rPr>
          <w:rFonts w:cs="Times New Roman"/>
          <w:b w:val="0"/>
          <w:bCs/>
        </w:rPr>
      </w:pPr>
      <w:r w:rsidRPr="00D20CEE">
        <w:rPr>
          <w:rFonts w:cs="Times New Roman"/>
          <w:b w:val="0"/>
          <w:bCs/>
        </w:rPr>
        <w:tab/>
        <w:t xml:space="preserve">In order to obtain accurate and reliable information the following research instrument were used in this project. Questionnaire: the questionnaire was structured in line  with variables of the study stated in the research questions and hypotheses. The questionnaire was directed into </w:t>
      </w:r>
      <w:r w:rsidRPr="00D20CEE">
        <w:rPr>
          <w:rFonts w:cs="Times New Roman"/>
          <w:b w:val="0"/>
          <w:bCs/>
        </w:rPr>
        <w:lastRenderedPageBreak/>
        <w:t xml:space="preserve">two parts Section A was designed to collect demographic information of the respondents. Section B deals with issues relating to the subject of inquiring. This was distributed to the respondents. </w:t>
      </w:r>
    </w:p>
    <w:p w14:paraId="42AB0291" w14:textId="77777777" w:rsidR="00D20CEE" w:rsidRPr="00D20CEE" w:rsidRDefault="00D20CEE" w:rsidP="006645C0">
      <w:pPr>
        <w:spacing w:before="0" w:after="0" w:line="276" w:lineRule="auto"/>
        <w:rPr>
          <w:rFonts w:cs="Times New Roman"/>
        </w:rPr>
      </w:pPr>
      <w:r w:rsidRPr="00D20CEE">
        <w:rPr>
          <w:rFonts w:cs="Times New Roman"/>
        </w:rPr>
        <w:t>3.7</w:t>
      </w:r>
      <w:r w:rsidRPr="00D20CEE">
        <w:rPr>
          <w:rFonts w:cs="Times New Roman"/>
        </w:rPr>
        <w:tab/>
        <w:t xml:space="preserve"> METHODS OF DATA ANALYSIS </w:t>
      </w:r>
    </w:p>
    <w:p w14:paraId="358E3DE2" w14:textId="77777777" w:rsidR="00D20CEE" w:rsidRPr="00D20CEE" w:rsidRDefault="00D20CEE" w:rsidP="006645C0">
      <w:pPr>
        <w:spacing w:before="0" w:after="0" w:line="276" w:lineRule="auto"/>
        <w:rPr>
          <w:rFonts w:cs="Times New Roman"/>
          <w:b w:val="0"/>
          <w:bCs/>
        </w:rPr>
      </w:pPr>
      <w:r w:rsidRPr="00D20CEE">
        <w:rPr>
          <w:rFonts w:cs="Times New Roman"/>
          <w:b w:val="0"/>
          <w:bCs/>
        </w:rPr>
        <w:tab/>
        <w:t xml:space="preserve"> Data collection from questionnaires were presented and analyzed by using descriptive statistic techniques, regression and correlation analysis.  </w:t>
      </w:r>
    </w:p>
    <w:p w14:paraId="254D2207" w14:textId="2CE8CC56" w:rsidR="00D20CEE" w:rsidRPr="00217E71" w:rsidRDefault="00D20CEE" w:rsidP="006645C0">
      <w:pPr>
        <w:spacing w:before="0" w:after="0" w:line="276" w:lineRule="auto"/>
        <w:rPr>
          <w:rFonts w:cs="Times New Roman"/>
          <w:b w:val="0"/>
          <w:bCs/>
        </w:rPr>
      </w:pPr>
      <w:r w:rsidRPr="00D20CEE">
        <w:rPr>
          <w:rFonts w:cs="Times New Roman"/>
          <w:b w:val="0"/>
          <w:bCs/>
        </w:rPr>
        <w:t> </w:t>
      </w:r>
      <w:bookmarkEnd w:id="0"/>
    </w:p>
    <w:sectPr w:rsidR="00D20CEE" w:rsidRPr="00217E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6955"/>
    <w:multiLevelType w:val="multilevel"/>
    <w:tmpl w:val="5E92657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F71ACD"/>
    <w:multiLevelType w:val="hybridMultilevel"/>
    <w:tmpl w:val="D1E82E2C"/>
    <w:lvl w:ilvl="0" w:tplc="79AE85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E5226"/>
    <w:multiLevelType w:val="multilevel"/>
    <w:tmpl w:val="7FFED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0E440A"/>
    <w:multiLevelType w:val="hybridMultilevel"/>
    <w:tmpl w:val="CC1269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EA3C97"/>
    <w:multiLevelType w:val="hybridMultilevel"/>
    <w:tmpl w:val="427E4D0C"/>
    <w:lvl w:ilvl="0" w:tplc="79AE85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821CFC"/>
    <w:multiLevelType w:val="multilevel"/>
    <w:tmpl w:val="2FA426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4E7D9A"/>
    <w:multiLevelType w:val="multilevel"/>
    <w:tmpl w:val="8648EA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533050"/>
    <w:multiLevelType w:val="multilevel"/>
    <w:tmpl w:val="4902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496B45"/>
    <w:multiLevelType w:val="multilevel"/>
    <w:tmpl w:val="19BA4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2F24F9"/>
    <w:multiLevelType w:val="multilevel"/>
    <w:tmpl w:val="20B04D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82586B"/>
    <w:multiLevelType w:val="multilevel"/>
    <w:tmpl w:val="B7DCF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9790208">
    <w:abstractNumId w:val="8"/>
  </w:num>
  <w:num w:numId="2" w16cid:durableId="529029153">
    <w:abstractNumId w:val="9"/>
  </w:num>
  <w:num w:numId="3" w16cid:durableId="1256354231">
    <w:abstractNumId w:val="4"/>
  </w:num>
  <w:num w:numId="4" w16cid:durableId="1515534182">
    <w:abstractNumId w:val="0"/>
  </w:num>
  <w:num w:numId="5" w16cid:durableId="1014265062">
    <w:abstractNumId w:val="2"/>
  </w:num>
  <w:num w:numId="6" w16cid:durableId="1658874640">
    <w:abstractNumId w:val="1"/>
  </w:num>
  <w:num w:numId="7" w16cid:durableId="1720939056">
    <w:abstractNumId w:val="5"/>
  </w:num>
  <w:num w:numId="8" w16cid:durableId="229122169">
    <w:abstractNumId w:val="6"/>
  </w:num>
  <w:num w:numId="9" w16cid:durableId="1417631749">
    <w:abstractNumId w:val="7"/>
  </w:num>
  <w:num w:numId="10" w16cid:durableId="1478763209">
    <w:abstractNumId w:val="3"/>
  </w:num>
  <w:num w:numId="11" w16cid:durableId="15985175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027"/>
    <w:rsid w:val="00014DC7"/>
    <w:rsid w:val="00034560"/>
    <w:rsid w:val="00050FE0"/>
    <w:rsid w:val="000648AA"/>
    <w:rsid w:val="000A27CC"/>
    <w:rsid w:val="000F6939"/>
    <w:rsid w:val="0011190C"/>
    <w:rsid w:val="00123984"/>
    <w:rsid w:val="00124CE6"/>
    <w:rsid w:val="00141027"/>
    <w:rsid w:val="00164045"/>
    <w:rsid w:val="0016685C"/>
    <w:rsid w:val="001715F1"/>
    <w:rsid w:val="00173649"/>
    <w:rsid w:val="001820A0"/>
    <w:rsid w:val="001D26DF"/>
    <w:rsid w:val="001E3A81"/>
    <w:rsid w:val="001E6EA8"/>
    <w:rsid w:val="001F73A2"/>
    <w:rsid w:val="00217E71"/>
    <w:rsid w:val="002248CF"/>
    <w:rsid w:val="0024354F"/>
    <w:rsid w:val="002546E9"/>
    <w:rsid w:val="00257955"/>
    <w:rsid w:val="00272D6E"/>
    <w:rsid w:val="00291BD7"/>
    <w:rsid w:val="002A0C50"/>
    <w:rsid w:val="002A6CBC"/>
    <w:rsid w:val="002C4F15"/>
    <w:rsid w:val="002D64C5"/>
    <w:rsid w:val="002E4AE9"/>
    <w:rsid w:val="002F7E70"/>
    <w:rsid w:val="00377DA0"/>
    <w:rsid w:val="003A16C0"/>
    <w:rsid w:val="003B74AB"/>
    <w:rsid w:val="003D5F92"/>
    <w:rsid w:val="00401633"/>
    <w:rsid w:val="00415E1B"/>
    <w:rsid w:val="00457E5D"/>
    <w:rsid w:val="00463C49"/>
    <w:rsid w:val="004647E4"/>
    <w:rsid w:val="004702AC"/>
    <w:rsid w:val="00475E7B"/>
    <w:rsid w:val="00494F10"/>
    <w:rsid w:val="004A1ED4"/>
    <w:rsid w:val="004D452D"/>
    <w:rsid w:val="004F332E"/>
    <w:rsid w:val="00546010"/>
    <w:rsid w:val="00575636"/>
    <w:rsid w:val="00576162"/>
    <w:rsid w:val="005825DA"/>
    <w:rsid w:val="005C3FFE"/>
    <w:rsid w:val="005D6B4C"/>
    <w:rsid w:val="006645C0"/>
    <w:rsid w:val="006A1E00"/>
    <w:rsid w:val="006B1A03"/>
    <w:rsid w:val="006D2885"/>
    <w:rsid w:val="00727DDA"/>
    <w:rsid w:val="007527AC"/>
    <w:rsid w:val="00753E97"/>
    <w:rsid w:val="00764700"/>
    <w:rsid w:val="007A50F7"/>
    <w:rsid w:val="007C4EAC"/>
    <w:rsid w:val="007D3BD6"/>
    <w:rsid w:val="008113D3"/>
    <w:rsid w:val="008B39ED"/>
    <w:rsid w:val="008E6DAD"/>
    <w:rsid w:val="009231B0"/>
    <w:rsid w:val="009250C2"/>
    <w:rsid w:val="00950AD7"/>
    <w:rsid w:val="009A274C"/>
    <w:rsid w:val="009A57EC"/>
    <w:rsid w:val="009D5FD8"/>
    <w:rsid w:val="009E165E"/>
    <w:rsid w:val="009F5AFB"/>
    <w:rsid w:val="00A15F4D"/>
    <w:rsid w:val="00A25561"/>
    <w:rsid w:val="00A3402F"/>
    <w:rsid w:val="00A5504A"/>
    <w:rsid w:val="00A67884"/>
    <w:rsid w:val="00A836AC"/>
    <w:rsid w:val="00AE2753"/>
    <w:rsid w:val="00AF3AA4"/>
    <w:rsid w:val="00B2132E"/>
    <w:rsid w:val="00B6333C"/>
    <w:rsid w:val="00BF4710"/>
    <w:rsid w:val="00C01251"/>
    <w:rsid w:val="00C05915"/>
    <w:rsid w:val="00C10D76"/>
    <w:rsid w:val="00C76663"/>
    <w:rsid w:val="00C95912"/>
    <w:rsid w:val="00CB6CBD"/>
    <w:rsid w:val="00CD4565"/>
    <w:rsid w:val="00D20CEE"/>
    <w:rsid w:val="00D60BEF"/>
    <w:rsid w:val="00DA3457"/>
    <w:rsid w:val="00DD03C2"/>
    <w:rsid w:val="00E01BB5"/>
    <w:rsid w:val="00E04A98"/>
    <w:rsid w:val="00E05296"/>
    <w:rsid w:val="00E45862"/>
    <w:rsid w:val="00E874CB"/>
    <w:rsid w:val="00E90EAE"/>
    <w:rsid w:val="00EE1659"/>
    <w:rsid w:val="00F70B20"/>
    <w:rsid w:val="00F71D2B"/>
    <w:rsid w:val="00FA2959"/>
    <w:rsid w:val="00FC7AB0"/>
    <w:rsid w:val="00FD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58A7E"/>
  <w15:chartTrackingRefBased/>
  <w15:docId w15:val="{EE0D5E12-68BE-4F6D-9C11-05AF3139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027"/>
    <w:pPr>
      <w:spacing w:before="720" w:after="720" w:line="240" w:lineRule="auto"/>
    </w:pPr>
    <w:rPr>
      <w:rFonts w:ascii="Times New Roman" w:hAnsi="Times New Roman"/>
      <w:b/>
    </w:rPr>
  </w:style>
  <w:style w:type="paragraph" w:styleId="Heading1">
    <w:name w:val="heading 1"/>
    <w:basedOn w:val="Normal"/>
    <w:next w:val="Normal"/>
    <w:link w:val="Heading1Char"/>
    <w:uiPriority w:val="9"/>
    <w:qFormat/>
    <w:rsid w:val="001410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10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10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10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10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10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0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0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0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0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10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10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10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10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1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027"/>
    <w:rPr>
      <w:rFonts w:eastAsiaTheme="majorEastAsia" w:cstheme="majorBidi"/>
      <w:color w:val="272727" w:themeColor="text1" w:themeTint="D8"/>
    </w:rPr>
  </w:style>
  <w:style w:type="paragraph" w:styleId="Title">
    <w:name w:val="Title"/>
    <w:basedOn w:val="Normal"/>
    <w:next w:val="Normal"/>
    <w:link w:val="TitleChar"/>
    <w:uiPriority w:val="10"/>
    <w:qFormat/>
    <w:rsid w:val="001410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0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027"/>
    <w:pPr>
      <w:spacing w:before="160"/>
      <w:jc w:val="center"/>
    </w:pPr>
    <w:rPr>
      <w:i/>
      <w:iCs/>
      <w:color w:val="404040" w:themeColor="text1" w:themeTint="BF"/>
    </w:rPr>
  </w:style>
  <w:style w:type="character" w:customStyle="1" w:styleId="QuoteChar">
    <w:name w:val="Quote Char"/>
    <w:basedOn w:val="DefaultParagraphFont"/>
    <w:link w:val="Quote"/>
    <w:uiPriority w:val="29"/>
    <w:rsid w:val="00141027"/>
    <w:rPr>
      <w:i/>
      <w:iCs/>
      <w:color w:val="404040" w:themeColor="text1" w:themeTint="BF"/>
    </w:rPr>
  </w:style>
  <w:style w:type="paragraph" w:styleId="ListParagraph">
    <w:name w:val="List Paragraph"/>
    <w:basedOn w:val="Normal"/>
    <w:uiPriority w:val="34"/>
    <w:qFormat/>
    <w:rsid w:val="00141027"/>
    <w:pPr>
      <w:ind w:left="720"/>
      <w:contextualSpacing/>
    </w:pPr>
  </w:style>
  <w:style w:type="character" w:styleId="IntenseEmphasis">
    <w:name w:val="Intense Emphasis"/>
    <w:basedOn w:val="DefaultParagraphFont"/>
    <w:uiPriority w:val="21"/>
    <w:qFormat/>
    <w:rsid w:val="00141027"/>
    <w:rPr>
      <w:i/>
      <w:iCs/>
      <w:color w:val="2F5496" w:themeColor="accent1" w:themeShade="BF"/>
    </w:rPr>
  </w:style>
  <w:style w:type="paragraph" w:styleId="IntenseQuote">
    <w:name w:val="Intense Quote"/>
    <w:basedOn w:val="Normal"/>
    <w:next w:val="Normal"/>
    <w:link w:val="IntenseQuoteChar"/>
    <w:uiPriority w:val="30"/>
    <w:qFormat/>
    <w:rsid w:val="001410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1027"/>
    <w:rPr>
      <w:i/>
      <w:iCs/>
      <w:color w:val="2F5496" w:themeColor="accent1" w:themeShade="BF"/>
    </w:rPr>
  </w:style>
  <w:style w:type="character" w:styleId="IntenseReference">
    <w:name w:val="Intense Reference"/>
    <w:basedOn w:val="DefaultParagraphFont"/>
    <w:uiPriority w:val="32"/>
    <w:qFormat/>
    <w:rsid w:val="00141027"/>
    <w:rPr>
      <w:b/>
      <w:bCs/>
      <w:smallCaps/>
      <w:color w:val="2F5496" w:themeColor="accent1" w:themeShade="BF"/>
      <w:spacing w:val="5"/>
    </w:rPr>
  </w:style>
  <w:style w:type="paragraph" w:styleId="NormalWeb">
    <w:name w:val="Normal (Web)"/>
    <w:basedOn w:val="Normal"/>
    <w:uiPriority w:val="99"/>
    <w:semiHidden/>
    <w:unhideWhenUsed/>
    <w:rsid w:val="008113D3"/>
    <w:pPr>
      <w:spacing w:before="100" w:beforeAutospacing="1" w:after="100" w:afterAutospacing="1"/>
    </w:pPr>
    <w:rPr>
      <w:rFonts w:eastAsia="Times New Roman" w:cs="Times New Roman"/>
      <w:b w:val="0"/>
      <w:kern w:val="0"/>
      <w14:ligatures w14:val="none"/>
    </w:rPr>
  </w:style>
  <w:style w:type="character" w:styleId="Strong">
    <w:name w:val="Strong"/>
    <w:basedOn w:val="DefaultParagraphFont"/>
    <w:uiPriority w:val="22"/>
    <w:qFormat/>
    <w:rsid w:val="008113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300">
      <w:bodyDiv w:val="1"/>
      <w:marLeft w:val="0"/>
      <w:marRight w:val="0"/>
      <w:marTop w:val="0"/>
      <w:marBottom w:val="0"/>
      <w:divBdr>
        <w:top w:val="none" w:sz="0" w:space="0" w:color="auto"/>
        <w:left w:val="none" w:sz="0" w:space="0" w:color="auto"/>
        <w:bottom w:val="none" w:sz="0" w:space="0" w:color="auto"/>
        <w:right w:val="none" w:sz="0" w:space="0" w:color="auto"/>
      </w:divBdr>
    </w:div>
    <w:div w:id="49040369">
      <w:bodyDiv w:val="1"/>
      <w:marLeft w:val="0"/>
      <w:marRight w:val="0"/>
      <w:marTop w:val="0"/>
      <w:marBottom w:val="0"/>
      <w:divBdr>
        <w:top w:val="none" w:sz="0" w:space="0" w:color="auto"/>
        <w:left w:val="none" w:sz="0" w:space="0" w:color="auto"/>
        <w:bottom w:val="none" w:sz="0" w:space="0" w:color="auto"/>
        <w:right w:val="none" w:sz="0" w:space="0" w:color="auto"/>
      </w:divBdr>
    </w:div>
    <w:div w:id="54746214">
      <w:bodyDiv w:val="1"/>
      <w:marLeft w:val="0"/>
      <w:marRight w:val="0"/>
      <w:marTop w:val="0"/>
      <w:marBottom w:val="0"/>
      <w:divBdr>
        <w:top w:val="none" w:sz="0" w:space="0" w:color="auto"/>
        <w:left w:val="none" w:sz="0" w:space="0" w:color="auto"/>
        <w:bottom w:val="none" w:sz="0" w:space="0" w:color="auto"/>
        <w:right w:val="none" w:sz="0" w:space="0" w:color="auto"/>
      </w:divBdr>
    </w:div>
    <w:div w:id="143815778">
      <w:bodyDiv w:val="1"/>
      <w:marLeft w:val="0"/>
      <w:marRight w:val="0"/>
      <w:marTop w:val="0"/>
      <w:marBottom w:val="0"/>
      <w:divBdr>
        <w:top w:val="none" w:sz="0" w:space="0" w:color="auto"/>
        <w:left w:val="none" w:sz="0" w:space="0" w:color="auto"/>
        <w:bottom w:val="none" w:sz="0" w:space="0" w:color="auto"/>
        <w:right w:val="none" w:sz="0" w:space="0" w:color="auto"/>
      </w:divBdr>
    </w:div>
    <w:div w:id="156000332">
      <w:bodyDiv w:val="1"/>
      <w:marLeft w:val="0"/>
      <w:marRight w:val="0"/>
      <w:marTop w:val="0"/>
      <w:marBottom w:val="0"/>
      <w:divBdr>
        <w:top w:val="none" w:sz="0" w:space="0" w:color="auto"/>
        <w:left w:val="none" w:sz="0" w:space="0" w:color="auto"/>
        <w:bottom w:val="none" w:sz="0" w:space="0" w:color="auto"/>
        <w:right w:val="none" w:sz="0" w:space="0" w:color="auto"/>
      </w:divBdr>
    </w:div>
    <w:div w:id="197545512">
      <w:bodyDiv w:val="1"/>
      <w:marLeft w:val="0"/>
      <w:marRight w:val="0"/>
      <w:marTop w:val="0"/>
      <w:marBottom w:val="0"/>
      <w:divBdr>
        <w:top w:val="none" w:sz="0" w:space="0" w:color="auto"/>
        <w:left w:val="none" w:sz="0" w:space="0" w:color="auto"/>
        <w:bottom w:val="none" w:sz="0" w:space="0" w:color="auto"/>
        <w:right w:val="none" w:sz="0" w:space="0" w:color="auto"/>
      </w:divBdr>
    </w:div>
    <w:div w:id="200483376">
      <w:bodyDiv w:val="1"/>
      <w:marLeft w:val="0"/>
      <w:marRight w:val="0"/>
      <w:marTop w:val="0"/>
      <w:marBottom w:val="0"/>
      <w:divBdr>
        <w:top w:val="none" w:sz="0" w:space="0" w:color="auto"/>
        <w:left w:val="none" w:sz="0" w:space="0" w:color="auto"/>
        <w:bottom w:val="none" w:sz="0" w:space="0" w:color="auto"/>
        <w:right w:val="none" w:sz="0" w:space="0" w:color="auto"/>
      </w:divBdr>
    </w:div>
    <w:div w:id="233979935">
      <w:bodyDiv w:val="1"/>
      <w:marLeft w:val="0"/>
      <w:marRight w:val="0"/>
      <w:marTop w:val="0"/>
      <w:marBottom w:val="0"/>
      <w:divBdr>
        <w:top w:val="none" w:sz="0" w:space="0" w:color="auto"/>
        <w:left w:val="none" w:sz="0" w:space="0" w:color="auto"/>
        <w:bottom w:val="none" w:sz="0" w:space="0" w:color="auto"/>
        <w:right w:val="none" w:sz="0" w:space="0" w:color="auto"/>
      </w:divBdr>
    </w:div>
    <w:div w:id="273833095">
      <w:bodyDiv w:val="1"/>
      <w:marLeft w:val="0"/>
      <w:marRight w:val="0"/>
      <w:marTop w:val="0"/>
      <w:marBottom w:val="0"/>
      <w:divBdr>
        <w:top w:val="none" w:sz="0" w:space="0" w:color="auto"/>
        <w:left w:val="none" w:sz="0" w:space="0" w:color="auto"/>
        <w:bottom w:val="none" w:sz="0" w:space="0" w:color="auto"/>
        <w:right w:val="none" w:sz="0" w:space="0" w:color="auto"/>
      </w:divBdr>
    </w:div>
    <w:div w:id="276571128">
      <w:bodyDiv w:val="1"/>
      <w:marLeft w:val="0"/>
      <w:marRight w:val="0"/>
      <w:marTop w:val="0"/>
      <w:marBottom w:val="0"/>
      <w:divBdr>
        <w:top w:val="none" w:sz="0" w:space="0" w:color="auto"/>
        <w:left w:val="none" w:sz="0" w:space="0" w:color="auto"/>
        <w:bottom w:val="none" w:sz="0" w:space="0" w:color="auto"/>
        <w:right w:val="none" w:sz="0" w:space="0" w:color="auto"/>
      </w:divBdr>
    </w:div>
    <w:div w:id="277834237">
      <w:bodyDiv w:val="1"/>
      <w:marLeft w:val="0"/>
      <w:marRight w:val="0"/>
      <w:marTop w:val="0"/>
      <w:marBottom w:val="0"/>
      <w:divBdr>
        <w:top w:val="none" w:sz="0" w:space="0" w:color="auto"/>
        <w:left w:val="none" w:sz="0" w:space="0" w:color="auto"/>
        <w:bottom w:val="none" w:sz="0" w:space="0" w:color="auto"/>
        <w:right w:val="none" w:sz="0" w:space="0" w:color="auto"/>
      </w:divBdr>
    </w:div>
    <w:div w:id="292178933">
      <w:bodyDiv w:val="1"/>
      <w:marLeft w:val="0"/>
      <w:marRight w:val="0"/>
      <w:marTop w:val="0"/>
      <w:marBottom w:val="0"/>
      <w:divBdr>
        <w:top w:val="none" w:sz="0" w:space="0" w:color="auto"/>
        <w:left w:val="none" w:sz="0" w:space="0" w:color="auto"/>
        <w:bottom w:val="none" w:sz="0" w:space="0" w:color="auto"/>
        <w:right w:val="none" w:sz="0" w:space="0" w:color="auto"/>
      </w:divBdr>
    </w:div>
    <w:div w:id="340549456">
      <w:bodyDiv w:val="1"/>
      <w:marLeft w:val="0"/>
      <w:marRight w:val="0"/>
      <w:marTop w:val="0"/>
      <w:marBottom w:val="0"/>
      <w:divBdr>
        <w:top w:val="none" w:sz="0" w:space="0" w:color="auto"/>
        <w:left w:val="none" w:sz="0" w:space="0" w:color="auto"/>
        <w:bottom w:val="none" w:sz="0" w:space="0" w:color="auto"/>
        <w:right w:val="none" w:sz="0" w:space="0" w:color="auto"/>
      </w:divBdr>
    </w:div>
    <w:div w:id="369231003">
      <w:bodyDiv w:val="1"/>
      <w:marLeft w:val="0"/>
      <w:marRight w:val="0"/>
      <w:marTop w:val="0"/>
      <w:marBottom w:val="0"/>
      <w:divBdr>
        <w:top w:val="none" w:sz="0" w:space="0" w:color="auto"/>
        <w:left w:val="none" w:sz="0" w:space="0" w:color="auto"/>
        <w:bottom w:val="none" w:sz="0" w:space="0" w:color="auto"/>
        <w:right w:val="none" w:sz="0" w:space="0" w:color="auto"/>
      </w:divBdr>
    </w:div>
    <w:div w:id="420834044">
      <w:bodyDiv w:val="1"/>
      <w:marLeft w:val="0"/>
      <w:marRight w:val="0"/>
      <w:marTop w:val="0"/>
      <w:marBottom w:val="0"/>
      <w:divBdr>
        <w:top w:val="none" w:sz="0" w:space="0" w:color="auto"/>
        <w:left w:val="none" w:sz="0" w:space="0" w:color="auto"/>
        <w:bottom w:val="none" w:sz="0" w:space="0" w:color="auto"/>
        <w:right w:val="none" w:sz="0" w:space="0" w:color="auto"/>
      </w:divBdr>
    </w:div>
    <w:div w:id="437918454">
      <w:bodyDiv w:val="1"/>
      <w:marLeft w:val="0"/>
      <w:marRight w:val="0"/>
      <w:marTop w:val="0"/>
      <w:marBottom w:val="0"/>
      <w:divBdr>
        <w:top w:val="none" w:sz="0" w:space="0" w:color="auto"/>
        <w:left w:val="none" w:sz="0" w:space="0" w:color="auto"/>
        <w:bottom w:val="none" w:sz="0" w:space="0" w:color="auto"/>
        <w:right w:val="none" w:sz="0" w:space="0" w:color="auto"/>
      </w:divBdr>
    </w:div>
    <w:div w:id="525992246">
      <w:bodyDiv w:val="1"/>
      <w:marLeft w:val="0"/>
      <w:marRight w:val="0"/>
      <w:marTop w:val="0"/>
      <w:marBottom w:val="0"/>
      <w:divBdr>
        <w:top w:val="none" w:sz="0" w:space="0" w:color="auto"/>
        <w:left w:val="none" w:sz="0" w:space="0" w:color="auto"/>
        <w:bottom w:val="none" w:sz="0" w:space="0" w:color="auto"/>
        <w:right w:val="none" w:sz="0" w:space="0" w:color="auto"/>
      </w:divBdr>
    </w:div>
    <w:div w:id="536427373">
      <w:bodyDiv w:val="1"/>
      <w:marLeft w:val="0"/>
      <w:marRight w:val="0"/>
      <w:marTop w:val="0"/>
      <w:marBottom w:val="0"/>
      <w:divBdr>
        <w:top w:val="none" w:sz="0" w:space="0" w:color="auto"/>
        <w:left w:val="none" w:sz="0" w:space="0" w:color="auto"/>
        <w:bottom w:val="none" w:sz="0" w:space="0" w:color="auto"/>
        <w:right w:val="none" w:sz="0" w:space="0" w:color="auto"/>
      </w:divBdr>
    </w:div>
    <w:div w:id="579025286">
      <w:bodyDiv w:val="1"/>
      <w:marLeft w:val="0"/>
      <w:marRight w:val="0"/>
      <w:marTop w:val="0"/>
      <w:marBottom w:val="0"/>
      <w:divBdr>
        <w:top w:val="none" w:sz="0" w:space="0" w:color="auto"/>
        <w:left w:val="none" w:sz="0" w:space="0" w:color="auto"/>
        <w:bottom w:val="none" w:sz="0" w:space="0" w:color="auto"/>
        <w:right w:val="none" w:sz="0" w:space="0" w:color="auto"/>
      </w:divBdr>
    </w:div>
    <w:div w:id="616108165">
      <w:bodyDiv w:val="1"/>
      <w:marLeft w:val="0"/>
      <w:marRight w:val="0"/>
      <w:marTop w:val="0"/>
      <w:marBottom w:val="0"/>
      <w:divBdr>
        <w:top w:val="none" w:sz="0" w:space="0" w:color="auto"/>
        <w:left w:val="none" w:sz="0" w:space="0" w:color="auto"/>
        <w:bottom w:val="none" w:sz="0" w:space="0" w:color="auto"/>
        <w:right w:val="none" w:sz="0" w:space="0" w:color="auto"/>
      </w:divBdr>
      <w:divsChild>
        <w:div w:id="1075665337">
          <w:marLeft w:val="0"/>
          <w:marRight w:val="0"/>
          <w:marTop w:val="0"/>
          <w:marBottom w:val="0"/>
          <w:divBdr>
            <w:top w:val="none" w:sz="0" w:space="0" w:color="auto"/>
            <w:left w:val="none" w:sz="0" w:space="0" w:color="auto"/>
            <w:bottom w:val="none" w:sz="0" w:space="0" w:color="auto"/>
            <w:right w:val="none" w:sz="0" w:space="0" w:color="auto"/>
          </w:divBdr>
          <w:divsChild>
            <w:div w:id="16856573">
              <w:marLeft w:val="0"/>
              <w:marRight w:val="0"/>
              <w:marTop w:val="0"/>
              <w:marBottom w:val="0"/>
              <w:divBdr>
                <w:top w:val="none" w:sz="0" w:space="0" w:color="auto"/>
                <w:left w:val="none" w:sz="0" w:space="0" w:color="auto"/>
                <w:bottom w:val="none" w:sz="0" w:space="0" w:color="auto"/>
                <w:right w:val="none" w:sz="0" w:space="0" w:color="auto"/>
              </w:divBdr>
              <w:divsChild>
                <w:div w:id="793984545">
                  <w:marLeft w:val="0"/>
                  <w:marRight w:val="0"/>
                  <w:marTop w:val="0"/>
                  <w:marBottom w:val="0"/>
                  <w:divBdr>
                    <w:top w:val="none" w:sz="0" w:space="0" w:color="auto"/>
                    <w:left w:val="none" w:sz="0" w:space="0" w:color="auto"/>
                    <w:bottom w:val="none" w:sz="0" w:space="0" w:color="auto"/>
                    <w:right w:val="none" w:sz="0" w:space="0" w:color="auto"/>
                  </w:divBdr>
                  <w:divsChild>
                    <w:div w:id="1251039076">
                      <w:marLeft w:val="0"/>
                      <w:marRight w:val="0"/>
                      <w:marTop w:val="0"/>
                      <w:marBottom w:val="0"/>
                      <w:divBdr>
                        <w:top w:val="none" w:sz="0" w:space="0" w:color="auto"/>
                        <w:left w:val="none" w:sz="0" w:space="0" w:color="auto"/>
                        <w:bottom w:val="none" w:sz="0" w:space="0" w:color="auto"/>
                        <w:right w:val="none" w:sz="0" w:space="0" w:color="auto"/>
                      </w:divBdr>
                      <w:divsChild>
                        <w:div w:id="490875174">
                          <w:marLeft w:val="0"/>
                          <w:marRight w:val="0"/>
                          <w:marTop w:val="0"/>
                          <w:marBottom w:val="0"/>
                          <w:divBdr>
                            <w:top w:val="none" w:sz="0" w:space="0" w:color="auto"/>
                            <w:left w:val="none" w:sz="0" w:space="0" w:color="auto"/>
                            <w:bottom w:val="none" w:sz="0" w:space="0" w:color="auto"/>
                            <w:right w:val="none" w:sz="0" w:space="0" w:color="auto"/>
                          </w:divBdr>
                          <w:divsChild>
                            <w:div w:id="1649092618">
                              <w:marLeft w:val="0"/>
                              <w:marRight w:val="0"/>
                              <w:marTop w:val="0"/>
                              <w:marBottom w:val="0"/>
                              <w:divBdr>
                                <w:top w:val="none" w:sz="0" w:space="0" w:color="auto"/>
                                <w:left w:val="none" w:sz="0" w:space="0" w:color="auto"/>
                                <w:bottom w:val="none" w:sz="0" w:space="0" w:color="auto"/>
                                <w:right w:val="none" w:sz="0" w:space="0" w:color="auto"/>
                              </w:divBdr>
                              <w:divsChild>
                                <w:div w:id="1406151025">
                                  <w:marLeft w:val="0"/>
                                  <w:marRight w:val="0"/>
                                  <w:marTop w:val="0"/>
                                  <w:marBottom w:val="0"/>
                                  <w:divBdr>
                                    <w:top w:val="none" w:sz="0" w:space="0" w:color="auto"/>
                                    <w:left w:val="none" w:sz="0" w:space="0" w:color="auto"/>
                                    <w:bottom w:val="none" w:sz="0" w:space="0" w:color="auto"/>
                                    <w:right w:val="none" w:sz="0" w:space="0" w:color="auto"/>
                                  </w:divBdr>
                                  <w:divsChild>
                                    <w:div w:id="1667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15688">
                          <w:marLeft w:val="0"/>
                          <w:marRight w:val="0"/>
                          <w:marTop w:val="0"/>
                          <w:marBottom w:val="0"/>
                          <w:divBdr>
                            <w:top w:val="none" w:sz="0" w:space="0" w:color="auto"/>
                            <w:left w:val="none" w:sz="0" w:space="0" w:color="auto"/>
                            <w:bottom w:val="none" w:sz="0" w:space="0" w:color="auto"/>
                            <w:right w:val="none" w:sz="0" w:space="0" w:color="auto"/>
                          </w:divBdr>
                          <w:divsChild>
                            <w:div w:id="1284729104">
                              <w:marLeft w:val="0"/>
                              <w:marRight w:val="0"/>
                              <w:marTop w:val="0"/>
                              <w:marBottom w:val="0"/>
                              <w:divBdr>
                                <w:top w:val="none" w:sz="0" w:space="0" w:color="auto"/>
                                <w:left w:val="none" w:sz="0" w:space="0" w:color="auto"/>
                                <w:bottom w:val="none" w:sz="0" w:space="0" w:color="auto"/>
                                <w:right w:val="none" w:sz="0" w:space="0" w:color="auto"/>
                              </w:divBdr>
                              <w:divsChild>
                                <w:div w:id="4536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657565">
      <w:bodyDiv w:val="1"/>
      <w:marLeft w:val="0"/>
      <w:marRight w:val="0"/>
      <w:marTop w:val="0"/>
      <w:marBottom w:val="0"/>
      <w:divBdr>
        <w:top w:val="none" w:sz="0" w:space="0" w:color="auto"/>
        <w:left w:val="none" w:sz="0" w:space="0" w:color="auto"/>
        <w:bottom w:val="none" w:sz="0" w:space="0" w:color="auto"/>
        <w:right w:val="none" w:sz="0" w:space="0" w:color="auto"/>
      </w:divBdr>
    </w:div>
    <w:div w:id="641546206">
      <w:bodyDiv w:val="1"/>
      <w:marLeft w:val="0"/>
      <w:marRight w:val="0"/>
      <w:marTop w:val="0"/>
      <w:marBottom w:val="0"/>
      <w:divBdr>
        <w:top w:val="none" w:sz="0" w:space="0" w:color="auto"/>
        <w:left w:val="none" w:sz="0" w:space="0" w:color="auto"/>
        <w:bottom w:val="none" w:sz="0" w:space="0" w:color="auto"/>
        <w:right w:val="none" w:sz="0" w:space="0" w:color="auto"/>
      </w:divBdr>
      <w:divsChild>
        <w:div w:id="1959985440">
          <w:marLeft w:val="0"/>
          <w:marRight w:val="0"/>
          <w:marTop w:val="0"/>
          <w:marBottom w:val="0"/>
          <w:divBdr>
            <w:top w:val="none" w:sz="0" w:space="0" w:color="auto"/>
            <w:left w:val="none" w:sz="0" w:space="0" w:color="auto"/>
            <w:bottom w:val="none" w:sz="0" w:space="0" w:color="auto"/>
            <w:right w:val="none" w:sz="0" w:space="0" w:color="auto"/>
          </w:divBdr>
          <w:divsChild>
            <w:div w:id="343753542">
              <w:marLeft w:val="0"/>
              <w:marRight w:val="0"/>
              <w:marTop w:val="0"/>
              <w:marBottom w:val="0"/>
              <w:divBdr>
                <w:top w:val="none" w:sz="0" w:space="0" w:color="auto"/>
                <w:left w:val="none" w:sz="0" w:space="0" w:color="auto"/>
                <w:bottom w:val="none" w:sz="0" w:space="0" w:color="auto"/>
                <w:right w:val="none" w:sz="0" w:space="0" w:color="auto"/>
              </w:divBdr>
              <w:divsChild>
                <w:div w:id="959846445">
                  <w:marLeft w:val="0"/>
                  <w:marRight w:val="0"/>
                  <w:marTop w:val="0"/>
                  <w:marBottom w:val="0"/>
                  <w:divBdr>
                    <w:top w:val="none" w:sz="0" w:space="0" w:color="auto"/>
                    <w:left w:val="none" w:sz="0" w:space="0" w:color="auto"/>
                    <w:bottom w:val="none" w:sz="0" w:space="0" w:color="auto"/>
                    <w:right w:val="none" w:sz="0" w:space="0" w:color="auto"/>
                  </w:divBdr>
                  <w:divsChild>
                    <w:div w:id="329217210">
                      <w:marLeft w:val="0"/>
                      <w:marRight w:val="0"/>
                      <w:marTop w:val="0"/>
                      <w:marBottom w:val="0"/>
                      <w:divBdr>
                        <w:top w:val="none" w:sz="0" w:space="0" w:color="auto"/>
                        <w:left w:val="none" w:sz="0" w:space="0" w:color="auto"/>
                        <w:bottom w:val="none" w:sz="0" w:space="0" w:color="auto"/>
                        <w:right w:val="none" w:sz="0" w:space="0" w:color="auto"/>
                      </w:divBdr>
                      <w:divsChild>
                        <w:div w:id="1571578123">
                          <w:marLeft w:val="0"/>
                          <w:marRight w:val="0"/>
                          <w:marTop w:val="0"/>
                          <w:marBottom w:val="0"/>
                          <w:divBdr>
                            <w:top w:val="none" w:sz="0" w:space="0" w:color="auto"/>
                            <w:left w:val="none" w:sz="0" w:space="0" w:color="auto"/>
                            <w:bottom w:val="none" w:sz="0" w:space="0" w:color="auto"/>
                            <w:right w:val="none" w:sz="0" w:space="0" w:color="auto"/>
                          </w:divBdr>
                          <w:divsChild>
                            <w:div w:id="409162336">
                              <w:marLeft w:val="0"/>
                              <w:marRight w:val="0"/>
                              <w:marTop w:val="0"/>
                              <w:marBottom w:val="0"/>
                              <w:divBdr>
                                <w:top w:val="none" w:sz="0" w:space="0" w:color="auto"/>
                                <w:left w:val="none" w:sz="0" w:space="0" w:color="auto"/>
                                <w:bottom w:val="none" w:sz="0" w:space="0" w:color="auto"/>
                                <w:right w:val="none" w:sz="0" w:space="0" w:color="auto"/>
                              </w:divBdr>
                              <w:divsChild>
                                <w:div w:id="50814316">
                                  <w:marLeft w:val="0"/>
                                  <w:marRight w:val="0"/>
                                  <w:marTop w:val="0"/>
                                  <w:marBottom w:val="0"/>
                                  <w:divBdr>
                                    <w:top w:val="none" w:sz="0" w:space="0" w:color="auto"/>
                                    <w:left w:val="none" w:sz="0" w:space="0" w:color="auto"/>
                                    <w:bottom w:val="none" w:sz="0" w:space="0" w:color="auto"/>
                                    <w:right w:val="none" w:sz="0" w:space="0" w:color="auto"/>
                                  </w:divBdr>
                                  <w:divsChild>
                                    <w:div w:id="6819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51364">
                          <w:marLeft w:val="0"/>
                          <w:marRight w:val="0"/>
                          <w:marTop w:val="0"/>
                          <w:marBottom w:val="0"/>
                          <w:divBdr>
                            <w:top w:val="none" w:sz="0" w:space="0" w:color="auto"/>
                            <w:left w:val="none" w:sz="0" w:space="0" w:color="auto"/>
                            <w:bottom w:val="none" w:sz="0" w:space="0" w:color="auto"/>
                            <w:right w:val="none" w:sz="0" w:space="0" w:color="auto"/>
                          </w:divBdr>
                          <w:divsChild>
                            <w:div w:id="1411846631">
                              <w:marLeft w:val="0"/>
                              <w:marRight w:val="0"/>
                              <w:marTop w:val="0"/>
                              <w:marBottom w:val="0"/>
                              <w:divBdr>
                                <w:top w:val="none" w:sz="0" w:space="0" w:color="auto"/>
                                <w:left w:val="none" w:sz="0" w:space="0" w:color="auto"/>
                                <w:bottom w:val="none" w:sz="0" w:space="0" w:color="auto"/>
                                <w:right w:val="none" w:sz="0" w:space="0" w:color="auto"/>
                              </w:divBdr>
                              <w:divsChild>
                                <w:div w:id="1567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930719">
      <w:bodyDiv w:val="1"/>
      <w:marLeft w:val="0"/>
      <w:marRight w:val="0"/>
      <w:marTop w:val="0"/>
      <w:marBottom w:val="0"/>
      <w:divBdr>
        <w:top w:val="none" w:sz="0" w:space="0" w:color="auto"/>
        <w:left w:val="none" w:sz="0" w:space="0" w:color="auto"/>
        <w:bottom w:val="none" w:sz="0" w:space="0" w:color="auto"/>
        <w:right w:val="none" w:sz="0" w:space="0" w:color="auto"/>
      </w:divBdr>
    </w:div>
    <w:div w:id="701129937">
      <w:bodyDiv w:val="1"/>
      <w:marLeft w:val="0"/>
      <w:marRight w:val="0"/>
      <w:marTop w:val="0"/>
      <w:marBottom w:val="0"/>
      <w:divBdr>
        <w:top w:val="none" w:sz="0" w:space="0" w:color="auto"/>
        <w:left w:val="none" w:sz="0" w:space="0" w:color="auto"/>
        <w:bottom w:val="none" w:sz="0" w:space="0" w:color="auto"/>
        <w:right w:val="none" w:sz="0" w:space="0" w:color="auto"/>
      </w:divBdr>
    </w:div>
    <w:div w:id="718283700">
      <w:bodyDiv w:val="1"/>
      <w:marLeft w:val="0"/>
      <w:marRight w:val="0"/>
      <w:marTop w:val="0"/>
      <w:marBottom w:val="0"/>
      <w:divBdr>
        <w:top w:val="none" w:sz="0" w:space="0" w:color="auto"/>
        <w:left w:val="none" w:sz="0" w:space="0" w:color="auto"/>
        <w:bottom w:val="none" w:sz="0" w:space="0" w:color="auto"/>
        <w:right w:val="none" w:sz="0" w:space="0" w:color="auto"/>
      </w:divBdr>
    </w:div>
    <w:div w:id="790167555">
      <w:bodyDiv w:val="1"/>
      <w:marLeft w:val="0"/>
      <w:marRight w:val="0"/>
      <w:marTop w:val="0"/>
      <w:marBottom w:val="0"/>
      <w:divBdr>
        <w:top w:val="none" w:sz="0" w:space="0" w:color="auto"/>
        <w:left w:val="none" w:sz="0" w:space="0" w:color="auto"/>
        <w:bottom w:val="none" w:sz="0" w:space="0" w:color="auto"/>
        <w:right w:val="none" w:sz="0" w:space="0" w:color="auto"/>
      </w:divBdr>
    </w:div>
    <w:div w:id="828327732">
      <w:bodyDiv w:val="1"/>
      <w:marLeft w:val="0"/>
      <w:marRight w:val="0"/>
      <w:marTop w:val="0"/>
      <w:marBottom w:val="0"/>
      <w:divBdr>
        <w:top w:val="none" w:sz="0" w:space="0" w:color="auto"/>
        <w:left w:val="none" w:sz="0" w:space="0" w:color="auto"/>
        <w:bottom w:val="none" w:sz="0" w:space="0" w:color="auto"/>
        <w:right w:val="none" w:sz="0" w:space="0" w:color="auto"/>
      </w:divBdr>
    </w:div>
    <w:div w:id="867911413">
      <w:bodyDiv w:val="1"/>
      <w:marLeft w:val="0"/>
      <w:marRight w:val="0"/>
      <w:marTop w:val="0"/>
      <w:marBottom w:val="0"/>
      <w:divBdr>
        <w:top w:val="none" w:sz="0" w:space="0" w:color="auto"/>
        <w:left w:val="none" w:sz="0" w:space="0" w:color="auto"/>
        <w:bottom w:val="none" w:sz="0" w:space="0" w:color="auto"/>
        <w:right w:val="none" w:sz="0" w:space="0" w:color="auto"/>
      </w:divBdr>
    </w:div>
    <w:div w:id="933634024">
      <w:bodyDiv w:val="1"/>
      <w:marLeft w:val="0"/>
      <w:marRight w:val="0"/>
      <w:marTop w:val="0"/>
      <w:marBottom w:val="0"/>
      <w:divBdr>
        <w:top w:val="none" w:sz="0" w:space="0" w:color="auto"/>
        <w:left w:val="none" w:sz="0" w:space="0" w:color="auto"/>
        <w:bottom w:val="none" w:sz="0" w:space="0" w:color="auto"/>
        <w:right w:val="none" w:sz="0" w:space="0" w:color="auto"/>
      </w:divBdr>
    </w:div>
    <w:div w:id="940650209">
      <w:bodyDiv w:val="1"/>
      <w:marLeft w:val="0"/>
      <w:marRight w:val="0"/>
      <w:marTop w:val="0"/>
      <w:marBottom w:val="0"/>
      <w:divBdr>
        <w:top w:val="none" w:sz="0" w:space="0" w:color="auto"/>
        <w:left w:val="none" w:sz="0" w:space="0" w:color="auto"/>
        <w:bottom w:val="none" w:sz="0" w:space="0" w:color="auto"/>
        <w:right w:val="none" w:sz="0" w:space="0" w:color="auto"/>
      </w:divBdr>
    </w:div>
    <w:div w:id="968706486">
      <w:bodyDiv w:val="1"/>
      <w:marLeft w:val="0"/>
      <w:marRight w:val="0"/>
      <w:marTop w:val="0"/>
      <w:marBottom w:val="0"/>
      <w:divBdr>
        <w:top w:val="none" w:sz="0" w:space="0" w:color="auto"/>
        <w:left w:val="none" w:sz="0" w:space="0" w:color="auto"/>
        <w:bottom w:val="none" w:sz="0" w:space="0" w:color="auto"/>
        <w:right w:val="none" w:sz="0" w:space="0" w:color="auto"/>
      </w:divBdr>
    </w:div>
    <w:div w:id="970987047">
      <w:bodyDiv w:val="1"/>
      <w:marLeft w:val="0"/>
      <w:marRight w:val="0"/>
      <w:marTop w:val="0"/>
      <w:marBottom w:val="0"/>
      <w:divBdr>
        <w:top w:val="none" w:sz="0" w:space="0" w:color="auto"/>
        <w:left w:val="none" w:sz="0" w:space="0" w:color="auto"/>
        <w:bottom w:val="none" w:sz="0" w:space="0" w:color="auto"/>
        <w:right w:val="none" w:sz="0" w:space="0" w:color="auto"/>
      </w:divBdr>
    </w:div>
    <w:div w:id="976911393">
      <w:bodyDiv w:val="1"/>
      <w:marLeft w:val="0"/>
      <w:marRight w:val="0"/>
      <w:marTop w:val="0"/>
      <w:marBottom w:val="0"/>
      <w:divBdr>
        <w:top w:val="none" w:sz="0" w:space="0" w:color="auto"/>
        <w:left w:val="none" w:sz="0" w:space="0" w:color="auto"/>
        <w:bottom w:val="none" w:sz="0" w:space="0" w:color="auto"/>
        <w:right w:val="none" w:sz="0" w:space="0" w:color="auto"/>
      </w:divBdr>
    </w:div>
    <w:div w:id="999964998">
      <w:bodyDiv w:val="1"/>
      <w:marLeft w:val="0"/>
      <w:marRight w:val="0"/>
      <w:marTop w:val="0"/>
      <w:marBottom w:val="0"/>
      <w:divBdr>
        <w:top w:val="none" w:sz="0" w:space="0" w:color="auto"/>
        <w:left w:val="none" w:sz="0" w:space="0" w:color="auto"/>
        <w:bottom w:val="none" w:sz="0" w:space="0" w:color="auto"/>
        <w:right w:val="none" w:sz="0" w:space="0" w:color="auto"/>
      </w:divBdr>
    </w:div>
    <w:div w:id="1040087558">
      <w:bodyDiv w:val="1"/>
      <w:marLeft w:val="0"/>
      <w:marRight w:val="0"/>
      <w:marTop w:val="0"/>
      <w:marBottom w:val="0"/>
      <w:divBdr>
        <w:top w:val="none" w:sz="0" w:space="0" w:color="auto"/>
        <w:left w:val="none" w:sz="0" w:space="0" w:color="auto"/>
        <w:bottom w:val="none" w:sz="0" w:space="0" w:color="auto"/>
        <w:right w:val="none" w:sz="0" w:space="0" w:color="auto"/>
      </w:divBdr>
    </w:div>
    <w:div w:id="1088775183">
      <w:bodyDiv w:val="1"/>
      <w:marLeft w:val="0"/>
      <w:marRight w:val="0"/>
      <w:marTop w:val="0"/>
      <w:marBottom w:val="0"/>
      <w:divBdr>
        <w:top w:val="none" w:sz="0" w:space="0" w:color="auto"/>
        <w:left w:val="none" w:sz="0" w:space="0" w:color="auto"/>
        <w:bottom w:val="none" w:sz="0" w:space="0" w:color="auto"/>
        <w:right w:val="none" w:sz="0" w:space="0" w:color="auto"/>
      </w:divBdr>
    </w:div>
    <w:div w:id="1139540610">
      <w:bodyDiv w:val="1"/>
      <w:marLeft w:val="0"/>
      <w:marRight w:val="0"/>
      <w:marTop w:val="0"/>
      <w:marBottom w:val="0"/>
      <w:divBdr>
        <w:top w:val="none" w:sz="0" w:space="0" w:color="auto"/>
        <w:left w:val="none" w:sz="0" w:space="0" w:color="auto"/>
        <w:bottom w:val="none" w:sz="0" w:space="0" w:color="auto"/>
        <w:right w:val="none" w:sz="0" w:space="0" w:color="auto"/>
      </w:divBdr>
    </w:div>
    <w:div w:id="1185905324">
      <w:bodyDiv w:val="1"/>
      <w:marLeft w:val="0"/>
      <w:marRight w:val="0"/>
      <w:marTop w:val="0"/>
      <w:marBottom w:val="0"/>
      <w:divBdr>
        <w:top w:val="none" w:sz="0" w:space="0" w:color="auto"/>
        <w:left w:val="none" w:sz="0" w:space="0" w:color="auto"/>
        <w:bottom w:val="none" w:sz="0" w:space="0" w:color="auto"/>
        <w:right w:val="none" w:sz="0" w:space="0" w:color="auto"/>
      </w:divBdr>
    </w:div>
    <w:div w:id="1190945600">
      <w:bodyDiv w:val="1"/>
      <w:marLeft w:val="0"/>
      <w:marRight w:val="0"/>
      <w:marTop w:val="0"/>
      <w:marBottom w:val="0"/>
      <w:divBdr>
        <w:top w:val="none" w:sz="0" w:space="0" w:color="auto"/>
        <w:left w:val="none" w:sz="0" w:space="0" w:color="auto"/>
        <w:bottom w:val="none" w:sz="0" w:space="0" w:color="auto"/>
        <w:right w:val="none" w:sz="0" w:space="0" w:color="auto"/>
      </w:divBdr>
    </w:div>
    <w:div w:id="1206796100">
      <w:bodyDiv w:val="1"/>
      <w:marLeft w:val="0"/>
      <w:marRight w:val="0"/>
      <w:marTop w:val="0"/>
      <w:marBottom w:val="0"/>
      <w:divBdr>
        <w:top w:val="none" w:sz="0" w:space="0" w:color="auto"/>
        <w:left w:val="none" w:sz="0" w:space="0" w:color="auto"/>
        <w:bottom w:val="none" w:sz="0" w:space="0" w:color="auto"/>
        <w:right w:val="none" w:sz="0" w:space="0" w:color="auto"/>
      </w:divBdr>
    </w:div>
    <w:div w:id="1238856698">
      <w:bodyDiv w:val="1"/>
      <w:marLeft w:val="0"/>
      <w:marRight w:val="0"/>
      <w:marTop w:val="0"/>
      <w:marBottom w:val="0"/>
      <w:divBdr>
        <w:top w:val="none" w:sz="0" w:space="0" w:color="auto"/>
        <w:left w:val="none" w:sz="0" w:space="0" w:color="auto"/>
        <w:bottom w:val="none" w:sz="0" w:space="0" w:color="auto"/>
        <w:right w:val="none" w:sz="0" w:space="0" w:color="auto"/>
      </w:divBdr>
    </w:div>
    <w:div w:id="1443262152">
      <w:bodyDiv w:val="1"/>
      <w:marLeft w:val="0"/>
      <w:marRight w:val="0"/>
      <w:marTop w:val="0"/>
      <w:marBottom w:val="0"/>
      <w:divBdr>
        <w:top w:val="none" w:sz="0" w:space="0" w:color="auto"/>
        <w:left w:val="none" w:sz="0" w:space="0" w:color="auto"/>
        <w:bottom w:val="none" w:sz="0" w:space="0" w:color="auto"/>
        <w:right w:val="none" w:sz="0" w:space="0" w:color="auto"/>
      </w:divBdr>
    </w:div>
    <w:div w:id="1494297075">
      <w:bodyDiv w:val="1"/>
      <w:marLeft w:val="0"/>
      <w:marRight w:val="0"/>
      <w:marTop w:val="0"/>
      <w:marBottom w:val="0"/>
      <w:divBdr>
        <w:top w:val="none" w:sz="0" w:space="0" w:color="auto"/>
        <w:left w:val="none" w:sz="0" w:space="0" w:color="auto"/>
        <w:bottom w:val="none" w:sz="0" w:space="0" w:color="auto"/>
        <w:right w:val="none" w:sz="0" w:space="0" w:color="auto"/>
      </w:divBdr>
    </w:div>
    <w:div w:id="1520242877">
      <w:bodyDiv w:val="1"/>
      <w:marLeft w:val="0"/>
      <w:marRight w:val="0"/>
      <w:marTop w:val="0"/>
      <w:marBottom w:val="0"/>
      <w:divBdr>
        <w:top w:val="none" w:sz="0" w:space="0" w:color="auto"/>
        <w:left w:val="none" w:sz="0" w:space="0" w:color="auto"/>
        <w:bottom w:val="none" w:sz="0" w:space="0" w:color="auto"/>
        <w:right w:val="none" w:sz="0" w:space="0" w:color="auto"/>
      </w:divBdr>
    </w:div>
    <w:div w:id="1545871448">
      <w:bodyDiv w:val="1"/>
      <w:marLeft w:val="0"/>
      <w:marRight w:val="0"/>
      <w:marTop w:val="0"/>
      <w:marBottom w:val="0"/>
      <w:divBdr>
        <w:top w:val="none" w:sz="0" w:space="0" w:color="auto"/>
        <w:left w:val="none" w:sz="0" w:space="0" w:color="auto"/>
        <w:bottom w:val="none" w:sz="0" w:space="0" w:color="auto"/>
        <w:right w:val="none" w:sz="0" w:space="0" w:color="auto"/>
      </w:divBdr>
    </w:div>
    <w:div w:id="1596355458">
      <w:bodyDiv w:val="1"/>
      <w:marLeft w:val="0"/>
      <w:marRight w:val="0"/>
      <w:marTop w:val="0"/>
      <w:marBottom w:val="0"/>
      <w:divBdr>
        <w:top w:val="none" w:sz="0" w:space="0" w:color="auto"/>
        <w:left w:val="none" w:sz="0" w:space="0" w:color="auto"/>
        <w:bottom w:val="none" w:sz="0" w:space="0" w:color="auto"/>
        <w:right w:val="none" w:sz="0" w:space="0" w:color="auto"/>
      </w:divBdr>
    </w:div>
    <w:div w:id="1653287518">
      <w:bodyDiv w:val="1"/>
      <w:marLeft w:val="0"/>
      <w:marRight w:val="0"/>
      <w:marTop w:val="0"/>
      <w:marBottom w:val="0"/>
      <w:divBdr>
        <w:top w:val="none" w:sz="0" w:space="0" w:color="auto"/>
        <w:left w:val="none" w:sz="0" w:space="0" w:color="auto"/>
        <w:bottom w:val="none" w:sz="0" w:space="0" w:color="auto"/>
        <w:right w:val="none" w:sz="0" w:space="0" w:color="auto"/>
      </w:divBdr>
    </w:div>
    <w:div w:id="1677221911">
      <w:bodyDiv w:val="1"/>
      <w:marLeft w:val="0"/>
      <w:marRight w:val="0"/>
      <w:marTop w:val="0"/>
      <w:marBottom w:val="0"/>
      <w:divBdr>
        <w:top w:val="none" w:sz="0" w:space="0" w:color="auto"/>
        <w:left w:val="none" w:sz="0" w:space="0" w:color="auto"/>
        <w:bottom w:val="none" w:sz="0" w:space="0" w:color="auto"/>
        <w:right w:val="none" w:sz="0" w:space="0" w:color="auto"/>
      </w:divBdr>
    </w:div>
    <w:div w:id="1681423545">
      <w:bodyDiv w:val="1"/>
      <w:marLeft w:val="0"/>
      <w:marRight w:val="0"/>
      <w:marTop w:val="0"/>
      <w:marBottom w:val="0"/>
      <w:divBdr>
        <w:top w:val="none" w:sz="0" w:space="0" w:color="auto"/>
        <w:left w:val="none" w:sz="0" w:space="0" w:color="auto"/>
        <w:bottom w:val="none" w:sz="0" w:space="0" w:color="auto"/>
        <w:right w:val="none" w:sz="0" w:space="0" w:color="auto"/>
      </w:divBdr>
    </w:div>
    <w:div w:id="1725182576">
      <w:bodyDiv w:val="1"/>
      <w:marLeft w:val="0"/>
      <w:marRight w:val="0"/>
      <w:marTop w:val="0"/>
      <w:marBottom w:val="0"/>
      <w:divBdr>
        <w:top w:val="none" w:sz="0" w:space="0" w:color="auto"/>
        <w:left w:val="none" w:sz="0" w:space="0" w:color="auto"/>
        <w:bottom w:val="none" w:sz="0" w:space="0" w:color="auto"/>
        <w:right w:val="none" w:sz="0" w:space="0" w:color="auto"/>
      </w:divBdr>
    </w:div>
    <w:div w:id="1735156245">
      <w:bodyDiv w:val="1"/>
      <w:marLeft w:val="0"/>
      <w:marRight w:val="0"/>
      <w:marTop w:val="0"/>
      <w:marBottom w:val="0"/>
      <w:divBdr>
        <w:top w:val="none" w:sz="0" w:space="0" w:color="auto"/>
        <w:left w:val="none" w:sz="0" w:space="0" w:color="auto"/>
        <w:bottom w:val="none" w:sz="0" w:space="0" w:color="auto"/>
        <w:right w:val="none" w:sz="0" w:space="0" w:color="auto"/>
      </w:divBdr>
    </w:div>
    <w:div w:id="1764641286">
      <w:bodyDiv w:val="1"/>
      <w:marLeft w:val="0"/>
      <w:marRight w:val="0"/>
      <w:marTop w:val="0"/>
      <w:marBottom w:val="0"/>
      <w:divBdr>
        <w:top w:val="none" w:sz="0" w:space="0" w:color="auto"/>
        <w:left w:val="none" w:sz="0" w:space="0" w:color="auto"/>
        <w:bottom w:val="none" w:sz="0" w:space="0" w:color="auto"/>
        <w:right w:val="none" w:sz="0" w:space="0" w:color="auto"/>
      </w:divBdr>
    </w:div>
    <w:div w:id="1775437334">
      <w:bodyDiv w:val="1"/>
      <w:marLeft w:val="0"/>
      <w:marRight w:val="0"/>
      <w:marTop w:val="0"/>
      <w:marBottom w:val="0"/>
      <w:divBdr>
        <w:top w:val="none" w:sz="0" w:space="0" w:color="auto"/>
        <w:left w:val="none" w:sz="0" w:space="0" w:color="auto"/>
        <w:bottom w:val="none" w:sz="0" w:space="0" w:color="auto"/>
        <w:right w:val="none" w:sz="0" w:space="0" w:color="auto"/>
      </w:divBdr>
    </w:div>
    <w:div w:id="1811361695">
      <w:bodyDiv w:val="1"/>
      <w:marLeft w:val="0"/>
      <w:marRight w:val="0"/>
      <w:marTop w:val="0"/>
      <w:marBottom w:val="0"/>
      <w:divBdr>
        <w:top w:val="none" w:sz="0" w:space="0" w:color="auto"/>
        <w:left w:val="none" w:sz="0" w:space="0" w:color="auto"/>
        <w:bottom w:val="none" w:sz="0" w:space="0" w:color="auto"/>
        <w:right w:val="none" w:sz="0" w:space="0" w:color="auto"/>
      </w:divBdr>
    </w:div>
    <w:div w:id="1869053734">
      <w:bodyDiv w:val="1"/>
      <w:marLeft w:val="0"/>
      <w:marRight w:val="0"/>
      <w:marTop w:val="0"/>
      <w:marBottom w:val="0"/>
      <w:divBdr>
        <w:top w:val="none" w:sz="0" w:space="0" w:color="auto"/>
        <w:left w:val="none" w:sz="0" w:space="0" w:color="auto"/>
        <w:bottom w:val="none" w:sz="0" w:space="0" w:color="auto"/>
        <w:right w:val="none" w:sz="0" w:space="0" w:color="auto"/>
      </w:divBdr>
    </w:div>
    <w:div w:id="1877740472">
      <w:bodyDiv w:val="1"/>
      <w:marLeft w:val="0"/>
      <w:marRight w:val="0"/>
      <w:marTop w:val="0"/>
      <w:marBottom w:val="0"/>
      <w:divBdr>
        <w:top w:val="none" w:sz="0" w:space="0" w:color="auto"/>
        <w:left w:val="none" w:sz="0" w:space="0" w:color="auto"/>
        <w:bottom w:val="none" w:sz="0" w:space="0" w:color="auto"/>
        <w:right w:val="none" w:sz="0" w:space="0" w:color="auto"/>
      </w:divBdr>
    </w:div>
    <w:div w:id="1922057278">
      <w:bodyDiv w:val="1"/>
      <w:marLeft w:val="0"/>
      <w:marRight w:val="0"/>
      <w:marTop w:val="0"/>
      <w:marBottom w:val="0"/>
      <w:divBdr>
        <w:top w:val="none" w:sz="0" w:space="0" w:color="auto"/>
        <w:left w:val="none" w:sz="0" w:space="0" w:color="auto"/>
        <w:bottom w:val="none" w:sz="0" w:space="0" w:color="auto"/>
        <w:right w:val="none" w:sz="0" w:space="0" w:color="auto"/>
      </w:divBdr>
    </w:div>
    <w:div w:id="1987707497">
      <w:bodyDiv w:val="1"/>
      <w:marLeft w:val="0"/>
      <w:marRight w:val="0"/>
      <w:marTop w:val="0"/>
      <w:marBottom w:val="0"/>
      <w:divBdr>
        <w:top w:val="none" w:sz="0" w:space="0" w:color="auto"/>
        <w:left w:val="none" w:sz="0" w:space="0" w:color="auto"/>
        <w:bottom w:val="none" w:sz="0" w:space="0" w:color="auto"/>
        <w:right w:val="none" w:sz="0" w:space="0" w:color="auto"/>
      </w:divBdr>
    </w:div>
    <w:div w:id="2011105239">
      <w:bodyDiv w:val="1"/>
      <w:marLeft w:val="0"/>
      <w:marRight w:val="0"/>
      <w:marTop w:val="0"/>
      <w:marBottom w:val="0"/>
      <w:divBdr>
        <w:top w:val="none" w:sz="0" w:space="0" w:color="auto"/>
        <w:left w:val="none" w:sz="0" w:space="0" w:color="auto"/>
        <w:bottom w:val="none" w:sz="0" w:space="0" w:color="auto"/>
        <w:right w:val="none" w:sz="0" w:space="0" w:color="auto"/>
      </w:divBdr>
    </w:div>
    <w:div w:id="2024092662">
      <w:bodyDiv w:val="1"/>
      <w:marLeft w:val="0"/>
      <w:marRight w:val="0"/>
      <w:marTop w:val="0"/>
      <w:marBottom w:val="0"/>
      <w:divBdr>
        <w:top w:val="none" w:sz="0" w:space="0" w:color="auto"/>
        <w:left w:val="none" w:sz="0" w:space="0" w:color="auto"/>
        <w:bottom w:val="none" w:sz="0" w:space="0" w:color="auto"/>
        <w:right w:val="none" w:sz="0" w:space="0" w:color="auto"/>
      </w:divBdr>
    </w:div>
    <w:div w:id="2071804075">
      <w:bodyDiv w:val="1"/>
      <w:marLeft w:val="0"/>
      <w:marRight w:val="0"/>
      <w:marTop w:val="0"/>
      <w:marBottom w:val="0"/>
      <w:divBdr>
        <w:top w:val="none" w:sz="0" w:space="0" w:color="auto"/>
        <w:left w:val="none" w:sz="0" w:space="0" w:color="auto"/>
        <w:bottom w:val="none" w:sz="0" w:space="0" w:color="auto"/>
        <w:right w:val="none" w:sz="0" w:space="0" w:color="auto"/>
      </w:divBdr>
    </w:div>
    <w:div w:id="2109764330">
      <w:bodyDiv w:val="1"/>
      <w:marLeft w:val="0"/>
      <w:marRight w:val="0"/>
      <w:marTop w:val="0"/>
      <w:marBottom w:val="0"/>
      <w:divBdr>
        <w:top w:val="none" w:sz="0" w:space="0" w:color="auto"/>
        <w:left w:val="none" w:sz="0" w:space="0" w:color="auto"/>
        <w:bottom w:val="none" w:sz="0" w:space="0" w:color="auto"/>
        <w:right w:val="none" w:sz="0" w:space="0" w:color="auto"/>
      </w:divBdr>
    </w:div>
    <w:div w:id="214500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9532</Words>
  <Characters>54338</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cp:lastPrinted>2025-04-08T15:11:00Z</cp:lastPrinted>
  <dcterms:created xsi:type="dcterms:W3CDTF">2025-06-28T21:17:00Z</dcterms:created>
  <dcterms:modified xsi:type="dcterms:W3CDTF">2025-06-28T21:17:00Z</dcterms:modified>
</cp:coreProperties>
</file>