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2A8EE" w14:textId="77777777"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7E778926" w14:textId="77777777"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r w:rsidRPr="00A918A7">
        <w:rPr>
          <w:rFonts w:ascii="Times New Roman" w:hAnsi="Times New Roman" w:cs="Times New Roman"/>
          <w:i/>
          <w:sz w:val="28"/>
          <w:szCs w:val="28"/>
        </w:rPr>
        <w:t xml:space="preserve">Aspergillus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r w:rsidRPr="00A918A7">
        <w:rPr>
          <w:rFonts w:ascii="Times New Roman" w:hAnsi="Times New Roman" w:cs="Times New Roman"/>
          <w:i/>
          <w:sz w:val="28"/>
          <w:szCs w:val="28"/>
        </w:rPr>
        <w:t>A</w:t>
      </w:r>
      <w:r>
        <w:rPr>
          <w:rFonts w:ascii="Times New Roman" w:hAnsi="Times New Roman" w:cs="Times New Roman"/>
          <w:i/>
          <w:sz w:val="28"/>
          <w:szCs w:val="28"/>
        </w:rPr>
        <w:t xml:space="preserve">spergillus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ochratoxin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citrinin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sphingolipid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ingestion of </w:t>
      </w:r>
      <w:r w:rsidRPr="00A918A7">
        <w:rPr>
          <w:rFonts w:ascii="Times New Roman" w:hAnsi="Times New Roman" w:cs="Times New Roman"/>
          <w:sz w:val="28"/>
          <w:szCs w:val="28"/>
        </w:rPr>
        <w:lastRenderedPageBreak/>
        <w:t xml:space="preserve">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Existing research has predominantly focused on in vitro detection and food safety </w:t>
      </w:r>
      <w:r w:rsidRPr="00A918A7">
        <w:rPr>
          <w:rFonts w:ascii="Times New Roman" w:hAnsi="Times New Roman" w:cs="Times New Roman"/>
          <w:sz w:val="28"/>
          <w:szCs w:val="28"/>
        </w:rPr>
        <w:lastRenderedPageBreak/>
        <w:t>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r w:rsidRPr="00A9402B">
        <w:rPr>
          <w:rFonts w:ascii="Times New Roman" w:hAnsi="Times New Roman" w:cs="Times New Roman"/>
          <w:i/>
          <w:sz w:val="28"/>
          <w:szCs w:val="28"/>
        </w:rPr>
        <w:t xml:space="preserve">Aspergillus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citrinin,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ochratoxin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concentrations above the European Commission’s maximum residue levels, especially in open-market grains stored under humid conditions. Kumar et al. (2023) confirmed similar results in India, </w:t>
      </w:r>
      <w:r w:rsidR="00645AAF" w:rsidRPr="00645AAF">
        <w:rPr>
          <w:rFonts w:ascii="Times New Roman" w:hAnsi="Times New Roman" w:cs="Times New Roman"/>
          <w:sz w:val="28"/>
          <w:szCs w:val="28"/>
        </w:rPr>
        <w:lastRenderedPageBreak/>
        <w:t>reporting OTA presence in over 52% 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r w:rsidR="00645AAF" w:rsidRPr="00645AAF">
        <w:rPr>
          <w:rFonts w:ascii="Times New Roman" w:hAnsi="Times New Roman" w:cs="Times New Roman"/>
          <w:i/>
          <w:sz w:val="28"/>
          <w:szCs w:val="28"/>
        </w:rPr>
        <w:t xml:space="preserve">Penicillium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 showed that nutrient-limited and high-sugar culture environments enhanced </w:t>
      </w:r>
      <w:r w:rsidR="00645AAF" w:rsidRPr="00645AAF">
        <w:rPr>
          <w:rFonts w:ascii="Times New Roman" w:hAnsi="Times New Roman" w:cs="Times New Roman"/>
          <w:sz w:val="28"/>
          <w:szCs w:val="28"/>
        </w:rPr>
        <w:lastRenderedPageBreak/>
        <w:t xml:space="preserve">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w:t>
      </w:r>
      <w:r w:rsidR="00645AAF" w:rsidRPr="00645AAF">
        <w:rPr>
          <w:rFonts w:ascii="Times New Roman" w:hAnsi="Times New Roman" w:cs="Times New Roman"/>
          <w:sz w:val="28"/>
          <w:szCs w:val="28"/>
        </w:rPr>
        <w:lastRenderedPageBreak/>
        <w:t xml:space="preserve">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w:t>
      </w:r>
      <w:r w:rsidRPr="00645AAF">
        <w:rPr>
          <w:rFonts w:ascii="Times New Roman" w:hAnsi="Times New Roman" w:cs="Times New Roman"/>
          <w:sz w:val="28"/>
          <w:szCs w:val="28"/>
        </w:rPr>
        <w:lastRenderedPageBreak/>
        <w:t>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mycotoxin-laden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processing employees. Immunocompromised individuals, such as transplant </w:t>
      </w:r>
      <w:r w:rsidRPr="00645AAF">
        <w:rPr>
          <w:rFonts w:ascii="Times New Roman" w:hAnsi="Times New Roman" w:cs="Times New Roman"/>
          <w:sz w:val="28"/>
          <w:szCs w:val="28"/>
        </w:rPr>
        <w:lastRenderedPageBreak/>
        <w:t xml:space="preserve">patients and those with uncontrolled diabetes, are particularly vulnerable to invasive fungal infections. 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r w:rsidRPr="00883215">
        <w:rPr>
          <w:rFonts w:ascii="Times New Roman" w:hAnsi="Times New Roman" w:cs="Times New Roman"/>
          <w:i/>
          <w:sz w:val="28"/>
          <w:szCs w:val="28"/>
        </w:rPr>
        <w:t xml:space="preserve">Aspergillus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w:t>
      </w:r>
      <w:r w:rsidRPr="00883215">
        <w:rPr>
          <w:rFonts w:ascii="Times New Roman" w:hAnsi="Times New Roman" w:cs="Times New Roman"/>
          <w:sz w:val="28"/>
          <w:szCs w:val="28"/>
        </w:rPr>
        <w:lastRenderedPageBreak/>
        <w:t>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xml:space="preserve">, fum1, and pks. Zhang et al. (2021) demonstrated that qPCR results correlated positively with LC-MS/MS </w:t>
      </w:r>
      <w:r w:rsidRPr="00883215">
        <w:rPr>
          <w:rFonts w:ascii="Times New Roman" w:hAnsi="Times New Roman" w:cs="Times New Roman"/>
          <w:sz w:val="28"/>
          <w:szCs w:val="28"/>
        </w:rPr>
        <w:lastRenderedPageBreak/>
        <w:t>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Aspergillus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w:t>
      </w:r>
      <w:r w:rsidR="00645AAF" w:rsidRPr="00645AAF">
        <w:rPr>
          <w:rFonts w:ascii="Times New Roman" w:hAnsi="Times New Roman" w:cs="Times New Roman"/>
          <w:sz w:val="28"/>
          <w:szCs w:val="28"/>
        </w:rPr>
        <w:lastRenderedPageBreak/>
        <w:t xml:space="preserve">individual and combined toxicity affecting the kidneys, liver, immune system, and nervous system. Their resilience to food processing, widespread prevalence in warm, humid environments, and increasing 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mycotoxins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r w:rsidRPr="00C35AE1">
        <w:rPr>
          <w:rFonts w:ascii="Times New Roman" w:hAnsi="Times New Roman" w:cs="Times New Roman"/>
          <w:i/>
          <w:sz w:val="28"/>
          <w:szCs w:val="28"/>
        </w:rPr>
        <w:t xml:space="preserve">Aspergillus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ochratoxin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citrinin presents a significant public health risk. These toxins are associated with nephrotoxicity, hepatotoxicity, immunosuppression, and 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w:t>
      </w:r>
      <w:r w:rsidRPr="00C35AE1">
        <w:rPr>
          <w:rFonts w:ascii="Times New Roman" w:hAnsi="Times New Roman" w:cs="Times New Roman"/>
          <w:sz w:val="28"/>
          <w:szCs w:val="28"/>
        </w:rPr>
        <w:lastRenderedPageBreak/>
        <w:t>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00E720F0" w:rsidRPr="00E720F0">
        <w:rPr>
          <w:rFonts w:ascii="Times New Roman" w:hAnsi="Times New Roman" w:cs="Times New Roman"/>
          <w:i/>
          <w:sz w:val="28"/>
          <w:szCs w:val="28"/>
        </w:rPr>
        <w:t xml:space="preserve">Aspergillus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citrinin,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r w:rsidRPr="00E34BC8">
        <w:rPr>
          <w:rFonts w:ascii="Times New Roman" w:eastAsia="Calibri" w:hAnsi="Times New Roman"/>
          <w:i/>
          <w:color w:val="252525"/>
          <w:sz w:val="28"/>
          <w:szCs w:val="28"/>
        </w:rPr>
        <w:t xml:space="preserve">Aspergillus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626F11A1" w14:textId="5A0438A2" w:rsidR="00BB2AB6" w:rsidRDefault="00BB2AB6" w:rsidP="00462973">
      <w:pPr>
        <w:spacing w:line="480" w:lineRule="auto"/>
        <w:jc w:val="both"/>
        <w:rPr>
          <w:rFonts w:ascii="Times New Roman" w:eastAsia="Calibri" w:hAnsi="Times New Roman"/>
          <w:color w:val="252525"/>
          <w:sz w:val="28"/>
          <w:szCs w:val="28"/>
        </w:rPr>
      </w:pPr>
    </w:p>
    <w:p w14:paraId="6EFD9550" w14:textId="090EFD3A" w:rsidR="00BB2AB6" w:rsidRDefault="00BB2AB6" w:rsidP="00462973">
      <w:pPr>
        <w:spacing w:line="480" w:lineRule="auto"/>
        <w:jc w:val="both"/>
        <w:rPr>
          <w:rFonts w:ascii="Times New Roman" w:eastAsia="Calibri" w:hAnsi="Times New Roman"/>
          <w:color w:val="252525"/>
          <w:sz w:val="28"/>
          <w:szCs w:val="28"/>
        </w:rPr>
      </w:pPr>
    </w:p>
    <w:p w14:paraId="1F154049" w14:textId="0D4FFC6D" w:rsidR="00822895" w:rsidRDefault="00822895" w:rsidP="00462973">
      <w:pPr>
        <w:spacing w:line="480" w:lineRule="auto"/>
        <w:jc w:val="both"/>
        <w:rPr>
          <w:rFonts w:ascii="Times New Roman" w:eastAsia="Calibri" w:hAnsi="Times New Roman"/>
          <w:color w:val="252525"/>
          <w:sz w:val="28"/>
          <w:szCs w:val="28"/>
        </w:rPr>
      </w:pPr>
    </w:p>
    <w:p w14:paraId="50939526" w14:textId="48CDAB72" w:rsidR="00822895" w:rsidRDefault="00822895" w:rsidP="00462973">
      <w:pPr>
        <w:spacing w:line="480" w:lineRule="auto"/>
        <w:jc w:val="both"/>
        <w:rPr>
          <w:rFonts w:ascii="Times New Roman" w:eastAsia="Calibri" w:hAnsi="Times New Roman"/>
          <w:color w:val="252525"/>
          <w:sz w:val="28"/>
          <w:szCs w:val="28"/>
        </w:rPr>
      </w:pPr>
    </w:p>
    <w:p w14:paraId="153709AF" w14:textId="7B7B4D2C" w:rsidR="00822895" w:rsidRDefault="00822895" w:rsidP="00462973">
      <w:pPr>
        <w:spacing w:line="480" w:lineRule="auto"/>
        <w:jc w:val="both"/>
        <w:rPr>
          <w:rFonts w:ascii="Times New Roman" w:eastAsia="Calibri" w:hAnsi="Times New Roman"/>
          <w:color w:val="252525"/>
          <w:sz w:val="28"/>
          <w:szCs w:val="28"/>
        </w:rPr>
      </w:pP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working surface area was sterilized with cotton wool </w:t>
      </w:r>
      <w:proofErr w:type="gramStart"/>
      <w:r>
        <w:rPr>
          <w:rFonts w:ascii="Times New Roman" w:hAnsi="Times New Roman" w:cs="Times New Roman"/>
          <w:sz w:val="28"/>
          <w:szCs w:val="28"/>
        </w:rPr>
        <w:t>soaked  in</w:t>
      </w:r>
      <w:proofErr w:type="gramEnd"/>
      <w:r>
        <w:rPr>
          <w:rFonts w:ascii="Times New Roman" w:hAnsi="Times New Roman" w:cs="Times New Roman"/>
          <w:sz w:val="28"/>
          <w:szCs w:val="28"/>
        </w:rPr>
        <w:t xml:space="preserve">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 xml:space="preserve">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w:t>
      </w:r>
      <w:r>
        <w:rPr>
          <w:rFonts w:ascii="Times New Roman" w:hAnsi="Times New Roman" w:cs="Times New Roman"/>
          <w:sz w:val="28"/>
          <w:szCs w:val="28"/>
        </w:rPr>
        <w:lastRenderedPageBreak/>
        <w:t>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according to manufacturer 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then </w:t>
      </w:r>
      <w:r w:rsidR="00462973" w:rsidRPr="007E3C13">
        <w:rPr>
          <w:rFonts w:ascii="Times New Roman" w:eastAsia="Arial" w:hAnsi="Times New Roman" w:cs="Times New Roman"/>
          <w:color w:val="252525"/>
          <w:sz w:val="28"/>
          <w:szCs w:val="28"/>
        </w:rPr>
        <w:t xml:space="preserve">0.5mL </w:t>
      </w:r>
      <w:r w:rsidR="00462973" w:rsidRPr="007E3C13">
        <w:rPr>
          <w:rFonts w:ascii="Times New Roman" w:eastAsia="Arial" w:hAnsi="Times New Roman" w:cs="Times New Roman"/>
          <w:color w:val="252525"/>
          <w:sz w:val="28"/>
          <w:szCs w:val="28"/>
        </w:rPr>
        <w:lastRenderedPageBreak/>
        <w:t xml:space="preserve">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r w:rsidRPr="0096091E">
        <w:rPr>
          <w:rFonts w:ascii="Times New Roman" w:hAnsi="Times New Roman" w:cs="Times New Roman"/>
          <w:i/>
          <w:sz w:val="28"/>
          <w:szCs w:val="28"/>
        </w:rPr>
        <w:t xml:space="preserve">Aspergillus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w:t>
      </w:r>
      <w:r w:rsidRPr="006F1558">
        <w:rPr>
          <w:rFonts w:ascii="Times New Roman" w:hAnsi="Times New Roman" w:cs="Times New Roman"/>
          <w:sz w:val="28"/>
          <w:szCs w:val="28"/>
        </w:rPr>
        <w:lastRenderedPageBreak/>
        <w:t xml:space="preserve">conidiophores terminating in globose vesicles with biseriate phialides and chains of black conidia confirmed the identity of </w:t>
      </w:r>
      <w:r w:rsidRPr="006F1558">
        <w:rPr>
          <w:rFonts w:ascii="Times New Roman" w:hAnsi="Times New Roman" w:cs="Times New Roman"/>
          <w:i/>
          <w:sz w:val="28"/>
          <w:szCs w:val="28"/>
        </w:rPr>
        <w:t xml:space="preserve">Aspergillus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w:t>
      </w:r>
      <w:proofErr w:type="gramStart"/>
      <w:r>
        <w:rPr>
          <w:rFonts w:ascii="Times New Roman" w:hAnsi="Times New Roman" w:cs="Times New Roman"/>
          <w:sz w:val="28"/>
          <w:szCs w:val="28"/>
        </w:rPr>
        <w:t>observation ,</w:t>
      </w:r>
      <w:proofErr w:type="gramEnd"/>
      <w:r>
        <w:rPr>
          <w:rFonts w:ascii="Times New Roman" w:hAnsi="Times New Roman" w:cs="Times New Roman"/>
          <w:sz w:val="28"/>
          <w:szCs w:val="28"/>
        </w:rPr>
        <w:t xml:space="preserve">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77777777" w:rsidR="004F6E67" w:rsidRDefault="004F6E67"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752"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75136"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8">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0"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0"/>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 xml:space="preserve">Figure 3: </w:t>
      </w:r>
      <w:bookmarkStart w:id="1" w:name="_GoBack"/>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bookmarkEnd w:id="1"/>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0F22017B" w14:textId="269F90C5" w:rsidR="00AD5713" w:rsidRDefault="00AD5713" w:rsidP="00DD34A1">
      <w:pPr>
        <w:spacing w:line="240" w:lineRule="auto"/>
        <w:jc w:val="both"/>
        <w:rPr>
          <w:rFonts w:ascii="Times New Roman" w:hAnsi="Times New Roman" w:cs="Times New Roman"/>
          <w:sz w:val="28"/>
          <w:szCs w:val="28"/>
        </w:rPr>
      </w:pPr>
    </w:p>
    <w:p w14:paraId="328CD9E0" w14:textId="77777777" w:rsidR="00BC3764" w:rsidRDefault="00BC3764" w:rsidP="00DD34A1">
      <w:pPr>
        <w:spacing w:line="240" w:lineRule="auto"/>
        <w:jc w:val="both"/>
        <w:rPr>
          <w:rFonts w:ascii="Times New Roman" w:hAnsi="Times New Roman" w:cs="Times New Roman"/>
          <w:sz w:val="28"/>
          <w:szCs w:val="28"/>
        </w:rPr>
      </w:pPr>
    </w:p>
    <w:p w14:paraId="6F88D337" w14:textId="77777777" w:rsidR="00BC3764" w:rsidRDefault="00BC3764" w:rsidP="00DD34A1">
      <w:pPr>
        <w:spacing w:line="240" w:lineRule="auto"/>
        <w:jc w:val="both"/>
        <w:rPr>
          <w:rFonts w:ascii="Times New Roman" w:hAnsi="Times New Roman" w:cs="Times New Roman"/>
          <w:sz w:val="28"/>
          <w:szCs w:val="28"/>
        </w:rPr>
      </w:pPr>
    </w:p>
    <w:p w14:paraId="197F4D11" w14:textId="77777777" w:rsidR="00BC3764" w:rsidRDefault="00BC3764" w:rsidP="00DD34A1">
      <w:pPr>
        <w:spacing w:line="240" w:lineRule="auto"/>
        <w:jc w:val="both"/>
        <w:rPr>
          <w:rFonts w:ascii="Times New Roman" w:hAnsi="Times New Roman" w:cs="Times New Roman"/>
          <w:sz w:val="28"/>
          <w:szCs w:val="28"/>
        </w:rPr>
      </w:pPr>
    </w:p>
    <w:p w14:paraId="283AA04E" w14:textId="77777777" w:rsidR="00BC3764" w:rsidRDefault="00BC3764" w:rsidP="00DD34A1">
      <w:pPr>
        <w:spacing w:line="240" w:lineRule="auto"/>
        <w:jc w:val="both"/>
        <w:rPr>
          <w:rFonts w:ascii="Times New Roman" w:hAnsi="Times New Roman" w:cs="Times New Roman"/>
          <w:sz w:val="28"/>
          <w:szCs w:val="28"/>
        </w:rPr>
      </w:pPr>
    </w:p>
    <w:p w14:paraId="53B8A801" w14:textId="77777777" w:rsidR="00BC3764" w:rsidRDefault="00BC3764" w:rsidP="00DD34A1">
      <w:pPr>
        <w:spacing w:line="240" w:lineRule="auto"/>
        <w:jc w:val="both"/>
        <w:rPr>
          <w:rFonts w:ascii="Times New Roman" w:hAnsi="Times New Roman" w:cs="Times New Roman"/>
          <w:sz w:val="28"/>
          <w:szCs w:val="28"/>
        </w:rPr>
      </w:pPr>
    </w:p>
    <w:p w14:paraId="46417402" w14:textId="77777777" w:rsidR="00BC3764" w:rsidRDefault="00BC3764"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such as ochratoxin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citrinin,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BLUE rats), and the visible signs of neurotoxicity and weakness in others (e.g., the GREEN rat), support the hypothesis </w:t>
      </w:r>
      <w:r w:rsidRPr="00E17267">
        <w:rPr>
          <w:rFonts w:ascii="Times New Roman" w:hAnsi="Times New Roman" w:cs="Times New Roman"/>
          <w:sz w:val="28"/>
          <w:szCs w:val="28"/>
        </w:rPr>
        <w:lastRenderedPageBreak/>
        <w:t xml:space="preserve">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-related cardiotoxicity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pale appearance of the liver and the shrunken kidneys in some groups also reflect chronic stress on these organs due to metabolic overload or failure in detoxifying circulating mycotoxins. In line with these findings, several studies have reported </w:t>
      </w:r>
      <w:r w:rsidRPr="00E17267">
        <w:rPr>
          <w:rFonts w:ascii="Times New Roman" w:hAnsi="Times New Roman" w:cs="Times New Roman"/>
          <w:sz w:val="28"/>
          <w:szCs w:val="28"/>
        </w:rPr>
        <w:lastRenderedPageBreak/>
        <w:t>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study </w:t>
      </w:r>
      <w:proofErr w:type="gramStart"/>
      <w:r>
        <w:rPr>
          <w:rFonts w:ascii="Times New Roman" w:hAnsi="Times New Roman" w:cs="Times New Roman"/>
          <w:sz w:val="28"/>
          <w:szCs w:val="28"/>
        </w:rPr>
        <w:t>highlight</w:t>
      </w:r>
      <w:proofErr w:type="gramEnd"/>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w:t>
      </w:r>
      <w:proofErr w:type="gramStart"/>
      <w:r>
        <w:rPr>
          <w:rFonts w:ascii="Times New Roman" w:hAnsi="Times New Roman" w:cs="Times New Roman"/>
          <w:sz w:val="28"/>
          <w:szCs w:val="28"/>
        </w:rPr>
        <w:t>investigate</w:t>
      </w:r>
      <w:proofErr w:type="gramEnd"/>
      <w:r w:rsidRPr="00E17267">
        <w:rPr>
          <w:rFonts w:ascii="Times New Roman" w:hAnsi="Times New Roman" w:cs="Times New Roman"/>
          <w:sz w:val="28"/>
          <w:szCs w:val="28"/>
        </w:rPr>
        <w:t xml:space="preserve"> the toxicological effects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including ochratoxin A, citrinin,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to better understand their specific toxic mechanisms. Dose-response studies using purified toxins would provide a clearer toxicological profile.</w:t>
      </w:r>
    </w:p>
    <w:p w14:paraId="59CC34E2" w14:textId="0A15B040" w:rsidR="006B5D2E" w:rsidRDefault="006B5D2E" w:rsidP="006B5D2E">
      <w:pPr>
        <w:spacing w:after="160" w:line="480" w:lineRule="auto"/>
        <w:ind w:left="720"/>
        <w:jc w:val="both"/>
        <w:rPr>
          <w:rFonts w:ascii="Times New Roman" w:hAnsi="Times New Roman" w:cs="Times New Roman"/>
          <w:sz w:val="28"/>
          <w:szCs w:val="28"/>
        </w:rPr>
      </w:pPr>
    </w:p>
    <w:p w14:paraId="7D173B2C" w14:textId="7F460276" w:rsidR="006B5D2E" w:rsidRDefault="006B5D2E" w:rsidP="006B5D2E">
      <w:pPr>
        <w:spacing w:after="160" w:line="480" w:lineRule="auto"/>
        <w:ind w:left="720"/>
        <w:jc w:val="both"/>
        <w:rPr>
          <w:rFonts w:ascii="Times New Roman" w:hAnsi="Times New Roman" w:cs="Times New Roman"/>
          <w:sz w:val="28"/>
          <w:szCs w:val="28"/>
        </w:rPr>
      </w:pPr>
    </w:p>
    <w:p w14:paraId="3BD97642" w14:textId="209A9287" w:rsidR="006B5D2E" w:rsidRDefault="006B5D2E" w:rsidP="006B5D2E">
      <w:pPr>
        <w:spacing w:after="160" w:line="480" w:lineRule="auto"/>
        <w:ind w:left="720"/>
        <w:jc w:val="both"/>
        <w:rPr>
          <w:rFonts w:ascii="Times New Roman" w:hAnsi="Times New Roman" w:cs="Times New Roman"/>
          <w:sz w:val="28"/>
          <w:szCs w:val="28"/>
        </w:rPr>
      </w:pPr>
    </w:p>
    <w:p w14:paraId="64F402A2" w14:textId="0015E689" w:rsidR="006B5D2E" w:rsidRDefault="006B5D2E" w:rsidP="006B5D2E">
      <w:pPr>
        <w:spacing w:after="160" w:line="480" w:lineRule="auto"/>
        <w:ind w:left="720"/>
        <w:jc w:val="both"/>
        <w:rPr>
          <w:rFonts w:ascii="Times New Roman" w:hAnsi="Times New Roman" w:cs="Times New Roman"/>
          <w:sz w:val="28"/>
          <w:szCs w:val="28"/>
        </w:rPr>
      </w:pPr>
    </w:p>
    <w:p w14:paraId="6339B58A" w14:textId="37F64993" w:rsidR="006B5D2E" w:rsidRDefault="006B5D2E" w:rsidP="006B5D2E">
      <w:pPr>
        <w:spacing w:after="160" w:line="480" w:lineRule="auto"/>
        <w:ind w:left="720"/>
        <w:jc w:val="both"/>
        <w:rPr>
          <w:rFonts w:ascii="Times New Roman" w:hAnsi="Times New Roman" w:cs="Times New Roman"/>
          <w:sz w:val="28"/>
          <w:szCs w:val="28"/>
        </w:rPr>
      </w:pPr>
    </w:p>
    <w:p w14:paraId="7E7156BA" w14:textId="5D1924F7" w:rsidR="006B5D2E" w:rsidRDefault="006B5D2E" w:rsidP="006B5D2E">
      <w:pPr>
        <w:spacing w:after="160" w:line="480" w:lineRule="auto"/>
        <w:ind w:left="720"/>
        <w:jc w:val="both"/>
        <w:rPr>
          <w:rFonts w:ascii="Times New Roman" w:hAnsi="Times New Roman" w:cs="Times New Roman"/>
          <w:sz w:val="28"/>
          <w:szCs w:val="28"/>
        </w:rPr>
      </w:pPr>
    </w:p>
    <w:p w14:paraId="49DB01CB" w14:textId="71E0A02F" w:rsidR="006B5D2E" w:rsidRDefault="006B5D2E"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4"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5"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16"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17"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18"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19"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0"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1"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2"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3"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lastRenderedPageBreak/>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4"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25"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26"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Ochratoxin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27"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Zhang, X., Wang, S., Zhou, Y., &amp; Tang, H. (2021). Molecular detection and quantification of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ochratoxin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28"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563215"/>
      <w:docPartObj>
        <w:docPartGallery w:val="Page Numbers (Bottom of Page)"/>
        <w:docPartUnique/>
      </w:docPartObj>
    </w:sdtPr>
    <w:sdtEndPr>
      <w:rPr>
        <w:noProof/>
      </w:rPr>
    </w:sdtEndPr>
    <w:sdtContent>
      <w:p w14:paraId="04ED1ADA" w14:textId="087DD650" w:rsidR="00C5689D" w:rsidRDefault="00C5689D">
        <w:pPr>
          <w:pStyle w:val="Footer"/>
          <w:jc w:val="center"/>
        </w:pPr>
        <w:r>
          <w:fldChar w:fldCharType="begin"/>
        </w:r>
        <w:r>
          <w:instrText xml:space="preserve"> PAGE   \* MERGEFORMAT </w:instrText>
        </w:r>
        <w:r>
          <w:fldChar w:fldCharType="separate"/>
        </w:r>
        <w:r w:rsidR="003356B2">
          <w:rPr>
            <w:noProof/>
          </w:rPr>
          <w:t>30</w:t>
        </w:r>
        <w:r>
          <w:rPr>
            <w:noProof/>
          </w:rPr>
          <w:fldChar w:fldCharType="end"/>
        </w:r>
      </w:p>
    </w:sdtContent>
  </w:sdt>
  <w:p w14:paraId="52D6D18C" w14:textId="77777777" w:rsidR="00C5689D" w:rsidRDefault="00C56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15:restartNumberingAfterBreak="0">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15:restartNumberingAfterBreak="0">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9D3"/>
    <w:rsid w:val="0002243A"/>
    <w:rsid w:val="000575A4"/>
    <w:rsid w:val="00067BF8"/>
    <w:rsid w:val="00071AC7"/>
    <w:rsid w:val="0008272F"/>
    <w:rsid w:val="000D5351"/>
    <w:rsid w:val="0011187F"/>
    <w:rsid w:val="001269D3"/>
    <w:rsid w:val="00161A26"/>
    <w:rsid w:val="00192AF5"/>
    <w:rsid w:val="001B7CBC"/>
    <w:rsid w:val="002352E7"/>
    <w:rsid w:val="0027472D"/>
    <w:rsid w:val="002F26A4"/>
    <w:rsid w:val="0030478E"/>
    <w:rsid w:val="003307FC"/>
    <w:rsid w:val="003356B2"/>
    <w:rsid w:val="003E2783"/>
    <w:rsid w:val="003E67F0"/>
    <w:rsid w:val="00462973"/>
    <w:rsid w:val="004D02C9"/>
    <w:rsid w:val="004F6E67"/>
    <w:rsid w:val="00533C92"/>
    <w:rsid w:val="005E6FD4"/>
    <w:rsid w:val="006348C7"/>
    <w:rsid w:val="00645AAF"/>
    <w:rsid w:val="006B5D2E"/>
    <w:rsid w:val="006F04F7"/>
    <w:rsid w:val="00765B6F"/>
    <w:rsid w:val="007C1DD2"/>
    <w:rsid w:val="007E5CA2"/>
    <w:rsid w:val="00822895"/>
    <w:rsid w:val="008515B7"/>
    <w:rsid w:val="00873231"/>
    <w:rsid w:val="00883215"/>
    <w:rsid w:val="008D0051"/>
    <w:rsid w:val="008D2B30"/>
    <w:rsid w:val="008D725C"/>
    <w:rsid w:val="00932B4D"/>
    <w:rsid w:val="00940E7B"/>
    <w:rsid w:val="009D521B"/>
    <w:rsid w:val="009F5B77"/>
    <w:rsid w:val="00A14106"/>
    <w:rsid w:val="00A15154"/>
    <w:rsid w:val="00A1691A"/>
    <w:rsid w:val="00A60AAA"/>
    <w:rsid w:val="00A918A7"/>
    <w:rsid w:val="00A9402B"/>
    <w:rsid w:val="00AA4509"/>
    <w:rsid w:val="00AB3F88"/>
    <w:rsid w:val="00AD5713"/>
    <w:rsid w:val="00AF5F41"/>
    <w:rsid w:val="00B12A8D"/>
    <w:rsid w:val="00B42B05"/>
    <w:rsid w:val="00B51DD8"/>
    <w:rsid w:val="00B67D45"/>
    <w:rsid w:val="00BB2AB6"/>
    <w:rsid w:val="00BC3764"/>
    <w:rsid w:val="00BC44F3"/>
    <w:rsid w:val="00BE5F42"/>
    <w:rsid w:val="00BE71EB"/>
    <w:rsid w:val="00BE7B4F"/>
    <w:rsid w:val="00C13044"/>
    <w:rsid w:val="00C20BC6"/>
    <w:rsid w:val="00C35AE1"/>
    <w:rsid w:val="00C51BF2"/>
    <w:rsid w:val="00C53E4A"/>
    <w:rsid w:val="00C5689D"/>
    <w:rsid w:val="00C602ED"/>
    <w:rsid w:val="00C61B3C"/>
    <w:rsid w:val="00C92C9A"/>
    <w:rsid w:val="00C95AF4"/>
    <w:rsid w:val="00CB052C"/>
    <w:rsid w:val="00D23785"/>
    <w:rsid w:val="00D43FFB"/>
    <w:rsid w:val="00D518C2"/>
    <w:rsid w:val="00D74686"/>
    <w:rsid w:val="00DD34A1"/>
    <w:rsid w:val="00E32CE6"/>
    <w:rsid w:val="00E34BC8"/>
    <w:rsid w:val="00E453F5"/>
    <w:rsid w:val="00E46BB7"/>
    <w:rsid w:val="00E713DC"/>
    <w:rsid w:val="00E720F0"/>
    <w:rsid w:val="00EE344D"/>
    <w:rsid w:val="00F11E56"/>
    <w:rsid w:val="00F134DD"/>
    <w:rsid w:val="00F36E19"/>
    <w:rsid w:val="00F41B65"/>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hart" Target="charts/chart5.xml"/><Relationship Id="rId18" Type="http://schemas.openxmlformats.org/officeDocument/2006/relationships/hyperlink" Target="https://doi.org/10.5897/AJFS2021.2101" TargetMode="External"/><Relationship Id="rId26" Type="http://schemas.openxmlformats.org/officeDocument/2006/relationships/hyperlink" Target="https://doi.org/10.1007/s00216-020-03063-w" TargetMode="External"/><Relationship Id="rId3" Type="http://schemas.openxmlformats.org/officeDocument/2006/relationships/settings" Target="settings.xml"/><Relationship Id="rId21" Type="http://schemas.openxmlformats.org/officeDocument/2006/relationships/hyperlink" Target="https://doi.org/10.1016/j.ijfoodmicro.2023.109915" TargetMode="External"/><Relationship Id="rId7" Type="http://schemas.openxmlformats.org/officeDocument/2006/relationships/image" Target="media/image1.jpg"/><Relationship Id="rId12" Type="http://schemas.openxmlformats.org/officeDocument/2006/relationships/chart" Target="charts/chart4.xml"/><Relationship Id="rId17" Type="http://schemas.openxmlformats.org/officeDocument/2006/relationships/hyperlink" Target="https://doi.org/10.1093/mmy/myac014" TargetMode="External"/><Relationship Id="rId25" Type="http://schemas.openxmlformats.org/officeDocument/2006/relationships/hyperlink" Target="https://doi.org/10.1016/j.fct.2023.113559" TargetMode="External"/><Relationship Id="rId2" Type="http://schemas.openxmlformats.org/officeDocument/2006/relationships/styles" Target="styles.xml"/><Relationship Id="rId16" Type="http://schemas.openxmlformats.org/officeDocument/2006/relationships/hyperlink" Target="https://doi.org/10.3390/toxins14010044" TargetMode="External"/><Relationship Id="rId20" Type="http://schemas.openxmlformats.org/officeDocument/2006/relationships/hyperlink" Target="https://doi.org/10.1016/j.envres.2022.11490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doi.org/10.1016/j.fct.2023.113559" TargetMode="External"/><Relationship Id="rId5" Type="http://schemas.openxmlformats.org/officeDocument/2006/relationships/footnotes" Target="footnotes.xml"/><Relationship Id="rId15" Type="http://schemas.openxmlformats.org/officeDocument/2006/relationships/hyperlink" Target="https://doi.org/10.3390/toxins14020094" TargetMode="External"/><Relationship Id="rId23" Type="http://schemas.openxmlformats.org/officeDocument/2006/relationships/hyperlink" Target="https://doi.org/10.3389/fmicb.2023.1089642" TargetMode="External"/><Relationship Id="rId28" Type="http://schemas.openxmlformats.org/officeDocument/2006/relationships/hyperlink" Target="https://doi.org/10.1111/jam.149" TargetMode="External"/><Relationship Id="rId10" Type="http://schemas.openxmlformats.org/officeDocument/2006/relationships/chart" Target="charts/chart2.xml"/><Relationship Id="rId19" Type="http://schemas.openxmlformats.org/officeDocument/2006/relationships/hyperlink" Target="https://doi.org/10.3389/fmicb.2023.119032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3390/ijerph17124452" TargetMode="External"/><Relationship Id="rId22" Type="http://schemas.openxmlformats.org/officeDocument/2006/relationships/hyperlink" Target="https://doi.org/10.1016/j.ijfoodmicro.2023.109915" TargetMode="External"/><Relationship Id="rId27" Type="http://schemas.openxmlformats.org/officeDocument/2006/relationships/hyperlink" Target="https://doi.org/10.1016/j.jscs.2010.06.006"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127947136"/>
        <c:axId val="127948672"/>
      </c:barChart>
      <c:catAx>
        <c:axId val="1279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8672"/>
        <c:crosses val="autoZero"/>
        <c:auto val="1"/>
        <c:lblAlgn val="ctr"/>
        <c:lblOffset val="100"/>
        <c:noMultiLvlLbl val="0"/>
      </c:catAx>
      <c:valAx>
        <c:axId val="12794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134021504"/>
        <c:axId val="134023040"/>
      </c:barChart>
      <c:catAx>
        <c:axId val="13402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3040"/>
        <c:crosses val="autoZero"/>
        <c:auto val="1"/>
        <c:lblAlgn val="ctr"/>
        <c:lblOffset val="100"/>
        <c:noMultiLvlLbl val="0"/>
      </c:catAx>
      <c:valAx>
        <c:axId val="13402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134115712"/>
        <c:axId val="134117248"/>
      </c:barChart>
      <c:catAx>
        <c:axId val="1341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7248"/>
        <c:crosses val="autoZero"/>
        <c:auto val="1"/>
        <c:lblAlgn val="ctr"/>
        <c:lblOffset val="100"/>
        <c:noMultiLvlLbl val="0"/>
      </c:catAx>
      <c:valAx>
        <c:axId val="13411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155009408"/>
        <c:axId val="155010944"/>
      </c:barChart>
      <c:catAx>
        <c:axId val="15500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10944"/>
        <c:crosses val="autoZero"/>
        <c:auto val="1"/>
        <c:lblAlgn val="ctr"/>
        <c:lblOffset val="100"/>
        <c:noMultiLvlLbl val="0"/>
      </c:catAx>
      <c:valAx>
        <c:axId val="15501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0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155118208"/>
        <c:axId val="155144576"/>
      </c:barChart>
      <c:catAx>
        <c:axId val="15511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44576"/>
        <c:crosses val="autoZero"/>
        <c:auto val="1"/>
        <c:lblAlgn val="ctr"/>
        <c:lblOffset val="100"/>
        <c:noMultiLvlLbl val="0"/>
      </c:catAx>
      <c:valAx>
        <c:axId val="15514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36</Pages>
  <Words>6034</Words>
  <Characters>34398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37</cp:revision>
  <dcterms:created xsi:type="dcterms:W3CDTF">2025-04-23T13:38:00Z</dcterms:created>
  <dcterms:modified xsi:type="dcterms:W3CDTF">2025-06-25T22:09:00Z</dcterms:modified>
</cp:coreProperties>
</file>