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620FE" w:rsidRPr="009445A3" w:rsidRDefault="009445A3" w:rsidP="009445A3">
      <w:pPr>
        <w:jc w:val="center"/>
        <w:rPr>
          <w:b/>
          <w:sz w:val="44"/>
        </w:rPr>
      </w:pPr>
      <w:r w:rsidRPr="009445A3">
        <w:rPr>
          <w:b/>
          <w:sz w:val="44"/>
        </w:rPr>
        <w:t>ADEDEJI OLALEKAN AYODEJI</w:t>
      </w:r>
    </w:p>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9445A3">
        <w:rPr>
          <w:rFonts w:ascii="Bookman Old Style" w:hAnsi="Bookman Old Style"/>
          <w:b/>
          <w:i/>
          <w:sz w:val="44"/>
          <w:szCs w:val="26"/>
        </w:rPr>
        <w:t>563</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300F46">
        <w:rPr>
          <w:rFonts w:asciiTheme="majorBidi" w:hAnsiTheme="majorBidi" w:cstheme="majorBidi"/>
        </w:rPr>
        <w:t>ADEDEJI OLALEKAN AYODEJI</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300F46">
        <w:rPr>
          <w:rFonts w:asciiTheme="majorBidi" w:hAnsiTheme="majorBidi" w:cstheme="majorBidi"/>
        </w:rPr>
        <w:t>563</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B34A3D"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D</w:t>
      </w:r>
      <w:r w:rsidR="001E2B1F">
        <w:rPr>
          <w:rFonts w:asciiTheme="majorBidi" w:hAnsiTheme="majorBidi" w:cstheme="majorBidi"/>
          <w:b/>
          <w:iCs/>
          <w:sz w:val="26"/>
          <w:szCs w:val="26"/>
        </w:rPr>
        <w:t>R YUSUF A. S</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300F46" w:rsidRDefault="002620FE" w:rsidP="00300F46">
      <w:pPr>
        <w:spacing w:line="360" w:lineRule="auto"/>
        <w:jc w:val="both"/>
      </w:pPr>
      <w:r w:rsidRPr="00772E4B">
        <w:rPr>
          <w:rFonts w:asciiTheme="majorBidi" w:hAnsiTheme="majorBidi" w:cstheme="majorBidi"/>
        </w:rPr>
        <w:tab/>
      </w:r>
      <w:r w:rsidR="00300F46" w:rsidRPr="00300F46">
        <w:t xml:space="preserve">First and foremost, I would like to express my gratitude to Almighty </w:t>
      </w:r>
      <w:proofErr w:type="gramStart"/>
      <w:r w:rsidR="00300F46" w:rsidRPr="00300F46">
        <w:t>God ,</w:t>
      </w:r>
      <w:proofErr w:type="gramEnd"/>
      <w:r w:rsidR="00300F46" w:rsidRPr="00300F46">
        <w:t xml:space="preserve"> the most merciful God for giving me the grace , strength and knowledge for the success of my project. A special thanks to ADEDEJI family for always being there for me and for supporting me , my dreams, you have been my rock , my shield, my biggest supporters right from the beginning of this journey. </w:t>
      </w:r>
    </w:p>
    <w:p w:rsidR="00300F46" w:rsidRDefault="00300F46" w:rsidP="00300F46">
      <w:pPr>
        <w:spacing w:line="360" w:lineRule="auto"/>
        <w:ind w:firstLine="720"/>
        <w:jc w:val="both"/>
      </w:pPr>
      <w:r w:rsidRPr="00300F46">
        <w:t xml:space="preserve">A very big thanks to my brother AYODELE ADEDEJI, thank you for your unwavering </w:t>
      </w:r>
      <w:proofErr w:type="gramStart"/>
      <w:r w:rsidRPr="00300F46">
        <w:t>support ,</w:t>
      </w:r>
      <w:proofErr w:type="gramEnd"/>
      <w:r w:rsidRPr="00300F46">
        <w:t xml:space="preserve"> encouragement, sacrifices you’ve made for me from the beginning of this program, I’m sincerely grateful for all you have done. To my best cousins, ABIOLA,ABIOLA I can’t find the words to express how grateful I am to have you guys by my side , you believe in me, support, encouragement have meant the world to me thank you for being my biggest cheerleaders. </w:t>
      </w:r>
    </w:p>
    <w:p w:rsidR="00300F46" w:rsidRDefault="00300F46" w:rsidP="00300F46">
      <w:pPr>
        <w:spacing w:line="360" w:lineRule="auto"/>
        <w:ind w:firstLine="720"/>
        <w:jc w:val="both"/>
      </w:pPr>
      <w:r w:rsidRPr="00300F46">
        <w:t>To my incredible supervisor (DOCTOR YUSUF A.</w:t>
      </w:r>
      <w:r>
        <w:t xml:space="preserve"> </w:t>
      </w:r>
      <w:proofErr w:type="gramStart"/>
      <w:r w:rsidRPr="00300F46">
        <w:t>S )</w:t>
      </w:r>
      <w:proofErr w:type="gramEnd"/>
      <w:r w:rsidRPr="00300F46">
        <w:t xml:space="preserve"> I would like to express my deepest gratitude sir for your invaluable guidance and support throughout this project. Thank you so much sir</w:t>
      </w:r>
    </w:p>
    <w:p w:rsidR="002620FE" w:rsidRPr="00300F46" w:rsidRDefault="00300F46" w:rsidP="00300F46">
      <w:pPr>
        <w:spacing w:line="360" w:lineRule="auto"/>
        <w:ind w:firstLine="720"/>
        <w:jc w:val="both"/>
      </w:pPr>
      <w:r w:rsidRPr="00300F46">
        <w:t xml:space="preserve"> </w:t>
      </w:r>
      <w:proofErr w:type="gramStart"/>
      <w:r w:rsidRPr="00300F46">
        <w:t>Lastly ,</w:t>
      </w:r>
      <w:proofErr w:type="gramEnd"/>
      <w:r w:rsidRPr="00300F46">
        <w:t xml:space="preserve"> I would like to acknowledge the KWARA STATE POLYTECHNIC for providing necessary resources and facilities to complete this project. “IT’S IMPOSSIBLE TO BUILD A TRIBUTE TO SUCCESS ON FOUNDATION OF EXCUSES</w:t>
      </w:r>
      <w:proofErr w:type="gramStart"/>
      <w:r w:rsidRPr="00300F46">
        <w:t>”(</w:t>
      </w:r>
      <w:proofErr w:type="gramEnd"/>
      <w:r w:rsidRPr="00300F46">
        <w:t>WATCH WORD)</w:t>
      </w: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Pr="00772E4B" w:rsidRDefault="00571326" w:rsidP="001C7CCE">
      <w:pPr>
        <w:spacing w:line="360" w:lineRule="auto"/>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0"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0"/>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9445A3" w:rsidRPr="00772E4B" w:rsidRDefault="009445A3"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445A3" w:rsidRDefault="009445A3" w:rsidP="00772E4B">
      <w:pPr>
        <w:spacing w:line="360" w:lineRule="auto"/>
        <w:jc w:val="both"/>
        <w:rPr>
          <w:rFonts w:asciiTheme="majorBidi" w:hAnsiTheme="majorBidi" w:cstheme="majorBidi"/>
          <w:b/>
        </w:rPr>
      </w:pPr>
    </w:p>
    <w:p w:rsidR="009445A3" w:rsidRDefault="009445A3"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772E4B" w:rsidRDefault="00772E4B" w:rsidP="00772E4B">
      <w:pPr>
        <w:spacing w:line="360" w:lineRule="auto"/>
        <w:jc w:val="both"/>
        <w:rPr>
          <w:rFonts w:asciiTheme="majorBidi" w:eastAsia="Calibri" w:hAnsiTheme="majorBidi" w:cstheme="majorBidi"/>
          <w:b/>
          <w:bCs/>
        </w:rPr>
      </w:pPr>
    </w:p>
    <w:p w:rsidR="00087115" w:rsidRPr="00772E4B" w:rsidRDefault="00087115"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bookmarkStart w:id="1" w:name="_GoBack"/>
      <w:bookmarkEnd w:id="1"/>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E6" w:rsidRDefault="00F71AE6" w:rsidP="0005540A">
      <w:r>
        <w:separator/>
      </w:r>
    </w:p>
  </w:endnote>
  <w:endnote w:type="continuationSeparator" w:id="0">
    <w:p w:rsidR="00F71AE6" w:rsidRDefault="00F71AE6"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087115">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087115">
      <w:rPr>
        <w:noProof/>
      </w:rPr>
      <w:t>31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E6" w:rsidRDefault="00F71AE6" w:rsidP="0005540A">
      <w:r>
        <w:separator/>
      </w:r>
    </w:p>
  </w:footnote>
  <w:footnote w:type="continuationSeparator" w:id="0">
    <w:p w:rsidR="00F71AE6" w:rsidRDefault="00F71AE6"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87115"/>
    <w:rsid w:val="001C7CCE"/>
    <w:rsid w:val="001E2B1F"/>
    <w:rsid w:val="002620FE"/>
    <w:rsid w:val="00300F46"/>
    <w:rsid w:val="00437CCD"/>
    <w:rsid w:val="004F42ED"/>
    <w:rsid w:val="00526794"/>
    <w:rsid w:val="00543DF5"/>
    <w:rsid w:val="00571326"/>
    <w:rsid w:val="005D366D"/>
    <w:rsid w:val="006C11D4"/>
    <w:rsid w:val="00772D57"/>
    <w:rsid w:val="00772E4B"/>
    <w:rsid w:val="007800F8"/>
    <w:rsid w:val="007B6EFF"/>
    <w:rsid w:val="009445A3"/>
    <w:rsid w:val="0094617C"/>
    <w:rsid w:val="00974CF6"/>
    <w:rsid w:val="009C3B81"/>
    <w:rsid w:val="009D406D"/>
    <w:rsid w:val="00A15751"/>
    <w:rsid w:val="00A364B4"/>
    <w:rsid w:val="00B31CE3"/>
    <w:rsid w:val="00B34A3D"/>
    <w:rsid w:val="00C304F1"/>
    <w:rsid w:val="00D17509"/>
    <w:rsid w:val="00F064BC"/>
    <w:rsid w:val="00F13A5D"/>
    <w:rsid w:val="00F5043A"/>
    <w:rsid w:val="00F71AE6"/>
    <w:rsid w:val="00F71EEB"/>
    <w:rsid w:val="00F84566"/>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8775</Words>
  <Characters>50023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5</cp:revision>
  <cp:lastPrinted>2025-05-11T10:41:00Z</cp:lastPrinted>
  <dcterms:created xsi:type="dcterms:W3CDTF">2025-05-11T10:10:00Z</dcterms:created>
  <dcterms:modified xsi:type="dcterms:W3CDTF">2025-05-11T10:47:00Z</dcterms:modified>
</cp:coreProperties>
</file>