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1A" w:rsidRDefault="00FC521A" w:rsidP="00FC521A">
      <w:pPr>
        <w:pStyle w:val="Heading1"/>
      </w:pPr>
      <w:bookmarkStart w:id="0" w:name="_Toc199704785"/>
      <w:r>
        <w:t>ABSTRACT</w:t>
      </w:r>
      <w:bookmarkEnd w:id="0"/>
    </w:p>
    <w:p w:rsidR="00FC521A" w:rsidRDefault="00FC521A" w:rsidP="00FC521A">
      <w:pPr>
        <w:spacing w:after="0" w:line="360" w:lineRule="auto"/>
        <w:jc w:val="both"/>
        <w:rPr>
          <w:rFonts w:ascii="Times New Roman" w:hAnsi="Times New Roman" w:cs="Times New Roman"/>
          <w:i/>
        </w:rPr>
      </w:pPr>
      <w:r>
        <w:rPr>
          <w:rFonts w:ascii="Times New Roman" w:hAnsi="Times New Roman" w:cs="Times New Roman"/>
          <w:i/>
        </w:rPr>
        <w:t>This study examines the use of ginger and garlic in hospitality industry and its health benefits to mankind. Ginger (Zingiber officinale) and garlic (Allium sativum L.) have been used as spices and an ingredient in folk medicine in many Asian foods especially in Indian cuisine since ancient times. The objective of the study is to increase the awareness of the use of garlic in cerebral function and other mental alertness, to examine how garlic can enhance liver detoxification function and to make awareness on how garlic can be made into tea for household consumption. The instrument for the collection of data is the questionnaires which are close ended structure. The study wishes to make awareness to the general populace on the importance of garlic to healthy living. The result of the study claims that it is obvious that Garlic has tremendous health benefits which have been known to humans from time immemorial. Its benefits have been felt in hypertensive, ulcerative, asthmatic, cancerous and dementic patients to mention but few. This led to the recommendations that there should be keen monitoring of the production and sales of Garlic products by NAFDAC, Users of Garlic should seek the correct dosage to be used, so as not to tame into over dosage, Garlic and ginger should be prepared well before usage.</w:t>
      </w:r>
    </w:p>
    <w:p w:rsidR="00FC521A" w:rsidRDefault="00FC521A" w:rsidP="00FC521A">
      <w:pPr>
        <w:spacing w:after="0"/>
        <w:rPr>
          <w:rFonts w:ascii="Times New Roman" w:hAnsi="Times New Roman" w:cs="Times New Roman"/>
          <w:kern w:val="0"/>
        </w:rPr>
        <w:sectPr w:rsidR="00FC521A" w:rsidSect="00121B16">
          <w:footerReference w:type="default" r:id="rId5"/>
          <w:pgSz w:w="11520" w:h="14400" w:code="1"/>
          <w:pgMar w:top="1440" w:right="1440" w:bottom="1440" w:left="1440" w:header="708" w:footer="708" w:gutter="0"/>
          <w:pgNumType w:fmt="lowerRoman" w:start="1"/>
          <w:cols w:space="720"/>
        </w:sectPr>
      </w:pPr>
    </w:p>
    <w:p w:rsidR="00FC521A" w:rsidRDefault="00FC521A" w:rsidP="00FC521A">
      <w:pPr>
        <w:pStyle w:val="Heading1"/>
        <w:rPr>
          <w:rFonts w:ascii="Arial Rounded MT Bold" w:hAnsi="Arial Rounded MT Bold" w:cstheme="majorBidi"/>
        </w:rPr>
      </w:pPr>
      <w:bookmarkStart w:id="1" w:name="_Toc199704786"/>
      <w:r>
        <w:lastRenderedPageBreak/>
        <w:t>CHAPTER</w:t>
      </w:r>
      <w:bookmarkStart w:id="2" w:name="_GoBack"/>
      <w:bookmarkEnd w:id="2"/>
      <w:r>
        <w:t xml:space="preserve"> ONE</w:t>
      </w:r>
      <w:bookmarkEnd w:id="1"/>
    </w:p>
    <w:p w:rsidR="00FC521A" w:rsidRDefault="00FC521A" w:rsidP="00FC521A">
      <w:pPr>
        <w:pStyle w:val="Heading1"/>
        <w:jc w:val="left"/>
      </w:pPr>
      <w:bookmarkStart w:id="3" w:name="_Toc199704787"/>
      <w:r>
        <w:t>1.1</w:t>
      </w:r>
      <w:r>
        <w:tab/>
        <w:t>Introduction</w:t>
      </w:r>
      <w:bookmarkEnd w:id="3"/>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Through ages spices have served human being in many areas such as food, flavours, preservatives, antioxidants and drugs. There has been a great shift from the prescription of antibiotics to the use of medicinal plants (Ekwenye and Elegalam 2015). Bacterial food borne pathogens are major threat to become a serious kind of infections. Dexton (2020) observes that fresh spices are perishable in nature and the causes of spoilage are improper handling, growth of spoilage microorganisms, and action of naturally occurring enzymes, chemical reactions and structural changes during the storage (Ahmad2017). It was also discovered by Micheal (2016) that various stabilizers have been used for a very long time to enhance the shelf life and maintain the aroma, flavour and other qualities of foods. More and more women entering the work force demand a change in the way of daily cooking.</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According to Chavan (2017), ready to use spices are in demand. Ginger (Zingiber offiinale) and garlic (Allium sativum L.) have been used as spices and an ingredient in folk medicine in many Asian foods especially in Indian cuisine since ancient times. Wang R (2019) also cited that there have been a number of studies showing the antimicrobial activity of garlic essential oil, garlic and ginger extracts. Yousuf andAhmad (2017) were of the opinion that both ginger and garlic possess volatile oils and chemical compounds responsible for pungent flavours,especiallygingerolsandallicin respectively. Allicin (diallylthiosulfinate) has antioxidant, antibacterial antibiotic properties.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Dixon et al. (2019) observed that Flavones, flavonoids and Flavonols are chemical compounds in these spices, active against microorganisms. Flavonoids are also hydroxylated phenolic substances but occur as a C6-C3 unit linked to an aromatic ring, they are synthesized by plants in response to microbial infections.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Zubair and Akanji (2020) opined that ginger and garlic are important commercial crops cultivated majorly in the Northern part of Nigeria where it is mainly used as a condiment in food preparations and is also used as carminative and gastric stimulant in many medicinal preparations. Processing of ginger according to Adetumbi (2019) is </w:t>
      </w:r>
      <w:r>
        <w:rPr>
          <w:rFonts w:ascii="Times New Roman" w:hAnsi="Times New Roman" w:cs="Times New Roman"/>
        </w:rPr>
        <w:lastRenderedPageBreak/>
        <w:t>undertaken to dehydrate it and for preparing ginger candy. Ginger and garlic-based products have wide applications in food processing as well as many other industries.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Study carried out by Soffar and Mokhtar (2019) shows that Aqueous extract from garlic has good activity against Trichurismuris and Angiostrongyluscantonensis when followed by chloroform extract. Khadijat (2018) also observed that garlic is an ingredient of a mixture (Prepared from the extracts of coconut, onion, garlic, fig, date tree, chicory, ananas, and cistrose) tested in vivo and in vitro for its anthelmintic activity against cestodes (Hymenolepisdiminuta, H. microstoma, and Taeniataeniacformis) and trematodes (Fasciola hepatica, Echinostomacaproni).</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Ahmed and Laing (2018) stated that a proper market survey has to be conducted to find out demand potential for each industry segment. Many products can be manufactured from ginger and garlic like dehydrated ginger or garlic, ginger candy, garlicpowder, ginger oil and oleoresins and so on. This activity can be taken up in many parts of the north including the North-East region. However, this note considers UP as the preferred location in view of the security challenges going on in the region due to Boko Haram insurgency.</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Ginger and garlic are important commercial crops cultivated throughout the country with major production in the states of Gujarat, Orissa, Maharashtra, Himachal Pradesh, Kerala, Haryana, Madhya Pradesh and Uttar Pradesh. Garlic is mainly used as a condiment in food preparations and is also used as carminative and gastric stimulant in many medicinal preparations. Processing of ginger is undertaken to dehydrate it and 'for preparing ginger candy. Ginger and garlic-based products have wide applications in food processing as well as many other industries. A proper market survey has to be conducted to find out demand potential for each industry segment.</w:t>
      </w:r>
    </w:p>
    <w:p w:rsidR="00FC521A" w:rsidRDefault="00FC521A" w:rsidP="00FC521A">
      <w:pPr>
        <w:pStyle w:val="Heading1"/>
        <w:jc w:val="left"/>
        <w:rPr>
          <w:rFonts w:ascii="Arial Rounded MT Bold" w:hAnsi="Arial Rounded MT Bold" w:cstheme="majorBidi"/>
        </w:rPr>
      </w:pPr>
      <w:bookmarkStart w:id="4" w:name="_Toc199704788"/>
      <w:r>
        <w:t>1.2</w:t>
      </w:r>
      <w:r>
        <w:tab/>
        <w:t>Statement of the Research Problem</w:t>
      </w:r>
      <w:bookmarkEnd w:id="4"/>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research investigates the nutritional constituents of ginger and garlic that make them one of the hidden secret of good health. The problem statement is that the nutritional constituents of ginger and garlic coupled with their medicinal functions have not been adequately explored in Nigeria.</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lastRenderedPageBreak/>
        <w:t>This study therefore vividly examines some of the important qualities of ginger and garlic that confer the unique importance for thestudy. This study therefore wishes to make awareness to the general populace on the importance of ginger and garlic to healthy living.</w:t>
      </w:r>
    </w:p>
    <w:p w:rsidR="00FC521A" w:rsidRDefault="00FC521A" w:rsidP="00FC521A">
      <w:pPr>
        <w:pStyle w:val="Heading1"/>
        <w:jc w:val="left"/>
        <w:rPr>
          <w:rFonts w:ascii="Arial Rounded MT Bold" w:hAnsi="Arial Rounded MT Bold" w:cstheme="majorBidi"/>
        </w:rPr>
      </w:pPr>
      <w:bookmarkStart w:id="5" w:name="_Toc199704789"/>
      <w:r>
        <w:t>1.3</w:t>
      </w:r>
      <w:r>
        <w:tab/>
        <w:t>Objectives of the Study</w:t>
      </w:r>
      <w:bookmarkEnd w:id="5"/>
    </w:p>
    <w:p w:rsidR="00FC521A" w:rsidRDefault="00FC521A" w:rsidP="00FC521A">
      <w:pPr>
        <w:spacing w:after="0" w:line="360" w:lineRule="auto"/>
        <w:ind w:firstLine="360"/>
        <w:jc w:val="both"/>
        <w:rPr>
          <w:rFonts w:ascii="Times New Roman" w:hAnsi="Times New Roman" w:cs="Times New Roman"/>
        </w:rPr>
      </w:pPr>
      <w:r>
        <w:rPr>
          <w:rFonts w:ascii="Times New Roman" w:hAnsi="Times New Roman" w:cs="Times New Roman"/>
        </w:rPr>
        <w:t>The Objective of the research is to examine the uses of ginger and garlic in hospitality industry and its health benefits to mankind. Other objectives of this research include:</w:t>
      </w:r>
    </w:p>
    <w:p w:rsidR="00FC521A" w:rsidRDefault="00FC521A" w:rsidP="00FC521A">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examine the roles play by ginger and garlic in Nutrition.</w:t>
      </w:r>
    </w:p>
    <w:p w:rsidR="00FC521A" w:rsidRDefault="00FC521A" w:rsidP="00FC521A">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examine the Proximate Composition of Ginger and Garlic</w:t>
      </w:r>
    </w:p>
    <w:p w:rsidR="00FC521A" w:rsidRDefault="00FC521A" w:rsidP="00FC521A">
      <w:pPr>
        <w:pStyle w:val="Heading1"/>
        <w:jc w:val="left"/>
        <w:rPr>
          <w:rFonts w:ascii="Arial Rounded MT Bold" w:hAnsi="Arial Rounded MT Bold" w:cstheme="majorBidi"/>
        </w:rPr>
      </w:pPr>
      <w:bookmarkStart w:id="6" w:name="_Toc199704790"/>
      <w:r>
        <w:t>1.4</w:t>
      </w:r>
      <w:r>
        <w:tab/>
        <w:t>Significance of the Study</w:t>
      </w:r>
      <w:bookmarkEnd w:id="6"/>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research is very significance because it enlighten the general populace on the various constituents of ginger and garlic that confer the numerous health befits to them. The study also investigates some of the aforementioned benefit in other to prove to the Nigerian populace the various importance mentioned above.</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study is also very important because it encourages government and other stakeholders to invest more in ginger and garlic farming in Nigeria.</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Finally, the research project serves as an eye opener to the researcher because it increases the researcher’s knowledge on the importance of ginger and garlic.</w:t>
      </w:r>
    </w:p>
    <w:p w:rsidR="00FC521A" w:rsidRDefault="00FC521A" w:rsidP="00FC521A">
      <w:pPr>
        <w:pStyle w:val="Heading1"/>
        <w:jc w:val="left"/>
        <w:rPr>
          <w:rFonts w:ascii="Arial Rounded MT Bold" w:hAnsi="Arial Rounded MT Bold" w:cstheme="majorBidi"/>
        </w:rPr>
      </w:pPr>
      <w:bookmarkStart w:id="7" w:name="_Toc199704791"/>
      <w:r>
        <w:t>1.5</w:t>
      </w:r>
      <w:r>
        <w:tab/>
        <w:t>Scope of the Study</w:t>
      </w:r>
      <w:bookmarkEnd w:id="7"/>
    </w:p>
    <w:p w:rsidR="00FC521A" w:rsidRDefault="00FC521A" w:rsidP="00FC521A">
      <w:pPr>
        <w:spacing w:after="0" w:line="360" w:lineRule="auto"/>
        <w:ind w:firstLine="360"/>
        <w:jc w:val="both"/>
        <w:rPr>
          <w:rFonts w:ascii="Times New Roman" w:hAnsi="Times New Roman" w:cs="Times New Roman"/>
        </w:rPr>
      </w:pPr>
      <w:r>
        <w:rPr>
          <w:rFonts w:ascii="Times New Roman" w:hAnsi="Times New Roman" w:cs="Times New Roman"/>
        </w:rPr>
        <w:t>The scope of the research will be considered based on the following:</w:t>
      </w:r>
    </w:p>
    <w:p w:rsidR="00FC521A" w:rsidRDefault="00FC521A" w:rsidP="00FC521A">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CONCEPTUAL SCOPE: in terms of concept the work will cover the use of ginger and garlic for medicinal purposes.</w:t>
      </w:r>
    </w:p>
    <w:p w:rsidR="00FC521A" w:rsidRDefault="00FC521A" w:rsidP="00FC521A">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THEORETICAL SCOPE: in terms of the theory, the research will focusesOn propounded theories by previous author as contain in many journals on the importance of ginger and garlic to human health.</w:t>
      </w:r>
    </w:p>
    <w:p w:rsidR="00FC521A" w:rsidRDefault="00FC521A" w:rsidP="00FC521A">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TIME SCOPE: the research was based on five years plan (2020-2015) on how the use of ginger and garlic has impacted positively on the health of children and adults in Nigeria.</w:t>
      </w:r>
    </w:p>
    <w:p w:rsidR="00FC521A" w:rsidRDefault="00FC521A" w:rsidP="00FC521A">
      <w:pPr>
        <w:pStyle w:val="Heading1"/>
        <w:jc w:val="left"/>
        <w:rPr>
          <w:rFonts w:ascii="Arial Rounded MT Bold" w:hAnsi="Arial Rounded MT Bold" w:cstheme="majorBidi"/>
        </w:rPr>
      </w:pPr>
      <w:bookmarkStart w:id="8" w:name="_Toc199704792"/>
      <w:r>
        <w:t>1.6</w:t>
      </w:r>
      <w:r>
        <w:tab/>
        <w:t>Limitations and Constraints to the Study</w:t>
      </w:r>
      <w:bookmarkEnd w:id="8"/>
    </w:p>
    <w:p w:rsidR="00FC521A" w:rsidRDefault="00FC521A" w:rsidP="00FC521A">
      <w:pPr>
        <w:spacing w:after="0" w:line="360" w:lineRule="auto"/>
        <w:ind w:firstLine="360"/>
        <w:jc w:val="both"/>
        <w:rPr>
          <w:rFonts w:ascii="Times New Roman" w:hAnsi="Times New Roman" w:cs="Times New Roman"/>
        </w:rPr>
      </w:pPr>
      <w:r>
        <w:rPr>
          <w:rFonts w:ascii="Times New Roman" w:hAnsi="Times New Roman" w:cs="Times New Roman"/>
        </w:rPr>
        <w:t>In caring out this research project, the researcher encounter the following inhibitions:</w:t>
      </w:r>
    </w:p>
    <w:p w:rsidR="00FC521A" w:rsidRDefault="00FC521A" w:rsidP="00FC521A">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lastRenderedPageBreak/>
        <w:t>Financial constraint- Insufficient fund tends to impede the efficiency of the researcher in sourcing for the relevant materials, literature or information and in the process of data collection (internet, questionnaire and interview).</w:t>
      </w:r>
    </w:p>
    <w:p w:rsidR="00FC521A" w:rsidRDefault="00FC521A" w:rsidP="00FC521A">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Time constraint- The researcher will simultaneously engage in this study with other academic work. This consequently will cut down on the time devoted for the research work.</w:t>
      </w:r>
    </w:p>
    <w:p w:rsidR="00FC521A" w:rsidRDefault="00FC521A" w:rsidP="00FC521A">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Shortage of Research Materials- since the topic is not a commonresearch topic and is a current issue in Nigeria, the researcher was unable to find relevant materials relating to the subject matter in the Kwara State Polytechnic Library.</w:t>
      </w:r>
    </w:p>
    <w:p w:rsidR="00FC521A" w:rsidRDefault="00FC521A" w:rsidP="00FC521A">
      <w:pPr>
        <w:pStyle w:val="Heading1"/>
        <w:jc w:val="left"/>
        <w:rPr>
          <w:rFonts w:ascii="Arial Rounded MT Bold" w:hAnsi="Arial Rounded MT Bold" w:cstheme="majorBidi"/>
        </w:rPr>
      </w:pPr>
      <w:bookmarkStart w:id="9" w:name="_Toc199704793"/>
      <w:r>
        <w:t>1.7</w:t>
      </w:r>
      <w:r>
        <w:tab/>
        <w:t>Definitions of Terms</w:t>
      </w:r>
      <w:bookmarkEnd w:id="9"/>
    </w:p>
    <w:p w:rsidR="00FC521A" w:rsidRDefault="00FC521A" w:rsidP="00FC521A">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Ginger: Ginger is a flowering plant whose rhizome, ginger root or ginger, is widely used as a spice and a folk medicine. It is a herbaceous perennial which grows annual pseudostems about one meter tall bearing narrow leaf blades.</w:t>
      </w:r>
    </w:p>
    <w:p w:rsidR="00FC521A" w:rsidRDefault="00FC521A" w:rsidP="00FC521A">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Garlic: Garlic is a species of bulbous flowering plant in the genus Allium. Its close relatives include the onion, shallot, leek, chive, Welsh onion and Chinese onion.</w:t>
      </w:r>
    </w:p>
    <w:p w:rsidR="00FC521A" w:rsidRDefault="00FC521A" w:rsidP="00FC521A">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Hospitality Industry: The hospitality industry is a broad category of fields within the service industry that includes lodging, food and drink service, event planning, theme parks, travel and tourism. It includes hotels, tourism agencies, restaurants and bars.</w:t>
      </w:r>
    </w:p>
    <w:p w:rsidR="00FC521A" w:rsidRPr="00121B16" w:rsidRDefault="00FC521A" w:rsidP="00FC521A">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Mankind: Humans are the most abundant and widespread species of primate. They are a type of great ape who are characterized by bipedalism and exceptional cognitive skills due to a large and complex brain.</w:t>
      </w:r>
    </w:p>
    <w:p w:rsidR="00FC521A" w:rsidRDefault="00FC521A" w:rsidP="00FC521A">
      <w:pPr>
        <w:spacing w:line="259" w:lineRule="auto"/>
        <w:rPr>
          <w:rFonts w:ascii="Times New Roman" w:eastAsia="Times New Roman" w:hAnsi="Times New Roman" w:cs="Times New Roman"/>
          <w:b/>
          <w:bCs/>
          <w:szCs w:val="23"/>
        </w:rPr>
      </w:pPr>
      <w:bookmarkStart w:id="10" w:name="_Toc199704794"/>
      <w:r>
        <w:br w:type="page"/>
      </w:r>
    </w:p>
    <w:p w:rsidR="00FC521A" w:rsidRDefault="00FC521A" w:rsidP="00FC521A">
      <w:pPr>
        <w:pStyle w:val="Heading1"/>
        <w:rPr>
          <w:rFonts w:ascii="Arial Rounded MT Bold" w:hAnsi="Arial Rounded MT Bold" w:cstheme="majorBidi"/>
        </w:rPr>
      </w:pPr>
      <w:r>
        <w:lastRenderedPageBreak/>
        <w:t>CHAPTER TWO</w:t>
      </w:r>
      <w:bookmarkEnd w:id="10"/>
    </w:p>
    <w:p w:rsidR="00FC521A" w:rsidRDefault="00FC521A" w:rsidP="00FC521A">
      <w:pPr>
        <w:pStyle w:val="Heading1"/>
      </w:pPr>
      <w:bookmarkStart w:id="11" w:name="_Toc199704795"/>
      <w:r>
        <w:t>LITERATURE REVIEW</w:t>
      </w:r>
      <w:bookmarkEnd w:id="11"/>
    </w:p>
    <w:p w:rsidR="00FC521A" w:rsidRDefault="00FC521A" w:rsidP="00FC521A">
      <w:pPr>
        <w:pStyle w:val="Heading1"/>
        <w:jc w:val="left"/>
      </w:pPr>
      <w:bookmarkStart w:id="12" w:name="_Toc199704796"/>
      <w:r>
        <w:t>2.1</w:t>
      </w:r>
      <w:r>
        <w:tab/>
        <w:t>Introduction</w:t>
      </w:r>
      <w:bookmarkEnd w:id="12"/>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Allium sativum, commonly known as garlic, is a species in the onion genus, it is a bulbous plant. It grows up to 1.2 m (4 ft) in height. Its hardiness is USDA Zone 8. It produces hermaphrodite flowers. Pollination occurs by bees and other insects (Wikipedia 2019).</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Allium sativum grows in the wild in areas where it has become naturalized. The “wild garlic”, “crow garlic”, and “field garlic” of Britain are members of the species Allium ursinum, Allium vineale, and Allium oleraceum, respectively. Identification of the wild progenitor for common garlic is made difficult by the sterility of its many cultivars which may all be descended from the species, Allium longicuspis, growing wild in central and southwestern Asia.</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Garlic contains at least 33 sulfur compounds, several enzymes and the minerals germanium, calcium, copper, iron, potassium, magnesium, selenium and zinc; vitamins A, B1 and C, fiber and water. It also contains 17 amino acids to be found in garlic: lysine, histidine, arginine, aspartic acid threonine, swine, glutamine, proline, glycine, alanine, cysteine, valine, methionine, isoleucine, leucine, tryptophan and phenylalanine (Josling, 2015). It has a higher concentration of sulfur compounds than any other Allium species which are responsible both for garlic’s pungent odor and many of its medicinal effects. One of the most biologically active compounds in garlic is allicin (diallylthiosulfinate or diallyldisulfide). The most abundant sulfur compound in garlic is alliin (S-allylcysteine sulfoxide), which is present at 10 and 30 mg/g in fresh and dry garlic, respectively (Lawson, 2019). Typical garlic food preparation such as chopping, mincing and crushing disturbs S-allyl cysteine sulfoxide and exposed it to the allinase enzymes, then quickly converted it to diallylthiosulfinate, which give off garlic’s characteristic aroma. The allinase enzyme responsible for diallylthiosulfanateconversion becomes inactivated below a pH of 3.5 or with heating (Pedrazza-Chaverri et al., 2016). Although allicin is considered the major antioxidant and scavenging compound, recent studies showing that other compounds may </w:t>
      </w:r>
      <w:r>
        <w:rPr>
          <w:rFonts w:ascii="Times New Roman" w:hAnsi="Times New Roman" w:cs="Times New Roman"/>
        </w:rPr>
        <w:lastRenderedPageBreak/>
        <w:t>play stronger roles; such as polar compounds of phenolic and steroidal origin, which offer various pharmacological properties without odor and are also heat stable (Lanzotti, 2016).</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Fresh or crushed garlic yields the sulfur-containing compounds alliin, ajoene, diallylpolysulfides, vinyldithiins, S-allylcysteine, and enzymes, saponins, flavonoids, and Maillard reaction products, which are not sulfur-containing compounds.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The composition of the bulbs is approximately 84.09% water, 13.38% organic matter, and 1.53% inorganic matter, while the leaves are 87.14% water, 11.27% organic matter, and 1.59% inorganic matter.</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Ginger (Zingiber officinale) is a flowering plant in the family Zingiberaceae whose rhizome, ginger root or simply ginger, is widely used as a spice or’a folk medicine.</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It is a herbaceous perennial which grows annual stems about a meter tall bearing narrow green leaves and yellow flowers. Ginger is in the family Zingiberaceae, to which also belong turmeric (Curcuma longa), cardamom (Elettariacardamomum), and galangal. Ginger originated in the lush tropical jungles in Southern Asia. Although ginger no longer grows wild, it is thought to have originated on the Indian subcontinent.</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ginger plants grown in India show the largest amount of genetic variation. The larger the number of genetic variations, the longer the plant has grown in that region. Ginger was exported to Europe via India in the first century AD as a result of the lucrative spice trade and was used extensively by the Romans.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distantly related dicots in the genus Asarum are commonly called wild ginger because of their similar taste.</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characteristic fragrance and flavor of ginger result from volatile oils that compose 1-3% of the weight of fresh ginger, primarily consisting of zingerone, shogaols and gingerols with gingerol (1-[4- hydroxy-3’-methoxyphenyl]-5-hydroxy-3-decanone) as the major pungent compound. Zingerone is produced from gingerols during drying, having lower pungency and a spicy-sweet aroma.</w:t>
      </w:r>
    </w:p>
    <w:p w:rsidR="00FC521A" w:rsidRDefault="00FC521A" w:rsidP="00FC521A">
      <w:pPr>
        <w:spacing w:line="259" w:lineRule="auto"/>
        <w:rPr>
          <w:rFonts w:ascii="Times New Roman" w:eastAsia="Times New Roman" w:hAnsi="Times New Roman" w:cs="Times New Roman"/>
          <w:b/>
          <w:bCs/>
          <w:szCs w:val="23"/>
        </w:rPr>
      </w:pPr>
      <w:bookmarkStart w:id="13" w:name="_Toc199704797"/>
      <w:r>
        <w:br w:type="page"/>
      </w:r>
    </w:p>
    <w:p w:rsidR="00FC521A" w:rsidRDefault="00FC521A" w:rsidP="00FC521A">
      <w:pPr>
        <w:pStyle w:val="Heading1"/>
        <w:jc w:val="left"/>
        <w:rPr>
          <w:rFonts w:ascii="Arial Rounded MT Bold" w:hAnsi="Arial Rounded MT Bold" w:cstheme="majorBidi"/>
        </w:rPr>
      </w:pPr>
      <w:r>
        <w:lastRenderedPageBreak/>
        <w:t>2.2</w:t>
      </w:r>
      <w:r>
        <w:tab/>
        <w:t>Health Benefits of Ginger and Garlic to Mankind</w:t>
      </w:r>
      <w:bookmarkEnd w:id="13"/>
    </w:p>
    <w:p w:rsidR="00FC521A" w:rsidRDefault="00FC521A" w:rsidP="00FC521A">
      <w:pPr>
        <w:pStyle w:val="Heading1"/>
        <w:jc w:val="left"/>
      </w:pPr>
      <w:bookmarkStart w:id="14" w:name="_Toc199704798"/>
      <w:r>
        <w:t>2.2.1</w:t>
      </w:r>
      <w:r>
        <w:tab/>
      </w:r>
      <w:r>
        <w:tab/>
        <w:t>Role of Ginger and Garlic in Cardiovascular System</w:t>
      </w:r>
      <w:bookmarkEnd w:id="14"/>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Ginger and Garlic and their preparations have been widely recognized as agents for prevention and treatment of cardiovascular and other metabolic diseases, atherosclerosis, hyperlipidemia, thrombosis, hypertension and diabetes. Effectiveness of garlic in cardiovascular diseases was more encouraging in experimental studies, which prompted several clinical trials. Though many clinical trials showed a positive effect of garlic on almost all cardiovascular conditions mentioned above, however a number of negative studies have recently cast doubt on the efficacy of garlic specially its cholesterol lowering effect of garlic.</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It is a great challenge for scientists all over the world to make a proper use of garlic and enjoy its maximum beneficial effect as it is the cheapest way to prevent cardiovascular disease (Sanjay et al, 2019).</w:t>
      </w:r>
    </w:p>
    <w:p w:rsidR="00FC521A" w:rsidRDefault="00FC521A" w:rsidP="00FC521A">
      <w:pPr>
        <w:pStyle w:val="Heading1"/>
        <w:jc w:val="left"/>
        <w:rPr>
          <w:rFonts w:ascii="Arial Rounded MT Bold" w:hAnsi="Arial Rounded MT Bold" w:cstheme="majorBidi"/>
        </w:rPr>
      </w:pPr>
      <w:bookmarkStart w:id="15" w:name="_Toc199704799"/>
      <w:r>
        <w:t>2.2.2</w:t>
      </w:r>
      <w:r>
        <w:tab/>
      </w:r>
      <w:r>
        <w:tab/>
        <w:t>Atherosclerosis and lipid metabolism</w:t>
      </w:r>
      <w:bookmarkEnd w:id="15"/>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ctiopathological factor for atherosclerosis. The medicinal value of garlic and ginger is best known for their lipid lowering and antiathcrogenic effects.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Mechanism:</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Human studies show that the protective effect of garlic and on atherosclerosis has been attributed to their capacity to reduce lipid content in arterial wall. Garlic causes direct antiatherogenic (preventive) and antiatherosclerotic (causing regression) effects at the level of artery wall. Garlic depressed the hepatic activities of lipogenic and cholesterogenic enzymes such as malic enzyme, fatty acid synthase, glucose-6 phosphate dehydrogenase and 3-hydroxy-3-methyl-glutaryl- COA (HMG CoA) reductase. Garlic also increased the excretion of cholesterol, as manifested by enhanced excretion of acidic and neutral steroids </w:t>
      </w:r>
      <w:r>
        <w:rPr>
          <w:rFonts w:ascii="Times New Roman" w:hAnsi="Times New Roman" w:cs="Times New Roman"/>
        </w:rPr>
        <w:lastRenderedPageBreak/>
        <w:t>after garlic feeding. LDL isolated from human subjects given AGE and aqueous garlic extract was found to be significantly more resistant to oxidation.</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These data indicate that suppressed LDL oxidation may be one of the powerful mechanisms accounted for the benefits of garlic and ginger in atherosclerosis. Allicin was identified initially as the active compound responsible for antiatherosclerotic effect.</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However, recent in vitro studies revealed that water-soluble organosulfur compounds, especially S-allyl cysteine (SAC), present in aged garlic extract and diallyl-di-sulfide (DADS), present in garlic oil are also potent inhibitors of cholesterol synthesis.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Fibrinolytic activity</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Inhibition of fibrinolytic activity (FA) or deficiency of the factors involved might upset the hemostatic balance and allow excessive fibrin deposition. In diabetes, hypertension, hypercholesterolemia etc, it is possible that distúrbance in the coagulation-fibrinolytic system may be an important factor leading to the development of thrombosis and ischemia.</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Accordingly, the greater the FA, the more favorable is the antithrombic effect. FA is generally determined by cuglobulin lysis time.The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Mechanism:</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Frying removes the strong acrid smell of garlic and or that of garlic, but preserves its useful effects on FA. The rise in FA has been observed within 6 hours of garlic administration, which showed that garlic and has a rapid onset of action and the effect is well maintained as long as garlic and ginger is being taken. Recently Bordia (2019) found that intake (3 months) of ethyl acetate extract of crushed raw garlic also increased FA.</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Platelet aggregation</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Platelet aggregation superimposed on an atherosclerosis vessel is an antecedent event causing total blockage of blood flow leading to myocardial infarction and </w:t>
      </w:r>
      <w:r>
        <w:rPr>
          <w:rFonts w:ascii="Times New Roman" w:hAnsi="Times New Roman" w:cs="Times New Roman"/>
        </w:rPr>
        <w:lastRenderedPageBreak/>
        <w:t>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Aggregation is also fostered by platelet activating factor (PAF), a cytokine secreted by neutrophil and monocytes as well as platelets. Studies have shown that garlic has great potential in inhibiting platelet aggregation.</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Mechanism:</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antiplatelet mechanism of garlic and ginger is much more established than any of their biological effects. Aqueous extract of garlic and ginger inhibited platelet aggregation induced by ADP, collagen, arachidonate, epinephrine and calcium ionophore in a dose-dependentmanner. It was found that garlic and ginger reduced the formation of thromboxane, inhibited the phospholipase activity and lipoxygenase products formed in platelets. These effects may explain, in part, inhibition of platelet aggregation.</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Further, since garlic and ginger was also effective in inhibiting aggregation induced by calcium ionophore A23187 it may be suggested that the antiaggregation effect may be related to intraplatelet mobilization of calcium. Inhibition of epinephrine-induced aggregation by garlic extract may suggest that it may be inhibiting uptake of calcium into platelets thereby lowering cytosolic calcium concentrations.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Blood pressure lowering effect</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Life style modifications are definitive therapy for some and adjunctive therapy for all persons with hypertension (Joint National Committee, 1997). Diets that are high in </w:t>
      </w:r>
      <w:r>
        <w:rPr>
          <w:rFonts w:ascii="Times New Roman" w:hAnsi="Times New Roman" w:cs="Times New Roman"/>
        </w:rPr>
        <w:lastRenderedPageBreak/>
        <w:t>fruits, vegetables and low-fat dairy products; have been shown to reduce hypertension. Increased consumption of garlic is associated with lower incidence of hypertension in population. Based on current information, garlic powder preparations are considered for recommendation as adjuncts in the treatment of hypertensive patients.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Mechanism:</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Rashid and Khan (2018) have postulated that mechanism of antihypertensive action of garlic and is due to its prostaglandin like effects, which decreases peripheral vascular resistance. The gamma-glutamylcysteines are the compounds in garlic that may lower blood pressure, as indicated by their ability to inhibit angiotensin-converting enzyme in in vitro. Garlic modulates the production and function of both endothelium derived relaxing and constricting factors and this may contribute to its protective effect against hypoxic pulmonary vasoconstriction.</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Garlic elicits nitric-oxide-dependent relaxation in pulmonary arteries. This hypothesis was explained by the fact that NG-nitro-L- arginine methyl ester (L-NAME, a NOS inhibitor) abolished the vasodilatory effect of garlic. But another study reported that pulmonary vasodilatory effect of allicin are independent of the synthesis of NO, ATP- sensitive (K+) channel, activation of cyclooxygenase enzyme.</w:t>
      </w:r>
    </w:p>
    <w:p w:rsidR="00FC521A" w:rsidRDefault="00FC521A" w:rsidP="00FC521A">
      <w:pPr>
        <w:pStyle w:val="Heading1"/>
        <w:jc w:val="left"/>
        <w:rPr>
          <w:rFonts w:ascii="Arial Rounded MT Bold" w:hAnsi="Arial Rounded MT Bold" w:cstheme="majorBidi"/>
        </w:rPr>
      </w:pPr>
      <w:bookmarkStart w:id="16" w:name="_Toc199704800"/>
      <w:r>
        <w:t>2.2.3</w:t>
      </w:r>
      <w:r>
        <w:tab/>
      </w:r>
      <w:r>
        <w:tab/>
        <w:t>Ginger And Garlic As An Antinausea Agent</w:t>
      </w:r>
      <w:bookmarkEnd w:id="16"/>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The most common and well-established use of ginger and or garlic throughout history is probably its utilization in alleviating symptoms of nausea and vomiting. The benefits and dangers of herbal treatment of liver and gastrointestinal distress have been reviewed (Langmead and Rampton 2019), and several controlled studies have reported that ginger is generally effective as an antiemetic (Aikins Murphy 2019; Ernst and Pittler 2016; Jewell and Young 2016, 2019, 2016; Langmead and Rampton 2019; Dupuis and Nathan 2016; Boone and Shields 2015; Borrelli et al. 2015; Bryer 2015; 2015; Chaiyakunapruk et al. 2016; Thompson and Potter 2016; Quimby 2017). The effectiveness of ginger and garlic as an antiemetic has been attributed to its carminative effect, which helps to break up and expel intestinal gas. This idea was supported by the results of a randomized, double-blind </w:t>
      </w:r>
      <w:r>
        <w:rPr>
          <w:rFonts w:ascii="Times New Roman" w:hAnsi="Times New Roman" w:cs="Times New Roman"/>
        </w:rPr>
        <w:lastRenderedPageBreak/>
        <w:t>trial in which healthy volunteers reported that ginger effectively accelerated gastric emptying and stimulated antral contractions (Wu et al. 2018).</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Crushed Garlic and Ginger root (masala) is commonly recommended for preventing seasickness (Schmid et al. 2019) and isfound to be superior to dimenhydrinate (Dramamine) or placebo against symptoms of motion sickness (Mowrey and Clayson 2018). A follow-up study also indicated that 1 g of masala might be effective in reducing the subjective severity of seasickness in naval cadets on the high seas (Grontved et al. 2017). On the other hand, additional research studies showed no benefits of using ginger for treating motion sickness (Wood et al. 2017; Stewart et al. 2019), and at least one group reported that patients receiving ginger extract for treating osteoarthritis experienced more, although mild, gastrointestinal adverse events compared to a placebo-treated group (Altman and Marcussen 2016).</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exact antiemetic mechanism of ginger is not clear, although some evidence suggests that it inhibits serotonin receptors and exerts its antiemetic effects directly on the gastrointestinal system and in the central nervous system (DerMarderosian and Beutler 2016). Although the antiemetic effects of ginger are the most well-studied effects of this condiment and have been reviewed extensively, the effectiveness and safety of ginger for treating nausea and vomiting have been questioned in the past because the findings reported were often contradictory (Wilkinson 2016). At the same time, ginger continues to be recommended for alleviating nausea and vomiting associated with pregnancy, chemotherapy, and certain surgical procedures.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Nausea and vomiting during pregnancy affects most pregnant women, and over the years ginger has been used to try to alleviate the condition (Aikins 2019; Jewell and Young 2016, 2019, 2016; Fugh- Berman and Kronenberg 2016; Boone and Shields 2015; Borrelli et al. 2015; Bryer 2015; Chrubasik, Pittler, and Roufogalis 2015; White 2017). At least one survey indicated that the overall use of dietary supplements in pregnant women appears to be low, but ginger is commonly recommended and used to prevent nausea (Tsui, Dennehy, and Tsourounis 2016). Several double-blind, randomized, placebo-controlledclinical trials </w:t>
      </w:r>
      <w:r>
        <w:rPr>
          <w:rFonts w:ascii="Times New Roman" w:hAnsi="Times New Roman" w:cs="Times New Roman"/>
        </w:rPr>
        <w:lastRenderedPageBreak/>
        <w:t>have indicated that ginger consumption is effective and safe in helping to prevent nausea and vomiting during pregnancy (Portnoi et al. 2016; Willetts, Ekangaki, and Eden 2016).</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Ginger has been recommended to combat nausea associated with chemotherapy (Sharma and Gupta 2019; Grant and Lutz 2016). Gingerol was reported to reduce cisplatin (a platinum-based chemotherapy drug)- induced emesis in a vomiting model of mink possibly by inhibiting the central or peripheral increase of 5-hydroxytryptamine, dopamine, and substance (Qian et al. 2019). In contrast, addition of masala powder (1) g/day) to a standard antiemetic regimen with metoclopramide had no advantage in reducing nausea or vomiting in acute or delayed phases of cisplatin-induced emesis in gynecologic cancer patients (Manusirivithaya et al. 2017). Cisplatin can cause renal oxidative and nitrosative stress and dysfunction. However, rats that were administered cisplatin and gingerol exhibited lower lipid peroxidation and conservation of Garlic Self Hydrate coupled with enhanced superoxide dismutase and catalase, which resulted in a restoration of normal renal function (Kuhad et al. 2016). Complementary intervention with ginger has also been suggested to have possible benefits in preventing acute chemotherapy-induced nausea and vomiting (CINV) in children (Dupuis and Nathan 2016).</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However, the results of a randomized, double-blind, placebo- controlled trial indicated that ginger did not provide any additional benefit in reducing CINV when given with a 5-hydroxytryptamine 3 (HT3) receptor antagonists and/or aprepitant (a substance P antagonist; Zick et al. 2019). Notably, compared with a normal diet, high-protein meals with ginger consumed twice daily were reported to reduce the delayed nausea of chemotherapy and decrease the use of antiemetic medications (Levine et al. 2018).</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Ginger was suggested to be an effective postoperative prophylactic antiemetic (Phillips, et al, 2019) that is not associated with effects on gastric emptying (Phillips, Ruggier, and Hutchinson 2019). However, the effectiveness of ginger in preventing postoperative nausea and vomiting has been disputed (Visalyaputra et al. 2019). One study indicated that pretreatment with ginger extracts reversed experimentally induced delay in gastric emptying in rats (Gupta and Sharma 2016), and ginger was also reported to reduce </w:t>
      </w:r>
      <w:r>
        <w:rPr>
          <w:rFonts w:ascii="Times New Roman" w:hAnsi="Times New Roman" w:cs="Times New Roman"/>
        </w:rPr>
        <w:lastRenderedPageBreak/>
        <w:t>food transit time in experimental rats, an effect that might have implications in the prevention of colon cancer or constipation (Platel and Srinivasan 2016). The digestive stimulatory effects of ginger and other spices might be associated with positive effects on trypsin and pancreatic lipase (Platel and Srinivasan 2016) and ginger’s ability to increase gastric motility (Micklefield et al. 2019).</w:t>
      </w:r>
    </w:p>
    <w:p w:rsidR="00FC521A" w:rsidRDefault="00FC521A" w:rsidP="00FC521A">
      <w:pPr>
        <w:pStyle w:val="Heading1"/>
        <w:jc w:val="left"/>
        <w:rPr>
          <w:rFonts w:ascii="Arial Rounded MT Bold" w:hAnsi="Arial Rounded MT Bold" w:cstheme="majorBidi"/>
        </w:rPr>
      </w:pPr>
      <w:bookmarkStart w:id="17" w:name="_Toc199704801"/>
      <w:r>
        <w:t>2.3</w:t>
      </w:r>
      <w:r>
        <w:tab/>
        <w:t>Antioxidant Properties Of Garlic And Ginger</w:t>
      </w:r>
      <w:bookmarkEnd w:id="17"/>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presence of oxidative stress is associated with numerous diseases and a common mechanism often put forth to explain the actions and health benefits of ginger and ginger is associated with its antioxidant properties (Aeschbach et al. 2019; Ahmad, Katiyar, and Mukhtar 2016). Ginger was reported to decrease age-related oxidative stress markers (Topic et al. 2019) and was suggested to guard against ethanol-induced hepatotoxicity by suppressing oxidative consequences in rats treated with ethanol (Mallikarjuna et al. 2018). Ginger and Garlic root (masala) contains a very high level (3.85 mmol/100 g) of total antioxidants, surpassed only by pomegranate and some types of berries (Halvorsen et al. 2019). The phorbol ester, 12-O-tetradecanoylphorbol-13-acetate (TPA), promotes oxidative stress by activating the nicotinamide adenine dinucleotide phosphate (NADPH) oxidase system or the xanthine oxidase system or both. Ginger was reported to suppress TPA-induced oxidative stress in human promyelocyticleukemia (HL)-60 cells and Chinese hamster ovary AS52 cells (Kim et al. 2019). Others have shown thatginger compounds effectively inhibit superoxide production (Krishnakantha and Lokesh 2019). Several reports indicate that ginger suppresses lipid peroxidation and protects the levels of reduced glutathione (GSH; Reddy and Lokesh 2019; Ahmed, Seth, and Banerjee 2016; Ahmed, Seth, Pasha, and Banerjee 2016; Shobana and Naidu 2016; Ahmed et al. 2018; El-Sharaky et al. 2019).</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Reactive nitrogen species, such as nitric oxide (NO), influence signal transduction and cause DNA damage, which contributes to disease processes. Nitric oxide is produced by inducible nitric oxide synthase (iNOS), which is stimulated in response to various stresses. Gingerol was reported to dose-dependently inhibit NO production and reduce </w:t>
      </w:r>
      <w:r>
        <w:rPr>
          <w:rFonts w:ascii="Times New Roman" w:hAnsi="Times New Roman" w:cs="Times New Roman"/>
        </w:rPr>
        <w:lastRenderedPageBreak/>
        <w:t>iNOS in lipopolysaccharide (LPS)-stimulated mouse macrophages (Ippoushi et al. 2016). Gingerol also effectively suppressed peroxynitritemediated oxidative damage (Ippoushi et al. 2016). Ippoushi et al. (2016) later proposed that gingerol and peroxynitrite form a symmetric dimer with gingerol covalently linked at the aromatic ring of peroxynitrite, attenuating peroxynitrite-induced oxidation and nitration reactions (Ippoushi et al. 2015). -shogaol, 1-dehydro—gingerdione, and – gingerdione also decreased LPS-induced NO production, and shogaol and 1-dehydro—gingerdione were reported to effectively reduce iNOS expression (Koh et al. 2019). In the bromobenzene (BB)-induced hepatotoxicity model, orally given ginger extract (100 mg/kg body weight [BW]) normalized NO levels and total and reduced glutathione levels, and also decreased the level of lipid peroxidation (El-Sharaky et al. 2019).</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Ginger consumption has also been reported to decrease lipid peroxidation and normalize the activities of superoxide dismutase and catalase, as well as GSH and glutathione peroxidase, glutathione reductase, and glutathione-S-transferase, in rats (Ahmed et al. 2018). Garlic supplementation before ischemia/reperfusion resulted in a higher total antioxidant capacity (i.e., normalized glutathione peroxidase andsuperoxide dismutase activities) and lower total oxidant (lower tissue malondialdehyde, NO, and protein carbonyl contents) status levels compared to an untreated group of Wistar albino rats (Uz et al. 2019). Overall, the rats fed ginger (5%) experienced less kidney damage due to oxidative stress induced by ischemia/reperfusion (Uz et al. 2019).</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Masala extract has been reported to exert radio protective effects in mice exposed to gamma radiation (Jagetia et al. 2016), and the effect was associated with decreased lipid peroxidation and protection of GSH levels (Jagetia, Baliga, and Venkatesh 2017). Pretreatment also decreased oxidative stress induced by ultraviolet B (UVB) and activated caspase-3, 8, 9, and Fas expression (Kim et al. 2017). Evidence does seem to suggest that ginger and some of its components are effective antioxidants in vitro. However, whether the physiological activity occurs in humans in vivo is not clear, and the specific mechanism and cellular targets are still to be determined.</w:t>
      </w:r>
    </w:p>
    <w:p w:rsidR="00FC521A" w:rsidRDefault="00FC521A" w:rsidP="00FC521A">
      <w:pPr>
        <w:pStyle w:val="Heading1"/>
        <w:jc w:val="left"/>
        <w:rPr>
          <w:rFonts w:ascii="Arial Rounded MT Bold" w:hAnsi="Arial Rounded MT Bold" w:cstheme="majorBidi"/>
        </w:rPr>
      </w:pPr>
      <w:bookmarkStart w:id="18" w:name="_Toc199704802"/>
      <w:r>
        <w:lastRenderedPageBreak/>
        <w:t>2.4</w:t>
      </w:r>
      <w:r>
        <w:tab/>
        <w:t>Anti-Inflammatory Effects Of Ginger and Garlic</w:t>
      </w:r>
      <w:bookmarkEnd w:id="18"/>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One of the many health claims attributed to ginger is its purported ability to decrease inflammation, swelling, and pain. Gingerol (Young et al. 2015), a dried ginger extract, and a dried gingerol-enriched extract (Minghetti et al. 2017) were each reported to exhibit analgesic and potent anti-inflammatory effects. Earlier animal studies suggest that rat hind limbs perfused with gingerol showed increased heat production that was associated with increased oxygen consumption and lactate efflux (Eldershaw et al. 2019).</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thermogenesis was at least partly associated with vasoconstriction independent of adrenergic receptors or secondary catecholamine release. In contrast, larger doses of ginger components inhibited oxygen consumption, which was attributed to disruption of mitochondrial function (Eldershaw et al. 2019). These results were supported in a later study in which rats that were given a singleintraperitoneal injection of gingerol (2.5 or 25 mg/kg) exhibited a rapid, marked drop in body temperature and a significant decrease in metabolic rate (Ueki et al. 2018).</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Data suggest that ginger may exhibit anti-inflammatory effects through the modulation of calcium levels mediated through transient receptor potential vanilloid subtype 1 (TRPV1), which is a heat-and pain- sensitive receptor that can interact with gingerol (Dedov et al. 2019). Gingerol has been reported to induce a substantial rise in intracellular calcium levels in Madin-Darby canine kidney renal tubular cells by stimulating both extracellular calcium influx and thapsigargin (an endoplasmic reticulum Ca2+ pump inhibitor)-sensitive intracellular calcium release (Chen et al. 2018). The gingerols are known to be TRPV1 agonists (Dedov et al. 2019), and the gingerols and shogaols can increase the intracellular calcium concentration in TRPV1-expressing HEK293 cells through TRPV1 (Iwasaki et al. 2016).</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Shogaols appear to be more potent than the gingerols, and most of the compounds cause aversive or nociceptive responses mediated by TRPV1 when applied to the eye or following subcutaneous injection to the hind paw, respectively (Iwasaki et al. 2016). In this </w:t>
      </w:r>
      <w:r>
        <w:rPr>
          <w:rFonts w:ascii="Times New Roman" w:hAnsi="Times New Roman" w:cs="Times New Roman"/>
        </w:rPr>
        <w:lastRenderedPageBreak/>
        <w:t>case, most of the ginger compounds also promoted adrenal catecholamine secretion, which influences energy consumption (Iwasaki et al. 2016).</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Researchers have hypothesized that the anti-inflammatory effects of ginger might be related to its ability to inhibit prostaglandin and leukotriene biosynthesis (Srivastava and Mustafa 2019). Some others have showed that gingerols actively inhibit arachidonate 5-lipoxygenase, an enzyme of leukotriene biosynthesis (Kiuchi et al. 2019).</w:t>
      </w:r>
    </w:p>
    <w:p w:rsidR="00FC521A" w:rsidRDefault="00FC521A" w:rsidP="00FC521A">
      <w:pPr>
        <w:pStyle w:val="Heading1"/>
        <w:jc w:val="left"/>
        <w:rPr>
          <w:rFonts w:ascii="Arial Rounded MT Bold" w:hAnsi="Arial Rounded MT Bold" w:cstheme="majorBidi"/>
        </w:rPr>
      </w:pPr>
      <w:bookmarkStart w:id="19" w:name="_Toc199704803"/>
      <w:r>
        <w:t>2.5</w:t>
      </w:r>
      <w:r>
        <w:tab/>
        <w:t>Other Health Benefits Of Garlic And Ginger</w:t>
      </w:r>
      <w:bookmarkEnd w:id="19"/>
    </w:p>
    <w:p w:rsidR="00FC521A" w:rsidRDefault="00FC521A" w:rsidP="00FC521A">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ANTI-ASTHMATIC</w:t>
      </w:r>
    </w:p>
    <w:p w:rsidR="00FC521A" w:rsidRDefault="00FC521A" w:rsidP="00FC521A">
      <w:pPr>
        <w:tabs>
          <w:tab w:val="left" w:pos="720"/>
        </w:tabs>
        <w:spacing w:after="0" w:line="360" w:lineRule="auto"/>
        <w:jc w:val="both"/>
        <w:rPr>
          <w:rFonts w:ascii="Times New Roman" w:hAnsi="Times New Roman" w:cs="Times New Roman"/>
        </w:rPr>
      </w:pPr>
      <w:r>
        <w:rPr>
          <w:rFonts w:ascii="Times New Roman" w:hAnsi="Times New Roman" w:cs="Times New Roman"/>
        </w:rPr>
        <w:tab/>
        <w:t>Asthma is a chronic disease characterized by inflammation and hypersensitivity of airway smooth muscle cells to different substances that induce spasms, and ginger has been used for centuries in treating respiratory illnesses. Components of ginger rhizomes are reported to contain potent compounds capable of suppressing allergic reactions and might be useful for the treatment and prevention of allergic diseases (Chen et al. 2019). Ghayur, Gilani, and Janssen (2018) reported that a ginger and garlic extracts (masala) inhibits airway contraction and associated calcium signaling, possibly by blocking plasma membrane calcium channels.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In a mouse model of Th2-mediated pulmonary inflammation, an intraperitoneal injection of a ginger extract mainly comprised of gingerols markedly decreased the recruitment of eosinophils to the lungs in ovalbumin-sensitized mice and also suppressed the Th2 cell-driven response to allergen (Ahui et al. 2018).</w:t>
      </w:r>
    </w:p>
    <w:p w:rsidR="00FC521A" w:rsidRDefault="00FC521A" w:rsidP="00FC521A">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ANTI-DIABETIC</w:t>
      </w:r>
    </w:p>
    <w:p w:rsidR="00FC521A" w:rsidRDefault="00FC521A" w:rsidP="00FC521A">
      <w:pPr>
        <w:tabs>
          <w:tab w:val="left" w:pos="720"/>
        </w:tabs>
        <w:spacing w:after="0" w:line="360" w:lineRule="auto"/>
        <w:jc w:val="both"/>
        <w:rPr>
          <w:rFonts w:ascii="Times New Roman" w:hAnsi="Times New Roman" w:cs="Times New Roman"/>
        </w:rPr>
      </w:pPr>
      <w:r>
        <w:rPr>
          <w:rFonts w:ascii="Times New Roman" w:hAnsi="Times New Roman" w:cs="Times New Roman"/>
        </w:rPr>
        <w:tab/>
        <w:t>Ginger and Garlic have been suggested to have antidiabetic effects. In the streptozotocin-induced diabetic rat model, rats that were fed ginger exhibited better glucose tolerance and higher serum insulin levels than untreated rats, suggesting that it can help control blood sugar levels (Islam and Choi 2018). Treatment with a ginger and garlic extract produced a significant reduction in fructose-induced elevation in lipid levels, body weight, hyperglycemia, and hyperinsulinemia associated with insulin resistance (Kadnur and Goyal 2015).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lastRenderedPageBreak/>
        <w:t>An aqueous extract of raw ginger and Garlic (administered daily, 500 mg/kg intraperitoneally) to streptozotocin-induced diabetic rats lowered serum glucose, cholesterol, and triacylglycerol levels; decreased urine protein levels, water intake, and urine output; and prevented theweight loss associated with diabetes in this model (Al-Amin et al. 2016). Gingerol has also been found to enhance differentiation of 3T3-L1 preadipocytes and to enhance insulin-sensitive glucose uptake (Sekiya, Ohtani, and Kusano 2017).</w:t>
      </w:r>
    </w:p>
    <w:p w:rsidR="00FC521A" w:rsidRDefault="00FC521A" w:rsidP="00FC521A">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IN THE TREATMENT OF DEMENTIA</w:t>
      </w:r>
    </w:p>
    <w:p w:rsidR="00FC521A" w:rsidRDefault="00FC521A" w:rsidP="00FC521A">
      <w:pPr>
        <w:tabs>
          <w:tab w:val="left" w:pos="720"/>
        </w:tabs>
        <w:spacing w:after="0" w:line="360" w:lineRule="auto"/>
        <w:jc w:val="both"/>
        <w:rPr>
          <w:rFonts w:ascii="Times New Roman" w:hAnsi="Times New Roman" w:cs="Times New Roman"/>
        </w:rPr>
      </w:pPr>
      <w:r>
        <w:rPr>
          <w:rFonts w:ascii="Times New Roman" w:hAnsi="Times New Roman" w:cs="Times New Roman"/>
        </w:rPr>
        <w:tab/>
        <w:t>Dried ginger Garlic may have beneficial effects in treating dementia, including Alzheimer’s disease (Ghayur, Gilani, Ahmed, Khalid, Nawaz, Agbedahunsi, Choudhary, and Houghton 2018).</w:t>
      </w:r>
    </w:p>
    <w:p w:rsidR="00FC521A" w:rsidRDefault="00FC521A" w:rsidP="00FC521A">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IN THE TREATMENT OF ULCERATIVE COLITIS</w:t>
      </w:r>
    </w:p>
    <w:p w:rsidR="00FC521A" w:rsidRDefault="00FC521A" w:rsidP="00FC521A">
      <w:pPr>
        <w:tabs>
          <w:tab w:val="left" w:pos="720"/>
        </w:tabs>
        <w:spacing w:after="0" w:line="360" w:lineRule="auto"/>
        <w:jc w:val="both"/>
        <w:rPr>
          <w:rFonts w:ascii="Times New Roman" w:hAnsi="Times New Roman" w:cs="Times New Roman"/>
        </w:rPr>
      </w:pPr>
      <w:r>
        <w:rPr>
          <w:rFonts w:ascii="Times New Roman" w:hAnsi="Times New Roman" w:cs="Times New Roman"/>
        </w:rPr>
        <w:tab/>
        <w:t>Ulcerative colitis is a chronically recurrent inflammatory bowel disease of unknown origin, and in rats, ginger and garlic extract alleviated the symptoms of acetic acid-induced ulcerative colitis (El- Abhar, et al 2018).</w:t>
      </w:r>
    </w:p>
    <w:p w:rsidR="00FC521A" w:rsidRDefault="00FC521A" w:rsidP="00FC521A">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ANTICANCER</w:t>
      </w:r>
    </w:p>
    <w:p w:rsidR="00FC521A" w:rsidRDefault="00FC521A" w:rsidP="00FC521A">
      <w:pPr>
        <w:tabs>
          <w:tab w:val="left" w:pos="720"/>
        </w:tabs>
        <w:spacing w:after="0" w:line="360" w:lineRule="auto"/>
        <w:jc w:val="both"/>
        <w:rPr>
          <w:rFonts w:ascii="Times New Roman" w:hAnsi="Times New Roman" w:cs="Times New Roman"/>
        </w:rPr>
      </w:pPr>
      <w:r>
        <w:rPr>
          <w:rFonts w:ascii="Times New Roman" w:hAnsi="Times New Roman" w:cs="Times New Roman"/>
        </w:rPr>
        <w:tab/>
        <w:t>Of the many favorable actions of garlic, inhibition of the growth of cancer is perhaps the most prominent. It has several synergistic effects that either prevent or possibly may fight cancer. The action of garlic has been attributed to stimulate immune effector cells including T-cell and natural killer cells. Numerous epidemiological, clinical and laboratory studies have demonstrated that, garlic has a great role in cancer prevention especially in relation to digestive tract cancers. Human population studies have shown that, regular intake of garlic reduces the risk of esophageal, stomach and colon cancer. This was thought to be due to the antioxidant effect of allicin in reducing the formation of carcinogenic compounds in the gastro-intestinal tract (Galeone et al., 2016).</w:t>
      </w:r>
    </w:p>
    <w:p w:rsidR="00FC521A" w:rsidRDefault="00FC521A" w:rsidP="00FC521A">
      <w:pPr>
        <w:pStyle w:val="Heading1"/>
        <w:jc w:val="left"/>
        <w:rPr>
          <w:rFonts w:ascii="Arial Rounded MT Bold" w:hAnsi="Arial Rounded MT Bold" w:cstheme="majorBidi"/>
        </w:rPr>
      </w:pPr>
      <w:bookmarkStart w:id="20" w:name="_Toc199704804"/>
      <w:r>
        <w:t>2.6</w:t>
      </w:r>
      <w:r>
        <w:tab/>
        <w:t>Efficacy And Contraindications</w:t>
      </w:r>
      <w:bookmarkEnd w:id="20"/>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Ginger and (Garlic) is recognized by the U.S. Food and Drug Administration (FDA) as a food additive that is “generally recognized as safe.” However, and notably, in 1930, </w:t>
      </w:r>
      <w:r>
        <w:rPr>
          <w:rFonts w:ascii="Times New Roman" w:hAnsi="Times New Roman" w:cs="Times New Roman"/>
        </w:rPr>
        <w:lastRenderedPageBreak/>
        <w:t>thousands of Americans werepoisoned and paralyzed by an illicit extract of Jamaican ginger (jake) that was used to circumvent Prohibition laws. The extract had been adulterated with a neurotoxic organophosphate compound, triorthocresyl phosphate (TOCP; Crandall 1931; Morgan and Penovich 1978). The extract was banned in 1931.</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Early studies suggest that ginger and garlic extracst increased the mutagenesis ability of 2(2-furyl)-3(5-nitro-2-fury)acryl amide (AF2) or N- methyl-N-nitro-N-nitrosoguanidine (NTG), and gingerol was determined to be an active mutagen (Nakamura and Yamamoto 2018). A later study suggests that shogaol is much less mutagenic than gingerol and that the active part of gingerol is the aliphatic chain moiety containing a hydroxyl group (Nakamura and Yamamoto 2018). To our knowledge, these studies have not been confirmed nor repeated, and no recent evidence suggests that ginger or its components are mutagenic.</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Oral administration of ginger and garlic extract (1000 mg/kg) was reported to be tolerated well by pregnant rats, and it exerted no adverse effects on the mothers or in the development of fetuses (Weidner and Sigwart 2016). This result is somewhat in contrast to an earlier study, in which administration of ginger tea to pregnant rats resulted in twice the loss of embryos but heavier surviving fetuses compared to untreated controls (Wilkinson 2016a). Ginger rhizome extract (0.5-10.0 g/kg) administered intraperitoneally to mice was reported to have no clastogenic effects compared to ginger oil, which produced some chromosomal irregularities (Mukhopadhyay and Mukherjee 2016).</w:t>
      </w:r>
    </w:p>
    <w:p w:rsidR="00FC521A" w:rsidRDefault="00FC521A" w:rsidP="00FC521A">
      <w:pPr>
        <w:rPr>
          <w:rFonts w:ascii="Times New Roman" w:hAnsi="Times New Roman" w:cs="Times New Roman"/>
        </w:rPr>
      </w:pPr>
      <w:r>
        <w:rPr>
          <w:rFonts w:ascii="Times New Roman" w:hAnsi="Times New Roman" w:cs="Times New Roman"/>
          <w:kern w:val="0"/>
        </w:rPr>
        <w:br w:type="page"/>
      </w:r>
    </w:p>
    <w:p w:rsidR="00FC521A" w:rsidRDefault="00FC521A" w:rsidP="00FC521A">
      <w:pPr>
        <w:pStyle w:val="Heading1"/>
        <w:rPr>
          <w:rFonts w:ascii="Arial Rounded MT Bold" w:hAnsi="Arial Rounded MT Bold" w:cstheme="majorBidi"/>
        </w:rPr>
      </w:pPr>
      <w:bookmarkStart w:id="21" w:name="_Toc199704805"/>
      <w:r>
        <w:lastRenderedPageBreak/>
        <w:t>CHAPTER THREE</w:t>
      </w:r>
      <w:bookmarkEnd w:id="21"/>
    </w:p>
    <w:p w:rsidR="00FC521A" w:rsidRDefault="00FC521A" w:rsidP="00FC521A">
      <w:pPr>
        <w:pStyle w:val="Heading1"/>
      </w:pPr>
      <w:bookmarkStart w:id="22" w:name="_Toc199704806"/>
      <w:r>
        <w:t>RESEARCH METHODOLOGY</w:t>
      </w:r>
      <w:bookmarkEnd w:id="22"/>
    </w:p>
    <w:p w:rsidR="00FC521A" w:rsidRDefault="00FC521A" w:rsidP="00FC521A">
      <w:pPr>
        <w:pStyle w:val="Heading1"/>
        <w:jc w:val="left"/>
      </w:pPr>
      <w:bookmarkStart w:id="23" w:name="_Toc199704807"/>
      <w:r>
        <w:t>3.1</w:t>
      </w:r>
      <w:r>
        <w:tab/>
        <w:t>INTRODUCTION</w:t>
      </w:r>
      <w:bookmarkEnd w:id="23"/>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FC521A" w:rsidRDefault="00FC521A" w:rsidP="00FC521A">
      <w:pPr>
        <w:pStyle w:val="Heading1"/>
        <w:jc w:val="left"/>
        <w:rPr>
          <w:rFonts w:ascii="Arial Rounded MT Bold" w:hAnsi="Arial Rounded MT Bold" w:cstheme="majorBidi"/>
        </w:rPr>
      </w:pPr>
      <w:bookmarkStart w:id="24" w:name="_Toc199704808"/>
      <w:r>
        <w:t>3.2</w:t>
      </w:r>
      <w:r>
        <w:tab/>
        <w:t>RESEARCH DESIGN</w:t>
      </w:r>
      <w:bookmarkEnd w:id="24"/>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 field survey method approach of research design was adopted in this study. A field survey research assess situation as a prequisite to inference and generalization. A field survey method enables the researcher to successfully access field operation with regards to the health benefits of consuming Ginger and Garlic. Successful field operation must be based on soundly structured questionnaire, and well- trained interviewers. A field survey method enables the researcher to obtain the opinion of the representative sample of the targeted population in order to find the perception of the entire population on how Ginger and Garlic consumption has positively enhance their health status.</w:t>
      </w:r>
    </w:p>
    <w:p w:rsidR="00FC521A" w:rsidRDefault="00FC521A" w:rsidP="00FC521A">
      <w:pPr>
        <w:pStyle w:val="Heading1"/>
        <w:jc w:val="left"/>
        <w:rPr>
          <w:rFonts w:ascii="Arial Rounded MT Bold" w:hAnsi="Arial Rounded MT Bold" w:cstheme="majorBidi"/>
        </w:rPr>
      </w:pPr>
      <w:bookmarkStart w:id="25" w:name="_Toc199704809"/>
      <w:r>
        <w:t>3.3</w:t>
      </w:r>
      <w:r>
        <w:tab/>
        <w:t>PREPARATION METHOD OF RICE AND SAUCE</w:t>
      </w:r>
      <w:bookmarkEnd w:id="25"/>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following are the recipe used</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 xml:space="preserve">Recipe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Quantity</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Rice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 cups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Dry Cat Fish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pieces</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Tomato Paste</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Groundnut Oil</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Fresh Tomato and Pepper</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Ginger</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Garlic</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Seasoning</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Salt</w:t>
      </w:r>
    </w:p>
    <w:p w:rsidR="00FC521A" w:rsidRDefault="00FC521A" w:rsidP="00FC521A">
      <w:pPr>
        <w:spacing w:line="259" w:lineRule="auto"/>
        <w:rPr>
          <w:rFonts w:ascii="Times New Roman" w:hAnsi="Times New Roman" w:cs="Times New Roman"/>
          <w:b/>
        </w:rPr>
      </w:pPr>
      <w:r>
        <w:rPr>
          <w:rFonts w:ascii="Times New Roman" w:hAnsi="Times New Roman" w:cs="Times New Roman"/>
          <w:b/>
        </w:rPr>
        <w:br w:type="page"/>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lastRenderedPageBreak/>
        <w:t>Preparation Method of Rice</w:t>
      </w:r>
    </w:p>
    <w:p w:rsidR="00FC521A" w:rsidRDefault="00FC521A" w:rsidP="00FC521A">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Put water on fire</w:t>
      </w:r>
    </w:p>
    <w:p w:rsidR="00FC521A" w:rsidRDefault="00FC521A" w:rsidP="00FC521A">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Parboiled the Rice</w:t>
      </w:r>
    </w:p>
    <w:p w:rsidR="00FC521A" w:rsidRDefault="00FC521A" w:rsidP="00FC521A">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Cook the Rice for 25 minutes</w:t>
      </w:r>
    </w:p>
    <w:p w:rsidR="00FC521A" w:rsidRDefault="00FC521A" w:rsidP="00FC521A">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Add Salt</w:t>
      </w:r>
    </w:p>
    <w:p w:rsidR="00FC521A" w:rsidRDefault="00FC521A" w:rsidP="00FC521A">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Ready to serve</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Preparation of Sauce</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Put Oil on Fire</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Tomato Paste and Stir</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The Grinded Pepper</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The Grinded Ginger and Garlic</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Cook for 10 minutes</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Salt</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seasoning</w:t>
      </w:r>
    </w:p>
    <w:p w:rsidR="00FC521A" w:rsidRDefault="00FC521A" w:rsidP="00FC521A">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Ready to serve</w:t>
      </w:r>
    </w:p>
    <w:p w:rsidR="00FC521A" w:rsidRDefault="00FC521A" w:rsidP="00FC521A">
      <w:pPr>
        <w:pStyle w:val="Heading1"/>
        <w:jc w:val="left"/>
        <w:rPr>
          <w:rFonts w:ascii="Arial Rounded MT Bold" w:hAnsi="Arial Rounded MT Bold" w:cstheme="majorBidi"/>
        </w:rPr>
      </w:pPr>
      <w:bookmarkStart w:id="26" w:name="_Toc199704810"/>
      <w:r>
        <w:t>3.4</w:t>
      </w:r>
      <w:r>
        <w:tab/>
        <w:t>Methodology for Sensory Evaluations</w:t>
      </w:r>
      <w:bookmarkEnd w:id="26"/>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Sensory evaluation for uses of ginger and garlic in hospitality industry and its health benefits to mankind are done using effective testing through the design of a structured questionnaire to carefully selected panels of personal recruited for this type of testing after consumption of the research menu.</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questionnaire consist of the following structured sensory evaluation firm as shown below</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Direction; click one rating for each of the following appearance, taste/flavor, texture/consistency, aroma /smell and over all acceptability.</w:t>
      </w:r>
    </w:p>
    <w:p w:rsidR="00FC521A" w:rsidRDefault="00FC521A" w:rsidP="00FC521A">
      <w:pPr>
        <w:spacing w:line="259" w:lineRule="auto"/>
        <w:rPr>
          <w:rFonts w:ascii="Times New Roman" w:hAnsi="Times New Roman" w:cs="Times New Roman"/>
          <w:b/>
        </w:rPr>
      </w:pPr>
      <w:r>
        <w:rPr>
          <w:rFonts w:ascii="Times New Roman" w:hAnsi="Times New Roman" w:cs="Times New Roman"/>
          <w:b/>
        </w:rPr>
        <w:br w:type="page"/>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lastRenderedPageBreak/>
        <w:t>SENSORY EVALUATION FORM</w:t>
      </w:r>
    </w:p>
    <w:p w:rsidR="00FC521A" w:rsidRDefault="00FC521A" w:rsidP="00FC521A">
      <w:pPr>
        <w:spacing w:after="0" w:line="360" w:lineRule="auto"/>
        <w:jc w:val="both"/>
        <w:rPr>
          <w:rFonts w:ascii="Times New Roman" w:hAnsi="Times New Roman" w:cs="Times New Roman"/>
        </w:rPr>
      </w:pPr>
      <w:r>
        <w:rPr>
          <w:rFonts w:ascii="Times New Roman" w:hAnsi="Times New Roman" w:cs="Times New Roman"/>
        </w:rPr>
        <w:t>The results collected in a tabular form for easy understanding</w:t>
      </w:r>
    </w:p>
    <w:tbl>
      <w:tblPr>
        <w:tblStyle w:val="TableGrid"/>
        <w:tblW w:w="10035" w:type="dxa"/>
        <w:tblInd w:w="-698" w:type="dxa"/>
        <w:tblLook w:val="04A0" w:firstRow="1" w:lastRow="0" w:firstColumn="1" w:lastColumn="0" w:noHBand="0" w:noVBand="1"/>
      </w:tblPr>
      <w:tblGrid>
        <w:gridCol w:w="590"/>
        <w:gridCol w:w="910"/>
        <w:gridCol w:w="1456"/>
        <w:gridCol w:w="1634"/>
        <w:gridCol w:w="2297"/>
        <w:gridCol w:w="1572"/>
        <w:gridCol w:w="1576"/>
      </w:tblGrid>
      <w:tr w:rsidR="00FC521A" w:rsidTr="00074752">
        <w:trPr>
          <w:trHeight w:val="885"/>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S/N</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 xml:space="preserve">Rating Scale </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 xml:space="preserve">Appearance </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Taste/Flavour</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Texture/Consistency</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Aroma/Smell</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 xml:space="preserve">Overall Acceptability </w:t>
            </w:r>
          </w:p>
        </w:tc>
      </w:tr>
      <w:tr w:rsidR="00FC521A" w:rsidTr="00074752">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r>
      <w:tr w:rsidR="00FC521A" w:rsidTr="00074752">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r>
      <w:tr w:rsidR="00FC521A" w:rsidTr="00074752">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r>
      <w:tr w:rsidR="00FC521A" w:rsidTr="00074752">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r>
      <w:tr w:rsidR="00FC521A" w:rsidTr="00074752">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r>
      <w:tr w:rsidR="00FC521A" w:rsidTr="00074752">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21A" w:rsidRDefault="00FC521A" w:rsidP="00074752">
            <w:pPr>
              <w:spacing w:line="360" w:lineRule="auto"/>
              <w:jc w:val="both"/>
              <w:rPr>
                <w:rFonts w:ascii="Times New Roman" w:hAnsi="Times New Roman" w:cs="Times New Roman"/>
              </w:rPr>
            </w:pPr>
          </w:p>
        </w:tc>
      </w:tr>
    </w:tbl>
    <w:p w:rsidR="00FC521A" w:rsidRDefault="00FC521A" w:rsidP="00FC521A">
      <w:pPr>
        <w:pStyle w:val="Heading1"/>
        <w:jc w:val="left"/>
        <w:rPr>
          <w:rFonts w:ascii="Arial Rounded MT Bold" w:hAnsi="Arial Rounded MT Bold" w:cstheme="majorBidi"/>
        </w:rPr>
      </w:pPr>
      <w:bookmarkStart w:id="27" w:name="_Toc199704811"/>
      <w:r>
        <w:t>3.5</w:t>
      </w:r>
      <w:r>
        <w:tab/>
        <w:t>POPULATION AND SAMPLE SIZE</w:t>
      </w:r>
      <w:bookmarkEnd w:id="27"/>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Research population implies the total number of people or object in a specified geographical area of the study which are used for the purpose of data collection for a research study.</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For the purpose of this research project, the population of the study comprises of two categories of individuals: (a) Market women at the Ipata Market in Ilorin Kwara State and (b) Students of Kwara State Polytechnic residing in the Hostel facilities of the polytechnic.</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afore mentioned population is large to cover in the time frame set aside for this research project, therefore purposeful sampling methodwas used for selected 250 respondents comprising both the market women and the students.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researcher therefore believed that some of the opinions and thus first hand information received from the respondents will go a long way in informing the researcher on the various questions intended to extract data from the respondent with respect to Ginger and Garlic consumption. This notion will however be tested in the formulated hypothesis in chapter four of this research work.</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The sample size for this study therefore comprises of 250 respondents selected from Market women at the Ipata Market in Ilorin Kwara State and Students of Kwara State </w:t>
      </w:r>
      <w:r>
        <w:rPr>
          <w:rFonts w:ascii="Times New Roman" w:hAnsi="Times New Roman" w:cs="Times New Roman"/>
        </w:rPr>
        <w:lastRenderedPageBreak/>
        <w:t>Polytechnic residing in the Hostel facilities of the polytechnic. This is in line with the definition of sample size which states that sample size is the act of choosing the number of observations or replicates to include in a statistical sample.</w:t>
      </w:r>
    </w:p>
    <w:p w:rsidR="00FC521A" w:rsidRDefault="00FC521A" w:rsidP="00FC521A">
      <w:pPr>
        <w:rPr>
          <w:rFonts w:ascii="Times New Roman" w:hAnsi="Times New Roman" w:cs="Times New Roman"/>
        </w:rPr>
      </w:pPr>
      <w:r>
        <w:rPr>
          <w:rFonts w:ascii="Times New Roman" w:hAnsi="Times New Roman" w:cs="Times New Roman"/>
          <w:kern w:val="0"/>
        </w:rPr>
        <w:br w:type="page"/>
      </w:r>
    </w:p>
    <w:p w:rsidR="00FC521A" w:rsidRDefault="00FC521A" w:rsidP="00FC521A">
      <w:pPr>
        <w:pStyle w:val="Heading1"/>
        <w:rPr>
          <w:rFonts w:ascii="Arial Rounded MT Bold" w:hAnsi="Arial Rounded MT Bold" w:cstheme="majorBidi"/>
        </w:rPr>
      </w:pPr>
      <w:bookmarkStart w:id="28" w:name="_Toc199704812"/>
      <w:r>
        <w:lastRenderedPageBreak/>
        <w:t>CHAPTER FOUR</w:t>
      </w:r>
      <w:bookmarkEnd w:id="28"/>
    </w:p>
    <w:p w:rsidR="00FC521A" w:rsidRDefault="00FC521A" w:rsidP="00FC521A">
      <w:pPr>
        <w:pStyle w:val="Heading1"/>
      </w:pPr>
      <w:bookmarkStart w:id="29" w:name="_Toc199704813"/>
      <w:r>
        <w:t>DATA PRESENTATION AND ANALYSIS</w:t>
      </w:r>
      <w:bookmarkEnd w:id="29"/>
    </w:p>
    <w:p w:rsidR="00FC521A" w:rsidRDefault="00FC521A" w:rsidP="00FC521A">
      <w:pPr>
        <w:pStyle w:val="Heading1"/>
        <w:jc w:val="left"/>
      </w:pPr>
      <w:bookmarkStart w:id="30" w:name="_Toc199704814"/>
      <w:r>
        <w:t>4.1</w:t>
      </w:r>
      <w:r>
        <w:tab/>
        <w:t>Introduction</w:t>
      </w:r>
      <w:bookmarkEnd w:id="30"/>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researcher in this chapter attempt to present the data obtained through administration of questionnaire to the market women at Ipata market and students of Kwara State polytechnic, Ilorin, Kwara State.</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w:t>
      </w:r>
    </w:p>
    <w:p w:rsidR="00FC521A" w:rsidRDefault="00FC521A" w:rsidP="00FC521A">
      <w:pPr>
        <w:pStyle w:val="Heading1"/>
        <w:jc w:val="left"/>
        <w:rPr>
          <w:rFonts w:ascii="Arial Rounded MT Bold" w:hAnsi="Arial Rounded MT Bold" w:cstheme="majorBidi"/>
        </w:rPr>
      </w:pPr>
      <w:bookmarkStart w:id="31" w:name="_Toc199704815"/>
      <w:r>
        <w:t>4.2</w:t>
      </w:r>
      <w:r>
        <w:tab/>
        <w:t>Data Presentation and Analysis</w:t>
      </w:r>
      <w:bookmarkEnd w:id="31"/>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As explained in the last chapter, seventy five copies of the questionnaire were distributed and only fifty (50) questionnaires were successfully completed and returned. The data are thus present based on questions presenting the respondent’s Bio Data and the analysis of the questions that are based on the Research Questions.</w:t>
      </w:r>
    </w:p>
    <w:p w:rsidR="00FC521A" w:rsidRDefault="00FC521A" w:rsidP="00FC521A">
      <w:pPr>
        <w:pStyle w:val="Heading1"/>
        <w:jc w:val="left"/>
        <w:rPr>
          <w:rFonts w:ascii="Arial Rounded MT Bold" w:hAnsi="Arial Rounded MT Bold" w:cstheme="majorBidi"/>
        </w:rPr>
      </w:pPr>
      <w:bookmarkStart w:id="32" w:name="_Toc199704816"/>
      <w:r>
        <w:t>4.3</w:t>
      </w:r>
      <w:r>
        <w:tab/>
        <w:t>ANALYSIS OF DATA</w:t>
      </w:r>
      <w:bookmarkEnd w:id="32"/>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fifty (50) questionnaires are thus analyzed as shown below:</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4.1: SEX OF RESPONDENTS</w:t>
      </w:r>
    </w:p>
    <w:tbl>
      <w:tblPr>
        <w:tblStyle w:val="TableGrid"/>
        <w:tblW w:w="0" w:type="auto"/>
        <w:tblInd w:w="0" w:type="dxa"/>
        <w:tblLook w:val="04A0" w:firstRow="1" w:lastRow="0" w:firstColumn="1" w:lastColumn="0" w:noHBand="0" w:noVBand="1"/>
      </w:tblPr>
      <w:tblGrid>
        <w:gridCol w:w="2768"/>
        <w:gridCol w:w="2930"/>
        <w:gridCol w:w="293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70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lastRenderedPageBreak/>
        <w:t>Table 4.1 shows that 15 respondents representing 30% of the total respondents were male while 35 respondents representing 70% of the total respondents were female. The significance of this result was that more women are involved in this survey than men.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4.2: MARITAL STATUS OF RESPONDENTS</w:t>
      </w:r>
    </w:p>
    <w:tbl>
      <w:tblPr>
        <w:tblStyle w:val="TableGrid"/>
        <w:tblW w:w="0" w:type="auto"/>
        <w:tblInd w:w="0" w:type="dxa"/>
        <w:tblLook w:val="04A0" w:firstRow="1" w:lastRow="0" w:firstColumn="1" w:lastColumn="0" w:noHBand="0" w:noVBand="1"/>
      </w:tblPr>
      <w:tblGrid>
        <w:gridCol w:w="2822"/>
        <w:gridCol w:w="2903"/>
        <w:gridCol w:w="2905"/>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80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Table 4.2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4.3: GARLIC AND GINGER TASTE IS PALATABLE</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30 respondents representing 60% of the total respondents strongly agreed that Garlic and Ginger taste is is palatable, 10 respondents representing 20% also agreed to the question. No respondent strongly disagreed to the posed question, </w:t>
      </w:r>
      <w:r>
        <w:rPr>
          <w:rFonts w:ascii="Times New Roman" w:hAnsi="Times New Roman" w:cs="Times New Roman"/>
        </w:rPr>
        <w:lastRenderedPageBreak/>
        <w:t>10 respondents representing 20% disagreed to the question while No respondent indicated neutral as regards the posed question.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4.4: EFFECTIVE USAGE OF GARLIC AND GINGER HAS BEEN KNOWN TO LOWER BLOOD PRESSURE</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04</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16</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From the table above, 25 respondents representing 50% of the total respondents strongly agreed that effective usage of garlic and ginger has been known to lower blood pressure, 15 respondents representing 30% also agreed to the question. 2 respondents representing 4% of the total respondents Strongly Disagreed while 8 respondents representing16% also Disagreed that effective MIS enhance the sales of consumer goods. No respondent indicated Neutral. The researcher therefore believes that effective usage of garlic and ginger has been known to lower blood pressure</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4.5: GARLIC AND GINGER HAS ANTI-ASTHMATIC EFFECTS</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lastRenderedPageBreak/>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From the table above, 20 respondents representing 40% of the total respondents strongly agreed that garlic and ginger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4.6: GARLIC AND GINGER HAS BEEN KNOWN TO ASSIST DEMENTIC PATIENTS</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46</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06</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14</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From the table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 to the question. However, 2 respondents representing 4% of the total respondents indicated Neutral to the posed question.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4.7: GINGER AND GARLIC IS FOUND COMMONLY IN MOST MARKETS IN ILORIN</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lastRenderedPageBreak/>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From the table above, 20 respondents representing 40% of the total respondents strongly agreed that ginger and garlic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4.8: GINGER AND GARLIC USAGE IS A KNOWN REMEDY FOR ULCER PATIENTS</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From the table above, 30 respondents representing 60% of the total respondents strongly agreed that ginger and garlic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lastRenderedPageBreak/>
        <w:t>TABLE 4.9: GARLIC AND GINGER IS A COMMON COMMODITY IN EVERY HOUSEHOLD IN ILORIN</w:t>
      </w:r>
    </w:p>
    <w:tbl>
      <w:tblPr>
        <w:tblStyle w:val="TableGrid"/>
        <w:tblW w:w="0" w:type="auto"/>
        <w:tblInd w:w="0" w:type="dxa"/>
        <w:tblLook w:val="04A0" w:firstRow="1" w:lastRow="0" w:firstColumn="1" w:lastColumn="0" w:noHBand="0" w:noVBand="1"/>
      </w:tblPr>
      <w:tblGrid>
        <w:gridCol w:w="2806"/>
        <w:gridCol w:w="2888"/>
        <w:gridCol w:w="2936"/>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From the table above, 20 respondents representing 40% of the total respondents strongly agreed that garlic and ginger is a common commodity in every household in Ilorin, 10 respondents representing20%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SECTION B: SENSORY EVALUATION DATA ANALYSIS</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following statistical results are obtained from the analysis of the Sensory evaluation data analysis questions as structured in the administered questionnaire:</w:t>
      </w:r>
    </w:p>
    <w:p w:rsidR="00FC521A" w:rsidRDefault="00FC521A" w:rsidP="00FC521A">
      <w:pPr>
        <w:spacing w:after="0" w:line="360" w:lineRule="auto"/>
        <w:jc w:val="both"/>
        <w:rPr>
          <w:rFonts w:ascii="Times New Roman" w:hAnsi="Times New Roman" w:cs="Times New Roman"/>
          <w:b/>
        </w:rPr>
      </w:pP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4.5: COLOUR OF THE EXPERIMENTAL DISHES</w:t>
      </w:r>
    </w:p>
    <w:tbl>
      <w:tblPr>
        <w:tblStyle w:val="TableGrid"/>
        <w:tblW w:w="0" w:type="auto"/>
        <w:tblInd w:w="0" w:type="dxa"/>
        <w:tblLook w:val="04A0" w:firstRow="1" w:lastRow="0" w:firstColumn="1" w:lastColumn="0" w:noHBand="0" w:noVBand="1"/>
      </w:tblPr>
      <w:tblGrid>
        <w:gridCol w:w="2859"/>
        <w:gridCol w:w="2859"/>
        <w:gridCol w:w="291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 (%)</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80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table 4.5 above simply shows that No respondent rated the appearance of experimental Dish excellent. However, 16 respondents representing 80% of the total sensory evaluators rated the Dish Very Good while 4 respondents representing 20% of the total sensory evaluators rated the Dish Good. No respondent rated the appearance of experimental Dish fair or poor.</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4.6: TASTE/FLAVOUR OF THE DISH</w:t>
      </w:r>
    </w:p>
    <w:tbl>
      <w:tblPr>
        <w:tblStyle w:val="TableGrid"/>
        <w:tblW w:w="0" w:type="auto"/>
        <w:tblInd w:w="0" w:type="dxa"/>
        <w:tblLook w:val="04A0" w:firstRow="1" w:lastRow="0" w:firstColumn="1" w:lastColumn="0" w:noHBand="0" w:noVBand="1"/>
      </w:tblPr>
      <w:tblGrid>
        <w:gridCol w:w="2859"/>
        <w:gridCol w:w="2859"/>
        <w:gridCol w:w="291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 (%)</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table 4.6 above shows that 2 respondents representing 10% of the total sensory evaluators rated the Taste/Flavour of experimental Dish excellent. However, 10 respondents representing 50% of the total sensory evaluators rated the Dish Very Good while 6 respondents representing 30% of the total sensory evaluators rated the Dish Good. Also, 2 respondents representing 10% of the total sensory evaluators rated the Dish fair while No respondent rated the Taste/Flavour of experimental Dish poor.</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4.7: CONSISTENCY OF THE DISH</w:t>
      </w:r>
    </w:p>
    <w:tbl>
      <w:tblPr>
        <w:tblStyle w:val="TableGrid"/>
        <w:tblW w:w="0" w:type="auto"/>
        <w:tblInd w:w="0" w:type="dxa"/>
        <w:tblLook w:val="04A0" w:firstRow="1" w:lastRow="0" w:firstColumn="1" w:lastColumn="0" w:noHBand="0" w:noVBand="1"/>
      </w:tblPr>
      <w:tblGrid>
        <w:gridCol w:w="2859"/>
        <w:gridCol w:w="2859"/>
        <w:gridCol w:w="291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 (%)</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lastRenderedPageBreak/>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15</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table 4.7 above shows that 1 respondent representing 5% of the total sensory evaluators rated the Consistency of experimental Dish excellent. However, 6 respondents representing 30% of the total sensory evaluators rated the Dish Very Good while 10 respondents representing 50%, of the total sensory evaluators rated the Dish Good. Also, 3 respondents representing 15% of the total sensory evaluators rated the Dish fair while No respondent rated the Taste/Flavour of experimental Dish poor.</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4.8: SMELL/AROMA OF DISH</w:t>
      </w:r>
    </w:p>
    <w:tbl>
      <w:tblPr>
        <w:tblStyle w:val="TableGrid"/>
        <w:tblW w:w="0" w:type="auto"/>
        <w:tblInd w:w="0" w:type="dxa"/>
        <w:tblLook w:val="04A0" w:firstRow="1" w:lastRow="0" w:firstColumn="1" w:lastColumn="0" w:noHBand="0" w:noVBand="1"/>
      </w:tblPr>
      <w:tblGrid>
        <w:gridCol w:w="2859"/>
        <w:gridCol w:w="2859"/>
        <w:gridCol w:w="291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 (%)</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15</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table 4.8 above shows that 1 respondent representing 5% of the total sensory evaluators rated the Smell/Aroma of the experimental Dish excellent. However, 6 respondents representing 30% of the total sensory evaluators rated the Dish Very Good while 10 respondents representing 50% of the total sensory evaluators rated the Dish Good. Also, 3 respondents representing 15% of the total sensory evaluators rated the Dish fair while no respondent rated the Smell/Aroma of the experimental Dish poor.</w:t>
      </w:r>
    </w:p>
    <w:p w:rsidR="00FC521A" w:rsidRDefault="00FC521A" w:rsidP="00FC521A">
      <w:pPr>
        <w:spacing w:after="0" w:line="360" w:lineRule="auto"/>
        <w:jc w:val="both"/>
        <w:rPr>
          <w:rFonts w:ascii="Times New Roman" w:hAnsi="Times New Roman" w:cs="Times New Roman"/>
          <w:b/>
        </w:rPr>
      </w:pP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4.9: ACCEPTABILITY OF DISH</w:t>
      </w:r>
    </w:p>
    <w:tbl>
      <w:tblPr>
        <w:tblStyle w:val="TableGrid"/>
        <w:tblW w:w="0" w:type="auto"/>
        <w:tblInd w:w="0" w:type="dxa"/>
        <w:tblLook w:val="04A0" w:firstRow="1" w:lastRow="0" w:firstColumn="1" w:lastColumn="0" w:noHBand="0" w:noVBand="1"/>
      </w:tblPr>
      <w:tblGrid>
        <w:gridCol w:w="2859"/>
        <w:gridCol w:w="2859"/>
        <w:gridCol w:w="291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lastRenderedPageBreak/>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 (%)</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table 4.9 above shows that 2 respondents representing 10% of the total sensory evaluators rated the Recommendation of experimental Dish excellent. However, 8 respondents representing 40% of the total sensory evaluators rated the Dish Very Good while 6 respondents representing 30% of the total sensory evaluators rated the Dish Good. Also, 4 respondents representing 20% of the total sensory evaluators rated the Dish fair while no respondent rated the recommendation of the experimental Dish poor.</w:t>
      </w:r>
    </w:p>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TABLE 4.10: RECOMMENDATION OF DISH</w:t>
      </w:r>
    </w:p>
    <w:tbl>
      <w:tblPr>
        <w:tblStyle w:val="TableGrid"/>
        <w:tblW w:w="0" w:type="auto"/>
        <w:tblInd w:w="0" w:type="dxa"/>
        <w:tblLook w:val="04A0" w:firstRow="1" w:lastRow="0" w:firstColumn="1" w:lastColumn="0" w:noHBand="0" w:noVBand="1"/>
      </w:tblPr>
      <w:tblGrid>
        <w:gridCol w:w="2859"/>
        <w:gridCol w:w="2859"/>
        <w:gridCol w:w="2912"/>
      </w:tblGrid>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PERCENTAGE (%)</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50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30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10</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rPr>
            </w:pPr>
            <w:r>
              <w:rPr>
                <w:rFonts w:ascii="Times New Roman" w:hAnsi="Times New Roman" w:cs="Times New Roman"/>
              </w:rPr>
              <w:t>-</w:t>
            </w:r>
          </w:p>
        </w:tc>
      </w:tr>
      <w:tr w:rsidR="00FC521A" w:rsidTr="0007475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21A" w:rsidRDefault="00FC521A" w:rsidP="00074752">
            <w:pPr>
              <w:spacing w:line="360" w:lineRule="auto"/>
              <w:jc w:val="both"/>
              <w:rPr>
                <w:rFonts w:ascii="Times New Roman" w:hAnsi="Times New Roman" w:cs="Times New Roman"/>
                <w:b/>
              </w:rPr>
            </w:pPr>
            <w:r>
              <w:rPr>
                <w:rFonts w:ascii="Times New Roman" w:hAnsi="Times New Roman" w:cs="Times New Roman"/>
                <w:b/>
              </w:rPr>
              <w:t>100%</w:t>
            </w:r>
          </w:p>
        </w:tc>
      </w:tr>
    </w:tbl>
    <w:p w:rsidR="00FC521A" w:rsidRDefault="00FC521A" w:rsidP="00FC521A">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 xml:space="preserve">The table 4.10 above shows that 2 respondents representing 10% of the total sensory evaluators rated the Recommendation of experimental Dish excellent. However, 10 respondents representing 50% of the total sensory evaluators rated the Dish Very Good while 6 respondents representing 30% of the total sensory evaluators rated the Dish Good. </w:t>
      </w:r>
      <w:r>
        <w:rPr>
          <w:rFonts w:ascii="Times New Roman" w:hAnsi="Times New Roman" w:cs="Times New Roman"/>
        </w:rPr>
        <w:lastRenderedPageBreak/>
        <w:t>Also, 2 respondents representing 10% of the total sensory evaluators rated the Dish fair while no respondent rated the recommendation of the experimental Dish poor.</w:t>
      </w:r>
    </w:p>
    <w:p w:rsidR="00FC521A" w:rsidRDefault="00FC521A" w:rsidP="00FC521A">
      <w:pPr>
        <w:rPr>
          <w:rFonts w:ascii="Times New Roman" w:hAnsi="Times New Roman" w:cs="Times New Roman"/>
        </w:rPr>
      </w:pPr>
    </w:p>
    <w:p w:rsidR="00FC521A" w:rsidRDefault="00FC521A" w:rsidP="00FC521A">
      <w:pPr>
        <w:spacing w:line="259" w:lineRule="auto"/>
        <w:rPr>
          <w:rFonts w:ascii="Times New Roman" w:eastAsia="Times New Roman" w:hAnsi="Times New Roman" w:cs="Times New Roman"/>
          <w:b/>
          <w:bCs/>
          <w:szCs w:val="23"/>
        </w:rPr>
      </w:pPr>
      <w:r>
        <w:br w:type="page"/>
      </w:r>
    </w:p>
    <w:p w:rsidR="00FC521A" w:rsidRDefault="00FC521A" w:rsidP="00FC521A">
      <w:pPr>
        <w:pStyle w:val="Heading1"/>
        <w:rPr>
          <w:rFonts w:ascii="Arial Rounded MT Bold" w:hAnsi="Arial Rounded MT Bold" w:cstheme="majorBidi"/>
        </w:rPr>
      </w:pPr>
      <w:bookmarkStart w:id="33" w:name="_Toc199704817"/>
      <w:r>
        <w:lastRenderedPageBreak/>
        <w:t>CHAPTER FIVE</w:t>
      </w:r>
      <w:bookmarkEnd w:id="33"/>
    </w:p>
    <w:p w:rsidR="00FC521A" w:rsidRDefault="00FC521A" w:rsidP="00FC521A">
      <w:pPr>
        <w:pStyle w:val="Heading1"/>
      </w:pPr>
      <w:bookmarkStart w:id="34" w:name="_Toc199704818"/>
      <w:r>
        <w:t>SUMMARY, CONCLUSION AND RECOMMENDATIONS</w:t>
      </w:r>
      <w:bookmarkEnd w:id="34"/>
    </w:p>
    <w:p w:rsidR="00FC521A" w:rsidRDefault="00FC521A" w:rsidP="00FC521A">
      <w:pPr>
        <w:pStyle w:val="Heading1"/>
        <w:jc w:val="left"/>
      </w:pPr>
      <w:bookmarkStart w:id="35" w:name="_Toc199704819"/>
      <w:r>
        <w:t>5.1</w:t>
      </w:r>
      <w:r>
        <w:tab/>
        <w:t>SUMMARY OF FINDINGS</w:t>
      </w:r>
      <w:bookmarkEnd w:id="35"/>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 findings were obtained from both primary and secondary source of data collected and personal interview.</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In the course of this project work, it was discovered that Ginger and Garlic has tremendous health benefits. It is also observed that despite all its health benefits, Garlic and Ginger has some contraindications which must be strictly adhere to.</w:t>
      </w:r>
    </w:p>
    <w:p w:rsidR="00FC521A" w:rsidRDefault="00FC521A" w:rsidP="00FC521A">
      <w:pPr>
        <w:pStyle w:val="Heading1"/>
        <w:jc w:val="left"/>
        <w:rPr>
          <w:rFonts w:ascii="Arial Rounded MT Bold" w:hAnsi="Arial Rounded MT Bold" w:cstheme="majorBidi"/>
        </w:rPr>
      </w:pPr>
      <w:bookmarkStart w:id="36" w:name="_Toc199704820"/>
      <w:r>
        <w:t>5.2</w:t>
      </w:r>
      <w:r>
        <w:tab/>
        <w:t>CONCLUSION</w:t>
      </w:r>
      <w:bookmarkEnd w:id="36"/>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Based on findings from the research project, it is obvious that Garlic and Ginger has tremendous health benefits which have been known to humans from time immemorial. Its benefits have been felt in hypertensive, ulcerative, asthmatic, cancerous and dementic patients to mention but few.</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However, it is noteworthy to state some implications of the over dosage of these highly beneficial products so as to prevent their side effects. These include; paralysis, increased mutagenesis, clastrogenic effects etc.</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Thus from this research study, it is very important to always note the side effect of this highly important plants while deriving benefits from this God given gift.</w:t>
      </w:r>
    </w:p>
    <w:p w:rsidR="00FC521A" w:rsidRDefault="00FC521A" w:rsidP="00FC521A">
      <w:pPr>
        <w:pStyle w:val="Heading1"/>
        <w:jc w:val="left"/>
        <w:rPr>
          <w:rFonts w:ascii="Arial Rounded MT Bold" w:hAnsi="Arial Rounded MT Bold" w:cstheme="majorBidi"/>
        </w:rPr>
      </w:pPr>
      <w:bookmarkStart w:id="37" w:name="_Toc199704821"/>
      <w:r>
        <w:t>5.3</w:t>
      </w:r>
      <w:r>
        <w:tab/>
        <w:t>RECOMMENDATIONS</w:t>
      </w:r>
      <w:bookmarkEnd w:id="37"/>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Based on the findings of this study, the following are recommended for the Health Benefits of Ginger and Garlic:</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There should be keen monitoring of the production and sales of Garlic and Ginger products by NAFDAC.</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Users of Ginger and Garlic, should seek the correct dosage to be used, so as not to tame into over dosage.</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Garlic and Ginger should be prepared well before usage.</w:t>
      </w:r>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More studies should be done on the uses of garlic in the hospitality industry.</w:t>
      </w:r>
    </w:p>
    <w:p w:rsidR="00FC521A" w:rsidRDefault="00FC521A" w:rsidP="00FC521A">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t>Treatment of Respiratory Problems</w:t>
      </w:r>
    </w:p>
    <w:p w:rsidR="00FC521A" w:rsidRDefault="00FC521A" w:rsidP="00FC521A">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t>Aids Digestion</w:t>
      </w:r>
    </w:p>
    <w:p w:rsidR="00FC521A" w:rsidRPr="00C634C8" w:rsidRDefault="00FC521A" w:rsidP="00FC521A">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lastRenderedPageBreak/>
        <w:t>Chemotography nausea</w:t>
      </w:r>
    </w:p>
    <w:p w:rsidR="00FC521A" w:rsidRDefault="00FC521A" w:rsidP="00FC521A">
      <w:pPr>
        <w:pStyle w:val="Heading1"/>
        <w:jc w:val="left"/>
        <w:rPr>
          <w:rFonts w:ascii="Arial Rounded MT Bold" w:hAnsi="Arial Rounded MT Bold" w:cstheme="majorBidi"/>
        </w:rPr>
      </w:pPr>
      <w:bookmarkStart w:id="38" w:name="_Toc199704822"/>
      <w:r>
        <w:t>5.4</w:t>
      </w:r>
      <w:r>
        <w:tab/>
        <w:t>SUGGESTIONS FOR FURTHER RESEARCH</w:t>
      </w:r>
      <w:bookmarkEnd w:id="38"/>
    </w:p>
    <w:p w:rsidR="00FC521A" w:rsidRDefault="00FC521A" w:rsidP="00FC521A">
      <w:pPr>
        <w:spacing w:after="0" w:line="360" w:lineRule="auto"/>
        <w:ind w:firstLine="720"/>
        <w:jc w:val="both"/>
        <w:rPr>
          <w:rFonts w:ascii="Times New Roman" w:hAnsi="Times New Roman" w:cs="Times New Roman"/>
        </w:rPr>
      </w:pPr>
      <w:r>
        <w:rPr>
          <w:rFonts w:ascii="Times New Roman" w:hAnsi="Times New Roman" w:cs="Times New Roman"/>
        </w:rPr>
        <w:t>In order to make a sound generalization on the health benefits of Ginger and Garlic, other statistical techniques could be used apart from the t-test.</w:t>
      </w:r>
    </w:p>
    <w:p w:rsidR="00FC521A" w:rsidRDefault="00FC521A" w:rsidP="00FC521A">
      <w:pPr>
        <w:spacing w:line="259" w:lineRule="auto"/>
        <w:rPr>
          <w:rFonts w:ascii="Times New Roman" w:eastAsia="Times New Roman" w:hAnsi="Times New Roman" w:cs="Times New Roman"/>
          <w:b/>
          <w:bCs/>
          <w:szCs w:val="23"/>
        </w:rPr>
      </w:pPr>
      <w:r>
        <w:br w:type="page"/>
      </w:r>
    </w:p>
    <w:p w:rsidR="00FC521A" w:rsidRDefault="00FC521A" w:rsidP="00FC521A">
      <w:pPr>
        <w:pStyle w:val="Heading1"/>
        <w:rPr>
          <w:rFonts w:ascii="Arial Rounded MT Bold" w:hAnsi="Arial Rounded MT Bold" w:cstheme="majorBidi"/>
        </w:rPr>
      </w:pPr>
      <w:bookmarkStart w:id="39" w:name="_Toc199704823"/>
      <w:r>
        <w:lastRenderedPageBreak/>
        <w:t>REFERENCES</w:t>
      </w:r>
      <w:bookmarkEnd w:id="39"/>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Ahmad, Y. (2017): National Library and Archives Organisation of Iran; 2017. ISBN: 9789647780704. (In Persian) pp 405-409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Ahui F, Green, T. And Helder G (2019): Antimicrobial activity of ethanolic extracts of syzygiumaromaticum and Allium sativum against food associated bacteria and fungi. Ethnobotan Leaflets.; 14: pp 344-360.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Aikins, M. (2019): Antimicrobial properties of allicin from garlic. Microbes Infect. 2:pp 125-129.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Al-Amin, T. Gerard, Y. And Joseph A (2016): Antimicrobial properties of allicin from garlic. Microbes Infect.; 2: pp 125-129.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Altman, Y. And Marcussen, T. (2016): Insecticidal, antimicrobial and antioxidant activities of bulb extracts of Allium sativum. Asian Pac J Trop Med.; 5:pp 391-395.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Boone, Y. And Shields, V. (2015): Antimicrobial activity of ethanolic extracts of syzygiumaromaticum and Allium sativum against food associated bacteria and fungi. Ethnobotan Leaflets.; 14: pp 344 360.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Bordia, U. (2019): The antibacterial mode of action of allitridi for its potential use as a therapeutic agent against Helicobacter pylori infection. FEMS Microbiol Lett; 303: pp 183-189.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 xml:space="preserve"> Borrelli, E. Gray E and Jay C (2015): Antimicrobial activityof essential cil extracts of various onions (Allium cepa) and garlic (Allium sativum) Lebensm. Wiss. U.-Technol.; 37:pp 263-268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Chaiyakunapruk, L. Trent Y and Alexander U(2016): Antimicrobial and chemopreventive properties of herbs and spices. Curr Med Chem.; 11: pp 1451 1460.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Chavan, S.D. (2017): Actinobacilluspleuropneumoniae is impaired by the garlic volatile allyl methyl sulfide (AMS) in vitro and in-feed Garlic alleviates pleuropneumonia in a pig model. Vet Microbiol.; 154:pp 316-324.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Chen Y, Xin, Y. And Lin Y 2018): Comparative evaluation of garlic extract mouthwash and chlorhexidine mouthwash on salivary Streptococcus mutans count an in vitro study. Oral Health Prev Dent.; 8:pp 369-374.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Chen Y, Xin Y. And Lin, Y. (2019): Allicin in garlic (Allium sativum L.) and garlic preparation: quantitative determination using headspace gas chromatograph, Planta Med, 55,2019,327-31 pp 301-307.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Crandall, Y. (1931): Garlic shows promise for improving some cardiovascular riskfactors. Arch Intern Med 2001;161:813-24 pp 503-508.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Dedov, T. Petrov, M. And Raul, K. (2019): Allium sativuma natural antibiotic. Med Hypothesis 2019;12: pp 227-337.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DerMarderosian U and Beutler T (2016): Suppression of the nuclear factor-kappaB activation pathway by spice-derived phytochemicals: reasoning for seasoning. Ann NY Acad Sci. 2016;1030: pp 434-437.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Dexton, Y. (2020): Garlic (Allium stivum). The Longwood Herbal Task Force The center for Holistic Pediatric Education and Research 2020; 8: 36-72.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Dupuis, Y. And Nathan, U. (2016): Antidiabetic effect of garlic (Allium sativum L.) in normal and streptozotocin induced diabetic rats. Phytomedicine 2016; 13: pp624-629.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Eldershaw, Y. Frank L and Steven G (2019): Characterization of the formation of allicin and other thiosulfinates from garlic. Planta Med. 2019; 58(4):pp 345-350.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El-Sharaky, U. Manny, T. And Victor, G. (2019): Odor components of human breath after the ingestion of grated raw garlic. J Food Sci. 2019; 54:pp763-765.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Ernst, Y. And Pittler, G. (2016): Determination of allicin, S-allylcysteine and volatile metabolites of garlic in breath, plasma or simulated gastric fluids. J Nutr. 2016; 131(3s): pp968-971.</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Galeone, U. Bray, T. And Gerd, M. (2016): Differentiation of mouth versus gut a site of origin of odoriferous breath gases after garlic Ingestion. Am J Physiol. 2016;276(2 Pt 1): pp425-430.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Ghayur, R. Gilani, B. Ahmed, C. Khalid, F. Nawaz, H. Agbedahunsi, N Choudhary, G. And Houghton, M. (2018): Phytomedicines of Europe:</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Chemistry and Biological Activity. Washington, D.C.: American Chemical Society; 2018:pp 177-209.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Ghayur, T. Gilani, R. And Janssen, V. (2018): Consumption of a garlic Clove a day could be beneficial in preventing thrombosis. Prostaglandirs LeukotEssent Fatty Acids 2018;53:pp 207-211-2.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Grant, T. And Lutz, R. (2016): Allium Chemistry: Identification of organosulfur compounds in ramp (allium tricoum) homogenates Phytochemistry, 49(2), 2016, pp 359-367.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Grontved, Y. Gerd T and Medlas R (2017): Thermal degradation, antioxidant and antimicrobial activity of the synthesized allicin and allicin incorporated in gel, Hem Ind, 64(2), 2017, pp 85-91.</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Halvorsen, U. Gray, T. Alonso, X. (2019): Inhibition of whole blood platelet aggregation by compounds in garlic clove extracts and commercial garlic products, Throm Res, 65(2), 1992, pp 141 156.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 xml:space="preserve">Ippoushi, Y. Allan, G. And Victor, O. (2015): Allixin, a stress compound from garlic, Chem Pharm Bull, 37(44), 1978, 1656-1668. </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Ippoushi, Y. Allan, G.and Victor, O. (2016): An Introduction to Organosulfur Chemistry, 1</w:t>
      </w:r>
      <w:r>
        <w:rPr>
          <w:rFonts w:ascii="Times New Roman" w:hAnsi="Times New Roman" w:cs="Times New Roman"/>
          <w:vertAlign w:val="superscript"/>
        </w:rPr>
        <w:t>st</w:t>
      </w:r>
      <w:r>
        <w:rPr>
          <w:rFonts w:ascii="Times New Roman" w:hAnsi="Times New Roman" w:cs="Times New Roman"/>
        </w:rPr>
        <w:t xml:space="preserve"> Ed, John Wiley and Sons, Chichester, 2016 pp 609-613.</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Iwasaki, U. Nelson, T. And Helder, Y. (2016): Aged garlic extract, garlic powder extract, S allylcysteine, diallylsulfide and diallyldisulfide do not interfere with the antibiotic activity of gentamicin. 2016; 19(3): pp 252-256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Jagetia, D. Baliga, Y. And Venkatesh, C. (2016): Garlic extracts therapy in children with hypercholesterolemia. Arch PediatrAdolesc Med 2016;152: 1089-1094.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Jagetia, D. Baliga, Y and Venkatesh C (2017): Phytomedicines of Europe: Chemistry and Biological Activity. Washington, D. C.: American Chemical Society; 2017:pp 177-209.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 Jewell, N. And Young, B. (2016): Differentiation of mouth versus gut as site of origin of odoriferous breath gases after garlic ingestion. Am J Physiol. 2016; 276(Vol 1): pp 425-430.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Jewell, N. And Young, B. (2019): Differentiation of mouth versus gut as site of origin of odoriferous breath gases after garlic ingestion. Am J Physiol. 2019;276 (Vol 2):pp 425-430.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Joint National Committee, (2019): The Lore and the Science. Cambridge: Royal Society of Chemistry, London, 2019 pp 401-410.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 xml:space="preserve"> Josling, G. (2015): Stability of allicin in garlic juice, J Food Sci, 54(4), 2015, 977-81</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Kadnur, H. And Goyal, C. (2015): Phytomedicines of Europe: Chemistry and Biological Activity. Washington, D. C.: American Chemical Society; 2015:pp 177-209.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Kim Y, Andy, Y. And Cole C (2017): The History, Growth and Use of EdibleAlliums, Melbourne Australia, Hyland House, 2017 pp 506 510.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Kim, Y, Andy, Y. And Cole C (2019): Allicin, the antibacterial principle allium sativum. Isolation, Physical Properties and Antibacterial Action, J Am ChemSoc, 66(11),2019, 1950-1957.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Kiuchi Y, Enzo, G. And Wes B (2019): Alteration of lipid profile in hyperlipidemic rabbits by allicin, an active constituent of garlic. Coron Artery Dis, 6(12), 2019, 985 987.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Kuhad, U. Joao H and Bruno F (2016): Allicin-induced decrease in formation of fatty streaks (atherosclerosis) in mice fed a cholesterol-rich diet. Coron Artery Dis, 10(7), 2016, 515-519.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Langmead, N. And Rampton, B (2019): A meta-analysis of the effect of garlic on blood pressure, J Hypertens, 12(4), 2019, 463-468.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Lanzotti, Y, Nelly T. And Terry, R. (2016): Inhibition of whole blood Platelet aggregation by compounds in garlic clove extracts and commercial garlic products, Throm Res, 65(2), 2016, pp 141-147.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Lawson, Y. (2019): Allicin from Garlic Strongly Inhibits Cysteine Proteinases and Cytopathic Effects of Entamoebahistolytica, Antimicrobial Agents and Chemotherapy, 41(10), 2019, pp2286 2269.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Mahesh, Y Perumal, G. And Pandi, B. (2015): Effects of garlic constituents on arachidonate metabolism, Planta Med, 53(3), 2015, 305-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Mallikarjuna Y, Hrithik G and Fred Y (2018): Effects of a garlic derived principle (ajoene) on aggregation and arachidonic acid metabolism in human blood platelets, Prostaglandins LeukotEssent Fatty Acids, 49(2), 2018, 587-595.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Manusirivithaya, Y. Jannu, T. And Krish, U. (2017): clarifying the real bioactive constituents of garlic. J Nutr. 2017;136:pp 716-725.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Micheal, Y (2016): The molecular basis of the antiplatelet action of ajoene: direct interaction with the fibrinogen receptor, BiochemBiophys Res Commun, 14(1), 2016, pp 145-160.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Micklefield, U. Heldr P. And John, P. (2019): garlic-derived natural compound enhances chemotherapy-induced apoptosis in human Myeloid leukaemia CD34-positive resistant cells, Anticancer Res, 21(5), 2019, pp 519-530.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Minghetti, Y. And Gerd, Y. (2017): The garlic-derived organosulfur component ajoene decreases basal cell carcinoma tumor size by inducing apoptosis, Archives of Dermatological Research, 295(3), 2017, pp 117-120.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Morgan, U. And Penovich, Y. (1978): Allixin, a stress compound from garlic, Chem Pharm Bull, 37(44), 1978, 1656-1668.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Mowrey, G. And Clayson, Y. (2018): The effects of repeated exposure to garlic-flavored milk on the nursling’s behavior. Pediatr Res 2018; 34:pp 805-808.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Mukhopadhyay, Y. And Mukherjee, G. (2016): Effect of allixin, a phytoalexin produced by garlic, on mutagenesis, DNA-binding and metabolism of aflatoxin B1, Cancer Letters, 59(2), 2016, pp 89 94.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Nakamura, Y. And Yamamoto, V. (2018): alpha-(1-deoxy-D-fructos-1-yl)-L arginine, an antioxidant compound identified in aged garlic extract, J Nutr, 131(3S), 2001, pp 72-76.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Pedrazza-Chaverri E, Drey, T. And Steven, C. (2016): The mode of action of allicin: trapping of radicals and interaction with thiol containing proteins, BiochimBiophysActa, 2016(2), 2016, pp 233-244.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Phillips, Y Ruggier, B. And Hutchinson V (2019): Antioxidant health effect of aged garlic extract, J Nutr, 131(3S), 2016, pp 1010-1015.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Platel, U. And Srinivasan, B. (2016): Tetrahydro-beta-carboline derivatives in aged garlic extract show antioxidant properties, J Nutr, 136(3S), 2016, pp 726-730.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Portnoi Y, Gray, T. And Brady, Y. (2016): Reduced nociceptive responses in mice with alloxan induced hyperglycemia after garlic (Allium sastivum) treatment, Indian J ExpBiol, 37(7), 2016, pp 662 666.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Qian, U. Medlas, Y. And Gray T (2019): Maternal diet alters sensitivity qualities of human milk on the nursling’s behavior. Pediatr Res 2019; 88:pp 737-744.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Quimby, Y. (2017): Effect of aged garlic extract (AGE) on hyperglycemia induced by immobilization stress in mice, Nippon Yakurigaku Zassh, 114, 2017, pp 191-197.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Rashid, U. And Khan, Y. (2018): Gender may affect the action of garlic oil on plasma cholesterol and glucose levels of normal subjects. J Nutr 2001, 131:pp 1471 1478.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Sanjay K, Depa Y and Gupadian S (2019): Comparative effects of garlic and aspirin on diabetic cardiovascular complications. Drug Deliv, 7(2), 2019, pp 91-96.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Schmid Y, Kvarashkelia V, and Viktor B (2019): Gender may affect the action of garlic oil on plasma cholesterol and glucose levels of normal subjects, J Nutr, 131(5), 2019, pp 1471-1478.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Sekiya, U Ohtani, Y and Kusano (2017): Effect of garlic (Allium sativum) on blood lipids, blood sugar, fibrinogen and fibrinolytic activity in patients with coronary artery disease. Prostaglandins, LeukotEssent Fatty Acids, 58(4), 2017, pp 257-263.</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Sharma, U. And Gupta, T. (2019): Can garlic reduce levels of serum lipids? A controlledclinical study, Am J Med 131(5), 2019, pp 632-635.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Shobana, B. And Naidu, R. (2016): Consumption of garlic clove a day could be beneficial in preventing thrombosis, Prostaglandins LeukotEssent Fatty acids, 53, 2016, pp 211-212.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Soffar, U. And Mokhtar Y (2019): Hypotensive effect of tincture of garlic, Prog Med, 36,2019, pp 391-392.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Srivastava, U. And Mustafa V (2019): The use of garlic concentrate in vascular hypertension, Med Rec 153, 2019, pp 249-250.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Stewart, Y, Trey, T. And Girdle Y (2019): The use of garlic concentrate in vascular hypertension, Med Rec 153, 2019, pp 249-258.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Thompson, Y. And Potter, C. (2016): Hydrogen sulfide mediates the vasoactivity of garlic, Proc Natl AcadSci, 104(46), 2016, pp 977-982.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Topic, Y. Marelo, O and Isco, Y (2019): Garlic as an antioxidant: the good, the bad and the ugly, Phytother Res, 17(2), 2019, pp 97-106.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Tsui, U Dennehy, Y. And Tsourounis, T. (2016): Garlic and Organosulfur Compounds. Micronutrient Information Center, Linus Pauling Institute, Oregon State University, 2016. Pp 605-610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Visalyaputra Y, Fred T and Medlas Y (2019): Effects of garlic on atherosclerosis, Nutrition, 13, 1997, pp 656-663.</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Wilkinson, B. (2016): Comparative pharmacological investigations of Allium ursinum and Allium sativum, Planta Medica, 58(1), 1992, pp 1-7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Willetts, B. Ekangaki, Y. And Eden, B. (2016): Effects of wild versu cultivated garlic onblood pressure and other parameters in hypertensive rats, Heart Dis, 2(1), 2016, pp 3-9.</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Young Y, Helder, Y. And green Y (2015): Garlic elicits a nitric oxide dependent relaxation and inhibits hypoxic pulmonary vasoconstriction in rats, ClinExpPharmacolPhysiol, 27(10), 20.5, pp 780-786</w:t>
      </w:r>
    </w:p>
    <w:p w:rsidR="00FC521A" w:rsidRDefault="00FC521A" w:rsidP="00FC521A">
      <w:pPr>
        <w:spacing w:after="0" w:line="360" w:lineRule="auto"/>
        <w:jc w:val="both"/>
        <w:rPr>
          <w:rFonts w:ascii="Times New Roman" w:hAnsi="Times New Roman" w:cs="Times New Roman"/>
        </w:rPr>
      </w:pPr>
    </w:p>
    <w:p w:rsidR="00FC521A" w:rsidRDefault="00FC521A" w:rsidP="00FC521A">
      <w:pPr>
        <w:rPr>
          <w:rFonts w:ascii="Times New Roman" w:hAnsi="Times New Roman" w:cs="Times New Roman"/>
        </w:rPr>
      </w:pPr>
      <w:r>
        <w:rPr>
          <w:rFonts w:ascii="Times New Roman" w:hAnsi="Times New Roman" w:cs="Times New Roman"/>
          <w:kern w:val="0"/>
        </w:rPr>
        <w:br w:type="page"/>
      </w:r>
    </w:p>
    <w:p w:rsidR="00FC521A" w:rsidRDefault="00FC521A" w:rsidP="00FC521A">
      <w:pPr>
        <w:pStyle w:val="Heading1"/>
        <w:rPr>
          <w:rFonts w:ascii="Arial Rounded MT Bold" w:hAnsi="Arial Rounded MT Bold" w:cstheme="majorBidi"/>
        </w:rPr>
      </w:pPr>
      <w:bookmarkStart w:id="40" w:name="_Toc199704824"/>
      <w:r>
        <w:lastRenderedPageBreak/>
        <w:t>JOURNALS</w:t>
      </w:r>
      <w:bookmarkEnd w:id="40"/>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Adetumbi, M. (2019): Inhibitory effect of essential oils of Allium sativum and Piper longum on spontaneous muscular activity of liver fluke, Fasciolagigantica. ExpParasitol. 2019;123: pp 302-308.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 xml:space="preserve"> Aeschbach, Y. Gray, T. And Endo, R. (2019): Therapy of murine pulmonary aspergillosis with antibody-alliinase conjugates and alliin. Antimicrob Agents Chemother.; 54:pp 898-906.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Ahmad, Y. Katiyar, B and Mukhtar C (2016): Efficacy of crude extracts of garlic (Allium sativum Linn) against nosocomial Escherichia coli, Staphylococcus aureus, Streptococcus pneumoniea and Pseudomonas aeruginosa. J Med Plants Res.;3: pp 179-185.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Ahmed Y, Seth T and Pasha, Y. (2018): Garlic revisited: therapeutic for the major diseases of our times. J Natl Med Assoc.; 80: pp 439-445.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Ahmed, T. And Laing, H. (2018): A review of studies of garlic (Allium sativum) on serum lipids and blood pressure before and after 2019: does the amount of allicin released from garlic powder tablets play a role. J Chiropr Med; 4: pp 82-90.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Ahmed, Y. Seth, T. Pasha, Y. And Banerjee B (2016): Antifungal saponins from bulbs of garlic, Allium sativum L. Var. Voghiera. Phytochemistry.; 78:pp 126-140 8: Comprehensive review of vaginitis phytotherapy. Pak J Biol Sci.; 14: pp 960-966.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Bryer, Y. (2015): Antibacterial activity of garlic extract on streptomycin resistant Staphylococcusaureus and Escherichia coli solely and in synergism with streptomycin. J Nat SciBiol Med.; pp1-12.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Dixon Y, Helder P and Bruno F (2019): Anti-diabetic and hypolipidaaemic properties of Garlic (Allium sativum) in strepozotocin induced diabetic rats. International Journal of Diabetes &amp; Metabolism 2019; 15: 108-115.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Ekwenye, Y. And Elegalam, T. (2015): Antidiabetic Herbal drugs- A Review Pharmacophore- An International Research Journal 2015; 3(1): 18-22.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El-Abhar, Y, Green Y and Gerard Y (2018): Allicin and allicin-derived garliccompounds increase breath acetone through allyl methyl sulfide: use in measuring allicin bioavailability. J Agric Food Chem. 2018; 53 (6):pp1974-1983.</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Gupta, N. And Sharma, H. (2016): Aged garlic extract may be safe for patients on warfarin therapy. J Nutr. 2006;136 (3 Suppl):pp 793-795.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Islam, Y. And Choi X (2018): Study of the effects of raw garlic consumption on the level of lipids and other blood biochemical factors in hyperlipidemic individuals. Pak J Pharm Sci. 2018;19(4):295 8: pp 606-610</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Khadijat, U. (2018): Historical perspective on the use of garlic, Journal of Nutrition, 131(3S), 2018, 951S-9545S.</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Levine Y, Helder, H. And Green, Y. 2018): Effect of garlic on cardiovascular disorders: a review, Nutrition journal, 19(11), 2002, 1-4.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Ueki, Y, Krik, H. And Bojak, T. (2018): Analysis of responses of garlic derivatives in the pulmonary vascular bed of the rat, J ApplPhysiol, 89(1), 2018, pp 353-358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Uz Y, Helder G and Bray G (2019): meta-analysis of the effect of garlic on blood pressure, J Hyperten, 12, 1994, pp 463-468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Wang, R. (2019): Effect of garlic on lipid metabolism in rats fed cholesterol or lard, J Nutr, 112(2), 1982, pp 241-248.</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Weidner, Y. And Sigwart, Y. (2016): A randomized factorial study of the effects of long term garlic and micronutrient supplementation and of 2-wk antibiotic treatment for Helicobacter pylori infection on serum cholesterol and lipoproteins. Am J ClinNutr. 2006;84(4):pp 912-915.</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Wikipedia (2019): Nitric oxide mediates the blood-pressure lowering effect of garlic in the rat two-kidney, one-clip model of hypertension, J Nutr, 136(3), 2019, pp 774-776.</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Wood Y, Green, Y. And Bred, T. (2017): Investigation of antihypertensive mechanism of garlic in 2K1C hypertensive rat, J Ethnopharmacol 86(2-3), 2017, pp 219-24.</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Wu Y, Xin, Y. And Gray T (2018): The mechanism of hypotensive effect of garlic extract, J Pak Med Assoc, 35(12), 2018, pp 357-362.</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Yousuf, S. And Ahmad, A. (2017): garlic intake and pre-cancerous lesions in a Chinese population at low risk of gastric cancer. Int. J. Epidemiol. 1998;27: pp 938-941</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Zick Y, Bojan, T. And Gerd, H. (2019): Garlic prevents hypoxic pulmonary hypertension in rats, Am J Physiol, 275, 1998, pp 283-287.</w:t>
      </w:r>
    </w:p>
    <w:p w:rsidR="00FC521A" w:rsidRDefault="00FC521A" w:rsidP="00FC521A">
      <w:pPr>
        <w:spacing w:after="0" w:line="360" w:lineRule="auto"/>
        <w:ind w:left="720" w:hanging="720"/>
        <w:jc w:val="both"/>
        <w:rPr>
          <w:rFonts w:ascii="Times New Roman" w:hAnsi="Times New Roman" w:cs="Times New Roman"/>
        </w:rPr>
      </w:pPr>
      <w:r>
        <w:rPr>
          <w:rFonts w:ascii="Times New Roman" w:hAnsi="Times New Roman" w:cs="Times New Roman"/>
        </w:rPr>
        <w:t>Zubair, S.P and Akanji, A.T. (2020): A comparative assessinent of the antimicrobial effects of Garlic (Allium sativum) andAntibiotics on diarrheagenic organisms. Southeast Asian J Trop Med Public Health. 2020;38:2 pp 33-35.</w:t>
      </w:r>
    </w:p>
    <w:p w:rsidR="00FC521A" w:rsidRDefault="00FC521A" w:rsidP="00FC521A">
      <w:pPr>
        <w:spacing w:after="0" w:line="360" w:lineRule="auto"/>
        <w:jc w:val="both"/>
        <w:rPr>
          <w:rFonts w:ascii="Times New Roman" w:hAnsi="Times New Roman" w:cs="Times New Roman"/>
        </w:rPr>
      </w:pPr>
    </w:p>
    <w:p w:rsidR="00BD0FF6" w:rsidRDefault="00BD0FF6"/>
    <w:sectPr w:rsidR="00BD0FF6" w:rsidSect="00121B16">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246797"/>
      <w:docPartObj>
        <w:docPartGallery w:val="Page Numbers (Bottom of Page)"/>
        <w:docPartUnique/>
      </w:docPartObj>
    </w:sdtPr>
    <w:sdtEndPr>
      <w:rPr>
        <w:noProof/>
      </w:rPr>
    </w:sdtEndPr>
    <w:sdtContent>
      <w:p w:rsidR="00121B16" w:rsidRDefault="00FC52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21B16" w:rsidRDefault="00FC521A" w:rsidP="00121B16">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593"/>
    <w:multiLevelType w:val="hybridMultilevel"/>
    <w:tmpl w:val="BDF03A82"/>
    <w:lvl w:ilvl="0" w:tplc="FFFFFFFF">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052DAB"/>
    <w:multiLevelType w:val="hybridMultilevel"/>
    <w:tmpl w:val="8A96002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4120FBE"/>
    <w:multiLevelType w:val="hybridMultilevel"/>
    <w:tmpl w:val="FDC654D2"/>
    <w:lvl w:ilvl="0" w:tplc="FFFFFFFF">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F85B47"/>
    <w:multiLevelType w:val="hybridMultilevel"/>
    <w:tmpl w:val="14DE012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580F3A"/>
    <w:multiLevelType w:val="hybridMultilevel"/>
    <w:tmpl w:val="5D5ACD06"/>
    <w:lvl w:ilvl="0" w:tplc="6D5E4D32">
      <w:start w:val="1"/>
      <w:numFmt w:val="lowerRoman"/>
      <w:lvlText w:val="%1."/>
      <w:lvlJc w:val="left"/>
      <w:pPr>
        <w:ind w:left="720" w:hanging="360"/>
      </w:pPr>
      <w:rPr>
        <w:rFonts w:asciiTheme="minorHAnsi" w:eastAsiaTheme="minorEastAsia" w:hAnsiTheme="minorHAnsi" w:cstheme="minorBidi"/>
      </w:rPr>
    </w:lvl>
    <w:lvl w:ilvl="1" w:tplc="1B9CA296">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A21279"/>
    <w:multiLevelType w:val="hybridMultilevel"/>
    <w:tmpl w:val="A90A5882"/>
    <w:lvl w:ilvl="0" w:tplc="FFFFFFFF">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258063F"/>
    <w:multiLevelType w:val="hybridMultilevel"/>
    <w:tmpl w:val="8AA43B0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1A"/>
    <w:rsid w:val="00BD0FF6"/>
    <w:rsid w:val="00FC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C7685-9AC1-4FD8-A0CE-88A0EF59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1A"/>
    <w:pPr>
      <w:spacing w:line="276" w:lineRule="auto"/>
    </w:pPr>
    <w:rPr>
      <w:rFonts w:eastAsiaTheme="minorEastAsia"/>
      <w:kern w:val="2"/>
      <w:sz w:val="24"/>
      <w:szCs w:val="24"/>
      <w:lang w:val="en-GB"/>
    </w:rPr>
  </w:style>
  <w:style w:type="paragraph" w:styleId="Heading1">
    <w:name w:val="heading 1"/>
    <w:basedOn w:val="Normal"/>
    <w:link w:val="Heading1Char"/>
    <w:autoRedefine/>
    <w:uiPriority w:val="9"/>
    <w:qFormat/>
    <w:rsid w:val="00FC521A"/>
    <w:pPr>
      <w:widowControl w:val="0"/>
      <w:autoSpaceDE w:val="0"/>
      <w:autoSpaceDN w:val="0"/>
      <w:spacing w:after="0" w:line="240" w:lineRule="auto"/>
      <w:jc w:val="center"/>
      <w:outlineLvl w:val="0"/>
    </w:pPr>
    <w:rPr>
      <w:rFonts w:ascii="Times New Roman" w:eastAsia="Times New Roman" w:hAnsi="Times New Roman" w:cs="Times New Roman"/>
      <w:b/>
      <w:bCs/>
      <w:szCs w:val="23"/>
    </w:rPr>
  </w:style>
  <w:style w:type="paragraph" w:styleId="Heading2">
    <w:name w:val="heading 2"/>
    <w:basedOn w:val="Normal"/>
    <w:next w:val="Normal"/>
    <w:link w:val="Heading2Char"/>
    <w:uiPriority w:val="9"/>
    <w:semiHidden/>
    <w:unhideWhenUsed/>
    <w:qFormat/>
    <w:rsid w:val="00FC52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C521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C521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C521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C5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1A"/>
    <w:rPr>
      <w:rFonts w:ascii="Times New Roman" w:eastAsia="Times New Roman" w:hAnsi="Times New Roman" w:cs="Times New Roman"/>
      <w:b/>
      <w:bCs/>
      <w:kern w:val="2"/>
      <w:sz w:val="24"/>
      <w:szCs w:val="23"/>
      <w:lang w:val="en-GB"/>
    </w:rPr>
  </w:style>
  <w:style w:type="character" w:customStyle="1" w:styleId="Heading2Char">
    <w:name w:val="Heading 2 Char"/>
    <w:basedOn w:val="DefaultParagraphFont"/>
    <w:link w:val="Heading2"/>
    <w:uiPriority w:val="9"/>
    <w:semiHidden/>
    <w:rsid w:val="00FC521A"/>
    <w:rPr>
      <w:rFonts w:asciiTheme="majorHAnsi" w:eastAsiaTheme="majorEastAsia" w:hAnsiTheme="majorHAnsi" w:cstheme="majorBidi"/>
      <w:color w:val="2E74B5" w:themeColor="accent1" w:themeShade="BF"/>
      <w:kern w:val="2"/>
      <w:sz w:val="32"/>
      <w:szCs w:val="32"/>
      <w:lang w:val="en-GB"/>
    </w:rPr>
  </w:style>
  <w:style w:type="character" w:customStyle="1" w:styleId="Heading3Char">
    <w:name w:val="Heading 3 Char"/>
    <w:basedOn w:val="DefaultParagraphFont"/>
    <w:link w:val="Heading3"/>
    <w:uiPriority w:val="9"/>
    <w:semiHidden/>
    <w:rsid w:val="00FC521A"/>
    <w:rPr>
      <w:rFonts w:eastAsiaTheme="majorEastAsia" w:cstheme="majorBidi"/>
      <w:color w:val="2E74B5" w:themeColor="accent1" w:themeShade="BF"/>
      <w:kern w:val="2"/>
      <w:sz w:val="28"/>
      <w:szCs w:val="28"/>
      <w:lang w:val="en-GB"/>
    </w:rPr>
  </w:style>
  <w:style w:type="character" w:customStyle="1" w:styleId="Heading4Char">
    <w:name w:val="Heading 4 Char"/>
    <w:basedOn w:val="DefaultParagraphFont"/>
    <w:link w:val="Heading4"/>
    <w:uiPriority w:val="9"/>
    <w:semiHidden/>
    <w:rsid w:val="00FC521A"/>
    <w:rPr>
      <w:rFonts w:eastAsiaTheme="majorEastAsia" w:cstheme="majorBidi"/>
      <w:i/>
      <w:iCs/>
      <w:color w:val="2E74B5" w:themeColor="accent1" w:themeShade="BF"/>
      <w:kern w:val="2"/>
      <w:sz w:val="24"/>
      <w:szCs w:val="24"/>
      <w:lang w:val="en-GB"/>
    </w:rPr>
  </w:style>
  <w:style w:type="character" w:customStyle="1" w:styleId="Heading5Char">
    <w:name w:val="Heading 5 Char"/>
    <w:basedOn w:val="DefaultParagraphFont"/>
    <w:link w:val="Heading5"/>
    <w:uiPriority w:val="9"/>
    <w:semiHidden/>
    <w:rsid w:val="00FC521A"/>
    <w:rPr>
      <w:rFonts w:eastAsiaTheme="majorEastAsia" w:cstheme="majorBidi"/>
      <w:color w:val="2E74B5" w:themeColor="accent1" w:themeShade="BF"/>
      <w:kern w:val="2"/>
      <w:sz w:val="24"/>
      <w:szCs w:val="24"/>
      <w:lang w:val="en-GB"/>
    </w:rPr>
  </w:style>
  <w:style w:type="character" w:customStyle="1" w:styleId="Heading6Char">
    <w:name w:val="Heading 6 Char"/>
    <w:basedOn w:val="DefaultParagraphFont"/>
    <w:link w:val="Heading6"/>
    <w:uiPriority w:val="9"/>
    <w:semiHidden/>
    <w:rsid w:val="00FC521A"/>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FC521A"/>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FC521A"/>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FC521A"/>
    <w:rPr>
      <w:rFonts w:eastAsiaTheme="majorEastAsia" w:cstheme="majorBidi"/>
      <w:color w:val="272727" w:themeColor="text1" w:themeTint="D8"/>
      <w:kern w:val="2"/>
      <w:sz w:val="24"/>
      <w:szCs w:val="24"/>
      <w:lang w:val="en-GB"/>
    </w:rPr>
  </w:style>
  <w:style w:type="character" w:styleId="Hyperlink">
    <w:name w:val="Hyperlink"/>
    <w:basedOn w:val="DefaultParagraphFont"/>
    <w:uiPriority w:val="99"/>
    <w:unhideWhenUsed/>
    <w:rsid w:val="00FC521A"/>
    <w:rPr>
      <w:color w:val="0563C1" w:themeColor="hyperlink"/>
      <w:u w:val="single"/>
    </w:rPr>
  </w:style>
  <w:style w:type="character" w:styleId="FollowedHyperlink">
    <w:name w:val="FollowedHyperlink"/>
    <w:basedOn w:val="DefaultParagraphFont"/>
    <w:uiPriority w:val="99"/>
    <w:semiHidden/>
    <w:unhideWhenUsed/>
    <w:rsid w:val="00FC521A"/>
    <w:rPr>
      <w:color w:val="954F72" w:themeColor="followedHyperlink"/>
      <w:u w:val="single"/>
    </w:rPr>
  </w:style>
  <w:style w:type="paragraph" w:styleId="TOC1">
    <w:name w:val="toc 1"/>
    <w:basedOn w:val="Normal"/>
    <w:next w:val="Normal"/>
    <w:autoRedefine/>
    <w:uiPriority w:val="39"/>
    <w:unhideWhenUsed/>
    <w:rsid w:val="00FC521A"/>
    <w:pPr>
      <w:spacing w:after="100"/>
    </w:pPr>
  </w:style>
  <w:style w:type="paragraph" w:styleId="Header">
    <w:name w:val="header"/>
    <w:basedOn w:val="Normal"/>
    <w:link w:val="HeaderChar"/>
    <w:uiPriority w:val="99"/>
    <w:unhideWhenUsed/>
    <w:rsid w:val="00FC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21A"/>
    <w:rPr>
      <w:rFonts w:eastAsiaTheme="minorEastAsia"/>
      <w:kern w:val="2"/>
      <w:sz w:val="24"/>
      <w:szCs w:val="24"/>
      <w:lang w:val="en-GB"/>
    </w:rPr>
  </w:style>
  <w:style w:type="paragraph" w:styleId="Footer">
    <w:name w:val="footer"/>
    <w:basedOn w:val="Normal"/>
    <w:link w:val="FooterChar"/>
    <w:uiPriority w:val="99"/>
    <w:unhideWhenUsed/>
    <w:rsid w:val="00FC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21A"/>
    <w:rPr>
      <w:rFonts w:eastAsiaTheme="minorEastAsia"/>
      <w:kern w:val="2"/>
      <w:sz w:val="24"/>
      <w:szCs w:val="24"/>
      <w:lang w:val="en-GB"/>
    </w:rPr>
  </w:style>
  <w:style w:type="paragraph" w:styleId="Title">
    <w:name w:val="Title"/>
    <w:basedOn w:val="Normal"/>
    <w:next w:val="Normal"/>
    <w:link w:val="TitleChar"/>
    <w:uiPriority w:val="10"/>
    <w:qFormat/>
    <w:rsid w:val="00FC5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21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C521A"/>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21A"/>
    <w:rPr>
      <w:rFonts w:eastAsiaTheme="majorEastAsia" w:cstheme="majorBidi"/>
      <w:color w:val="595959" w:themeColor="text1" w:themeTint="A6"/>
      <w:spacing w:val="15"/>
      <w:kern w:val="2"/>
      <w:sz w:val="28"/>
      <w:szCs w:val="28"/>
      <w:lang w:val="en-GB"/>
    </w:rPr>
  </w:style>
  <w:style w:type="paragraph" w:styleId="BalloonText">
    <w:name w:val="Balloon Text"/>
    <w:basedOn w:val="Normal"/>
    <w:link w:val="BalloonTextChar"/>
    <w:uiPriority w:val="99"/>
    <w:semiHidden/>
    <w:unhideWhenUsed/>
    <w:rsid w:val="00FC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21A"/>
    <w:rPr>
      <w:rFonts w:ascii="Tahoma" w:eastAsiaTheme="minorEastAsia" w:hAnsi="Tahoma" w:cs="Tahoma"/>
      <w:kern w:val="2"/>
      <w:sz w:val="16"/>
      <w:szCs w:val="16"/>
      <w:lang w:val="en-GB"/>
    </w:rPr>
  </w:style>
  <w:style w:type="paragraph" w:styleId="ListParagraph">
    <w:name w:val="List Paragraph"/>
    <w:basedOn w:val="Normal"/>
    <w:uiPriority w:val="34"/>
    <w:qFormat/>
    <w:rsid w:val="00FC521A"/>
    <w:pPr>
      <w:ind w:left="720"/>
      <w:contextualSpacing/>
    </w:pPr>
  </w:style>
  <w:style w:type="paragraph" w:styleId="Quote">
    <w:name w:val="Quote"/>
    <w:basedOn w:val="Normal"/>
    <w:next w:val="Normal"/>
    <w:link w:val="QuoteChar"/>
    <w:uiPriority w:val="29"/>
    <w:qFormat/>
    <w:rsid w:val="00FC521A"/>
    <w:pPr>
      <w:spacing w:before="160"/>
      <w:jc w:val="center"/>
    </w:pPr>
    <w:rPr>
      <w:i/>
      <w:iCs/>
      <w:color w:val="404040" w:themeColor="text1" w:themeTint="BF"/>
    </w:rPr>
  </w:style>
  <w:style w:type="character" w:customStyle="1" w:styleId="QuoteChar">
    <w:name w:val="Quote Char"/>
    <w:basedOn w:val="DefaultParagraphFont"/>
    <w:link w:val="Quote"/>
    <w:uiPriority w:val="29"/>
    <w:rsid w:val="00FC521A"/>
    <w:rPr>
      <w:rFonts w:eastAsiaTheme="minorEastAsia"/>
      <w:i/>
      <w:iCs/>
      <w:color w:val="404040" w:themeColor="text1" w:themeTint="BF"/>
      <w:kern w:val="2"/>
      <w:sz w:val="24"/>
      <w:szCs w:val="24"/>
      <w:lang w:val="en-GB"/>
    </w:rPr>
  </w:style>
  <w:style w:type="paragraph" w:styleId="IntenseQuote">
    <w:name w:val="Intense Quote"/>
    <w:basedOn w:val="Normal"/>
    <w:next w:val="Normal"/>
    <w:link w:val="IntenseQuoteChar"/>
    <w:uiPriority w:val="30"/>
    <w:qFormat/>
    <w:rsid w:val="00FC52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C521A"/>
    <w:rPr>
      <w:rFonts w:eastAsiaTheme="minorEastAsia"/>
      <w:i/>
      <w:iCs/>
      <w:color w:val="2E74B5" w:themeColor="accent1" w:themeShade="BF"/>
      <w:kern w:val="2"/>
      <w:sz w:val="24"/>
      <w:szCs w:val="24"/>
      <w:lang w:val="en-GB"/>
    </w:rPr>
  </w:style>
  <w:style w:type="paragraph" w:styleId="TOCHeading">
    <w:name w:val="TOC Heading"/>
    <w:basedOn w:val="Heading1"/>
    <w:next w:val="Normal"/>
    <w:uiPriority w:val="39"/>
    <w:unhideWhenUsed/>
    <w:qFormat/>
    <w:rsid w:val="00FC521A"/>
    <w:pPr>
      <w:keepNext/>
      <w:keepLines/>
      <w:widowControl/>
      <w:autoSpaceDE/>
      <w:autoSpaceDN/>
      <w:spacing w:before="480" w:line="276" w:lineRule="auto"/>
      <w:outlineLvl w:val="9"/>
    </w:pPr>
    <w:rPr>
      <w:rFonts w:asciiTheme="majorHAnsi" w:eastAsiaTheme="majorEastAsia" w:hAnsiTheme="majorHAnsi" w:cstheme="majorBidi"/>
      <w:color w:val="2E74B5" w:themeColor="accent1" w:themeShade="BF"/>
      <w:sz w:val="28"/>
      <w:szCs w:val="28"/>
    </w:rPr>
  </w:style>
  <w:style w:type="character" w:styleId="IntenseEmphasis">
    <w:name w:val="Intense Emphasis"/>
    <w:basedOn w:val="DefaultParagraphFont"/>
    <w:uiPriority w:val="21"/>
    <w:qFormat/>
    <w:rsid w:val="00FC521A"/>
    <w:rPr>
      <w:i/>
      <w:iCs/>
      <w:color w:val="2E74B5" w:themeColor="accent1" w:themeShade="BF"/>
    </w:rPr>
  </w:style>
  <w:style w:type="character" w:styleId="IntenseReference">
    <w:name w:val="Intense Reference"/>
    <w:basedOn w:val="DefaultParagraphFont"/>
    <w:uiPriority w:val="32"/>
    <w:qFormat/>
    <w:rsid w:val="00FC521A"/>
    <w:rPr>
      <w:b/>
      <w:bCs/>
      <w:smallCaps/>
      <w:color w:val="2E74B5" w:themeColor="accent1" w:themeShade="BF"/>
      <w:spacing w:val="5"/>
    </w:rPr>
  </w:style>
  <w:style w:type="table" w:styleId="TableGrid">
    <w:name w:val="Table Grid"/>
    <w:basedOn w:val="TableNormal"/>
    <w:uiPriority w:val="39"/>
    <w:rsid w:val="00FC521A"/>
    <w:pPr>
      <w:spacing w:after="0" w:line="240" w:lineRule="auto"/>
    </w:pPr>
    <w:rPr>
      <w:rFonts w:eastAsiaTheme="minorEastAsia"/>
      <w:kern w:val="2"/>
      <w:sz w:val="24"/>
      <w:szCs w:val="24"/>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10942</Words>
  <Characters>62374</Characters>
  <Application>Microsoft Office Word</Application>
  <DocSecurity>0</DocSecurity>
  <Lines>519</Lines>
  <Paragraphs>146</Paragraphs>
  <ScaleCrop>false</ScaleCrop>
  <Company/>
  <LinksUpToDate>false</LinksUpToDate>
  <CharactersWithSpaces>73170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2025-06-23T15:21:00Z</dcterms:created>
  <dcterms:modified xsi:type="dcterms:W3CDTF">2025-06-23T15:23:00Z</dcterms:modified>
</cp:coreProperties>
</file>