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100" w:after="100" w:line="240"/>
        <w:ind w:right="0" w:left="0" w:firstLine="0"/>
        <w:jc w:val="center"/>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40"/>
          <w:shd w:fill="auto" w:val="clear"/>
        </w:rPr>
        <w:t xml:space="preserve">THE STUDY ON NUMBER OF CHILDREN BEING IMMUNIZED AGAINST MEASLES FROM THE MONTH OF AUGUST TO NOVEMBER YEAR 2024 [A CASE STUDY OF GENERAL HOSPITAL SURULERE ILORN]</w:t>
      </w:r>
    </w:p>
    <w:p>
      <w:pPr>
        <w:spacing w:before="100" w:after="100" w:line="240"/>
        <w:ind w:right="0" w:left="0" w:firstLine="0"/>
        <w:jc w:val="center"/>
        <w:rPr>
          <w:rFonts w:ascii="Calibri" w:hAnsi="Calibri" w:cs="Calibri" w:eastAsia="Calibri"/>
          <w:b/>
          <w:color w:val="auto"/>
          <w:spacing w:val="0"/>
          <w:position w:val="0"/>
          <w:sz w:val="32"/>
          <w:shd w:fill="auto" w:val="clear"/>
        </w:rPr>
      </w:pPr>
    </w:p>
    <w:p>
      <w:pPr>
        <w:spacing w:before="100" w:after="100" w:line="240"/>
        <w:ind w:right="0" w:left="0" w:firstLine="0"/>
        <w:jc w:val="center"/>
        <w:rPr>
          <w:rFonts w:ascii="Calibri" w:hAnsi="Calibri" w:cs="Calibri" w:eastAsia="Calibri"/>
          <w:b/>
          <w:color w:val="auto"/>
          <w:spacing w:val="0"/>
          <w:position w:val="0"/>
          <w:sz w:val="32"/>
          <w:shd w:fill="auto" w:val="clear"/>
        </w:rPr>
      </w:pPr>
    </w:p>
    <w:p>
      <w:pPr>
        <w:spacing w:before="100" w:after="100" w:line="240"/>
        <w:ind w:right="0" w:left="0" w:firstLine="0"/>
        <w:jc w:val="center"/>
        <w:rPr>
          <w:rFonts w:ascii="Calibri" w:hAnsi="Calibri" w:cs="Calibri" w:eastAsia="Calibri"/>
          <w:b/>
          <w:color w:val="auto"/>
          <w:spacing w:val="0"/>
          <w:position w:val="0"/>
          <w:sz w:val="32"/>
          <w:shd w:fill="auto" w:val="clear"/>
        </w:rPr>
      </w:pPr>
    </w:p>
    <w:p>
      <w:pPr>
        <w:spacing w:before="100" w:after="100" w:line="240"/>
        <w:ind w:right="0" w:left="0" w:firstLine="0"/>
        <w:jc w:val="center"/>
        <w:rPr>
          <w:rFonts w:ascii="Calibri" w:hAnsi="Calibri" w:cs="Calibri" w:eastAsia="Calibri"/>
          <w:b/>
          <w:color w:val="auto"/>
          <w:spacing w:val="0"/>
          <w:position w:val="0"/>
          <w:sz w:val="32"/>
          <w:shd w:fill="auto" w:val="clear"/>
        </w:rPr>
      </w:pPr>
    </w:p>
    <w:p>
      <w:pPr>
        <w:spacing w:before="100" w:after="100" w:line="240"/>
        <w:ind w:right="0" w:left="0" w:firstLine="0"/>
        <w:jc w:val="center"/>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24"/>
          <w:shd w:fill="auto" w:val="clear"/>
        </w:rPr>
        <w:t xml:space="preserve">BY</w:t>
      </w:r>
    </w:p>
    <w:p>
      <w:pPr>
        <w:spacing w:before="100" w:after="100" w:line="240"/>
        <w:ind w:right="0" w:left="0" w:firstLine="0"/>
        <w:jc w:val="center"/>
        <w:rPr>
          <w:rFonts w:ascii="Calibri" w:hAnsi="Calibri" w:cs="Calibri" w:eastAsia="Calibri"/>
          <w:b/>
          <w:color w:val="auto"/>
          <w:spacing w:val="0"/>
          <w:position w:val="0"/>
          <w:sz w:val="36"/>
          <w:shd w:fill="auto" w:val="clear"/>
        </w:rPr>
      </w:pPr>
      <w:r>
        <w:rPr>
          <w:rFonts w:ascii="Calibri" w:hAnsi="Calibri" w:cs="Calibri" w:eastAsia="Calibri"/>
          <w:b/>
          <w:color w:val="auto"/>
          <w:spacing w:val="0"/>
          <w:position w:val="0"/>
          <w:sz w:val="36"/>
          <w:shd w:fill="auto" w:val="clear"/>
        </w:rPr>
        <w:t xml:space="preserve">OLUGBODE HEPHZIBAH ABIODUN</w:t>
      </w:r>
    </w:p>
    <w:p>
      <w:pPr>
        <w:spacing w:before="100" w:after="100" w:line="240"/>
        <w:ind w:right="0" w:left="0" w:firstLine="0"/>
        <w:jc w:val="center"/>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MATRIC NO:ND/23/STA/FT/0051</w:t>
      </w:r>
    </w:p>
    <w:p>
      <w:pPr>
        <w:spacing w:before="100" w:after="100" w:line="240"/>
        <w:ind w:right="0" w:left="0" w:firstLine="0"/>
        <w:jc w:val="center"/>
        <w:rPr>
          <w:rFonts w:ascii="Calibri" w:hAnsi="Calibri" w:cs="Calibri" w:eastAsia="Calibri"/>
          <w:color w:val="auto"/>
          <w:spacing w:val="0"/>
          <w:position w:val="0"/>
          <w:sz w:val="28"/>
          <w:shd w:fill="auto" w:val="clear"/>
        </w:rPr>
      </w:pPr>
    </w:p>
    <w:p>
      <w:pPr>
        <w:spacing w:before="100" w:after="100" w:line="240"/>
        <w:ind w:right="0" w:left="0" w:firstLine="0"/>
        <w:jc w:val="center"/>
        <w:rPr>
          <w:rFonts w:ascii="Calibri" w:hAnsi="Calibri" w:cs="Calibri" w:eastAsia="Calibri"/>
          <w:color w:val="auto"/>
          <w:spacing w:val="0"/>
          <w:position w:val="0"/>
          <w:sz w:val="28"/>
          <w:shd w:fill="auto" w:val="clear"/>
        </w:rPr>
      </w:pPr>
    </w:p>
    <w:p>
      <w:pPr>
        <w:spacing w:before="100" w:after="100" w:line="240"/>
        <w:ind w:right="0" w:left="0" w:firstLine="0"/>
        <w:jc w:val="center"/>
        <w:rPr>
          <w:rFonts w:ascii="Calibri" w:hAnsi="Calibri" w:cs="Calibri" w:eastAsia="Calibri"/>
          <w:color w:val="auto"/>
          <w:spacing w:val="0"/>
          <w:position w:val="0"/>
          <w:sz w:val="28"/>
          <w:shd w:fill="auto" w:val="clear"/>
        </w:rPr>
      </w:pPr>
    </w:p>
    <w:p>
      <w:pPr>
        <w:spacing w:before="100" w:after="100" w:line="240"/>
        <w:ind w:right="0" w:left="0" w:firstLine="0"/>
        <w:jc w:val="center"/>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SUBMITTED TO:</w:t>
      </w:r>
    </w:p>
    <w:p>
      <w:pPr>
        <w:spacing w:before="100" w:after="100" w:line="240"/>
        <w:ind w:right="0" w:left="0" w:firstLine="0"/>
        <w:jc w:val="center"/>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INSTITUTE OF APPLIED SCIENCE</w:t>
      </w:r>
    </w:p>
    <w:p>
      <w:pPr>
        <w:spacing w:before="100" w:after="100" w:line="240"/>
        <w:ind w:right="0" w:left="0" w:firstLine="0"/>
        <w:jc w:val="center"/>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DEPARTMENT OF STATISTICS</w:t>
      </w:r>
    </w:p>
    <w:p>
      <w:pPr>
        <w:spacing w:before="100" w:after="100" w:line="240"/>
        <w:ind w:right="0" w:left="0" w:firstLine="0"/>
        <w:jc w:val="center"/>
        <w:rPr>
          <w:rFonts w:ascii="Calibri" w:hAnsi="Calibri" w:cs="Calibri" w:eastAsia="Calibri"/>
          <w:color w:val="auto"/>
          <w:spacing w:val="0"/>
          <w:position w:val="0"/>
          <w:sz w:val="28"/>
          <w:shd w:fill="auto" w:val="clear"/>
        </w:rPr>
      </w:pPr>
    </w:p>
    <w:p>
      <w:pPr>
        <w:spacing w:before="100" w:after="100" w:line="240"/>
        <w:ind w:right="0" w:left="0" w:firstLine="0"/>
        <w:jc w:val="center"/>
        <w:rPr>
          <w:rFonts w:ascii="Calibri" w:hAnsi="Calibri" w:cs="Calibri" w:eastAsia="Calibri"/>
          <w:color w:val="auto"/>
          <w:spacing w:val="0"/>
          <w:position w:val="0"/>
          <w:sz w:val="28"/>
          <w:shd w:fill="auto" w:val="clear"/>
        </w:rPr>
      </w:pPr>
    </w:p>
    <w:p>
      <w:pPr>
        <w:spacing w:before="100" w:after="100" w:line="240"/>
        <w:ind w:right="0" w:left="0" w:firstLine="0"/>
        <w:jc w:val="center"/>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IN PARTIAL FULFILLMENT OF THE REQUIREMENT FOR THE AWARD OF NATIONAL DIPLOMA IN STATISTICS KWARA STATE POLYTECHNICS, ILORIN</w:t>
      </w:r>
    </w:p>
    <w:p>
      <w:pPr>
        <w:spacing w:before="100" w:after="100" w:line="240"/>
        <w:ind w:right="0" w:left="0" w:firstLine="0"/>
        <w:jc w:val="center"/>
        <w:rPr>
          <w:rFonts w:ascii="Calibri" w:hAnsi="Calibri" w:cs="Calibri" w:eastAsia="Calibri"/>
          <w:b/>
          <w:color w:val="auto"/>
          <w:spacing w:val="0"/>
          <w:position w:val="0"/>
          <w:sz w:val="28"/>
          <w:shd w:fill="auto" w:val="clear"/>
        </w:rPr>
      </w:pPr>
    </w:p>
    <w:p>
      <w:pPr>
        <w:spacing w:before="100" w:after="100" w:line="240"/>
        <w:ind w:right="0" w:left="0" w:firstLine="0"/>
        <w:jc w:val="center"/>
        <w:rPr>
          <w:rFonts w:ascii="Calibri" w:hAnsi="Calibri" w:cs="Calibri" w:eastAsia="Calibri"/>
          <w:b/>
          <w:color w:val="auto"/>
          <w:spacing w:val="0"/>
          <w:position w:val="0"/>
          <w:sz w:val="28"/>
          <w:shd w:fill="auto" w:val="clear"/>
        </w:rPr>
      </w:pPr>
    </w:p>
    <w:p>
      <w:pPr>
        <w:spacing w:before="100" w:after="100" w:line="240"/>
        <w:ind w:right="0" w:left="0" w:firstLine="0"/>
        <w:jc w:val="center"/>
        <w:rPr>
          <w:rFonts w:ascii="Calibri" w:hAnsi="Calibri" w:cs="Calibri" w:eastAsia="Calibri"/>
          <w:b/>
          <w:color w:val="auto"/>
          <w:spacing w:val="0"/>
          <w:position w:val="0"/>
          <w:sz w:val="28"/>
          <w:shd w:fill="auto" w:val="clear"/>
        </w:rPr>
      </w:pPr>
    </w:p>
    <w:p>
      <w:pPr>
        <w:spacing w:before="100" w:after="100" w:line="240"/>
        <w:ind w:right="0" w:left="0" w:firstLine="0"/>
        <w:jc w:val="left"/>
        <w:rPr>
          <w:rFonts w:ascii="Arial" w:hAnsi="Arial" w:cs="Arial" w:eastAsia="Arial"/>
          <w:b/>
          <w:i/>
          <w:color w:val="auto"/>
          <w:spacing w:val="0"/>
          <w:position w:val="0"/>
          <w:sz w:val="20"/>
          <w:shd w:fill="auto" w:val="clear"/>
        </w:rPr>
      </w:pPr>
    </w:p>
    <w:p>
      <w:pPr>
        <w:spacing w:before="100" w:after="100" w:line="240"/>
        <w:ind w:right="0" w:left="0" w:firstLine="0"/>
        <w:jc w:val="left"/>
        <w:rPr>
          <w:rFonts w:ascii="Arial" w:hAnsi="Arial" w:cs="Arial" w:eastAsia="Arial"/>
          <w:b/>
          <w:i/>
          <w:color w:val="auto"/>
          <w:spacing w:val="0"/>
          <w:position w:val="0"/>
          <w:sz w:val="20"/>
          <w:shd w:fill="auto" w:val="clear"/>
        </w:rPr>
      </w:pPr>
    </w:p>
    <w:p>
      <w:pPr>
        <w:spacing w:before="100" w:after="100" w:line="240"/>
        <w:ind w:right="0" w:left="0" w:firstLine="0"/>
        <w:jc w:val="center"/>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CERTIFICATION</w:t>
      </w:r>
    </w:p>
    <w:p>
      <w:pPr>
        <w:spacing w:before="100" w:after="100" w:line="240"/>
        <w:ind w:right="0" w:left="0" w:firstLine="0"/>
        <w:jc w:val="left"/>
        <w:rPr>
          <w:rFonts w:ascii="Arial" w:hAnsi="Arial" w:cs="Arial" w:eastAsia="Arial"/>
          <w:b/>
          <w:color w:val="auto"/>
          <w:spacing w:val="0"/>
          <w:position w:val="0"/>
          <w:sz w:val="20"/>
          <w:shd w:fill="auto" w:val="clear"/>
        </w:rPr>
      </w:pPr>
      <w:r>
        <w:rPr>
          <w:rFonts w:ascii="Arial" w:hAnsi="Arial" w:cs="Arial" w:eastAsia="Arial"/>
          <w:color w:val="auto"/>
          <w:spacing w:val="0"/>
          <w:position w:val="0"/>
          <w:sz w:val="20"/>
          <w:shd w:fill="auto" w:val="clear"/>
        </w:rPr>
        <w:tab/>
        <w:t xml:space="preserve">This is to certiify that the project work was undertaken by </w:t>
      </w:r>
      <w:r>
        <w:rPr>
          <w:rFonts w:ascii="Arial" w:hAnsi="Arial" w:cs="Arial" w:eastAsia="Arial"/>
          <w:b/>
          <w:color w:val="auto"/>
          <w:spacing w:val="0"/>
          <w:position w:val="0"/>
          <w:sz w:val="20"/>
          <w:shd w:fill="auto" w:val="clear"/>
        </w:rPr>
        <w:t xml:space="preserve">OLUGBODE HEPHZIBAH ABIODUN,</w:t>
      </w:r>
      <w:r>
        <w:rPr>
          <w:rFonts w:ascii="Arial" w:hAnsi="Arial" w:cs="Arial" w:eastAsia="Arial"/>
          <w:color w:val="auto"/>
          <w:spacing w:val="0"/>
          <w:position w:val="0"/>
          <w:sz w:val="20"/>
          <w:shd w:fill="auto" w:val="clear"/>
        </w:rPr>
        <w:t xml:space="preserve"> </w:t>
      </w:r>
      <w:r>
        <w:rPr>
          <w:rFonts w:ascii="Arial" w:hAnsi="Arial" w:cs="Arial" w:eastAsia="Arial"/>
          <w:b/>
          <w:color w:val="auto"/>
          <w:spacing w:val="0"/>
          <w:position w:val="0"/>
          <w:sz w:val="20"/>
          <w:shd w:fill="auto" w:val="clear"/>
        </w:rPr>
        <w:t xml:space="preserve">MATRIC NO: ND/23/STA/FT/0051</w:t>
      </w:r>
    </w:p>
    <w:p>
      <w:pPr>
        <w:spacing w:before="100" w:after="100" w:line="240"/>
        <w:ind w:right="0" w:left="0" w:firstLine="0"/>
        <w:jc w:val="left"/>
        <w:rPr>
          <w:rFonts w:ascii="Arial" w:hAnsi="Arial" w:cs="Arial" w:eastAsia="Arial"/>
          <w:b/>
          <w:color w:val="auto"/>
          <w:spacing w:val="0"/>
          <w:position w:val="0"/>
          <w:sz w:val="20"/>
          <w:shd w:fill="auto" w:val="clear"/>
        </w:rPr>
      </w:pPr>
    </w:p>
    <w:p>
      <w:pPr>
        <w:spacing w:before="100" w:after="100" w:line="240"/>
        <w:ind w:right="0" w:left="0" w:firstLine="0"/>
        <w:jc w:val="left"/>
        <w:rPr>
          <w:rFonts w:ascii="Arial" w:hAnsi="Arial" w:cs="Arial" w:eastAsia="Arial"/>
          <w:b/>
          <w:color w:val="auto"/>
          <w:spacing w:val="0"/>
          <w:position w:val="0"/>
          <w:sz w:val="20"/>
          <w:shd w:fill="auto" w:val="clear"/>
        </w:rPr>
      </w:pPr>
    </w:p>
    <w:p>
      <w:pPr>
        <w:spacing w:before="100" w:after="100" w:line="240"/>
        <w:ind w:right="0" w:left="0" w:firstLine="0"/>
        <w:jc w:val="left"/>
        <w:rPr>
          <w:rFonts w:ascii="Arial" w:hAnsi="Arial" w:cs="Arial" w:eastAsia="Arial"/>
          <w:b/>
          <w:color w:val="auto"/>
          <w:spacing w:val="0"/>
          <w:position w:val="0"/>
          <w:sz w:val="20"/>
          <w:shd w:fill="auto" w:val="clear"/>
        </w:rPr>
      </w:pPr>
    </w:p>
    <w:p>
      <w:pPr>
        <w:spacing w:before="100" w:after="100" w:line="240"/>
        <w:ind w:right="0" w:left="0" w:firstLine="0"/>
        <w:jc w:val="left"/>
        <w:rPr>
          <w:rFonts w:ascii="Arial" w:hAnsi="Arial" w:cs="Arial" w:eastAsia="Arial"/>
          <w:b/>
          <w:color w:val="auto"/>
          <w:spacing w:val="0"/>
          <w:position w:val="0"/>
          <w:sz w:val="20"/>
          <w:shd w:fill="auto" w:val="clear"/>
        </w:rPr>
      </w:pPr>
    </w:p>
    <w:p>
      <w:pPr>
        <w:spacing w:before="100" w:after="0" w:line="240"/>
        <w:ind w:right="0" w:left="0" w:firstLine="0"/>
        <w:jc w:val="left"/>
        <w:rPr>
          <w:rFonts w:ascii="Arial" w:hAnsi="Arial" w:cs="Arial" w:eastAsia="Arial"/>
          <w:b/>
          <w:i/>
          <w:color w:val="auto"/>
          <w:spacing w:val="0"/>
          <w:position w:val="0"/>
          <w:sz w:val="20"/>
          <w:shd w:fill="auto" w:val="clear"/>
        </w:rPr>
      </w:pPr>
      <w:r>
        <w:rPr>
          <w:rFonts w:ascii="Arial" w:hAnsi="Arial" w:cs="Arial" w:eastAsia="Arial"/>
          <w:b/>
          <w:color w:val="auto"/>
          <w:spacing w:val="0"/>
          <w:position w:val="0"/>
          <w:sz w:val="20"/>
          <w:shd w:fill="auto" w:val="clear"/>
        </w:rPr>
        <w:t xml:space="preserve">_________________________</w:t>
        <w:tab/>
        <w:tab/>
        <w:t xml:space="preserve">                </w:t>
        <w:tab/>
        <w:tab/>
        <w:t xml:space="preserve">_________________________</w:t>
        <w:tab/>
      </w:r>
    </w:p>
    <w:p>
      <w:pPr>
        <w:spacing w:before="100" w:after="0" w:line="240"/>
        <w:ind w:right="0" w:left="0" w:firstLine="0"/>
        <w:jc w:val="left"/>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MRS ABDULRAHMON</w:t>
        <w:tab/>
        <w:tab/>
        <w:tab/>
        <w:tab/>
        <w:tab/>
        <w:tab/>
        <w:tab/>
        <w:t xml:space="preserve">DATE</w:t>
      </w:r>
    </w:p>
    <w:p>
      <w:pPr>
        <w:spacing w:before="100" w:after="0" w:line="240"/>
        <w:ind w:right="0" w:left="0" w:firstLine="0"/>
        <w:jc w:val="left"/>
        <w:rPr>
          <w:rFonts w:ascii="Arial" w:hAnsi="Arial" w:cs="Arial" w:eastAsia="Arial"/>
          <w:b/>
          <w:i/>
          <w:color w:val="auto"/>
          <w:spacing w:val="0"/>
          <w:position w:val="0"/>
          <w:sz w:val="20"/>
          <w:shd w:fill="auto" w:val="clear"/>
        </w:rPr>
      </w:pPr>
      <w:r>
        <w:rPr>
          <w:rFonts w:ascii="Arial" w:hAnsi="Arial" w:cs="Arial" w:eastAsia="Arial"/>
          <w:i/>
          <w:color w:val="auto"/>
          <w:spacing w:val="0"/>
          <w:position w:val="0"/>
          <w:sz w:val="20"/>
          <w:shd w:fill="auto" w:val="clear"/>
        </w:rPr>
        <w:t xml:space="preserve">(Project Supervisor)</w:t>
      </w:r>
    </w:p>
    <w:p>
      <w:pPr>
        <w:spacing w:before="100" w:after="100" w:line="240"/>
        <w:ind w:right="0" w:left="0" w:firstLine="0"/>
        <w:jc w:val="left"/>
        <w:rPr>
          <w:rFonts w:ascii="Arial" w:hAnsi="Arial" w:cs="Arial" w:eastAsia="Arial"/>
          <w:b/>
          <w:i/>
          <w:color w:val="auto"/>
          <w:spacing w:val="0"/>
          <w:position w:val="0"/>
          <w:sz w:val="20"/>
          <w:shd w:fill="auto" w:val="clear"/>
        </w:rPr>
      </w:pPr>
    </w:p>
    <w:p>
      <w:pPr>
        <w:spacing w:before="100" w:after="100" w:line="240"/>
        <w:ind w:right="0" w:left="0" w:firstLine="0"/>
        <w:jc w:val="left"/>
        <w:rPr>
          <w:rFonts w:ascii="Arial" w:hAnsi="Arial" w:cs="Arial" w:eastAsia="Arial"/>
          <w:b/>
          <w:i/>
          <w:color w:val="auto"/>
          <w:spacing w:val="0"/>
          <w:position w:val="0"/>
          <w:sz w:val="20"/>
          <w:shd w:fill="auto" w:val="clear"/>
        </w:rPr>
      </w:pPr>
    </w:p>
    <w:p>
      <w:pPr>
        <w:spacing w:before="100" w:after="100" w:line="240"/>
        <w:ind w:right="0" w:left="0" w:firstLine="0"/>
        <w:jc w:val="left"/>
        <w:rPr>
          <w:rFonts w:ascii="Arial" w:hAnsi="Arial" w:cs="Arial" w:eastAsia="Arial"/>
          <w:b/>
          <w:i/>
          <w:color w:val="auto"/>
          <w:spacing w:val="0"/>
          <w:position w:val="0"/>
          <w:sz w:val="20"/>
          <w:shd w:fill="auto" w:val="clear"/>
        </w:rPr>
      </w:pPr>
    </w:p>
    <w:p>
      <w:pPr>
        <w:spacing w:before="100" w:after="0" w:line="240"/>
        <w:ind w:right="0" w:left="0" w:firstLine="0"/>
        <w:jc w:val="left"/>
        <w:rPr>
          <w:rFonts w:ascii="Arial" w:hAnsi="Arial" w:cs="Arial" w:eastAsia="Arial"/>
          <w:b/>
          <w:i/>
          <w:color w:val="auto"/>
          <w:spacing w:val="0"/>
          <w:position w:val="0"/>
          <w:sz w:val="20"/>
          <w:shd w:fill="auto" w:val="clear"/>
        </w:rPr>
      </w:pPr>
      <w:r>
        <w:rPr>
          <w:rFonts w:ascii="Arial" w:hAnsi="Arial" w:cs="Arial" w:eastAsia="Arial"/>
          <w:b/>
          <w:color w:val="auto"/>
          <w:spacing w:val="0"/>
          <w:position w:val="0"/>
          <w:sz w:val="20"/>
          <w:shd w:fill="auto" w:val="clear"/>
        </w:rPr>
        <w:t xml:space="preserve">_________________________</w:t>
        <w:tab/>
        <w:tab/>
        <w:t xml:space="preserve">                </w:t>
        <w:tab/>
        <w:tab/>
        <w:t xml:space="preserve">_________________________</w:t>
        <w:tab/>
      </w:r>
    </w:p>
    <w:p>
      <w:pPr>
        <w:spacing w:before="100" w:after="0" w:line="240"/>
        <w:ind w:right="0" w:left="0" w:firstLine="0"/>
        <w:jc w:val="left"/>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MRS AJIBOYE   </w:t>
        <w:tab/>
        <w:tab/>
        <w:tab/>
        <w:tab/>
        <w:tab/>
        <w:tab/>
        <w:tab/>
        <w:t xml:space="preserve">DATE</w:t>
      </w:r>
    </w:p>
    <w:p>
      <w:pPr>
        <w:spacing w:before="100" w:after="0" w:line="240"/>
        <w:ind w:right="0" w:left="0" w:firstLine="0"/>
        <w:jc w:val="left"/>
        <w:rPr>
          <w:rFonts w:ascii="Arial" w:hAnsi="Arial" w:cs="Arial" w:eastAsia="Arial"/>
          <w:b/>
          <w:i/>
          <w:color w:val="auto"/>
          <w:spacing w:val="0"/>
          <w:position w:val="0"/>
          <w:sz w:val="20"/>
          <w:shd w:fill="auto" w:val="clear"/>
        </w:rPr>
      </w:pPr>
      <w:r>
        <w:rPr>
          <w:rFonts w:ascii="Arial" w:hAnsi="Arial" w:cs="Arial" w:eastAsia="Arial"/>
          <w:i/>
          <w:color w:val="auto"/>
          <w:spacing w:val="0"/>
          <w:position w:val="0"/>
          <w:sz w:val="20"/>
          <w:shd w:fill="auto" w:val="clear"/>
        </w:rPr>
        <w:t xml:space="preserve">(Project Co-ordinator)</w:t>
      </w:r>
    </w:p>
    <w:p>
      <w:pPr>
        <w:spacing w:before="100" w:after="100" w:line="240"/>
        <w:ind w:right="0" w:left="0" w:firstLine="0"/>
        <w:jc w:val="left"/>
        <w:rPr>
          <w:rFonts w:ascii="Arial" w:hAnsi="Arial" w:cs="Arial" w:eastAsia="Arial"/>
          <w:b/>
          <w:i/>
          <w:color w:val="auto"/>
          <w:spacing w:val="0"/>
          <w:position w:val="0"/>
          <w:sz w:val="20"/>
          <w:shd w:fill="auto" w:val="clear"/>
        </w:rPr>
      </w:pPr>
    </w:p>
    <w:p>
      <w:pPr>
        <w:spacing w:before="100" w:after="100" w:line="240"/>
        <w:ind w:right="0" w:left="0" w:firstLine="0"/>
        <w:jc w:val="left"/>
        <w:rPr>
          <w:rFonts w:ascii="Arial" w:hAnsi="Arial" w:cs="Arial" w:eastAsia="Arial"/>
          <w:b/>
          <w:i/>
          <w:color w:val="auto"/>
          <w:spacing w:val="0"/>
          <w:position w:val="0"/>
          <w:sz w:val="20"/>
          <w:shd w:fill="auto" w:val="clear"/>
        </w:rPr>
      </w:pPr>
    </w:p>
    <w:p>
      <w:pPr>
        <w:spacing w:before="100" w:after="100" w:line="240"/>
        <w:ind w:right="0" w:left="0" w:firstLine="0"/>
        <w:jc w:val="left"/>
        <w:rPr>
          <w:rFonts w:ascii="Arial" w:hAnsi="Arial" w:cs="Arial" w:eastAsia="Arial"/>
          <w:b/>
          <w:i/>
          <w:color w:val="auto"/>
          <w:spacing w:val="0"/>
          <w:position w:val="0"/>
          <w:sz w:val="20"/>
          <w:shd w:fill="auto" w:val="clear"/>
        </w:rPr>
      </w:pPr>
    </w:p>
    <w:p>
      <w:pPr>
        <w:spacing w:before="100" w:after="0" w:line="240"/>
        <w:ind w:right="0" w:left="0" w:firstLine="0"/>
        <w:jc w:val="left"/>
        <w:rPr>
          <w:rFonts w:ascii="Arial" w:hAnsi="Arial" w:cs="Arial" w:eastAsia="Arial"/>
          <w:b/>
          <w:i/>
          <w:color w:val="auto"/>
          <w:spacing w:val="0"/>
          <w:position w:val="0"/>
          <w:sz w:val="20"/>
          <w:shd w:fill="auto" w:val="clear"/>
        </w:rPr>
      </w:pPr>
      <w:r>
        <w:rPr>
          <w:rFonts w:ascii="Arial" w:hAnsi="Arial" w:cs="Arial" w:eastAsia="Arial"/>
          <w:b/>
          <w:color w:val="auto"/>
          <w:spacing w:val="0"/>
          <w:position w:val="0"/>
          <w:sz w:val="20"/>
          <w:shd w:fill="auto" w:val="clear"/>
        </w:rPr>
        <w:t xml:space="preserve">_________________________</w:t>
        <w:tab/>
        <w:tab/>
        <w:t xml:space="preserve">                </w:t>
        <w:tab/>
        <w:tab/>
        <w:t xml:space="preserve">_________________________</w:t>
        <w:tab/>
      </w:r>
    </w:p>
    <w:p>
      <w:pPr>
        <w:spacing w:before="100" w:after="0" w:line="240"/>
        <w:ind w:right="0" w:left="0" w:firstLine="0"/>
        <w:jc w:val="left"/>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MRS ELEPO</w:t>
        <w:tab/>
        <w:tab/>
        <w:tab/>
        <w:tab/>
        <w:tab/>
        <w:tab/>
        <w:tab/>
        <w:t xml:space="preserve">            DATE</w:t>
      </w:r>
    </w:p>
    <w:p>
      <w:pPr>
        <w:spacing w:before="100" w:after="0" w:line="240"/>
        <w:ind w:right="0" w:left="0" w:firstLine="0"/>
        <w:jc w:val="left"/>
        <w:rPr>
          <w:rFonts w:ascii="Arial" w:hAnsi="Arial" w:cs="Arial" w:eastAsia="Arial"/>
          <w:b/>
          <w:i/>
          <w:color w:val="auto"/>
          <w:spacing w:val="0"/>
          <w:position w:val="0"/>
          <w:sz w:val="20"/>
          <w:shd w:fill="auto" w:val="clear"/>
        </w:rPr>
      </w:pPr>
      <w:r>
        <w:rPr>
          <w:rFonts w:ascii="Arial" w:hAnsi="Arial" w:cs="Arial" w:eastAsia="Arial"/>
          <w:i/>
          <w:color w:val="auto"/>
          <w:spacing w:val="0"/>
          <w:position w:val="0"/>
          <w:sz w:val="20"/>
          <w:shd w:fill="auto" w:val="clear"/>
        </w:rPr>
        <w:t xml:space="preserve">(Head of Department)</w:t>
      </w:r>
    </w:p>
    <w:p>
      <w:pPr>
        <w:spacing w:before="100" w:after="100" w:line="240"/>
        <w:ind w:right="0" w:left="0" w:firstLine="0"/>
        <w:jc w:val="left"/>
        <w:rPr>
          <w:rFonts w:ascii="Arial" w:hAnsi="Arial" w:cs="Arial" w:eastAsia="Arial"/>
          <w:b/>
          <w:i/>
          <w:color w:val="auto"/>
          <w:spacing w:val="0"/>
          <w:position w:val="0"/>
          <w:sz w:val="20"/>
          <w:shd w:fill="auto" w:val="clear"/>
        </w:rPr>
      </w:pPr>
    </w:p>
    <w:p>
      <w:pPr>
        <w:spacing w:before="100" w:after="100" w:line="240"/>
        <w:ind w:right="0" w:left="0" w:firstLine="0"/>
        <w:jc w:val="left"/>
        <w:rPr>
          <w:rFonts w:ascii="Arial" w:hAnsi="Arial" w:cs="Arial" w:eastAsia="Arial"/>
          <w:b/>
          <w:i/>
          <w:color w:val="auto"/>
          <w:spacing w:val="0"/>
          <w:position w:val="0"/>
          <w:sz w:val="20"/>
          <w:shd w:fill="auto" w:val="clear"/>
        </w:rPr>
      </w:pPr>
    </w:p>
    <w:p>
      <w:pPr>
        <w:spacing w:before="100" w:after="100" w:line="240"/>
        <w:ind w:right="0" w:left="0" w:firstLine="0"/>
        <w:jc w:val="left"/>
        <w:rPr>
          <w:rFonts w:ascii="Arial" w:hAnsi="Arial" w:cs="Arial" w:eastAsia="Arial"/>
          <w:b/>
          <w:i/>
          <w:color w:val="auto"/>
          <w:spacing w:val="0"/>
          <w:position w:val="0"/>
          <w:sz w:val="20"/>
          <w:shd w:fill="auto" w:val="clear"/>
        </w:rPr>
      </w:pPr>
    </w:p>
    <w:p>
      <w:pPr>
        <w:spacing w:before="100" w:after="0" w:line="240"/>
        <w:ind w:right="0" w:left="0" w:firstLine="0"/>
        <w:jc w:val="left"/>
        <w:rPr>
          <w:rFonts w:ascii="Arial" w:hAnsi="Arial" w:cs="Arial" w:eastAsia="Arial"/>
          <w:b/>
          <w:i/>
          <w:color w:val="auto"/>
          <w:spacing w:val="0"/>
          <w:position w:val="0"/>
          <w:sz w:val="20"/>
          <w:shd w:fill="auto" w:val="clear"/>
        </w:rPr>
      </w:pPr>
      <w:r>
        <w:rPr>
          <w:rFonts w:ascii="Arial" w:hAnsi="Arial" w:cs="Arial" w:eastAsia="Arial"/>
          <w:b/>
          <w:color w:val="auto"/>
          <w:spacing w:val="0"/>
          <w:position w:val="0"/>
          <w:sz w:val="20"/>
          <w:shd w:fill="auto" w:val="clear"/>
        </w:rPr>
        <w:t xml:space="preserve">_________________________</w:t>
        <w:tab/>
        <w:tab/>
        <w:t xml:space="preserve">                </w:t>
        <w:tab/>
        <w:tab/>
        <w:t xml:space="preserve">_________________________</w:t>
        <w:tab/>
      </w:r>
    </w:p>
    <w:p>
      <w:pPr>
        <w:spacing w:before="100" w:after="0" w:line="240"/>
        <w:ind w:right="0" w:left="0" w:firstLine="0"/>
        <w:jc w:val="left"/>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EXTERNAL EXAMINER </w:t>
        <w:tab/>
        <w:tab/>
        <w:tab/>
        <w:tab/>
        <w:tab/>
        <w:tab/>
        <w:t xml:space="preserve">DATE</w:t>
      </w:r>
    </w:p>
    <w:p>
      <w:pPr>
        <w:spacing w:before="100" w:after="100" w:line="240"/>
        <w:ind w:right="0" w:left="0" w:firstLine="0"/>
        <w:jc w:val="left"/>
        <w:rPr>
          <w:rFonts w:ascii="Arial" w:hAnsi="Arial" w:cs="Arial" w:eastAsia="Arial"/>
          <w:b/>
          <w:i/>
          <w:color w:val="auto"/>
          <w:spacing w:val="0"/>
          <w:position w:val="0"/>
          <w:sz w:val="20"/>
          <w:shd w:fill="auto" w:val="clear"/>
        </w:rPr>
      </w:pPr>
    </w:p>
    <w:p>
      <w:pPr>
        <w:spacing w:before="100" w:after="100" w:line="240"/>
        <w:ind w:right="0" w:left="0" w:firstLine="0"/>
        <w:jc w:val="left"/>
        <w:rPr>
          <w:rFonts w:ascii="Arial" w:hAnsi="Arial" w:cs="Arial" w:eastAsia="Arial"/>
          <w:b/>
          <w:i/>
          <w:color w:val="auto"/>
          <w:spacing w:val="0"/>
          <w:position w:val="0"/>
          <w:sz w:val="20"/>
          <w:shd w:fill="auto" w:val="clear"/>
        </w:rPr>
      </w:pPr>
    </w:p>
    <w:p>
      <w:pPr>
        <w:spacing w:before="100" w:after="100" w:line="240"/>
        <w:ind w:right="0" w:left="0" w:firstLine="0"/>
        <w:jc w:val="left"/>
        <w:rPr>
          <w:rFonts w:ascii="Arial" w:hAnsi="Arial" w:cs="Arial" w:eastAsia="Arial"/>
          <w:b/>
          <w:i/>
          <w:color w:val="auto"/>
          <w:spacing w:val="0"/>
          <w:position w:val="0"/>
          <w:sz w:val="20"/>
          <w:shd w:fill="auto" w:val="clear"/>
        </w:rPr>
      </w:pPr>
    </w:p>
    <w:p>
      <w:pPr>
        <w:spacing w:before="100" w:after="100" w:line="240"/>
        <w:ind w:right="0" w:left="0" w:firstLine="0"/>
        <w:jc w:val="left"/>
        <w:rPr>
          <w:rFonts w:ascii="Arial" w:hAnsi="Arial" w:cs="Arial" w:eastAsia="Arial"/>
          <w:b/>
          <w:i/>
          <w:color w:val="auto"/>
          <w:spacing w:val="0"/>
          <w:position w:val="0"/>
          <w:sz w:val="20"/>
          <w:shd w:fill="auto" w:val="clear"/>
        </w:rPr>
      </w:pPr>
    </w:p>
    <w:p>
      <w:pPr>
        <w:spacing w:before="100" w:after="100" w:line="240"/>
        <w:ind w:right="0" w:left="0" w:firstLine="0"/>
        <w:jc w:val="center"/>
        <w:rPr>
          <w:rFonts w:ascii="Arial" w:hAnsi="Arial" w:cs="Arial" w:eastAsia="Arial"/>
          <w:b/>
          <w:i/>
          <w:color w:val="auto"/>
          <w:spacing w:val="0"/>
          <w:position w:val="0"/>
          <w:sz w:val="20"/>
          <w:shd w:fill="auto" w:val="clear"/>
        </w:rPr>
      </w:pPr>
      <w:r>
        <w:rPr>
          <w:rFonts w:ascii="Arial" w:hAnsi="Arial" w:cs="Arial" w:eastAsia="Arial"/>
          <w:b/>
          <w:i/>
          <w:color w:val="auto"/>
          <w:spacing w:val="0"/>
          <w:position w:val="0"/>
          <w:sz w:val="20"/>
          <w:shd w:fill="auto" w:val="clear"/>
        </w:rPr>
        <w:t xml:space="preserve">DEDICATION</w:t>
      </w:r>
    </w:p>
    <w:p>
      <w:pPr>
        <w:spacing w:before="100" w:after="10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I dedicate this work to Almighty GOD and my mum, Mrs. B.O popoola for always loving and supporting me toward the successful of the course</w:t>
      </w:r>
    </w:p>
    <w:p>
      <w:pPr>
        <w:spacing w:before="100" w:after="100" w:line="240"/>
        <w:ind w:right="0" w:left="0" w:firstLine="0"/>
        <w:jc w:val="left"/>
        <w:rPr>
          <w:rFonts w:ascii="Arial" w:hAnsi="Arial" w:cs="Arial" w:eastAsia="Arial"/>
          <w:color w:val="auto"/>
          <w:spacing w:val="0"/>
          <w:position w:val="0"/>
          <w:sz w:val="20"/>
          <w:shd w:fill="auto" w:val="clear"/>
        </w:rPr>
      </w:pPr>
    </w:p>
    <w:p>
      <w:pPr>
        <w:spacing w:before="100" w:after="100" w:line="240"/>
        <w:ind w:right="0" w:left="0" w:firstLine="0"/>
        <w:jc w:val="left"/>
        <w:rPr>
          <w:rFonts w:ascii="Arial" w:hAnsi="Arial" w:cs="Arial" w:eastAsia="Arial"/>
          <w:color w:val="auto"/>
          <w:spacing w:val="0"/>
          <w:position w:val="0"/>
          <w:sz w:val="20"/>
          <w:shd w:fill="auto" w:val="clear"/>
        </w:rPr>
      </w:pPr>
    </w:p>
    <w:p>
      <w:pPr>
        <w:spacing w:before="100" w:after="100" w:line="240"/>
        <w:ind w:right="0" w:left="0" w:firstLine="0"/>
        <w:jc w:val="left"/>
        <w:rPr>
          <w:rFonts w:ascii="Arial" w:hAnsi="Arial" w:cs="Arial" w:eastAsia="Arial"/>
          <w:color w:val="auto"/>
          <w:spacing w:val="0"/>
          <w:position w:val="0"/>
          <w:sz w:val="20"/>
          <w:shd w:fill="auto" w:val="clear"/>
        </w:rPr>
      </w:pPr>
    </w:p>
    <w:p>
      <w:pPr>
        <w:spacing w:before="100" w:after="100" w:line="240"/>
        <w:ind w:right="0" w:left="0" w:firstLine="0"/>
        <w:jc w:val="left"/>
        <w:rPr>
          <w:rFonts w:ascii="Arial" w:hAnsi="Arial" w:cs="Arial" w:eastAsia="Arial"/>
          <w:color w:val="auto"/>
          <w:spacing w:val="0"/>
          <w:position w:val="0"/>
          <w:sz w:val="20"/>
          <w:shd w:fill="auto" w:val="clear"/>
        </w:rPr>
      </w:pPr>
    </w:p>
    <w:p>
      <w:pPr>
        <w:spacing w:before="100" w:after="100" w:line="240"/>
        <w:ind w:right="0" w:left="0" w:firstLine="0"/>
        <w:jc w:val="left"/>
        <w:rPr>
          <w:rFonts w:ascii="Arial" w:hAnsi="Arial" w:cs="Arial" w:eastAsia="Arial"/>
          <w:color w:val="auto"/>
          <w:spacing w:val="0"/>
          <w:position w:val="0"/>
          <w:sz w:val="20"/>
          <w:shd w:fill="auto" w:val="clear"/>
        </w:rPr>
      </w:pPr>
    </w:p>
    <w:p>
      <w:pPr>
        <w:spacing w:before="100" w:after="100" w:line="240"/>
        <w:ind w:right="0" w:left="0" w:firstLine="0"/>
        <w:jc w:val="left"/>
        <w:rPr>
          <w:rFonts w:ascii="Arial" w:hAnsi="Arial" w:cs="Arial" w:eastAsia="Arial"/>
          <w:color w:val="auto"/>
          <w:spacing w:val="0"/>
          <w:position w:val="0"/>
          <w:sz w:val="20"/>
          <w:shd w:fill="auto" w:val="clear"/>
        </w:rPr>
      </w:pPr>
    </w:p>
    <w:p>
      <w:pPr>
        <w:spacing w:before="100" w:after="100" w:line="240"/>
        <w:ind w:right="0" w:left="0" w:firstLine="0"/>
        <w:jc w:val="left"/>
        <w:rPr>
          <w:rFonts w:ascii="Arial" w:hAnsi="Arial" w:cs="Arial" w:eastAsia="Arial"/>
          <w:color w:val="auto"/>
          <w:spacing w:val="0"/>
          <w:position w:val="0"/>
          <w:sz w:val="20"/>
          <w:shd w:fill="auto" w:val="clear"/>
        </w:rPr>
      </w:pPr>
    </w:p>
    <w:p>
      <w:pPr>
        <w:spacing w:before="100" w:after="100" w:line="240"/>
        <w:ind w:right="0" w:left="0" w:firstLine="0"/>
        <w:jc w:val="left"/>
        <w:rPr>
          <w:rFonts w:ascii="Arial" w:hAnsi="Arial" w:cs="Arial" w:eastAsia="Arial"/>
          <w:color w:val="auto"/>
          <w:spacing w:val="0"/>
          <w:position w:val="0"/>
          <w:sz w:val="20"/>
          <w:shd w:fill="auto" w:val="clear"/>
        </w:rPr>
      </w:pPr>
    </w:p>
    <w:p>
      <w:pPr>
        <w:spacing w:before="100" w:after="100" w:line="240"/>
        <w:ind w:right="0" w:left="0" w:firstLine="0"/>
        <w:jc w:val="left"/>
        <w:rPr>
          <w:rFonts w:ascii="Arial" w:hAnsi="Arial" w:cs="Arial" w:eastAsia="Arial"/>
          <w:color w:val="auto"/>
          <w:spacing w:val="0"/>
          <w:position w:val="0"/>
          <w:sz w:val="20"/>
          <w:shd w:fill="auto" w:val="clear"/>
        </w:rPr>
      </w:pPr>
    </w:p>
    <w:p>
      <w:pPr>
        <w:spacing w:before="100" w:after="100" w:line="240"/>
        <w:ind w:right="0" w:left="0" w:firstLine="0"/>
        <w:jc w:val="left"/>
        <w:rPr>
          <w:rFonts w:ascii="Arial" w:hAnsi="Arial" w:cs="Arial" w:eastAsia="Arial"/>
          <w:color w:val="auto"/>
          <w:spacing w:val="0"/>
          <w:position w:val="0"/>
          <w:sz w:val="20"/>
          <w:shd w:fill="auto" w:val="clear"/>
        </w:rPr>
      </w:pPr>
    </w:p>
    <w:p>
      <w:pPr>
        <w:spacing w:before="100" w:after="100" w:line="240"/>
        <w:ind w:right="0" w:left="0" w:firstLine="0"/>
        <w:jc w:val="left"/>
        <w:rPr>
          <w:rFonts w:ascii="Arial" w:hAnsi="Arial" w:cs="Arial" w:eastAsia="Arial"/>
          <w:color w:val="auto"/>
          <w:spacing w:val="0"/>
          <w:position w:val="0"/>
          <w:sz w:val="20"/>
          <w:shd w:fill="auto" w:val="clear"/>
        </w:rPr>
      </w:pPr>
    </w:p>
    <w:p>
      <w:pPr>
        <w:spacing w:before="100" w:after="100" w:line="240"/>
        <w:ind w:right="0" w:left="0" w:firstLine="0"/>
        <w:jc w:val="left"/>
        <w:rPr>
          <w:rFonts w:ascii="Arial" w:hAnsi="Arial" w:cs="Arial" w:eastAsia="Arial"/>
          <w:color w:val="auto"/>
          <w:spacing w:val="0"/>
          <w:position w:val="0"/>
          <w:sz w:val="20"/>
          <w:shd w:fill="auto" w:val="clear"/>
        </w:rPr>
      </w:pPr>
    </w:p>
    <w:p>
      <w:pPr>
        <w:spacing w:before="100" w:after="100" w:line="240"/>
        <w:ind w:right="0" w:left="0" w:firstLine="0"/>
        <w:jc w:val="left"/>
        <w:rPr>
          <w:rFonts w:ascii="Arial" w:hAnsi="Arial" w:cs="Arial" w:eastAsia="Arial"/>
          <w:color w:val="auto"/>
          <w:spacing w:val="0"/>
          <w:position w:val="0"/>
          <w:sz w:val="20"/>
          <w:shd w:fill="auto" w:val="clear"/>
        </w:rPr>
      </w:pPr>
    </w:p>
    <w:p>
      <w:pPr>
        <w:spacing w:before="100" w:after="100" w:line="240"/>
        <w:ind w:right="0" w:left="0" w:firstLine="0"/>
        <w:jc w:val="left"/>
        <w:rPr>
          <w:rFonts w:ascii="Arial" w:hAnsi="Arial" w:cs="Arial" w:eastAsia="Arial"/>
          <w:color w:val="auto"/>
          <w:spacing w:val="0"/>
          <w:position w:val="0"/>
          <w:sz w:val="20"/>
          <w:shd w:fill="auto" w:val="clear"/>
        </w:rPr>
      </w:pPr>
    </w:p>
    <w:p>
      <w:pPr>
        <w:spacing w:before="100" w:after="100" w:line="240"/>
        <w:ind w:right="0" w:left="0" w:firstLine="0"/>
        <w:jc w:val="left"/>
        <w:rPr>
          <w:rFonts w:ascii="Arial" w:hAnsi="Arial" w:cs="Arial" w:eastAsia="Arial"/>
          <w:color w:val="auto"/>
          <w:spacing w:val="0"/>
          <w:position w:val="0"/>
          <w:sz w:val="20"/>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center"/>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ACKNOWLEDGEMENT</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My ambigous appreciation goes to almighty GOD for his compassion and tender mercy that is everlasting, also alll glory, honour,and adoration for always being there for me throughout this period of my studies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My sincere appreciation goes to my principled supervisor, Mrs Abdulrahmon for her nurturing, comforting and being supportive throughout my stay in school and towards the completion of this project work, You are my hero and a role model, May God continues to bless and strengthen you in all aspect in life.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My appreciation also go to Head Of Department of statistics Mrs ELEPO may God guide you in every and task you do in life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My appreciation goes to all my lecturer in the Department of statistics for the discipline, knowledge they've inseminated in me through my stay in the polytechic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Also, i am lightly indebted to my mum Mrs B.O Popoola for her support towards my program i pray you will eat the fruit of your labour in joy and happiness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My special thanks gioes my uncle Mr Clement Jolayemi; thanks for all you do, despite what you are passing through, may god bless you</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To my brothers and sister (Ashaolu Emmanuel, Oladipo Ayomide, Ojo Sodiq, Jolayemi Comfort) for their moral support may God continues to increases you wisdom knowledge and understanding </w:t>
        <w:br/>
        <w:t xml:space="preserve">Thank you for helping me achieve my academic goals and dreams and also i want to thank the graduating students of Statistics Department Kwara State Polytechnic </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100" w:after="100" w:line="240"/>
        <w:ind w:right="0" w:left="0" w:firstLine="0"/>
        <w:jc w:val="center"/>
        <w:rPr>
          <w:rFonts w:ascii="Times New Roman" w:hAnsi="Times New Roman" w:cs="Times New Roman" w:eastAsia="Times New Roman"/>
          <w:b/>
          <w:color w:val="auto"/>
          <w:spacing w:val="0"/>
          <w:position w:val="0"/>
          <w:sz w:val="27"/>
          <w:shd w:fill="auto" w:val="clear"/>
        </w:rPr>
      </w:pPr>
      <w:r>
        <w:rPr>
          <w:rFonts w:ascii="Times New Roman" w:hAnsi="Times New Roman" w:cs="Times New Roman" w:eastAsia="Times New Roman"/>
          <w:b/>
          <w:color w:val="auto"/>
          <w:spacing w:val="0"/>
          <w:position w:val="0"/>
          <w:sz w:val="27"/>
          <w:shd w:fill="auto" w:val="clear"/>
        </w:rPr>
        <w:t xml:space="preserve">Abstract</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Measles is a highly contagious viral disease, and immunization is the most effective method to prevent its spread. Despite various global and national immunization campaigns, coverage gaps still exist in many regions. This study examines the number of children immunized against measles at General Hospital, Surulere, Ilorin, to assess immunization trends and determine whether there is a significant variation in immunization rates across different months. A </w:t>
      </w:r>
      <w:r>
        <w:rPr>
          <w:rFonts w:ascii="Times New Roman" w:hAnsi="Times New Roman" w:cs="Times New Roman" w:eastAsia="Times New Roman"/>
          <w:b/>
          <w:color w:val="auto"/>
          <w:spacing w:val="0"/>
          <w:position w:val="0"/>
          <w:sz w:val="24"/>
          <w:shd w:fill="auto" w:val="clear"/>
        </w:rPr>
        <w:t xml:space="preserve">descriptive research design</w:t>
      </w:r>
      <w:r>
        <w:rPr>
          <w:rFonts w:ascii="Times New Roman" w:hAnsi="Times New Roman" w:cs="Times New Roman" w:eastAsia="Times New Roman"/>
          <w:color w:val="auto"/>
          <w:spacing w:val="0"/>
          <w:position w:val="0"/>
          <w:sz w:val="24"/>
          <w:shd w:fill="auto" w:val="clear"/>
        </w:rPr>
        <w:t xml:space="preserve"> was adopted, utilizing </w:t>
      </w:r>
      <w:r>
        <w:rPr>
          <w:rFonts w:ascii="Times New Roman" w:hAnsi="Times New Roman" w:cs="Times New Roman" w:eastAsia="Times New Roman"/>
          <w:b/>
          <w:color w:val="auto"/>
          <w:spacing w:val="0"/>
          <w:position w:val="0"/>
          <w:sz w:val="24"/>
          <w:shd w:fill="auto" w:val="clear"/>
        </w:rPr>
        <w:t xml:space="preserve">secondary data</w:t>
      </w:r>
      <w:r>
        <w:rPr>
          <w:rFonts w:ascii="Times New Roman" w:hAnsi="Times New Roman" w:cs="Times New Roman" w:eastAsia="Times New Roman"/>
          <w:color w:val="auto"/>
          <w:spacing w:val="0"/>
          <w:position w:val="0"/>
          <w:sz w:val="24"/>
          <w:shd w:fill="auto" w:val="clear"/>
        </w:rPr>
        <w:t xml:space="preserve"> (hospital immunization records). Descriptive statistical methods, including </w:t>
      </w:r>
      <w:r>
        <w:rPr>
          <w:rFonts w:ascii="Times New Roman" w:hAnsi="Times New Roman" w:cs="Times New Roman" w:eastAsia="Times New Roman"/>
          <w:b/>
          <w:color w:val="auto"/>
          <w:spacing w:val="0"/>
          <w:position w:val="0"/>
          <w:sz w:val="24"/>
          <w:shd w:fill="auto" w:val="clear"/>
        </w:rPr>
        <w:t xml:space="preserve">mean, median, mode, standard deviation, and bar charts</w:t>
      </w:r>
      <w:r>
        <w:rPr>
          <w:rFonts w:ascii="Times New Roman" w:hAnsi="Times New Roman" w:cs="Times New Roman" w:eastAsia="Times New Roman"/>
          <w:color w:val="auto"/>
          <w:spacing w:val="0"/>
          <w:position w:val="0"/>
          <w:sz w:val="24"/>
          <w:shd w:fill="auto" w:val="clear"/>
        </w:rPr>
        <w:t xml:space="preserve">, were used to summarize the data. Additionally, </w:t>
      </w:r>
      <w:r>
        <w:rPr>
          <w:rFonts w:ascii="Times New Roman" w:hAnsi="Times New Roman" w:cs="Times New Roman" w:eastAsia="Times New Roman"/>
          <w:b/>
          <w:color w:val="auto"/>
          <w:spacing w:val="0"/>
          <w:position w:val="0"/>
          <w:sz w:val="24"/>
          <w:shd w:fill="auto" w:val="clear"/>
        </w:rPr>
        <w:t xml:space="preserve">One-Way ANOVA</w:t>
      </w:r>
      <w:r>
        <w:rPr>
          <w:rFonts w:ascii="Times New Roman" w:hAnsi="Times New Roman" w:cs="Times New Roman" w:eastAsia="Times New Roman"/>
          <w:color w:val="auto"/>
          <w:spacing w:val="0"/>
          <w:position w:val="0"/>
          <w:sz w:val="24"/>
          <w:shd w:fill="auto" w:val="clear"/>
        </w:rPr>
        <w:t xml:space="preserve"> was conducted to test for significant differences in immunization rates across different months. The findings revealed that the number of children immunized per week ranged between </w:t>
      </w:r>
      <w:r>
        <w:rPr>
          <w:rFonts w:ascii="Times New Roman" w:hAnsi="Times New Roman" w:cs="Times New Roman" w:eastAsia="Times New Roman"/>
          <w:b/>
          <w:color w:val="auto"/>
          <w:spacing w:val="0"/>
          <w:position w:val="0"/>
          <w:sz w:val="24"/>
          <w:shd w:fill="auto" w:val="clear"/>
        </w:rPr>
        <w:t xml:space="preserve">1020 and 1345</w:t>
      </w:r>
      <w:r>
        <w:rPr>
          <w:rFonts w:ascii="Times New Roman" w:hAnsi="Times New Roman" w:cs="Times New Roman" w:eastAsia="Times New Roman"/>
          <w:color w:val="auto"/>
          <w:spacing w:val="0"/>
          <w:position w:val="0"/>
          <w:sz w:val="24"/>
          <w:shd w:fill="auto" w:val="clear"/>
        </w:rPr>
        <w:t xml:space="preserve">, with an average of </w:t>
      </w:r>
      <w:r>
        <w:rPr>
          <w:rFonts w:ascii="Times New Roman" w:hAnsi="Times New Roman" w:cs="Times New Roman" w:eastAsia="Times New Roman"/>
          <w:b/>
          <w:color w:val="auto"/>
          <w:spacing w:val="0"/>
          <w:position w:val="0"/>
          <w:sz w:val="24"/>
          <w:shd w:fill="auto" w:val="clear"/>
        </w:rPr>
        <w:t xml:space="preserve">1185.69 (SD = 86.606)</w:t>
      </w:r>
      <w:r>
        <w:rPr>
          <w:rFonts w:ascii="Times New Roman" w:hAnsi="Times New Roman" w:cs="Times New Roman" w:eastAsia="Times New Roman"/>
          <w:color w:val="auto"/>
          <w:spacing w:val="0"/>
          <w:position w:val="0"/>
          <w:sz w:val="24"/>
          <w:shd w:fill="auto" w:val="clear"/>
        </w:rPr>
        <w:t xml:space="preserve">. The </w:t>
      </w:r>
      <w:r>
        <w:rPr>
          <w:rFonts w:ascii="Times New Roman" w:hAnsi="Times New Roman" w:cs="Times New Roman" w:eastAsia="Times New Roman"/>
          <w:b/>
          <w:color w:val="auto"/>
          <w:spacing w:val="0"/>
          <w:position w:val="0"/>
          <w:sz w:val="24"/>
          <w:shd w:fill="auto" w:val="clear"/>
        </w:rPr>
        <w:t xml:space="preserve">ANOVA results (p = 0.350)</w:t>
      </w:r>
      <w:r>
        <w:rPr>
          <w:rFonts w:ascii="Times New Roman" w:hAnsi="Times New Roman" w:cs="Times New Roman" w:eastAsia="Times New Roman"/>
          <w:color w:val="auto"/>
          <w:spacing w:val="0"/>
          <w:position w:val="0"/>
          <w:sz w:val="24"/>
          <w:shd w:fill="auto" w:val="clear"/>
        </w:rPr>
        <w:t xml:space="preserve"> indicated no statistically significant difference in the number of children immunized across months, suggesting that immunization efforts remained relatively stable throughout the study period. Based on these findings, the study recommends strengthening </w:t>
      </w:r>
      <w:r>
        <w:rPr>
          <w:rFonts w:ascii="Times New Roman" w:hAnsi="Times New Roman" w:cs="Times New Roman" w:eastAsia="Times New Roman"/>
          <w:b/>
          <w:color w:val="auto"/>
          <w:spacing w:val="0"/>
          <w:position w:val="0"/>
          <w:sz w:val="24"/>
          <w:shd w:fill="auto" w:val="clear"/>
        </w:rPr>
        <w:t xml:space="preserve">awareness campaigns</w:t>
      </w:r>
      <w:r>
        <w:rPr>
          <w:rFonts w:ascii="Times New Roman" w:hAnsi="Times New Roman" w:cs="Times New Roman" w:eastAsia="Times New Roman"/>
          <w:color w:val="auto"/>
          <w:spacing w:val="0"/>
          <w:position w:val="0"/>
          <w:sz w:val="24"/>
          <w:shd w:fill="auto" w:val="clear"/>
        </w:rPr>
        <w:t xml:space="preserve">, improving </w:t>
      </w:r>
      <w:r>
        <w:rPr>
          <w:rFonts w:ascii="Times New Roman" w:hAnsi="Times New Roman" w:cs="Times New Roman" w:eastAsia="Times New Roman"/>
          <w:b/>
          <w:color w:val="auto"/>
          <w:spacing w:val="0"/>
          <w:position w:val="0"/>
          <w:sz w:val="24"/>
          <w:shd w:fill="auto" w:val="clear"/>
        </w:rPr>
        <w:t xml:space="preserve">accessibility to immunization services</w:t>
      </w:r>
      <w:r>
        <w:rPr>
          <w:rFonts w:ascii="Times New Roman" w:hAnsi="Times New Roman" w:cs="Times New Roman" w:eastAsia="Times New Roman"/>
          <w:color w:val="auto"/>
          <w:spacing w:val="0"/>
          <w:position w:val="0"/>
          <w:sz w:val="24"/>
          <w:shd w:fill="auto" w:val="clear"/>
        </w:rPr>
        <w:t xml:space="preserve">, and </w:t>
      </w:r>
      <w:r>
        <w:rPr>
          <w:rFonts w:ascii="Times New Roman" w:hAnsi="Times New Roman" w:cs="Times New Roman" w:eastAsia="Times New Roman"/>
          <w:b/>
          <w:color w:val="auto"/>
          <w:spacing w:val="0"/>
          <w:position w:val="0"/>
          <w:sz w:val="24"/>
          <w:shd w:fill="auto" w:val="clear"/>
        </w:rPr>
        <w:t xml:space="preserve">enhancing policy implementation</w:t>
      </w:r>
      <w:r>
        <w:rPr>
          <w:rFonts w:ascii="Times New Roman" w:hAnsi="Times New Roman" w:cs="Times New Roman" w:eastAsia="Times New Roman"/>
          <w:color w:val="auto"/>
          <w:spacing w:val="0"/>
          <w:position w:val="0"/>
          <w:sz w:val="24"/>
          <w:shd w:fill="auto" w:val="clear"/>
        </w:rPr>
        <w:t xml:space="preserve"> to further increase immunization coverage. Future research should explore the impact of socio-economic and cultural factors on immunization uptake.</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Keywords:</w:t>
      </w:r>
      <w:r>
        <w:rPr>
          <w:rFonts w:ascii="Times New Roman" w:hAnsi="Times New Roman" w:cs="Times New Roman" w:eastAsia="Times New Roman"/>
          <w:color w:val="auto"/>
          <w:spacing w:val="0"/>
          <w:position w:val="0"/>
          <w:sz w:val="24"/>
          <w:shd w:fill="auto" w:val="clear"/>
        </w:rPr>
        <w:t xml:space="preserve"> Measles, Immunization, One-Way ANOVA, Public Health, Nigeria</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TABLE OF CONTENT</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CHAPTER ONE</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INTRODUCTION</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1.1 Background Of The Study</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1.2 Problem Statement</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1.3 Aims and Objectives Of The Study</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1.4 Significance of the Study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1.5 Research Hypothesis</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1.6 Scope of the study</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1.7 Limitations of the study</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CHAPTER TWO</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Literature Review</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CHAPTER THREE</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3.1 Methodology</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 Data Presentation</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CHAPTER FOUR</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DATA ANALYSIS</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4.1 Introduction</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4.2 Analysis of Data</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4.3 Interpretation of Descriptive Statistics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CHAPTER FIVE</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2"/>
          <w:shd w:fill="auto" w:val="clear"/>
        </w:rPr>
        <w:t xml:space="preserve">SUMMARY OF FINDINGS,CONCLUSION, AND RECOMMENDATION</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5.1 Summary findings</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5.2 Conclusion</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5.3 Recommendation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REFERENCES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Chapter 1</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Introduction</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1.1 Background of the Study</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Measles is a highly contagious viral disease that primarily affects children, causing severe health complications such as pneumonia, encephalitis, and even death, especially among malnourished children and those with weakened immune systems. The disease spreads through respiratory droplets and remains a significant cause of child mortality in many low-income and developing regions.</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Immunization against measles has proven to be the most effective method of preventing outbreaks and reducing child mortality rates. The introduction of the measles vaccine has significantly lowered the global burden of the disease, with millions of lives saved annually. However, despite widespread vaccination efforts, measles continues to resurface in various parts of the world due to gaps in immunization coverage, vaccine hesitancy, and logistical challenges in vaccine distribution.</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Nigeria, measles remains a major public health concern, with periodic outbreaks occurring due to inadequate vaccine coverage. The Ilorin General Hospital, Geri, serves as a crucial healthcare facility providing immunization services to children in the region. However, factors such as lack of awareness, socio-economic barriers, and healthcare infrastructure challenges may contribute to suboptimal immunization rates. Understanding the dynamics of measles immunization at Ilorin General Hospital, Geri, is essential in addressing gaps and formulating strategies to improve vaccine uptake.Measles is a viral disease characterized by fever, cough, conjunctivitis, and a distinctive rash. It can lead to complications such as pneumonia, encephalitis, and even death, particularly in children with weak immune systems. The World Health Organization (WHO) emphasizes immunization as the key to measles eradication.The measles vaccine, often administered as part of the Measles-Mumps-Rubella (MMR) vaccine, is highly effective in preventing measles infection. Studies have shown that widespread vaccination leads to herd immunity, protecting even those who are not vaccinated.Data from WHO and UNICEF indicate that global measles immunization coverage has increased significantly, but some regions still struggle with low vaccination rates. Factors such as conflicts, poverty, and misinformation contribute to these disparities.</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1.2 Problem Statement</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Measles remains a public health challenge in many parts of the world. The number of children immunized against measles varies due to factors like vaccine hesitancy, inadequate healthcare infrastructure, and socioeconomic conditions. Understanding the trends and barriers to immunization can help in devising strategies to improve vaccine coverage and eliminate measles. This study specifically examines the immunization coverage at Ilorin General Hospital, Geri, and the challenges faced in achieving optimal immunization rates.</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1.3 Aim and Objectives of the Study</w:t>
      </w: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main of the project is to study the number of children being immunized against measles, while the Objectives are;</w:t>
      </w:r>
    </w:p>
    <w:p>
      <w:pPr>
        <w:numPr>
          <w:ilvl w:val="0"/>
          <w:numId w:val="25"/>
        </w:numPr>
        <w:spacing w:before="0" w:after="160" w:line="25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 show the descriptive statistics of the data.</w:t>
      </w:r>
    </w:p>
    <w:p>
      <w:pPr>
        <w:numPr>
          <w:ilvl w:val="0"/>
          <w:numId w:val="25"/>
        </w:numPr>
        <w:spacing w:before="0" w:after="160" w:line="25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 determine if there is significance difference in the number of children immunized across months.</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1.4 Significance of the Study</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study is crucial in highlighting the importance of measles immunization and identifying gaps in vaccine coverage at Ilorin General Hospital, Geri. The findings will help policymakers, healthcare providers, and communities develop targeted interventions to increase vaccine uptake in the hospital and surrounding areas.</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1.5 Research Hypothesis:</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0"/>
          <w:position w:val="0"/>
          <w:sz w:val="24"/>
          <w:shd w:fill="auto" w:val="clear"/>
          <w:vertAlign w:val="subscript"/>
        </w:rPr>
        <w:t xml:space="preserve">o</w:t>
      </w:r>
      <w:r>
        <w:rPr>
          <w:rFonts w:ascii="Times New Roman" w:hAnsi="Times New Roman" w:cs="Times New Roman" w:eastAsia="Times New Roman"/>
          <w:color w:val="auto"/>
          <w:spacing w:val="0"/>
          <w:position w:val="0"/>
          <w:sz w:val="24"/>
          <w:shd w:fill="auto" w:val="clear"/>
        </w:rPr>
        <w:t xml:space="preserve">: There is no significant difference in the number of children immunized against measles across months.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0"/>
          <w:position w:val="0"/>
          <w:sz w:val="24"/>
          <w:shd w:fill="auto" w:val="clear"/>
          <w:vertAlign w:val="subscript"/>
        </w:rPr>
        <w:t xml:space="preserve">1</w:t>
      </w:r>
      <w:r>
        <w:rPr>
          <w:rFonts w:ascii="Times New Roman" w:hAnsi="Times New Roman" w:cs="Times New Roman" w:eastAsia="Times New Roman"/>
          <w:color w:val="auto"/>
          <w:spacing w:val="0"/>
          <w:position w:val="0"/>
          <w:sz w:val="24"/>
          <w:shd w:fill="auto" w:val="clear"/>
        </w:rPr>
        <w:t xml:space="preserve">: There is a significant difference in the number of children immunized against measles across months</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1.6 Scope of the Study</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study focuses on the number of children immunized against measles at Ilorin General Hospital, Geri. It examines immunization trends over a specified period, factors influencing vaccine uptake, and the effectiveness of immunization programs in the hospital. The study will utilize secondary data (hospital records, WHO, and UNICEF reports) to assess the immunization coverage and challenges faced.</w:t>
      </w:r>
    </w:p>
    <w:p>
      <w:pPr>
        <w:keepNext w:val="true"/>
        <w:keepLines w:val="true"/>
        <w:spacing w:before="40" w:after="0" w:line="259"/>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1.7  Limitations of the Study</w:t>
      </w:r>
    </w:p>
    <w:p>
      <w:pPr>
        <w:numPr>
          <w:ilvl w:val="0"/>
          <w:numId w:val="28"/>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Data Availability:</w:t>
      </w:r>
      <w:r>
        <w:rPr>
          <w:rFonts w:ascii="Times New Roman" w:hAnsi="Times New Roman" w:cs="Times New Roman" w:eastAsia="Times New Roman"/>
          <w:color w:val="auto"/>
          <w:spacing w:val="0"/>
          <w:position w:val="0"/>
          <w:sz w:val="24"/>
          <w:shd w:fill="auto" w:val="clear"/>
        </w:rPr>
        <w:t xml:space="preserve"> The study relies on hospital records, which may have gaps or inconsistencies in documentation.</w:t>
      </w:r>
    </w:p>
    <w:p>
      <w:pPr>
        <w:numPr>
          <w:ilvl w:val="0"/>
          <w:numId w:val="28"/>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Sample Size Constraints:</w:t>
      </w:r>
      <w:r>
        <w:rPr>
          <w:rFonts w:ascii="Times New Roman" w:hAnsi="Times New Roman" w:cs="Times New Roman" w:eastAsia="Times New Roman"/>
          <w:color w:val="auto"/>
          <w:spacing w:val="0"/>
          <w:position w:val="0"/>
          <w:sz w:val="24"/>
          <w:shd w:fill="auto" w:val="clear"/>
        </w:rPr>
        <w:t xml:space="preserve"> The study is limited to children immunized at Ilorin General Hospital, Geri, and may not fully represent the immunization status of the entire Ilorin region.</w:t>
      </w:r>
    </w:p>
    <w:p>
      <w:pPr>
        <w:numPr>
          <w:ilvl w:val="0"/>
          <w:numId w:val="28"/>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Response Bias:</w:t>
      </w:r>
      <w:r>
        <w:rPr>
          <w:rFonts w:ascii="Times New Roman" w:hAnsi="Times New Roman" w:cs="Times New Roman" w:eastAsia="Times New Roman"/>
          <w:color w:val="auto"/>
          <w:spacing w:val="0"/>
          <w:position w:val="0"/>
          <w:sz w:val="24"/>
          <w:shd w:fill="auto" w:val="clear"/>
        </w:rPr>
        <w:t xml:space="preserve"> Survey responses from parents and healthcare workers may be influenced by recall bias or personal opinions.</w:t>
      </w:r>
    </w:p>
    <w:p>
      <w:pPr>
        <w:numPr>
          <w:ilvl w:val="0"/>
          <w:numId w:val="28"/>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Time Constraints:</w:t>
      </w:r>
      <w:r>
        <w:rPr>
          <w:rFonts w:ascii="Times New Roman" w:hAnsi="Times New Roman" w:cs="Times New Roman" w:eastAsia="Times New Roman"/>
          <w:color w:val="auto"/>
          <w:spacing w:val="0"/>
          <w:position w:val="0"/>
          <w:sz w:val="24"/>
          <w:shd w:fill="auto" w:val="clear"/>
        </w:rPr>
        <w:t xml:space="preserve"> The study is conducted within a limited timeframe, which may restrict a more comprehensive longitudinal analysis of immunization trends.</w:t>
      </w:r>
    </w:p>
    <w:p>
      <w:pPr>
        <w:tabs>
          <w:tab w:val="left" w:pos="720" w:leader="none"/>
        </w:tabs>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720" w:leader="none"/>
        </w:tabs>
        <w:spacing w:before="100" w:after="10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Chapter two</w:t>
      </w:r>
    </w:p>
    <w:p>
      <w:pPr>
        <w:spacing w:before="0" w:after="160" w:line="259"/>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Literature review</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World Health Organization (WHO) plays a crucial role in measles eradication efforts worldwide. Their reports emphasize the significance of measles immunization in reducing child mortality rates and preventing disease outbreaks. The WHO provides guidelines on immunization strategies, including the recommended two-dose schedule for measles vaccines. Their reports indicate that global measles vaccination coverage reached approximately 86% in 2020, but significant disparities remain in low-income and conflict-affected regions.</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WHO also highlights the role of supplementary immunization activities (SIAs) in reaching unvaccinated children, especially in areas with weak healthcare infrastructure. Their studies show that regions with robust immunization policies experience fewer measles outbreaks. However, challenges such as vaccine hesitancy, logistical difficulties, and funding constraints hinder efforts to achieve the 95% immunization coverage required for herd immunity.</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United Nations Children's Fund (UNICEF) is actively involved in measles immunization campaigns worldwide. Their initiatives focus on ensuring vaccine accessibility, particularly in developing countries. UNICEF collaborates with governments and non-governmental organizations to implement mass vaccination programs targeting high-risk populations.</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UNICEF's research indicates that community engagement plays a vital role in successful immunization programs. Public awareness campaigns and educational initiatives help address misconceptions about vaccines. Additionally, UNICEF supports mobile vaccination clinics and outreach programs in remote areas, significantly increasing immunization rates. Despite these efforts, challenges such as political instability, supply chain disruptions, and healthcare worker shortages continue to impede progress in measles immunization.</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Smith et al. (2020) conducted a study on herd immunity, demonstrating that at least 95% immunization coverage is necessary to prevent measles outbreaks. Their research highlights the relationship between vaccine coverage and community-wide protection, emphasizing that even a small decline in vaccination rates can lead to large-scale outbreaks.</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study also examines the role of booster doses in maintaining long-term immunity. Findings indicate that countries with strong booster vaccination programs have lower measles incidence rates. Additionally, Smith et al. discuss the impact of mass vaccination campaigns on eliminating measles in certain regions. Their study concludes that maintaining high immunization coverage is essential for achieving global measles eradication goals.</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Jones and Patel (2019) explored the socioeconomic factors influencing measles immunization rates. Their study found that poverty, lack of healthcare infrastructure, and parental education levels significantly impact vaccine uptake.</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low-income communities, barriers such as transportation costs, vaccine stockouts, and inadequate healthcare facilities limit access to immunization services. The study also highlights the role of parental beliefs and cultural practices in vaccine acceptance. Misinformation about vaccine safety and efficacy remains a major obstacle, particularly in regions with low literacy rates.</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Jones and Patel recommend targeted interventions, including financial incentives, mobile vaccination units, and community-based education programs, to improve immunization coverage in underserved populations.</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Brown and Taylor (2021) investigated vaccine hesitancy as a growing challenge to measles immunization. Their study identifies several factors contributing to vaccine refusal, including misinformation, religious beliefs, and distrust in healthcare systems.</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research highlights the role of social media in spreading anti-vaccine propaganda, leading to increased vaccine hesitancy. Brown and Taylor suggest that healthcare professionals play a crucial role in addressing concerns and providing accurate information to parents. Their findings indicate that personalized counseling, community engagement, and transparent communication strategies are effective in reducing vaccine hesitancy.</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Additionally, the study discusses the impact of political and media influences on public perception of vaccines. Governments and health organizations are encouraged to implement stricter regulations on vaccine misinformation to prevent the resurgence of measles cases.</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Nguyen et al. (2018) analyzed the effectiveness of government policies in promoting childhood immunization. Their research concludes that strong vaccination mandates, public awareness campaigns, and free vaccine programs significantly improve immunization rates.</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study examines case studies from various countries, highlighting successful policy interventions. For instance, countries with school-entry vaccination requirements have higher measles immunization rates. Financial support for low-income families and community-based outreach programs are also identified as key factors in increasing vaccine uptake.</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Nguyen et al. recommend that governments prioritize funding for immunization programs and strengthen collaboration with international health organizations. Their study underscores the importance of political commitment and long-term planning in achieving sustainable measles immunization coverage.</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Williams and Adeyemi (2022) reviewed global immunization data, emphasizing the challenges in achieving 100% measles vaccine coverage. Their study identifies barriers such as vaccine storage issues, distribution problems, and conflicts in certain regions that hinder immunization efforts.</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research highlights the impact of war, natural disasters, and economic instability on immunization programs. In conflict-affected areas, healthcare infrastructure is often disrupted, making it difficult to reach unvaccinated children. Williams and Adeyemi discuss innovative approaches, such as drone vaccine delivery and digital immunization records, to overcome logistical challenges.</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study also examines the role of international funding in supporting measles vaccination programs. While significant progress has been made in reducing measles mortality, achieving universal immunization coverage remains a complex challenge requiring coordinated global efforts.</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literature reviewed highlights the importance of measles immunization in reducing child mortality and preventing outbreaks. Studies emphasize the need for strong vaccination policies, community engagement, and targeted interventions to improve vaccine coverage. Challenges such as vaccine hesitancy, socioeconomic barriers, and logistical issues must be addressed to achieve global measles eradication goals. Continued research and policy innovations will be crucial in ensuring sustainable immunization programs worldwide.</w:t>
      </w:r>
    </w:p>
    <w:p>
      <w:pPr>
        <w:spacing w:before="100" w:after="100" w:line="259"/>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World Health Organization (WHO) has been a central authority in the global initiative to eliminate measles through widespread immunization. According to WHO (2023), measles remains one of the leading causes of death among young children, despite the availability of a safe and cost-effective vaccine. WHO's strategy emphasizes routine immunization with at least two doses of a measles-containing vaccine (MCV), supplemented by mass immunization campaigns in countries with weak health systems. The organization provides technical assistance to countries to help build sustainable immunization infrastructure and conduct disease surveillance. A key component of the WHO strategy is strengthening routine immunization through government accountability, community involvement, and integration of immunization with other child health services. WHO reports show that global coverage with the first dose of measles vaccine has stagnated at around 85%, which is below the 95% needed for herd immunity. The COVID-19 pandemic further disrupted immunization efforts, leading to increased susceptibility among unvaccinated populations. WHO has warned of potential outbreaks if urgent actions are not taken to improve coverage. The organization also collaborates with UNICEF, GAVI, and other partners to fund and monitor vaccination programs. In summary, WHO's literature strongly advocates for immunization as the most effective way to prevent measles, underscoring the need for sustained political commitment and global cooperation.</w:t>
      </w:r>
    </w:p>
    <w:p>
      <w:pPr>
        <w:spacing w:before="100" w:after="100" w:line="259"/>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UNICEF plays a vital role in promoting measles immunization in low- and middle-income countries. In their 2022 immunization report, UNICEF highlighted that although significant progress has been made, millions of children remain unvaccinated, particularly in conflict zones and remote communities. The organization attributes this gap to multiple factors including vaccine hesitancy, misinformation, lack of access, and inadequate healthcare infrastructure. UNICEF’s “Reaching Every Child” campaign has been instrumental in addressing these challenges through community engagement, education, and mobile health services. A critical insight from UNICEF’s field data is that parental knowledge and trust in healthcare systems directly influence immunization uptake. The report emphasizes the role of community health workers in building trust and disseminating accurate information about vaccines. UNICEF also notes that gender inequality can be a barrier, as mothers in some cultures need male permission to access healthcare services for their children. Additionally, UNICEF collaborates with local governments to strengthen cold chain systems to ensure vaccines are stored and transported at the right temperatures. They advocate for integrated health services where measles immunization is combined with nutrition screening and deworming to maximize outreach. Overall, UNICEF’s literature stresses the importance of localized, people-centered approaches to close immunization gaps and prevent measles outbreaks.</w:t>
      </w:r>
    </w:p>
    <w:p>
      <w:pPr>
        <w:spacing w:before="100" w:after="100" w:line="259"/>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Centers for Disease Control and Prevention (CDC) in the United States provides comprehensive data and research on the epidemiology and prevention of measles. According to the CDC (2021), measles is highly contagious and can lead to severe complications, particularly in children under five and adults over 20. The CDC reports that before the measles vaccine was introduced in 1963, nearly all children got measles by age 15, and hundreds died each year. Since then, measles cases in the U.S. have declined by over 99%. However, due to international travel and global outbreaks, imported cases still occur, leading to small outbreaks in undervaccinated communities. The CDC recommends a two-dose schedule of the MMR (measles, mumps, rubella) vaccine, which is about 97% effective in preventing measles. Their literature identifies clusters of vaccine hesitancy as a major public health risk, fueled by misinformation and distrust in pharmaceutical companies. The CDC supports state mandates for school-entry immunizations, which have proven effective in maintaining high coverage. They also highlight the role of rapid outbreak response, including contact tracing and isolation, in containing measles transmission. The CDC’s emphasis on surveillance, education, and vaccine policy provides a robust framework for maintaining measles elimination in developed settings and guiding other countries toward similar goals.</w:t>
      </w:r>
    </w:p>
    <w:p>
      <w:pPr>
        <w:spacing w:before="100" w:after="100" w:line="259"/>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Nigeria Centre for Disease Control (NCDC) has documented periodic measles outbreaks in several Nigerian states, highlighting the uneven immunization coverage across regions. The NCDC’s 2022 report attributes these outbreaks to low vaccine uptake, poor health infrastructure, and vaccine supply chain issues. In northern Nigeria especially, vaccine hesitancy and logistical challenges limit access to routine immunization. NCDC emphasizes the importance of integrated surveillance systems and routine data collection at health centers to monitor vaccination status and detect early signs of outbreaks. The agency also coordinates with the National Primary Health Care Development Agency (NPHCDA) to organize catch-up campaigns in underserved communities. The NCDC’s literature points out that measles vaccination coverage is generally lower in rural areas compared to urban centers, due to fewer health facilities and lack of community health workers. To improve coverage, they have advocated for community mobilization, involving local leaders and religious institutions in sensitization campaigns. Furthermore, the NCDC supports strengthening cold chain systems and training healthcare workers to ensure vaccines are stored properly and administered safely. The agency also calls for increased domestic funding for immunization to reduce reliance on external donors. In summary, the NCDC’s reports provide crucial insights into the structural and social factors that influence measles vaccination in Nigeria.</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Factors Influencing Measles Immunization</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Several factors affect immunization rates, including:</w:t>
      </w:r>
    </w:p>
    <w:p>
      <w:pPr>
        <w:numPr>
          <w:ilvl w:val="0"/>
          <w:numId w:val="35"/>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Parental Knowledge and Attitude:</w:t>
      </w:r>
      <w:r>
        <w:rPr>
          <w:rFonts w:ascii="Times New Roman" w:hAnsi="Times New Roman" w:cs="Times New Roman" w:eastAsia="Times New Roman"/>
          <w:color w:val="auto"/>
          <w:spacing w:val="0"/>
          <w:position w:val="0"/>
          <w:sz w:val="24"/>
          <w:shd w:fill="auto" w:val="clear"/>
        </w:rPr>
        <w:t xml:space="preserve"> Misinformation and vaccine hesitancy reduce immunization rates.</w:t>
      </w:r>
    </w:p>
    <w:p>
      <w:pPr>
        <w:numPr>
          <w:ilvl w:val="0"/>
          <w:numId w:val="35"/>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Healthcare Accessibility:</w:t>
      </w:r>
      <w:r>
        <w:rPr>
          <w:rFonts w:ascii="Times New Roman" w:hAnsi="Times New Roman" w:cs="Times New Roman" w:eastAsia="Times New Roman"/>
          <w:color w:val="auto"/>
          <w:spacing w:val="0"/>
          <w:position w:val="0"/>
          <w:sz w:val="24"/>
          <w:shd w:fill="auto" w:val="clear"/>
        </w:rPr>
        <w:t xml:space="preserve"> Remote areas often lack vaccination centers.</w:t>
      </w:r>
    </w:p>
    <w:p>
      <w:pPr>
        <w:numPr>
          <w:ilvl w:val="0"/>
          <w:numId w:val="35"/>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Government Policies:</w:t>
      </w:r>
      <w:r>
        <w:rPr>
          <w:rFonts w:ascii="Times New Roman" w:hAnsi="Times New Roman" w:cs="Times New Roman" w:eastAsia="Times New Roman"/>
          <w:color w:val="auto"/>
          <w:spacing w:val="0"/>
          <w:position w:val="0"/>
          <w:sz w:val="24"/>
          <w:shd w:fill="auto" w:val="clear"/>
        </w:rPr>
        <w:t xml:space="preserve"> Strong immunization policies improve coverage.</w:t>
      </w:r>
    </w:p>
    <w:p>
      <w:pPr>
        <w:numPr>
          <w:ilvl w:val="0"/>
          <w:numId w:val="35"/>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Socioeconomic Factors:</w:t>
      </w:r>
      <w:r>
        <w:rPr>
          <w:rFonts w:ascii="Times New Roman" w:hAnsi="Times New Roman" w:cs="Times New Roman" w:eastAsia="Times New Roman"/>
          <w:color w:val="auto"/>
          <w:spacing w:val="0"/>
          <w:position w:val="0"/>
          <w:sz w:val="24"/>
          <w:shd w:fill="auto" w:val="clear"/>
        </w:rPr>
        <w:t xml:space="preserve"> Low-income families may face barriers to accessing vaccines.</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Challenges in Achieving 100% Immunization Coverage</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Despite vaccination efforts, challenges such as misinformation, logistical issues, and lack of political will hinder full immunization coverage.</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59"/>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59"/>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CHAPTER THREE</w:t>
      </w:r>
    </w:p>
    <w:p>
      <w:pPr>
        <w:spacing w:before="0" w:after="160" w:line="259"/>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Methodology</w:t>
      </w:r>
    </w:p>
    <w:p>
      <w:pPr>
        <w:spacing w:before="24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3.1</w:t>
      </w:r>
      <w:r>
        <w:rPr>
          <w:rFonts w:ascii="Calibri" w:hAnsi="Calibri" w:cs="Calibri" w:eastAsia="Calibri"/>
          <w:color w:val="auto"/>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Method of data collection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The data used in this research work was a secondary data which enumerates the theories of various statistical instrument used in this study from which a reasonable judgment are made. For the purpose of this research work, the data will be analyzed using descriptive statistics, and one way analysis of variance (ANOVA) to compare means.</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Descriptive statistics help summarize the basic features of the data and provide a simple overview of the sample and measures. In this study, descriptive analysis was conducted for key variables:</w:t>
      </w:r>
    </w:p>
    <w:p>
      <w:pPr>
        <w:numPr>
          <w:ilvl w:val="0"/>
          <w:numId w:val="43"/>
        </w:numPr>
        <w:tabs>
          <w:tab w:val="left" w:pos="720" w:leader="none"/>
        </w:tabs>
        <w:spacing w:before="0" w:after="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Mean (Average):</w:t>
      </w:r>
      <w:r>
        <w:rPr>
          <w:rFonts w:ascii="Times New Roman" w:hAnsi="Times New Roman" w:cs="Times New Roman" w:eastAsia="Times New Roman"/>
          <w:color w:val="auto"/>
          <w:spacing w:val="0"/>
          <w:position w:val="0"/>
          <w:sz w:val="24"/>
          <w:shd w:fill="auto" w:val="clear"/>
        </w:rPr>
        <w:t xml:space="preserve"> Measures the central tendency of number of children immunized.</w:t>
      </w:r>
    </w:p>
    <w:p>
      <w:pPr>
        <w:numPr>
          <w:ilvl w:val="0"/>
          <w:numId w:val="43"/>
        </w:numPr>
        <w:tabs>
          <w:tab w:val="left" w:pos="720" w:leader="none"/>
        </w:tabs>
        <w:spacing w:before="0" w:after="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Median:</w:t>
      </w:r>
      <w:r>
        <w:rPr>
          <w:rFonts w:ascii="Times New Roman" w:hAnsi="Times New Roman" w:cs="Times New Roman" w:eastAsia="Times New Roman"/>
          <w:color w:val="auto"/>
          <w:spacing w:val="0"/>
          <w:position w:val="0"/>
          <w:sz w:val="24"/>
          <w:shd w:fill="auto" w:val="clear"/>
        </w:rPr>
        <w:t xml:space="preserve"> The middle value in the dataset, helping to identify skewed distributions.</w:t>
      </w:r>
    </w:p>
    <w:p>
      <w:pPr>
        <w:numPr>
          <w:ilvl w:val="0"/>
          <w:numId w:val="43"/>
        </w:numPr>
        <w:tabs>
          <w:tab w:val="left" w:pos="720" w:leader="none"/>
        </w:tabs>
        <w:spacing w:before="0" w:after="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Range:</w:t>
      </w:r>
      <w:r>
        <w:rPr>
          <w:rFonts w:ascii="Times New Roman" w:hAnsi="Times New Roman" w:cs="Times New Roman" w:eastAsia="Times New Roman"/>
          <w:color w:val="auto"/>
          <w:spacing w:val="0"/>
          <w:position w:val="0"/>
          <w:sz w:val="24"/>
          <w:shd w:fill="auto" w:val="clear"/>
        </w:rPr>
        <w:t xml:space="preserve"> The difference between the maximum and minimum values, giving an idea of the spread.</w:t>
      </w:r>
    </w:p>
    <w:p>
      <w:pPr>
        <w:numPr>
          <w:ilvl w:val="0"/>
          <w:numId w:val="43"/>
        </w:numPr>
        <w:tabs>
          <w:tab w:val="left" w:pos="720" w:leader="none"/>
        </w:tabs>
        <w:spacing w:before="0" w:after="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Standard Deviation (SD):</w:t>
      </w:r>
      <w:r>
        <w:rPr>
          <w:rFonts w:ascii="Times New Roman" w:hAnsi="Times New Roman" w:cs="Times New Roman" w:eastAsia="Times New Roman"/>
          <w:color w:val="auto"/>
          <w:spacing w:val="0"/>
          <w:position w:val="0"/>
          <w:sz w:val="24"/>
          <w:shd w:fill="auto" w:val="clear"/>
        </w:rPr>
        <w:t xml:space="preserve"> Measures how spread out the numbers are in the dataset. A higher SD indicates more variability among respondents.</w:t>
      </w:r>
    </w:p>
    <w:p>
      <w:pPr>
        <w:numPr>
          <w:ilvl w:val="0"/>
          <w:numId w:val="43"/>
        </w:numPr>
        <w:tabs>
          <w:tab w:val="left" w:pos="720" w:leader="none"/>
        </w:tabs>
        <w:spacing w:before="0" w:after="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Chart (Bar chart):</w:t>
      </w:r>
      <w:r>
        <w:rPr>
          <w:rFonts w:ascii="Times New Roman" w:hAnsi="Times New Roman" w:cs="Times New Roman" w:eastAsia="Times New Roman"/>
          <w:color w:val="auto"/>
          <w:spacing w:val="0"/>
          <w:position w:val="0"/>
          <w:sz w:val="24"/>
          <w:shd w:fill="auto" w:val="clear"/>
        </w:rPr>
        <w:t xml:space="preserve"> It is use to show the visual representation of the dataset obtained.</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step was essential to understand general knowledge before delving into inferential analysis.</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ANOVA</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ANOVA (Analysis of Variance)</w:t>
      </w:r>
      <w:r>
        <w:rPr>
          <w:rFonts w:ascii="Times New Roman" w:hAnsi="Times New Roman" w:cs="Times New Roman" w:eastAsia="Times New Roman"/>
          <w:color w:val="auto"/>
          <w:spacing w:val="0"/>
          <w:position w:val="0"/>
          <w:sz w:val="24"/>
          <w:shd w:fill="auto" w:val="clear"/>
        </w:rPr>
        <w:t xml:space="preserve"> is a statistical method used to compare the means of three or more groups to determine if there are significant differences between them. It helps in assessing whether the variation in data is due to actual differences among groups or just random chance.</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Types of ANOVA</w:t>
      </w:r>
    </w:p>
    <w:p>
      <w:pPr>
        <w:numPr>
          <w:ilvl w:val="0"/>
          <w:numId w:val="46"/>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One-Way ANOVA</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Used when comparing the means of one independent variable with multiple groups (e.g., comparing the number of children immunized across different months).</w:t>
      </w:r>
    </w:p>
    <w:p>
      <w:pPr>
        <w:numPr>
          <w:ilvl w:val="0"/>
          <w:numId w:val="46"/>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Two-Way ANOVA</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Used when comparing the means of two independent variables simultaneously (e.g., analyzing the effect of both location and month on immunization rates).</w:t>
      </w:r>
    </w:p>
    <w:p>
      <w:pPr>
        <w:numPr>
          <w:ilvl w:val="0"/>
          <w:numId w:val="46"/>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Repeated Measures ANOVA</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Used when the same subjects are measured multiple times under different conditions (e.g., tracking immunization coverage in the same hospital over different years).</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One-Way ANOVA (Analysis of Variance)</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One-Way ANOVA</w:t>
      </w:r>
      <w:r>
        <w:rPr>
          <w:rFonts w:ascii="Times New Roman" w:hAnsi="Times New Roman" w:cs="Times New Roman" w:eastAsia="Times New Roman"/>
          <w:color w:val="auto"/>
          <w:spacing w:val="0"/>
          <w:position w:val="0"/>
          <w:sz w:val="24"/>
          <w:shd w:fill="auto" w:val="clear"/>
        </w:rPr>
        <w:t xml:space="preserve"> is a statistical test used to determine whether there is a </w:t>
      </w:r>
      <w:r>
        <w:rPr>
          <w:rFonts w:ascii="Times New Roman" w:hAnsi="Times New Roman" w:cs="Times New Roman" w:eastAsia="Times New Roman"/>
          <w:b/>
          <w:color w:val="auto"/>
          <w:spacing w:val="0"/>
          <w:position w:val="0"/>
          <w:sz w:val="24"/>
          <w:shd w:fill="auto" w:val="clear"/>
        </w:rPr>
        <w:t xml:space="preserve">significant difference</w:t>
      </w:r>
      <w:r>
        <w:rPr>
          <w:rFonts w:ascii="Times New Roman" w:hAnsi="Times New Roman" w:cs="Times New Roman" w:eastAsia="Times New Roman"/>
          <w:color w:val="auto"/>
          <w:spacing w:val="0"/>
          <w:position w:val="0"/>
          <w:sz w:val="24"/>
          <w:shd w:fill="auto" w:val="clear"/>
        </w:rPr>
        <w:t xml:space="preserve"> between the means of three or more independent (unrelated) groups based on a single factor (independent variable). It helps in comparing group variations to identify whether differences are due to random chance or an actual effect.</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When to Use One-Way ANOVA?</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You should use </w:t>
      </w:r>
      <w:r>
        <w:rPr>
          <w:rFonts w:ascii="Times New Roman" w:hAnsi="Times New Roman" w:cs="Times New Roman" w:eastAsia="Times New Roman"/>
          <w:b/>
          <w:color w:val="auto"/>
          <w:spacing w:val="0"/>
          <w:position w:val="0"/>
          <w:sz w:val="24"/>
          <w:shd w:fill="auto" w:val="clear"/>
        </w:rPr>
        <w:t xml:space="preserve">One-Way ANOVA</w:t>
      </w:r>
      <w:r>
        <w:rPr>
          <w:rFonts w:ascii="Times New Roman" w:hAnsi="Times New Roman" w:cs="Times New Roman" w:eastAsia="Times New Roman"/>
          <w:color w:val="auto"/>
          <w:spacing w:val="0"/>
          <w:position w:val="0"/>
          <w:sz w:val="24"/>
          <w:shd w:fill="auto" w:val="clear"/>
        </w:rPr>
        <w:t xml:space="preserve"> when:</w:t>
      </w:r>
    </w:p>
    <w:p>
      <w:pPr>
        <w:numPr>
          <w:ilvl w:val="0"/>
          <w:numId w:val="48"/>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You have </w:t>
      </w:r>
      <w:r>
        <w:rPr>
          <w:rFonts w:ascii="Times New Roman" w:hAnsi="Times New Roman" w:cs="Times New Roman" w:eastAsia="Times New Roman"/>
          <w:b/>
          <w:color w:val="auto"/>
          <w:spacing w:val="0"/>
          <w:position w:val="0"/>
          <w:sz w:val="24"/>
          <w:shd w:fill="auto" w:val="clear"/>
        </w:rPr>
        <w:t xml:space="preserve">one independent variable</w:t>
      </w:r>
      <w:r>
        <w:rPr>
          <w:rFonts w:ascii="Times New Roman" w:hAnsi="Times New Roman" w:cs="Times New Roman" w:eastAsia="Times New Roman"/>
          <w:color w:val="auto"/>
          <w:spacing w:val="0"/>
          <w:position w:val="0"/>
          <w:sz w:val="24"/>
          <w:shd w:fill="auto" w:val="clear"/>
        </w:rPr>
        <w:t xml:space="preserve"> (categorical) with </w:t>
      </w:r>
      <w:r>
        <w:rPr>
          <w:rFonts w:ascii="Times New Roman" w:hAnsi="Times New Roman" w:cs="Times New Roman" w:eastAsia="Times New Roman"/>
          <w:b/>
          <w:color w:val="auto"/>
          <w:spacing w:val="0"/>
          <w:position w:val="0"/>
          <w:sz w:val="24"/>
          <w:shd w:fill="auto" w:val="clear"/>
        </w:rPr>
        <w:t xml:space="preserve">three or more groups</w:t>
      </w:r>
      <w:r>
        <w:rPr>
          <w:rFonts w:ascii="Times New Roman" w:hAnsi="Times New Roman" w:cs="Times New Roman" w:eastAsia="Times New Roman"/>
          <w:color w:val="auto"/>
          <w:spacing w:val="0"/>
          <w:position w:val="0"/>
          <w:sz w:val="24"/>
          <w:shd w:fill="auto" w:val="clear"/>
        </w:rPr>
        <w:t xml:space="preserve">.</w:t>
      </w:r>
    </w:p>
    <w:p>
      <w:pPr>
        <w:numPr>
          <w:ilvl w:val="0"/>
          <w:numId w:val="48"/>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You have </w:t>
      </w:r>
      <w:r>
        <w:rPr>
          <w:rFonts w:ascii="Times New Roman" w:hAnsi="Times New Roman" w:cs="Times New Roman" w:eastAsia="Times New Roman"/>
          <w:b/>
          <w:color w:val="auto"/>
          <w:spacing w:val="0"/>
          <w:position w:val="0"/>
          <w:sz w:val="24"/>
          <w:shd w:fill="auto" w:val="clear"/>
        </w:rPr>
        <w:t xml:space="preserve">one dependent variable</w:t>
      </w:r>
      <w:r>
        <w:rPr>
          <w:rFonts w:ascii="Times New Roman" w:hAnsi="Times New Roman" w:cs="Times New Roman" w:eastAsia="Times New Roman"/>
          <w:color w:val="auto"/>
          <w:spacing w:val="0"/>
          <w:position w:val="0"/>
          <w:sz w:val="24"/>
          <w:shd w:fill="auto" w:val="clear"/>
        </w:rPr>
        <w:t xml:space="preserve"> (continuous, numerical).</w:t>
      </w:r>
    </w:p>
    <w:p>
      <w:pPr>
        <w:numPr>
          <w:ilvl w:val="0"/>
          <w:numId w:val="48"/>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You want to test whether the means of these groups are statistically different.</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Assumptions of One-Way ANOVA</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Before conducting One-Way ANOVA, the following assumptions must be met:</w:t>
      </w:r>
    </w:p>
    <w:p>
      <w:pPr>
        <w:numPr>
          <w:ilvl w:val="0"/>
          <w:numId w:val="50"/>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Independence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Each sample (group) must be independent of the others.</w:t>
      </w:r>
    </w:p>
    <w:p>
      <w:pPr>
        <w:numPr>
          <w:ilvl w:val="0"/>
          <w:numId w:val="50"/>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Normality</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The dependent variable should be approximately normally distributed within each group.</w:t>
      </w:r>
    </w:p>
    <w:p>
      <w:pPr>
        <w:numPr>
          <w:ilvl w:val="0"/>
          <w:numId w:val="50"/>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Homogeneity of Variance (Homoskedasticity)</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The variances of all groups should be similar (checked using Levene's Test).</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Hypotheses in One-Way ANOVA</w:t>
      </w:r>
    </w:p>
    <w:p>
      <w:pPr>
        <w:numPr>
          <w:ilvl w:val="0"/>
          <w:numId w:val="52"/>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Null Hypothesis (H</w:t>
      </w:r>
      <w:r>
        <w:rPr>
          <w:rFonts w:ascii="Times New Roman" w:hAnsi="Times New Roman" w:cs="Times New Roman" w:eastAsia="Times New Roman"/>
          <w:b/>
          <w:color w:val="auto"/>
          <w:spacing w:val="0"/>
          <w:position w:val="0"/>
          <w:sz w:val="24"/>
          <w:shd w:fill="auto" w:val="clear"/>
        </w:rPr>
        <w:t xml:space="preserve">₀</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The means of all groups are equal (no significant difference).</w:t>
      </w:r>
    </w:p>
    <w:p>
      <w:pPr>
        <w:numPr>
          <w:ilvl w:val="0"/>
          <w:numId w:val="52"/>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Alternative Hypothesis (H</w:t>
      </w:r>
      <w:r>
        <w:rPr>
          <w:rFonts w:ascii="Times New Roman" w:hAnsi="Times New Roman" w:cs="Times New Roman" w:eastAsia="Times New Roman"/>
          <w:b/>
          <w:color w:val="auto"/>
          <w:spacing w:val="0"/>
          <w:position w:val="0"/>
          <w:sz w:val="24"/>
          <w:shd w:fill="auto" w:val="clear"/>
        </w:rPr>
        <w:t xml:space="preserve">₁</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At least one group's mean is significantly different.</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One-Way ANOVA Formula</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ANOVA uses the </w:t>
      </w:r>
      <w:r>
        <w:rPr>
          <w:rFonts w:ascii="Times New Roman" w:hAnsi="Times New Roman" w:cs="Times New Roman" w:eastAsia="Times New Roman"/>
          <w:b/>
          <w:color w:val="auto"/>
          <w:spacing w:val="0"/>
          <w:position w:val="0"/>
          <w:sz w:val="24"/>
          <w:shd w:fill="auto" w:val="clear"/>
        </w:rPr>
        <w:t xml:space="preserve">F-ratio</w:t>
      </w:r>
      <w:r>
        <w:rPr>
          <w:rFonts w:ascii="Times New Roman" w:hAnsi="Times New Roman" w:cs="Times New Roman" w:eastAsia="Times New Roman"/>
          <w:color w:val="auto"/>
          <w:spacing w:val="0"/>
          <w:position w:val="0"/>
          <w:sz w:val="24"/>
          <w:shd w:fill="auto" w:val="clear"/>
        </w:rPr>
        <w:t xml:space="preserve">, calculated as:</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Where:</w:t>
      </w:r>
    </w:p>
    <w:p>
      <w:pPr>
        <w:numPr>
          <w:ilvl w:val="0"/>
          <w:numId w:val="54"/>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Between-group variance</w:t>
      </w:r>
      <w:r>
        <w:rPr>
          <w:rFonts w:ascii="Times New Roman" w:hAnsi="Times New Roman" w:cs="Times New Roman" w:eastAsia="Times New Roman"/>
          <w:color w:val="auto"/>
          <w:spacing w:val="0"/>
          <w:position w:val="0"/>
          <w:sz w:val="24"/>
          <w:shd w:fill="auto" w:val="clear"/>
        </w:rPr>
        <w:t xml:space="preserve"> measures differences among the group means.</w:t>
      </w:r>
    </w:p>
    <w:p>
      <w:pPr>
        <w:numPr>
          <w:ilvl w:val="0"/>
          <w:numId w:val="54"/>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Within-group variance</w:t>
      </w:r>
      <w:r>
        <w:rPr>
          <w:rFonts w:ascii="Times New Roman" w:hAnsi="Times New Roman" w:cs="Times New Roman" w:eastAsia="Times New Roman"/>
          <w:color w:val="auto"/>
          <w:spacing w:val="0"/>
          <w:position w:val="0"/>
          <w:sz w:val="24"/>
          <w:shd w:fill="auto" w:val="clear"/>
        </w:rPr>
        <w:t xml:space="preserve"> measures differences within each group (random variation).</w:t>
      </w:r>
    </w:p>
    <w:p>
      <w:pPr>
        <w:numPr>
          <w:ilvl w:val="0"/>
          <w:numId w:val="54"/>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w:t>
      </w:r>
      <w:r>
        <w:rPr>
          <w:rFonts w:ascii="Times New Roman" w:hAnsi="Times New Roman" w:cs="Times New Roman" w:eastAsia="Times New Roman"/>
          <w:b/>
          <w:color w:val="auto"/>
          <w:spacing w:val="0"/>
          <w:position w:val="0"/>
          <w:sz w:val="24"/>
          <w:shd w:fill="auto" w:val="clear"/>
        </w:rPr>
        <w:t xml:space="preserve">higher F-value</w:t>
      </w:r>
      <w:r>
        <w:rPr>
          <w:rFonts w:ascii="Times New Roman" w:hAnsi="Times New Roman" w:cs="Times New Roman" w:eastAsia="Times New Roman"/>
          <w:color w:val="auto"/>
          <w:spacing w:val="0"/>
          <w:position w:val="0"/>
          <w:sz w:val="24"/>
          <w:shd w:fill="auto" w:val="clear"/>
        </w:rPr>
        <w:t xml:space="preserve"> suggests a greater difference between groups.</w:t>
      </w:r>
    </w:p>
    <w:p>
      <w:pPr>
        <w:tabs>
          <w:tab w:val="left" w:pos="720" w:leader="none"/>
        </w:tabs>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ANOVA TABLE</w:t>
      </w:r>
    </w:p>
    <w:tbl>
      <w:tblPr/>
      <w:tblGrid>
        <w:gridCol w:w="1683"/>
        <w:gridCol w:w="1469"/>
        <w:gridCol w:w="995"/>
        <w:gridCol w:w="1408"/>
        <w:gridCol w:w="1010"/>
        <w:gridCol w:w="1010"/>
      </w:tblGrid>
      <w:tr>
        <w:trPr>
          <w:trHeight w:val="1" w:hRule="atLeast"/>
          <w:jc w:val="left"/>
        </w:trPr>
        <w:tc>
          <w:tcPr>
            <w:tcW w:w="7575" w:type="dxa"/>
            <w:gridSpan w:val="6"/>
            <w:tcBorders>
              <w:top w:val="single" w:color="000000" w:sz="8"/>
              <w:left w:val="single" w:color="000000" w:sz="8"/>
              <w:bottom w:val="single" w:color="000000" w:sz="8"/>
              <w:right w:val="single" w:color="000000" w:sz="8"/>
            </w:tcBorders>
            <w:shd w:color="auto" w:fill="ffffff" w:val="clear"/>
            <w:tcMar>
              <w:left w:w="10" w:type="dxa"/>
              <w:right w:w="10" w:type="dxa"/>
            </w:tcMar>
            <w:vAlign w:val="top"/>
          </w:tcPr>
          <w:p>
            <w:pPr>
              <w:spacing w:before="0" w:after="0" w:line="320"/>
              <w:ind w:right="60" w:left="60" w:firstLine="0"/>
              <w:jc w:val="center"/>
              <w:rPr>
                <w:rFonts w:ascii="Calibri" w:hAnsi="Calibri" w:cs="Calibri" w:eastAsia="Calibri"/>
                <w:spacing w:val="0"/>
                <w:position w:val="0"/>
              </w:rPr>
            </w:pPr>
            <w:r>
              <w:rPr>
                <w:rFonts w:ascii="Calibri" w:hAnsi="Calibri" w:cs="Calibri" w:eastAsia="Calibri"/>
                <w:b/>
                <w:color w:val="000000"/>
                <w:spacing w:val="0"/>
                <w:position w:val="0"/>
                <w:sz w:val="24"/>
                <w:shd w:fill="auto" w:val="clear"/>
              </w:rPr>
              <w:t xml:space="preserve">ANOVA</w:t>
            </w:r>
          </w:p>
        </w:tc>
      </w:tr>
      <w:tr>
        <w:trPr>
          <w:trHeight w:val="1" w:hRule="atLeast"/>
          <w:jc w:val="left"/>
        </w:trPr>
        <w:tc>
          <w:tcPr>
            <w:tcW w:w="7575" w:type="dxa"/>
            <w:gridSpan w:val="6"/>
            <w:tcBorders>
              <w:top w:val="single" w:color="000000" w:sz="8"/>
              <w:left w:val="single" w:color="000000" w:sz="8"/>
              <w:bottom w:val="single" w:color="000000" w:sz="8"/>
              <w:right w:val="single" w:color="000000" w:sz="8"/>
            </w:tcBorders>
            <w:shd w:color="auto" w:fill="ffffff" w:val="clear"/>
            <w:tcMar>
              <w:left w:w="10" w:type="dxa"/>
              <w:right w:w="10" w:type="dxa"/>
            </w:tcMar>
            <w:vAlign w:val="bottom"/>
          </w:tcPr>
          <w:p>
            <w:pPr>
              <w:spacing w:before="0" w:after="0" w:line="320"/>
              <w:ind w:right="60" w:left="60" w:firstLine="0"/>
              <w:jc w:val="left"/>
              <w:rPr>
                <w:spacing w:val="0"/>
                <w:position w:val="0"/>
              </w:rPr>
            </w:pPr>
            <w:r>
              <w:rPr>
                <w:rFonts w:ascii="Arial" w:hAnsi="Arial" w:cs="Arial" w:eastAsia="Arial"/>
                <w:color w:val="000000"/>
                <w:spacing w:val="0"/>
                <w:position w:val="0"/>
                <w:sz w:val="24"/>
                <w:shd w:fill="auto" w:val="clear"/>
              </w:rPr>
              <w:t xml:space="preserve">Children_Immunized</w:t>
            </w:r>
          </w:p>
        </w:tc>
      </w:tr>
      <w:tr>
        <w:trPr>
          <w:trHeight w:val="1" w:hRule="atLeast"/>
          <w:jc w:val="left"/>
        </w:trPr>
        <w:tc>
          <w:tcPr>
            <w:tcW w:w="1683" w:type="dxa"/>
            <w:tcBorders>
              <w:top w:val="single" w:color="000000" w:sz="18"/>
              <w:left w:val="single" w:color="000000" w:sz="18"/>
              <w:bottom w:val="single" w:color="000000" w:sz="8"/>
              <w:right w:val="single" w:color="000000" w:sz="18"/>
            </w:tcBorders>
            <w:shd w:color="auto" w:fill="ffffff" w:val="clear"/>
            <w:tcMar>
              <w:left w:w="10" w:type="dxa"/>
              <w:right w:w="10" w:type="dxa"/>
            </w:tcMar>
            <w:vAlign w:val="top"/>
          </w:tcPr>
          <w:p>
            <w:pPr>
              <w:spacing w:before="0" w:after="0" w:line="320"/>
              <w:ind w:right="60" w:left="6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Source of variation</w:t>
            </w:r>
          </w:p>
        </w:tc>
        <w:tc>
          <w:tcPr>
            <w:tcW w:w="1469" w:type="dxa"/>
            <w:tcBorders>
              <w:top w:val="single" w:color="000000" w:sz="18"/>
              <w:left w:val="single" w:color="000000" w:sz="18"/>
              <w:bottom w:val="single" w:color="000000" w:sz="8"/>
              <w:right w:val="single" w:color="000000" w:sz="8"/>
            </w:tcBorders>
            <w:shd w:color="auto" w:fill="ffffff" w:val="clear"/>
            <w:tcMar>
              <w:left w:w="10" w:type="dxa"/>
              <w:right w:w="10" w:type="dxa"/>
            </w:tcMar>
            <w:vAlign w:val="top"/>
          </w:tcPr>
          <w:p>
            <w:pPr>
              <w:spacing w:before="0" w:after="0" w:line="320"/>
              <w:ind w:right="60" w:left="60" w:firstLine="0"/>
              <w:jc w:val="center"/>
              <w:rPr>
                <w:spacing w:val="0"/>
                <w:position w:val="0"/>
              </w:rPr>
            </w:pPr>
            <w:r>
              <w:rPr>
                <w:rFonts w:ascii="Arial" w:hAnsi="Arial" w:cs="Arial" w:eastAsia="Arial"/>
                <w:color w:val="000000"/>
                <w:spacing w:val="0"/>
                <w:position w:val="0"/>
                <w:sz w:val="24"/>
                <w:shd w:fill="auto" w:val="clear"/>
              </w:rPr>
              <w:t xml:space="preserve">Degree of freedom</w:t>
            </w:r>
          </w:p>
        </w:tc>
        <w:tc>
          <w:tcPr>
            <w:tcW w:w="995" w:type="dxa"/>
            <w:tcBorders>
              <w:top w:val="single" w:color="000000" w:sz="18"/>
              <w:left w:val="single" w:color="000000" w:sz="8"/>
              <w:bottom w:val="single" w:color="000000" w:sz="8"/>
              <w:right w:val="single" w:color="000000" w:sz="8"/>
            </w:tcBorders>
            <w:shd w:color="auto" w:fill="ffffff" w:val="clear"/>
            <w:tcMar>
              <w:left w:w="10" w:type="dxa"/>
              <w:right w:w="10" w:type="dxa"/>
            </w:tcMar>
            <w:vAlign w:val="top"/>
          </w:tcPr>
          <w:p>
            <w:pPr>
              <w:spacing w:before="0" w:after="0" w:line="320"/>
              <w:ind w:right="60" w:left="60" w:firstLine="0"/>
              <w:jc w:val="center"/>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sum of square</w:t>
            </w:r>
          </w:p>
        </w:tc>
        <w:tc>
          <w:tcPr>
            <w:tcW w:w="1408" w:type="dxa"/>
            <w:tcBorders>
              <w:top w:val="single" w:color="000000" w:sz="18"/>
              <w:left w:val="single" w:color="000000" w:sz="8"/>
              <w:bottom w:val="single" w:color="000000" w:sz="8"/>
              <w:right w:val="single" w:color="000000" w:sz="8"/>
            </w:tcBorders>
            <w:shd w:color="auto" w:fill="ffffff" w:val="clear"/>
            <w:tcMar>
              <w:left w:w="10" w:type="dxa"/>
              <w:right w:w="10" w:type="dxa"/>
            </w:tcMar>
            <w:vAlign w:val="top"/>
          </w:tcPr>
          <w:p>
            <w:pPr>
              <w:spacing w:before="0" w:after="0" w:line="320"/>
              <w:ind w:right="60" w:left="60" w:firstLine="0"/>
              <w:jc w:val="center"/>
              <w:rPr>
                <w:spacing w:val="0"/>
                <w:position w:val="0"/>
              </w:rPr>
            </w:pPr>
            <w:r>
              <w:rPr>
                <w:rFonts w:ascii="Arial" w:hAnsi="Arial" w:cs="Arial" w:eastAsia="Arial"/>
                <w:color w:val="000000"/>
                <w:spacing w:val="0"/>
                <w:position w:val="0"/>
                <w:sz w:val="24"/>
                <w:shd w:fill="auto" w:val="clear"/>
              </w:rPr>
              <w:t xml:space="preserve">Mean Square</w:t>
            </w:r>
          </w:p>
        </w:tc>
        <w:tc>
          <w:tcPr>
            <w:tcW w:w="1010" w:type="dxa"/>
            <w:tcBorders>
              <w:top w:val="single" w:color="000000" w:sz="18"/>
              <w:left w:val="single" w:color="000000" w:sz="8"/>
              <w:bottom w:val="single" w:color="000000" w:sz="8"/>
              <w:right w:val="single" w:color="000000" w:sz="8"/>
            </w:tcBorders>
            <w:shd w:color="auto" w:fill="ffffff" w:val="clear"/>
            <w:tcMar>
              <w:left w:w="10" w:type="dxa"/>
              <w:right w:w="10" w:type="dxa"/>
            </w:tcMar>
            <w:vAlign w:val="top"/>
          </w:tcPr>
          <w:p>
            <w:pPr>
              <w:spacing w:before="0" w:after="0" w:line="320"/>
              <w:ind w:right="60" w:left="60" w:firstLine="0"/>
              <w:jc w:val="center"/>
              <w:rPr>
                <w:spacing w:val="0"/>
                <w:position w:val="0"/>
              </w:rPr>
            </w:pPr>
            <w:r>
              <w:rPr>
                <w:rFonts w:ascii="Arial" w:hAnsi="Arial" w:cs="Arial" w:eastAsia="Arial"/>
                <w:color w:val="000000"/>
                <w:spacing w:val="0"/>
                <w:position w:val="0"/>
                <w:sz w:val="24"/>
                <w:shd w:fill="auto" w:val="clear"/>
              </w:rPr>
              <w:t xml:space="preserve">F</w:t>
            </w:r>
          </w:p>
        </w:tc>
        <w:tc>
          <w:tcPr>
            <w:tcW w:w="1010" w:type="dxa"/>
            <w:tcBorders>
              <w:top w:val="single" w:color="000000" w:sz="18"/>
              <w:left w:val="single" w:color="000000" w:sz="8"/>
              <w:bottom w:val="single" w:color="000000" w:sz="8"/>
              <w:right w:val="single" w:color="000000" w:sz="18"/>
            </w:tcBorders>
            <w:shd w:color="auto" w:fill="ffffff" w:val="clear"/>
            <w:tcMar>
              <w:left w:w="10" w:type="dxa"/>
              <w:right w:w="10" w:type="dxa"/>
            </w:tcMar>
            <w:vAlign w:val="top"/>
          </w:tcPr>
          <w:p>
            <w:pPr>
              <w:spacing w:before="0" w:after="0" w:line="320"/>
              <w:ind w:right="60" w:left="60" w:firstLine="0"/>
              <w:jc w:val="center"/>
              <w:rPr>
                <w:spacing w:val="0"/>
                <w:position w:val="0"/>
              </w:rPr>
            </w:pPr>
            <w:r>
              <w:rPr>
                <w:rFonts w:ascii="Arial" w:hAnsi="Arial" w:cs="Arial" w:eastAsia="Arial"/>
                <w:color w:val="000000"/>
                <w:spacing w:val="0"/>
                <w:position w:val="0"/>
                <w:sz w:val="24"/>
                <w:shd w:fill="auto" w:val="clear"/>
              </w:rPr>
              <w:t xml:space="preserve">Sig.</w:t>
            </w:r>
          </w:p>
        </w:tc>
      </w:tr>
      <w:tr>
        <w:trPr>
          <w:trHeight w:val="660" w:hRule="auto"/>
          <w:jc w:val="left"/>
        </w:trPr>
        <w:tc>
          <w:tcPr>
            <w:tcW w:w="1683" w:type="dxa"/>
            <w:tcBorders>
              <w:top w:val="single" w:color="000000" w:sz="18"/>
              <w:left w:val="single" w:color="000000" w:sz="18"/>
              <w:bottom w:val="single" w:color="000000" w:sz="8"/>
              <w:right w:val="single" w:color="000000" w:sz="18"/>
            </w:tcBorders>
            <w:shd w:color="auto" w:fill="ffffff" w:val="clear"/>
            <w:tcMar>
              <w:left w:w="10" w:type="dxa"/>
              <w:right w:w="10" w:type="dxa"/>
            </w:tcMar>
            <w:vAlign w:val="top"/>
          </w:tcPr>
          <w:p>
            <w:pPr>
              <w:spacing w:before="0" w:after="0" w:line="320"/>
              <w:ind w:right="60" w:left="60" w:firstLine="0"/>
              <w:jc w:val="left"/>
              <w:rPr>
                <w:spacing w:val="0"/>
                <w:position w:val="0"/>
              </w:rPr>
            </w:pPr>
            <w:r>
              <w:rPr>
                <w:rFonts w:ascii="Arial" w:hAnsi="Arial" w:cs="Arial" w:eastAsia="Arial"/>
                <w:color w:val="000000"/>
                <w:spacing w:val="0"/>
                <w:position w:val="0"/>
                <w:sz w:val="24"/>
                <w:shd w:fill="auto" w:val="clear"/>
              </w:rPr>
              <w:t xml:space="preserve">Regression</w:t>
            </w:r>
          </w:p>
        </w:tc>
        <w:tc>
          <w:tcPr>
            <w:tcW w:w="1469" w:type="dxa"/>
            <w:tcBorders>
              <w:top w:val="single" w:color="000000" w:sz="18"/>
              <w:left w:val="single" w:color="000000" w:sz="18"/>
              <w:bottom w:val="single" w:color="000000" w:sz="8"/>
              <w:right w:val="single" w:color="000000" w:sz="8"/>
            </w:tcBorders>
            <w:shd w:color="auto" w:fill="ffffff" w:val="clear"/>
            <w:tcMar>
              <w:left w:w="10" w:type="dxa"/>
              <w:right w:w="10" w:type="dxa"/>
            </w:tcMar>
            <w:vAlign w:val="top"/>
          </w:tcPr>
          <w:p>
            <w:pPr>
              <w:spacing w:before="0" w:after="0" w:line="320"/>
              <w:ind w:right="60" w:left="60" w:firstLine="0"/>
              <w:jc w:val="right"/>
              <w:rPr>
                <w:spacing w:val="0"/>
                <w:position w:val="0"/>
              </w:rPr>
            </w:pPr>
            <w:r>
              <w:rPr>
                <w:rFonts w:ascii="Arial" w:hAnsi="Arial" w:cs="Arial" w:eastAsia="Arial"/>
                <w:color w:val="000000"/>
                <w:spacing w:val="0"/>
                <w:position w:val="0"/>
                <w:sz w:val="24"/>
                <w:shd w:fill="auto" w:val="clear"/>
              </w:rPr>
              <w:t xml:space="preserve">1</w:t>
            </w:r>
          </w:p>
        </w:tc>
        <w:tc>
          <w:tcPr>
            <w:tcW w:w="995" w:type="dxa"/>
            <w:tcBorders>
              <w:top w:val="single" w:color="000000" w:sz="18"/>
              <w:left w:val="single" w:color="000000" w:sz="8"/>
              <w:bottom w:val="single" w:color="000000" w:sz="8"/>
              <w:right w:val="single" w:color="000000" w:sz="8"/>
            </w:tcBorders>
            <w:shd w:color="auto" w:fill="ffffff" w:val="clear"/>
            <w:tcMar>
              <w:left w:w="10" w:type="dxa"/>
              <w:right w:w="10" w:type="dxa"/>
            </w:tcMar>
            <w:vAlign w:val="top"/>
          </w:tcPr>
          <w:p>
            <w:pPr>
              <w:spacing w:before="0" w:after="0" w:line="320"/>
              <w:ind w:right="60" w:left="60" w:firstLine="0"/>
              <w:jc w:val="righ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bSxy=b</w:t>
            </w:r>
            <w:r>
              <w:rPr>
                <w:rFonts w:ascii="Calibri" w:hAnsi="Calibri" w:cs="Calibri" w:eastAsia="Calibri"/>
                <w:color w:val="auto"/>
                <w:spacing w:val="0"/>
                <w:position w:val="0"/>
                <w:sz w:val="22"/>
                <w:shd w:fill="auto" w:val="clear"/>
                <w:vertAlign w:val="superscript"/>
              </w:rPr>
              <w:t xml:space="preserve">2</w:t>
            </w:r>
            <w:r>
              <w:rPr>
                <w:rFonts w:ascii="Calibri" w:hAnsi="Calibri" w:cs="Calibri" w:eastAsia="Calibri"/>
                <w:color w:val="auto"/>
                <w:spacing w:val="0"/>
                <w:position w:val="0"/>
                <w:sz w:val="22"/>
                <w:shd w:fill="auto" w:val="clear"/>
              </w:rPr>
              <w:t xml:space="preserve">Sxx</w:t>
            </w:r>
          </w:p>
        </w:tc>
        <w:tc>
          <w:tcPr>
            <w:tcW w:w="1408" w:type="dxa"/>
            <w:tcBorders>
              <w:top w:val="single" w:color="000000" w:sz="18"/>
              <w:left w:val="single" w:color="000000" w:sz="8"/>
              <w:bottom w:val="single" w:color="000000" w:sz="8"/>
              <w:right w:val="single" w:color="000000" w:sz="8"/>
            </w:tcBorders>
            <w:shd w:color="auto" w:fill="ffffff" w:val="clear"/>
            <w:tcMar>
              <w:left w:w="10" w:type="dxa"/>
              <w:right w:w="10" w:type="dxa"/>
            </w:tcMar>
            <w:vAlign w:val="top"/>
          </w:tcPr>
          <w:p>
            <w:pPr>
              <w:spacing w:before="0" w:after="0" w:line="320"/>
              <w:ind w:right="60" w:left="60" w:firstLine="0"/>
              <w:jc w:val="right"/>
              <w:rPr>
                <w:spacing w:val="0"/>
                <w:position w:val="0"/>
              </w:rPr>
            </w:pPr>
            <w:r>
              <w:rPr>
                <w:rFonts w:ascii="Arial" w:hAnsi="Arial" w:cs="Arial" w:eastAsia="Arial"/>
                <w:color w:val="000000"/>
                <w:spacing w:val="0"/>
                <w:position w:val="0"/>
                <w:sz w:val="24"/>
                <w:shd w:fill="auto" w:val="clear"/>
              </w:rPr>
              <w:t xml:space="preserve">SSR/1</w:t>
            </w:r>
          </w:p>
        </w:tc>
        <w:tc>
          <w:tcPr>
            <w:tcW w:w="1010" w:type="dxa"/>
            <w:tcBorders>
              <w:top w:val="single" w:color="000000" w:sz="18"/>
              <w:left w:val="single" w:color="000000" w:sz="8"/>
              <w:bottom w:val="single" w:color="000000" w:sz="8"/>
              <w:right w:val="single" w:color="000000" w:sz="8"/>
            </w:tcBorders>
            <w:shd w:color="auto" w:fill="ffffff" w:val="clear"/>
            <w:tcMar>
              <w:left w:w="10" w:type="dxa"/>
              <w:right w:w="10" w:type="dxa"/>
            </w:tcMar>
            <w:vAlign w:val="top"/>
          </w:tcPr>
          <w:p>
            <w:pPr>
              <w:spacing w:before="0" w:after="0" w:line="320"/>
              <w:ind w:right="60" w:left="60" w:firstLine="0"/>
              <w:jc w:val="righ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MSR/MSE</w:t>
            </w:r>
          </w:p>
        </w:tc>
        <w:tc>
          <w:tcPr>
            <w:tcW w:w="1010" w:type="dxa"/>
            <w:tcBorders>
              <w:top w:val="single" w:color="000000" w:sz="18"/>
              <w:left w:val="single" w:color="000000" w:sz="8"/>
              <w:bottom w:val="single" w:color="000000" w:sz="8"/>
              <w:right w:val="single" w:color="000000" w:sz="18"/>
            </w:tcBorders>
            <w:shd w:color="auto" w:fill="ffffff" w:val="clear"/>
            <w:tcMar>
              <w:left w:w="10" w:type="dxa"/>
              <w:right w:w="10" w:type="dxa"/>
            </w:tcMar>
            <w:vAlign w:val="top"/>
          </w:tcPr>
          <w:p>
            <w:pPr>
              <w:spacing w:before="0" w:after="0" w:line="320"/>
              <w:ind w:right="60" w:left="60" w:firstLine="0"/>
              <w:jc w:val="right"/>
              <w:rPr>
                <w:spacing w:val="0"/>
                <w:position w:val="0"/>
              </w:rPr>
            </w:pPr>
            <w:r>
              <w:rPr>
                <w:rFonts w:ascii="Arial" w:hAnsi="Arial" w:cs="Arial" w:eastAsia="Arial"/>
                <w:color w:val="000000"/>
                <w:spacing w:val="0"/>
                <w:position w:val="0"/>
                <w:sz w:val="24"/>
                <w:shd w:fill="auto" w:val="clear"/>
              </w:rPr>
              <w:t xml:space="preserve">.</w:t>
            </w:r>
          </w:p>
        </w:tc>
      </w:tr>
      <w:tr>
        <w:trPr>
          <w:trHeight w:val="1260" w:hRule="auto"/>
          <w:jc w:val="left"/>
        </w:trPr>
        <w:tc>
          <w:tcPr>
            <w:tcW w:w="1683" w:type="dxa"/>
            <w:tcBorders>
              <w:top w:val="single" w:color="000000" w:sz="18"/>
              <w:left w:val="single" w:color="000000" w:sz="18"/>
              <w:bottom w:val="single" w:color="000000" w:sz="8"/>
              <w:right w:val="single" w:color="000000" w:sz="18"/>
            </w:tcBorders>
            <w:shd w:color="auto" w:fill="ffffff" w:val="clear"/>
            <w:tcMar>
              <w:left w:w="10" w:type="dxa"/>
              <w:right w:w="10" w:type="dxa"/>
            </w:tcMar>
            <w:vAlign w:val="center"/>
          </w:tcPr>
          <w:p>
            <w:pPr>
              <w:spacing w:before="0" w:after="0" w:line="320"/>
              <w:ind w:right="60" w:left="60" w:firstLine="0"/>
              <w:jc w:val="left"/>
              <w:rPr>
                <w:spacing w:val="0"/>
                <w:position w:val="0"/>
              </w:rPr>
            </w:pPr>
            <w:r>
              <w:rPr>
                <w:rFonts w:ascii="Arial" w:hAnsi="Arial" w:cs="Arial" w:eastAsia="Arial"/>
                <w:color w:val="000000"/>
                <w:spacing w:val="0"/>
                <w:position w:val="0"/>
                <w:sz w:val="24"/>
                <w:shd w:fill="auto" w:val="clear"/>
              </w:rPr>
              <w:t xml:space="preserve">Error </w:t>
            </w:r>
          </w:p>
        </w:tc>
        <w:tc>
          <w:tcPr>
            <w:tcW w:w="1469" w:type="dxa"/>
            <w:tcBorders>
              <w:top w:val="single" w:color="000000" w:sz="18"/>
              <w:left w:val="single" w:color="000000" w:sz="18"/>
              <w:bottom w:val="single" w:color="000000" w:sz="8"/>
              <w:right w:val="single" w:color="000000" w:sz="8"/>
            </w:tcBorders>
            <w:shd w:color="auto" w:fill="ffffff" w:val="clear"/>
            <w:tcMar>
              <w:left w:w="10" w:type="dxa"/>
              <w:right w:w="10" w:type="dxa"/>
            </w:tcMar>
            <w:vAlign w:val="center"/>
          </w:tcPr>
          <w:p>
            <w:pPr>
              <w:spacing w:before="0" w:after="0" w:line="320"/>
              <w:ind w:right="60" w:left="60" w:firstLine="0"/>
              <w:jc w:val="right"/>
              <w:rPr>
                <w:spacing w:val="0"/>
                <w:position w:val="0"/>
              </w:rPr>
            </w:pPr>
            <w:r>
              <w:rPr>
                <w:rFonts w:ascii="Arial" w:hAnsi="Arial" w:cs="Arial" w:eastAsia="Arial"/>
                <w:color w:val="000000"/>
                <w:spacing w:val="0"/>
                <w:position w:val="0"/>
                <w:sz w:val="24"/>
                <w:shd w:fill="auto" w:val="clear"/>
              </w:rPr>
              <w:t xml:space="preserve">n-2</w:t>
            </w:r>
          </w:p>
        </w:tc>
        <w:tc>
          <w:tcPr>
            <w:tcW w:w="995" w:type="dxa"/>
            <w:tcBorders>
              <w:top w:val="single" w:color="000000" w:sz="18"/>
              <w:left w:val="single" w:color="000000" w:sz="8"/>
              <w:bottom w:val="single" w:color="000000" w:sz="8"/>
              <w:right w:val="single" w:color="000000" w:sz="8"/>
            </w:tcBorders>
            <w:shd w:color="auto" w:fill="ffffff" w:val="clear"/>
            <w:tcMar>
              <w:left w:w="10" w:type="dxa"/>
              <w:right w:w="10" w:type="dxa"/>
            </w:tcMar>
            <w:vAlign w:val="center"/>
          </w:tcPr>
          <w:p>
            <w:pPr>
              <w:spacing w:before="0" w:after="0" w:line="320"/>
              <w:ind w:right="60" w:left="60" w:firstLine="0"/>
              <w:jc w:val="righ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bSyy=b</w:t>
            </w:r>
            <w:r>
              <w:rPr>
                <w:rFonts w:ascii="Calibri" w:hAnsi="Calibri" w:cs="Calibri" w:eastAsia="Calibri"/>
                <w:color w:val="auto"/>
                <w:spacing w:val="0"/>
                <w:position w:val="0"/>
                <w:sz w:val="22"/>
                <w:shd w:fill="auto" w:val="clear"/>
                <w:vertAlign w:val="superscript"/>
              </w:rPr>
              <w:t xml:space="preserve">2</w:t>
            </w:r>
            <w:r>
              <w:rPr>
                <w:rFonts w:ascii="Calibri" w:hAnsi="Calibri" w:cs="Calibri" w:eastAsia="Calibri"/>
                <w:color w:val="auto"/>
                <w:spacing w:val="0"/>
                <w:position w:val="0"/>
                <w:sz w:val="22"/>
                <w:shd w:fill="auto" w:val="clear"/>
              </w:rPr>
              <w:t xml:space="preserve">Sry</w:t>
            </w:r>
          </w:p>
        </w:tc>
        <w:tc>
          <w:tcPr>
            <w:tcW w:w="1408" w:type="dxa"/>
            <w:tcBorders>
              <w:top w:val="single" w:color="000000" w:sz="18"/>
              <w:left w:val="single" w:color="000000" w:sz="8"/>
              <w:bottom w:val="single" w:color="000000" w:sz="8"/>
              <w:right w:val="single" w:color="000000" w:sz="8"/>
            </w:tcBorders>
            <w:shd w:color="auto" w:fill="ffffff" w:val="clear"/>
            <w:tcMar>
              <w:left w:w="10" w:type="dxa"/>
              <w:right w:w="10" w:type="dxa"/>
            </w:tcMar>
            <w:vAlign w:val="center"/>
          </w:tcPr>
          <w:p>
            <w:pPr>
              <w:spacing w:before="0" w:after="0" w:line="320"/>
              <w:ind w:right="60" w:left="60" w:firstLine="0"/>
              <w:jc w:val="right"/>
              <w:rPr>
                <w:spacing w:val="0"/>
                <w:position w:val="0"/>
              </w:rPr>
            </w:pPr>
            <w:r>
              <w:rPr>
                <w:rFonts w:ascii="Arial" w:hAnsi="Arial" w:cs="Arial" w:eastAsia="Arial"/>
                <w:color w:val="000000"/>
                <w:spacing w:val="0"/>
                <w:position w:val="0"/>
                <w:sz w:val="24"/>
                <w:shd w:fill="auto" w:val="clear"/>
              </w:rPr>
              <w:t xml:space="preserve">SSE/n-2</w:t>
            </w:r>
          </w:p>
        </w:tc>
        <w:tc>
          <w:tcPr>
            <w:tcW w:w="1010" w:type="dxa"/>
            <w:tcBorders>
              <w:top w:val="single" w:color="000000" w:sz="18"/>
              <w:left w:val="single" w:color="000000" w:sz="8"/>
              <w:bottom w:val="single" w:color="000000" w:sz="8"/>
              <w:right w:val="single" w:color="000000" w:sz="8"/>
            </w:tcBorders>
            <w:shd w:color="auto" w:fill="ffffff" w:val="clear"/>
            <w:tcMar>
              <w:left w:w="10" w:type="dxa"/>
              <w:right w:w="10"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10" w:type="dxa"/>
            <w:tcBorders>
              <w:top w:val="single" w:color="000000" w:sz="18"/>
              <w:left w:val="single" w:color="000000" w:sz="8"/>
              <w:bottom w:val="single" w:color="000000" w:sz="8"/>
              <w:right w:val="single" w:color="000000" w:sz="18"/>
            </w:tcBorders>
            <w:shd w:color="auto" w:fill="ffffff" w:val="clear"/>
            <w:tcMar>
              <w:left w:w="10" w:type="dxa"/>
              <w:right w:w="10"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70" w:hRule="auto"/>
          <w:jc w:val="left"/>
        </w:trPr>
        <w:tc>
          <w:tcPr>
            <w:tcW w:w="1683" w:type="dxa"/>
            <w:tcBorders>
              <w:top w:val="single" w:color="000000" w:sz="18"/>
              <w:left w:val="single" w:color="000000" w:sz="18"/>
              <w:bottom w:val="single" w:color="000000" w:sz="8"/>
              <w:right w:val="single" w:color="000000" w:sz="18"/>
            </w:tcBorders>
            <w:shd w:color="auto" w:fill="ffffff" w:val="clear"/>
            <w:tcMar>
              <w:left w:w="10" w:type="dxa"/>
              <w:right w:w="10" w:type="dxa"/>
            </w:tcMar>
            <w:vAlign w:val="center"/>
          </w:tcPr>
          <w:p>
            <w:pPr>
              <w:spacing w:before="0" w:after="0" w:line="320"/>
              <w:ind w:right="60" w:left="60" w:firstLine="0"/>
              <w:jc w:val="left"/>
              <w:rPr>
                <w:spacing w:val="0"/>
                <w:position w:val="0"/>
              </w:rPr>
            </w:pPr>
            <w:r>
              <w:rPr>
                <w:rFonts w:ascii="Arial" w:hAnsi="Arial" w:cs="Arial" w:eastAsia="Arial"/>
                <w:color w:val="000000"/>
                <w:spacing w:val="0"/>
                <w:position w:val="0"/>
                <w:sz w:val="24"/>
                <w:shd w:fill="auto" w:val="clear"/>
              </w:rPr>
              <w:t xml:space="preserve">Total</w:t>
            </w:r>
          </w:p>
        </w:tc>
        <w:tc>
          <w:tcPr>
            <w:tcW w:w="1469" w:type="dxa"/>
            <w:tcBorders>
              <w:top w:val="single" w:color="000000" w:sz="18"/>
              <w:left w:val="single" w:color="000000" w:sz="18"/>
              <w:bottom w:val="single" w:color="000000" w:sz="8"/>
              <w:right w:val="single" w:color="000000" w:sz="8"/>
            </w:tcBorders>
            <w:shd w:color="auto" w:fill="ffffff" w:val="clear"/>
            <w:tcMar>
              <w:left w:w="10" w:type="dxa"/>
              <w:right w:w="10" w:type="dxa"/>
            </w:tcMar>
            <w:vAlign w:val="center"/>
          </w:tcPr>
          <w:p>
            <w:pPr>
              <w:spacing w:before="0" w:after="0" w:line="320"/>
              <w:ind w:right="60" w:left="60" w:firstLine="0"/>
              <w:jc w:val="right"/>
              <w:rPr>
                <w:spacing w:val="0"/>
                <w:position w:val="0"/>
              </w:rPr>
            </w:pPr>
            <w:r>
              <w:rPr>
                <w:rFonts w:ascii="Arial" w:hAnsi="Arial" w:cs="Arial" w:eastAsia="Arial"/>
                <w:color w:val="000000"/>
                <w:spacing w:val="0"/>
                <w:position w:val="0"/>
                <w:sz w:val="24"/>
                <w:shd w:fill="auto" w:val="clear"/>
              </w:rPr>
              <w:t xml:space="preserve">n-1</w:t>
            </w:r>
          </w:p>
        </w:tc>
        <w:tc>
          <w:tcPr>
            <w:tcW w:w="995" w:type="dxa"/>
            <w:tcBorders>
              <w:top w:val="single" w:color="000000" w:sz="18"/>
              <w:left w:val="single" w:color="000000" w:sz="8"/>
              <w:bottom w:val="single" w:color="000000" w:sz="8"/>
              <w:right w:val="single" w:color="000000" w:sz="8"/>
            </w:tcBorders>
            <w:shd w:color="auto" w:fill="ffffff" w:val="clear"/>
            <w:tcMar>
              <w:left w:w="10" w:type="dxa"/>
              <w:right w:w="10" w:type="dxa"/>
            </w:tcMar>
            <w:vAlign w:val="center"/>
          </w:tcPr>
          <w:p>
            <w:pPr>
              <w:spacing w:before="0" w:after="0" w:line="320"/>
              <w:ind w:right="60" w:left="60" w:firstLine="0"/>
              <w:jc w:val="righ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Syy</w:t>
            </w:r>
          </w:p>
        </w:tc>
        <w:tc>
          <w:tcPr>
            <w:tcW w:w="1408" w:type="dxa"/>
            <w:tcBorders>
              <w:top w:val="single" w:color="000000" w:sz="18"/>
              <w:left w:val="single" w:color="000000" w:sz="8"/>
              <w:bottom w:val="single" w:color="000000" w:sz="8"/>
              <w:right w:val="single" w:color="000000" w:sz="8"/>
            </w:tcBorders>
            <w:shd w:color="auto" w:fill="ffffff" w:val="clear"/>
            <w:tcMar>
              <w:left w:w="10" w:type="dxa"/>
              <w:right w:w="10"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10" w:type="dxa"/>
            <w:tcBorders>
              <w:top w:val="single" w:color="000000" w:sz="18"/>
              <w:left w:val="single" w:color="000000" w:sz="8"/>
              <w:bottom w:val="single" w:color="000000" w:sz="8"/>
              <w:right w:val="single" w:color="000000" w:sz="8"/>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10" w:type="dxa"/>
            <w:tcBorders>
              <w:top w:val="single" w:color="000000" w:sz="18"/>
              <w:left w:val="single" w:color="000000" w:sz="8"/>
              <w:bottom w:val="single" w:color="000000" w:sz="8"/>
              <w:right w:val="single" w:color="000000" w:sz="18"/>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tabs>
          <w:tab w:val="left" w:pos="720" w:leader="none"/>
        </w:tabs>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WHERE;</w:t>
      </w:r>
    </w:p>
    <w:p>
      <w:pPr>
        <w:tabs>
          <w:tab w:val="left" w:pos="720" w:leader="none"/>
        </w:tabs>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SST is the total sum of square</w:t>
      </w:r>
    </w:p>
    <w:p>
      <w:pPr>
        <w:tabs>
          <w:tab w:val="left" w:pos="720" w:leader="none"/>
        </w:tabs>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SSR is the sum of square due to regression</w:t>
      </w:r>
    </w:p>
    <w:p>
      <w:pPr>
        <w:tabs>
          <w:tab w:val="left" w:pos="720" w:leader="none"/>
        </w:tabs>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SSE is the error sum of squares </w:t>
      </w:r>
    </w:p>
    <w:p>
      <w:pPr>
        <w:tabs>
          <w:tab w:val="left" w:pos="720" w:leader="none"/>
        </w:tabs>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MSR is the mean square due to regressions</w:t>
      </w:r>
    </w:p>
    <w:p>
      <w:pPr>
        <w:tabs>
          <w:tab w:val="left" w:pos="720" w:leader="none"/>
        </w:tabs>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000000"/>
          <w:spacing w:val="0"/>
          <w:position w:val="0"/>
          <w:sz w:val="24"/>
          <w:shd w:fill="auto" w:val="clear"/>
        </w:rPr>
      </w:pPr>
      <w:r>
        <w:object w:dxaOrig="8544" w:dyaOrig="5284">
          <v:rect xmlns:o="urn:schemas-microsoft-com:office:office" xmlns:v="urn:schemas-microsoft-com:vml" id="rectole0000000000" style="width:427.200000pt;height:264.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100" w:after="10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3.2 Source of data</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data used in this research work is a secondary data obtained from the general hospital surulere Ilorin Kwara state from their records department.</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CHAPTER FOUR</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4.0ANALYSIS AND  PRESENTATION OF DATA</w:t>
      </w: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data below is record by week for each month (August, September, October and November) in 2024 obtained from the General hospital Surulere Ilorin, Kwara state on children immunized against measles.</w:t>
      </w: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tbl>
      <w:tblPr/>
      <w:tblGrid>
        <w:gridCol w:w="1558"/>
        <w:gridCol w:w="1558"/>
        <w:gridCol w:w="1558"/>
        <w:gridCol w:w="1558"/>
        <w:gridCol w:w="1559"/>
      </w:tblGrid>
      <w:tr>
        <w:trPr>
          <w:trHeight w:val="1" w:hRule="atLeast"/>
          <w:jc w:val="left"/>
        </w:trPr>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Week</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August</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September</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October</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November</w:t>
            </w:r>
          </w:p>
        </w:tc>
      </w:tr>
      <w:tr>
        <w:trPr>
          <w:trHeight w:val="1" w:hRule="atLeast"/>
          <w:jc w:val="left"/>
        </w:trPr>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Week 1</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1222</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1201</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1075</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1210</w:t>
            </w:r>
          </w:p>
        </w:tc>
      </w:tr>
      <w:tr>
        <w:trPr>
          <w:trHeight w:val="1" w:hRule="atLeast"/>
          <w:jc w:val="left"/>
        </w:trPr>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Week 2</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1345</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1289</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1112</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1256</w:t>
            </w:r>
          </w:p>
        </w:tc>
      </w:tr>
      <w:tr>
        <w:trPr>
          <w:trHeight w:val="1" w:hRule="atLeast"/>
          <w:jc w:val="left"/>
        </w:trPr>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Week 3</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1150</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1234</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1020</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1154</w:t>
            </w:r>
          </w:p>
        </w:tc>
      </w:tr>
      <w:tr>
        <w:trPr>
          <w:trHeight w:val="1" w:hRule="atLeast"/>
          <w:jc w:val="left"/>
        </w:trPr>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Week 4</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1172</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1275</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1079</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1177</w:t>
            </w:r>
          </w:p>
        </w:tc>
      </w:tr>
      <w:tr>
        <w:trPr>
          <w:trHeight w:val="1" w:hRule="atLeast"/>
          <w:jc w:val="left"/>
        </w:trPr>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Total</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4889</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4999</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4286</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4797</w:t>
            </w:r>
          </w:p>
        </w:tc>
      </w:tr>
    </w:tbl>
    <w:p>
      <w:pPr>
        <w:spacing w:before="0" w:after="160" w:line="259"/>
        <w:ind w:right="0" w:left="0" w:firstLine="0"/>
        <w:jc w:val="left"/>
        <w:rPr>
          <w:rFonts w:ascii="Times New Roman" w:hAnsi="Times New Roman" w:cs="Times New Roman" w:eastAsia="Times New Roman"/>
          <w:b/>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tbl>
      <w:tblPr/>
      <w:tblGrid>
        <w:gridCol w:w="2034"/>
        <w:gridCol w:w="1010"/>
        <w:gridCol w:w="1056"/>
        <w:gridCol w:w="1087"/>
        <w:gridCol w:w="1010"/>
        <w:gridCol w:w="1423"/>
      </w:tblGrid>
      <w:tr>
        <w:trPr>
          <w:trHeight w:val="1" w:hRule="atLeast"/>
          <w:jc w:val="left"/>
        </w:trPr>
        <w:tc>
          <w:tcPr>
            <w:tcW w:w="7620" w:type="dxa"/>
            <w:gridSpan w:val="6"/>
            <w:tcBorders>
              <w:top w:val="single" w:color="000000" w:sz="8"/>
              <w:left w:val="single" w:color="000000" w:sz="8"/>
              <w:bottom w:val="single" w:color="000000" w:sz="8"/>
              <w:right w:val="single" w:color="000000" w:sz="8"/>
            </w:tcBorders>
            <w:shd w:color="auto" w:fill="ffffff" w:val="clear"/>
            <w:tcMar>
              <w:left w:w="10" w:type="dxa"/>
              <w:right w:w="10" w:type="dxa"/>
            </w:tcMar>
            <w:vAlign w:val="top"/>
          </w:tcPr>
          <w:p>
            <w:pPr>
              <w:spacing w:before="0" w:after="0" w:line="320"/>
              <w:ind w:right="60" w:left="60" w:firstLine="0"/>
              <w:jc w:val="center"/>
              <w:rPr>
                <w:spacing w:val="0"/>
                <w:position w:val="0"/>
              </w:rPr>
            </w:pPr>
            <w:r>
              <w:rPr>
                <w:rFonts w:ascii="Arial" w:hAnsi="Arial" w:cs="Arial" w:eastAsia="Arial"/>
                <w:b/>
                <w:color w:val="000000"/>
                <w:spacing w:val="0"/>
                <w:position w:val="0"/>
                <w:sz w:val="24"/>
                <w:shd w:fill="auto" w:val="clear"/>
              </w:rPr>
              <w:t xml:space="preserve">Descriptive Statistics</w:t>
            </w:r>
          </w:p>
        </w:tc>
      </w:tr>
      <w:tr>
        <w:trPr>
          <w:trHeight w:val="1" w:hRule="atLeast"/>
          <w:jc w:val="left"/>
        </w:trPr>
        <w:tc>
          <w:tcPr>
            <w:tcW w:w="2034" w:type="dxa"/>
            <w:tcBorders>
              <w:top w:val="single" w:color="000000" w:sz="18"/>
              <w:left w:val="single" w:color="000000" w:sz="18"/>
              <w:bottom w:val="single" w:color="000000" w:sz="18"/>
              <w:right w:val="single" w:color="000000" w:sz="18"/>
            </w:tcBorders>
            <w:shd w:color="auto" w:fill="ffffff" w:val="clear"/>
            <w:tcMar>
              <w:left w:w="10" w:type="dxa"/>
              <w:right w:w="10" w:type="dxa"/>
            </w:tcMar>
            <w:vAlign w:val="top"/>
          </w:tcPr>
          <w:p>
            <w:pPr>
              <w:spacing w:before="0" w:after="0" w:line="320"/>
              <w:ind w:right="60" w:left="60" w:firstLine="0"/>
              <w:jc w:val="left"/>
              <w:rPr>
                <w:rFonts w:ascii="Calibri" w:hAnsi="Calibri" w:cs="Calibri" w:eastAsia="Calibri"/>
                <w:color w:val="auto"/>
                <w:spacing w:val="0"/>
                <w:position w:val="0"/>
                <w:sz w:val="22"/>
                <w:shd w:fill="auto" w:val="clear"/>
              </w:rPr>
            </w:pPr>
          </w:p>
        </w:tc>
        <w:tc>
          <w:tcPr>
            <w:tcW w:w="1010" w:type="dxa"/>
            <w:tcBorders>
              <w:top w:val="single" w:color="000000" w:sz="18"/>
              <w:left w:val="single" w:color="000000" w:sz="18"/>
              <w:bottom w:val="single" w:color="000000" w:sz="18"/>
              <w:right w:val="single" w:color="000000" w:sz="8"/>
            </w:tcBorders>
            <w:shd w:color="auto" w:fill="ffffff" w:val="clear"/>
            <w:tcMar>
              <w:left w:w="10" w:type="dxa"/>
              <w:right w:w="10" w:type="dxa"/>
            </w:tcMar>
            <w:vAlign w:val="top"/>
          </w:tcPr>
          <w:p>
            <w:pPr>
              <w:spacing w:before="0" w:after="0" w:line="320"/>
              <w:ind w:right="60" w:left="60" w:firstLine="0"/>
              <w:jc w:val="center"/>
              <w:rPr>
                <w:spacing w:val="0"/>
                <w:position w:val="0"/>
              </w:rPr>
            </w:pPr>
            <w:r>
              <w:rPr>
                <w:rFonts w:ascii="Arial" w:hAnsi="Arial" w:cs="Arial" w:eastAsia="Arial"/>
                <w:color w:val="000000"/>
                <w:spacing w:val="0"/>
                <w:position w:val="0"/>
                <w:sz w:val="24"/>
                <w:shd w:fill="auto" w:val="clear"/>
              </w:rPr>
              <w:t xml:space="preserve">N</w:t>
            </w:r>
          </w:p>
        </w:tc>
        <w:tc>
          <w:tcPr>
            <w:tcW w:w="1056" w:type="dxa"/>
            <w:tcBorders>
              <w:top w:val="single" w:color="000000" w:sz="18"/>
              <w:left w:val="single" w:color="000000" w:sz="8"/>
              <w:bottom w:val="single" w:color="000000" w:sz="18"/>
              <w:right w:val="single" w:color="000000" w:sz="8"/>
            </w:tcBorders>
            <w:shd w:color="auto" w:fill="ffffff" w:val="clear"/>
            <w:tcMar>
              <w:left w:w="10" w:type="dxa"/>
              <w:right w:w="10" w:type="dxa"/>
            </w:tcMar>
            <w:vAlign w:val="top"/>
          </w:tcPr>
          <w:p>
            <w:pPr>
              <w:spacing w:before="0" w:after="0" w:line="320"/>
              <w:ind w:right="60" w:left="60" w:firstLine="0"/>
              <w:jc w:val="center"/>
              <w:rPr>
                <w:spacing w:val="0"/>
                <w:position w:val="0"/>
              </w:rPr>
            </w:pPr>
            <w:r>
              <w:rPr>
                <w:rFonts w:ascii="Arial" w:hAnsi="Arial" w:cs="Arial" w:eastAsia="Arial"/>
                <w:color w:val="000000"/>
                <w:spacing w:val="0"/>
                <w:position w:val="0"/>
                <w:sz w:val="24"/>
                <w:shd w:fill="auto" w:val="clear"/>
              </w:rPr>
              <w:t xml:space="preserve">Minimum</w:t>
            </w:r>
          </w:p>
        </w:tc>
        <w:tc>
          <w:tcPr>
            <w:tcW w:w="1087" w:type="dxa"/>
            <w:tcBorders>
              <w:top w:val="single" w:color="000000" w:sz="18"/>
              <w:left w:val="single" w:color="000000" w:sz="8"/>
              <w:bottom w:val="single" w:color="000000" w:sz="18"/>
              <w:right w:val="single" w:color="000000" w:sz="8"/>
            </w:tcBorders>
            <w:shd w:color="auto" w:fill="ffffff" w:val="clear"/>
            <w:tcMar>
              <w:left w:w="10" w:type="dxa"/>
              <w:right w:w="10" w:type="dxa"/>
            </w:tcMar>
            <w:vAlign w:val="top"/>
          </w:tcPr>
          <w:p>
            <w:pPr>
              <w:spacing w:before="0" w:after="0" w:line="320"/>
              <w:ind w:right="60" w:left="60" w:firstLine="0"/>
              <w:jc w:val="center"/>
              <w:rPr>
                <w:spacing w:val="0"/>
                <w:position w:val="0"/>
              </w:rPr>
            </w:pPr>
            <w:r>
              <w:rPr>
                <w:rFonts w:ascii="Arial" w:hAnsi="Arial" w:cs="Arial" w:eastAsia="Arial"/>
                <w:color w:val="000000"/>
                <w:spacing w:val="0"/>
                <w:position w:val="0"/>
                <w:sz w:val="24"/>
                <w:shd w:fill="auto" w:val="clear"/>
              </w:rPr>
              <w:t xml:space="preserve">Maximum</w:t>
            </w:r>
          </w:p>
        </w:tc>
        <w:tc>
          <w:tcPr>
            <w:tcW w:w="1010" w:type="dxa"/>
            <w:tcBorders>
              <w:top w:val="single" w:color="000000" w:sz="18"/>
              <w:left w:val="single" w:color="000000" w:sz="8"/>
              <w:bottom w:val="single" w:color="000000" w:sz="18"/>
              <w:right w:val="single" w:color="000000" w:sz="8"/>
            </w:tcBorders>
            <w:shd w:color="auto" w:fill="ffffff" w:val="clear"/>
            <w:tcMar>
              <w:left w:w="10" w:type="dxa"/>
              <w:right w:w="10" w:type="dxa"/>
            </w:tcMar>
            <w:vAlign w:val="top"/>
          </w:tcPr>
          <w:p>
            <w:pPr>
              <w:spacing w:before="0" w:after="0" w:line="320"/>
              <w:ind w:right="60" w:left="60" w:firstLine="0"/>
              <w:jc w:val="center"/>
              <w:rPr>
                <w:spacing w:val="0"/>
                <w:position w:val="0"/>
              </w:rPr>
            </w:pPr>
            <w:r>
              <w:rPr>
                <w:rFonts w:ascii="Arial" w:hAnsi="Arial" w:cs="Arial" w:eastAsia="Arial"/>
                <w:color w:val="000000"/>
                <w:spacing w:val="0"/>
                <w:position w:val="0"/>
                <w:sz w:val="24"/>
                <w:shd w:fill="auto" w:val="clear"/>
              </w:rPr>
              <w:t xml:space="preserve">Mean</w:t>
            </w:r>
          </w:p>
        </w:tc>
        <w:tc>
          <w:tcPr>
            <w:tcW w:w="1423" w:type="dxa"/>
            <w:tcBorders>
              <w:top w:val="single" w:color="000000" w:sz="18"/>
              <w:left w:val="single" w:color="000000" w:sz="8"/>
              <w:bottom w:val="single" w:color="000000" w:sz="18"/>
              <w:right w:val="single" w:color="000000" w:sz="18"/>
            </w:tcBorders>
            <w:shd w:color="auto" w:fill="ffffff" w:val="clear"/>
            <w:tcMar>
              <w:left w:w="10" w:type="dxa"/>
              <w:right w:w="10" w:type="dxa"/>
            </w:tcMar>
            <w:vAlign w:val="top"/>
          </w:tcPr>
          <w:p>
            <w:pPr>
              <w:spacing w:before="0" w:after="0" w:line="320"/>
              <w:ind w:right="60" w:left="60" w:firstLine="0"/>
              <w:jc w:val="center"/>
              <w:rPr>
                <w:spacing w:val="0"/>
                <w:position w:val="0"/>
              </w:rPr>
            </w:pPr>
            <w:r>
              <w:rPr>
                <w:rFonts w:ascii="Arial" w:hAnsi="Arial" w:cs="Arial" w:eastAsia="Arial"/>
                <w:color w:val="000000"/>
                <w:spacing w:val="0"/>
                <w:position w:val="0"/>
                <w:sz w:val="24"/>
                <w:shd w:fill="auto" w:val="clear"/>
              </w:rPr>
              <w:t xml:space="preserve">Std. Deviation</w:t>
            </w:r>
          </w:p>
        </w:tc>
      </w:tr>
      <w:tr>
        <w:trPr>
          <w:trHeight w:val="1" w:hRule="atLeast"/>
          <w:jc w:val="left"/>
        </w:trPr>
        <w:tc>
          <w:tcPr>
            <w:tcW w:w="2034" w:type="dxa"/>
            <w:tcBorders>
              <w:top w:val="single" w:color="000000" w:sz="18"/>
              <w:left w:val="single" w:color="000000" w:sz="18"/>
              <w:bottom w:val="single" w:color="000000" w:sz="8"/>
              <w:right w:val="single" w:color="000000" w:sz="18"/>
            </w:tcBorders>
            <w:shd w:color="auto" w:fill="ffffff" w:val="clear"/>
            <w:tcMar>
              <w:left w:w="10" w:type="dxa"/>
              <w:right w:w="10" w:type="dxa"/>
            </w:tcMar>
            <w:vAlign w:val="center"/>
          </w:tcPr>
          <w:p>
            <w:pPr>
              <w:spacing w:before="0" w:after="0" w:line="320"/>
              <w:ind w:right="60" w:left="60" w:firstLine="0"/>
              <w:jc w:val="left"/>
              <w:rPr>
                <w:spacing w:val="0"/>
                <w:position w:val="0"/>
              </w:rPr>
            </w:pPr>
            <w:r>
              <w:rPr>
                <w:rFonts w:ascii="Arial" w:hAnsi="Arial" w:cs="Arial" w:eastAsia="Arial"/>
                <w:color w:val="000000"/>
                <w:spacing w:val="0"/>
                <w:position w:val="0"/>
                <w:sz w:val="24"/>
                <w:shd w:fill="auto" w:val="clear"/>
              </w:rPr>
              <w:t xml:space="preserve">Week</w:t>
            </w:r>
          </w:p>
        </w:tc>
        <w:tc>
          <w:tcPr>
            <w:tcW w:w="1010" w:type="dxa"/>
            <w:tcBorders>
              <w:top w:val="single" w:color="000000" w:sz="18"/>
              <w:left w:val="single" w:color="000000" w:sz="18"/>
              <w:bottom w:val="single" w:color="000000" w:sz="8"/>
              <w:right w:val="single" w:color="000000" w:sz="8"/>
            </w:tcBorders>
            <w:shd w:color="auto" w:fill="ffffff" w:val="clear"/>
            <w:tcMar>
              <w:left w:w="10" w:type="dxa"/>
              <w:right w:w="10" w:type="dxa"/>
            </w:tcMar>
            <w:vAlign w:val="center"/>
          </w:tcPr>
          <w:p>
            <w:pPr>
              <w:spacing w:before="0" w:after="0" w:line="320"/>
              <w:ind w:right="60" w:left="60" w:firstLine="0"/>
              <w:jc w:val="right"/>
              <w:rPr>
                <w:spacing w:val="0"/>
                <w:position w:val="0"/>
              </w:rPr>
            </w:pPr>
            <w:r>
              <w:rPr>
                <w:rFonts w:ascii="Arial" w:hAnsi="Arial" w:cs="Arial" w:eastAsia="Arial"/>
                <w:color w:val="000000"/>
                <w:spacing w:val="0"/>
                <w:position w:val="0"/>
                <w:sz w:val="24"/>
                <w:shd w:fill="auto" w:val="clear"/>
              </w:rPr>
              <w:t xml:space="preserve">16</w:t>
            </w:r>
          </w:p>
        </w:tc>
        <w:tc>
          <w:tcPr>
            <w:tcW w:w="1056" w:type="dxa"/>
            <w:tcBorders>
              <w:top w:val="single" w:color="000000" w:sz="18"/>
              <w:left w:val="single" w:color="000000" w:sz="8"/>
              <w:bottom w:val="single" w:color="000000" w:sz="8"/>
              <w:right w:val="single" w:color="000000" w:sz="8"/>
            </w:tcBorders>
            <w:shd w:color="auto" w:fill="ffffff" w:val="clear"/>
            <w:tcMar>
              <w:left w:w="10" w:type="dxa"/>
              <w:right w:w="10" w:type="dxa"/>
            </w:tcMar>
            <w:vAlign w:val="center"/>
          </w:tcPr>
          <w:p>
            <w:pPr>
              <w:spacing w:before="0" w:after="0" w:line="320"/>
              <w:ind w:right="60" w:left="60" w:firstLine="0"/>
              <w:jc w:val="right"/>
              <w:rPr>
                <w:spacing w:val="0"/>
                <w:position w:val="0"/>
              </w:rPr>
            </w:pPr>
            <w:r>
              <w:rPr>
                <w:rFonts w:ascii="Arial" w:hAnsi="Arial" w:cs="Arial" w:eastAsia="Arial"/>
                <w:color w:val="000000"/>
                <w:spacing w:val="0"/>
                <w:position w:val="0"/>
                <w:sz w:val="24"/>
                <w:shd w:fill="auto" w:val="clear"/>
              </w:rPr>
              <w:t xml:space="preserve">1</w:t>
            </w:r>
          </w:p>
        </w:tc>
        <w:tc>
          <w:tcPr>
            <w:tcW w:w="1087" w:type="dxa"/>
            <w:tcBorders>
              <w:top w:val="single" w:color="000000" w:sz="18"/>
              <w:left w:val="single" w:color="000000" w:sz="8"/>
              <w:bottom w:val="single" w:color="000000" w:sz="8"/>
              <w:right w:val="single" w:color="000000" w:sz="8"/>
            </w:tcBorders>
            <w:shd w:color="auto" w:fill="ffffff" w:val="clear"/>
            <w:tcMar>
              <w:left w:w="10" w:type="dxa"/>
              <w:right w:w="10" w:type="dxa"/>
            </w:tcMar>
            <w:vAlign w:val="center"/>
          </w:tcPr>
          <w:p>
            <w:pPr>
              <w:spacing w:before="0" w:after="0" w:line="320"/>
              <w:ind w:right="60" w:left="60" w:firstLine="0"/>
              <w:jc w:val="right"/>
              <w:rPr>
                <w:spacing w:val="0"/>
                <w:position w:val="0"/>
              </w:rPr>
            </w:pPr>
            <w:r>
              <w:rPr>
                <w:rFonts w:ascii="Arial" w:hAnsi="Arial" w:cs="Arial" w:eastAsia="Arial"/>
                <w:color w:val="000000"/>
                <w:spacing w:val="0"/>
                <w:position w:val="0"/>
                <w:sz w:val="24"/>
                <w:shd w:fill="auto" w:val="clear"/>
              </w:rPr>
              <w:t xml:space="preserve">4</w:t>
            </w:r>
          </w:p>
        </w:tc>
        <w:tc>
          <w:tcPr>
            <w:tcW w:w="1010" w:type="dxa"/>
            <w:tcBorders>
              <w:top w:val="single" w:color="000000" w:sz="18"/>
              <w:left w:val="single" w:color="000000" w:sz="8"/>
              <w:bottom w:val="single" w:color="000000" w:sz="8"/>
              <w:right w:val="single" w:color="000000" w:sz="8"/>
            </w:tcBorders>
            <w:shd w:color="auto" w:fill="ffffff" w:val="clear"/>
            <w:tcMar>
              <w:left w:w="10" w:type="dxa"/>
              <w:right w:w="10" w:type="dxa"/>
            </w:tcMar>
            <w:vAlign w:val="center"/>
          </w:tcPr>
          <w:p>
            <w:pPr>
              <w:spacing w:before="0" w:after="0" w:line="320"/>
              <w:ind w:right="60" w:left="60" w:firstLine="0"/>
              <w:jc w:val="right"/>
              <w:rPr>
                <w:spacing w:val="0"/>
                <w:position w:val="0"/>
              </w:rPr>
            </w:pPr>
            <w:r>
              <w:rPr>
                <w:rFonts w:ascii="Arial" w:hAnsi="Arial" w:cs="Arial" w:eastAsia="Arial"/>
                <w:color w:val="000000"/>
                <w:spacing w:val="0"/>
                <w:position w:val="0"/>
                <w:sz w:val="24"/>
                <w:shd w:fill="auto" w:val="clear"/>
              </w:rPr>
              <w:t xml:space="preserve">2.50</w:t>
            </w:r>
          </w:p>
        </w:tc>
        <w:tc>
          <w:tcPr>
            <w:tcW w:w="1423" w:type="dxa"/>
            <w:tcBorders>
              <w:top w:val="single" w:color="000000" w:sz="18"/>
              <w:left w:val="single" w:color="000000" w:sz="8"/>
              <w:bottom w:val="single" w:color="000000" w:sz="8"/>
              <w:right w:val="single" w:color="000000" w:sz="18"/>
            </w:tcBorders>
            <w:shd w:color="auto" w:fill="ffffff" w:val="clear"/>
            <w:tcMar>
              <w:left w:w="10" w:type="dxa"/>
              <w:right w:w="10" w:type="dxa"/>
            </w:tcMar>
            <w:vAlign w:val="center"/>
          </w:tcPr>
          <w:p>
            <w:pPr>
              <w:spacing w:before="0" w:after="0" w:line="320"/>
              <w:ind w:right="60" w:left="60" w:firstLine="0"/>
              <w:jc w:val="right"/>
              <w:rPr>
                <w:spacing w:val="0"/>
                <w:position w:val="0"/>
              </w:rPr>
            </w:pPr>
            <w:r>
              <w:rPr>
                <w:rFonts w:ascii="Arial" w:hAnsi="Arial" w:cs="Arial" w:eastAsia="Arial"/>
                <w:color w:val="000000"/>
                <w:spacing w:val="0"/>
                <w:position w:val="0"/>
                <w:sz w:val="24"/>
                <w:shd w:fill="auto" w:val="clear"/>
              </w:rPr>
              <w:t xml:space="preserve">1.155</w:t>
            </w:r>
          </w:p>
        </w:tc>
      </w:tr>
      <w:tr>
        <w:trPr>
          <w:trHeight w:val="1" w:hRule="atLeast"/>
          <w:jc w:val="left"/>
        </w:trPr>
        <w:tc>
          <w:tcPr>
            <w:tcW w:w="2034" w:type="dxa"/>
            <w:tcBorders>
              <w:top w:val="single" w:color="000000" w:sz="8"/>
              <w:left w:val="single" w:color="000000" w:sz="18"/>
              <w:bottom w:val="single" w:color="000000" w:sz="8"/>
              <w:right w:val="single" w:color="000000" w:sz="18"/>
            </w:tcBorders>
            <w:shd w:color="auto" w:fill="ffffff" w:val="clear"/>
            <w:tcMar>
              <w:left w:w="10" w:type="dxa"/>
              <w:right w:w="10" w:type="dxa"/>
            </w:tcMar>
            <w:vAlign w:val="center"/>
          </w:tcPr>
          <w:p>
            <w:pPr>
              <w:spacing w:before="0" w:after="0" w:line="320"/>
              <w:ind w:right="60" w:left="60" w:firstLine="0"/>
              <w:jc w:val="left"/>
              <w:rPr>
                <w:spacing w:val="0"/>
                <w:position w:val="0"/>
              </w:rPr>
            </w:pPr>
            <w:r>
              <w:rPr>
                <w:rFonts w:ascii="Arial" w:hAnsi="Arial" w:cs="Arial" w:eastAsia="Arial"/>
                <w:color w:val="000000"/>
                <w:spacing w:val="0"/>
                <w:position w:val="0"/>
                <w:sz w:val="24"/>
                <w:shd w:fill="auto" w:val="clear"/>
              </w:rPr>
              <w:t xml:space="preserve">Children_Immunized</w:t>
            </w:r>
          </w:p>
        </w:tc>
        <w:tc>
          <w:tcPr>
            <w:tcW w:w="1010" w:type="dxa"/>
            <w:tcBorders>
              <w:top w:val="single" w:color="000000" w:sz="8"/>
              <w:left w:val="single" w:color="000000" w:sz="18"/>
              <w:bottom w:val="single" w:color="000000" w:sz="8"/>
              <w:right w:val="single" w:color="000000" w:sz="8"/>
            </w:tcBorders>
            <w:shd w:color="auto" w:fill="ffffff" w:val="clear"/>
            <w:tcMar>
              <w:left w:w="10" w:type="dxa"/>
              <w:right w:w="10" w:type="dxa"/>
            </w:tcMar>
            <w:vAlign w:val="center"/>
          </w:tcPr>
          <w:p>
            <w:pPr>
              <w:spacing w:before="0" w:after="0" w:line="320"/>
              <w:ind w:right="60" w:left="60" w:firstLine="0"/>
              <w:jc w:val="right"/>
              <w:rPr>
                <w:spacing w:val="0"/>
                <w:position w:val="0"/>
              </w:rPr>
            </w:pPr>
            <w:r>
              <w:rPr>
                <w:rFonts w:ascii="Arial" w:hAnsi="Arial" w:cs="Arial" w:eastAsia="Arial"/>
                <w:color w:val="000000"/>
                <w:spacing w:val="0"/>
                <w:position w:val="0"/>
                <w:sz w:val="24"/>
                <w:shd w:fill="auto" w:val="clear"/>
              </w:rPr>
              <w:t xml:space="preserve">16</w:t>
            </w:r>
          </w:p>
        </w:tc>
        <w:tc>
          <w:tcPr>
            <w:tcW w:w="1056" w:type="dxa"/>
            <w:tcBorders>
              <w:top w:val="single" w:color="000000" w:sz="8"/>
              <w:left w:val="single" w:color="000000" w:sz="8"/>
              <w:bottom w:val="single" w:color="000000" w:sz="8"/>
              <w:right w:val="single" w:color="000000" w:sz="8"/>
            </w:tcBorders>
            <w:shd w:color="auto" w:fill="ffffff" w:val="clear"/>
            <w:tcMar>
              <w:left w:w="10" w:type="dxa"/>
              <w:right w:w="10" w:type="dxa"/>
            </w:tcMar>
            <w:vAlign w:val="center"/>
          </w:tcPr>
          <w:p>
            <w:pPr>
              <w:spacing w:before="0" w:after="0" w:line="320"/>
              <w:ind w:right="60" w:left="60" w:firstLine="0"/>
              <w:jc w:val="right"/>
              <w:rPr>
                <w:spacing w:val="0"/>
                <w:position w:val="0"/>
              </w:rPr>
            </w:pPr>
            <w:r>
              <w:rPr>
                <w:rFonts w:ascii="Arial" w:hAnsi="Arial" w:cs="Arial" w:eastAsia="Arial"/>
                <w:color w:val="000000"/>
                <w:spacing w:val="0"/>
                <w:position w:val="0"/>
                <w:sz w:val="24"/>
                <w:shd w:fill="auto" w:val="clear"/>
              </w:rPr>
              <w:t xml:space="preserve">1020</w:t>
            </w:r>
          </w:p>
        </w:tc>
        <w:tc>
          <w:tcPr>
            <w:tcW w:w="1087" w:type="dxa"/>
            <w:tcBorders>
              <w:top w:val="single" w:color="000000" w:sz="8"/>
              <w:left w:val="single" w:color="000000" w:sz="8"/>
              <w:bottom w:val="single" w:color="000000" w:sz="8"/>
              <w:right w:val="single" w:color="000000" w:sz="8"/>
            </w:tcBorders>
            <w:shd w:color="auto" w:fill="ffffff" w:val="clear"/>
            <w:tcMar>
              <w:left w:w="10" w:type="dxa"/>
              <w:right w:w="10" w:type="dxa"/>
            </w:tcMar>
            <w:vAlign w:val="center"/>
          </w:tcPr>
          <w:p>
            <w:pPr>
              <w:spacing w:before="0" w:after="0" w:line="320"/>
              <w:ind w:right="60" w:left="60" w:firstLine="0"/>
              <w:jc w:val="right"/>
              <w:rPr>
                <w:spacing w:val="0"/>
                <w:position w:val="0"/>
              </w:rPr>
            </w:pPr>
            <w:r>
              <w:rPr>
                <w:rFonts w:ascii="Arial" w:hAnsi="Arial" w:cs="Arial" w:eastAsia="Arial"/>
                <w:color w:val="000000"/>
                <w:spacing w:val="0"/>
                <w:position w:val="0"/>
                <w:sz w:val="24"/>
                <w:shd w:fill="auto" w:val="clear"/>
              </w:rPr>
              <w:t xml:space="preserve">1345</w:t>
            </w:r>
          </w:p>
        </w:tc>
        <w:tc>
          <w:tcPr>
            <w:tcW w:w="1010" w:type="dxa"/>
            <w:tcBorders>
              <w:top w:val="single" w:color="000000" w:sz="8"/>
              <w:left w:val="single" w:color="000000" w:sz="8"/>
              <w:bottom w:val="single" w:color="000000" w:sz="8"/>
              <w:right w:val="single" w:color="000000" w:sz="8"/>
            </w:tcBorders>
            <w:shd w:color="auto" w:fill="ffffff" w:val="clear"/>
            <w:tcMar>
              <w:left w:w="10" w:type="dxa"/>
              <w:right w:w="10" w:type="dxa"/>
            </w:tcMar>
            <w:vAlign w:val="center"/>
          </w:tcPr>
          <w:p>
            <w:pPr>
              <w:spacing w:before="0" w:after="0" w:line="320"/>
              <w:ind w:right="60" w:left="60" w:firstLine="0"/>
              <w:jc w:val="right"/>
              <w:rPr>
                <w:spacing w:val="0"/>
                <w:position w:val="0"/>
              </w:rPr>
            </w:pPr>
            <w:r>
              <w:rPr>
                <w:rFonts w:ascii="Arial" w:hAnsi="Arial" w:cs="Arial" w:eastAsia="Arial"/>
                <w:color w:val="000000"/>
                <w:spacing w:val="0"/>
                <w:position w:val="0"/>
                <w:sz w:val="24"/>
                <w:shd w:fill="auto" w:val="clear"/>
              </w:rPr>
              <w:t xml:space="preserve">1185.69</w:t>
            </w:r>
          </w:p>
        </w:tc>
        <w:tc>
          <w:tcPr>
            <w:tcW w:w="1423" w:type="dxa"/>
            <w:tcBorders>
              <w:top w:val="single" w:color="000000" w:sz="8"/>
              <w:left w:val="single" w:color="000000" w:sz="8"/>
              <w:bottom w:val="single" w:color="000000" w:sz="8"/>
              <w:right w:val="single" w:color="000000" w:sz="18"/>
            </w:tcBorders>
            <w:shd w:color="auto" w:fill="ffffff" w:val="clear"/>
            <w:tcMar>
              <w:left w:w="10" w:type="dxa"/>
              <w:right w:w="10" w:type="dxa"/>
            </w:tcMar>
            <w:vAlign w:val="center"/>
          </w:tcPr>
          <w:p>
            <w:pPr>
              <w:spacing w:before="0" w:after="0" w:line="320"/>
              <w:ind w:right="60" w:left="60" w:firstLine="0"/>
              <w:jc w:val="right"/>
              <w:rPr>
                <w:spacing w:val="0"/>
                <w:position w:val="0"/>
              </w:rPr>
            </w:pPr>
            <w:r>
              <w:rPr>
                <w:rFonts w:ascii="Arial" w:hAnsi="Arial" w:cs="Arial" w:eastAsia="Arial"/>
                <w:color w:val="000000"/>
                <w:spacing w:val="0"/>
                <w:position w:val="0"/>
                <w:sz w:val="24"/>
                <w:shd w:fill="auto" w:val="clear"/>
              </w:rPr>
              <w:t xml:space="preserve">86.606</w:t>
            </w:r>
          </w:p>
        </w:tc>
      </w:tr>
      <w:tr>
        <w:trPr>
          <w:trHeight w:val="1" w:hRule="atLeast"/>
          <w:jc w:val="left"/>
        </w:trPr>
        <w:tc>
          <w:tcPr>
            <w:tcW w:w="2034" w:type="dxa"/>
            <w:tcBorders>
              <w:top w:val="single" w:color="000000" w:sz="8"/>
              <w:left w:val="single" w:color="000000" w:sz="18"/>
              <w:bottom w:val="single" w:color="000000" w:sz="18"/>
              <w:right w:val="single" w:color="000000" w:sz="18"/>
            </w:tcBorders>
            <w:shd w:color="auto" w:fill="ffffff" w:val="clear"/>
            <w:tcMar>
              <w:left w:w="10" w:type="dxa"/>
              <w:right w:w="10" w:type="dxa"/>
            </w:tcMar>
            <w:vAlign w:val="center"/>
          </w:tcPr>
          <w:p>
            <w:pPr>
              <w:spacing w:before="0" w:after="0" w:line="320"/>
              <w:ind w:right="60" w:left="60" w:firstLine="0"/>
              <w:jc w:val="left"/>
              <w:rPr>
                <w:spacing w:val="0"/>
                <w:position w:val="0"/>
              </w:rPr>
            </w:pPr>
            <w:r>
              <w:rPr>
                <w:rFonts w:ascii="Arial" w:hAnsi="Arial" w:cs="Arial" w:eastAsia="Arial"/>
                <w:color w:val="000000"/>
                <w:spacing w:val="0"/>
                <w:position w:val="0"/>
                <w:sz w:val="24"/>
                <w:shd w:fill="auto" w:val="clear"/>
              </w:rPr>
              <w:t xml:space="preserve">Valid N (listwise)</w:t>
            </w:r>
          </w:p>
        </w:tc>
        <w:tc>
          <w:tcPr>
            <w:tcW w:w="1010" w:type="dxa"/>
            <w:tcBorders>
              <w:top w:val="single" w:color="000000" w:sz="8"/>
              <w:left w:val="single" w:color="000000" w:sz="18"/>
              <w:bottom w:val="single" w:color="000000" w:sz="18"/>
              <w:right w:val="single" w:color="000000" w:sz="8"/>
            </w:tcBorders>
            <w:shd w:color="auto" w:fill="ffffff" w:val="clear"/>
            <w:tcMar>
              <w:left w:w="10" w:type="dxa"/>
              <w:right w:w="10" w:type="dxa"/>
            </w:tcMar>
            <w:vAlign w:val="center"/>
          </w:tcPr>
          <w:p>
            <w:pPr>
              <w:spacing w:before="0" w:after="0" w:line="320"/>
              <w:ind w:right="60" w:left="60" w:firstLine="0"/>
              <w:jc w:val="right"/>
              <w:rPr>
                <w:spacing w:val="0"/>
                <w:position w:val="0"/>
              </w:rPr>
            </w:pPr>
            <w:r>
              <w:rPr>
                <w:rFonts w:ascii="Arial" w:hAnsi="Arial" w:cs="Arial" w:eastAsia="Arial"/>
                <w:color w:val="000000"/>
                <w:spacing w:val="0"/>
                <w:position w:val="0"/>
                <w:sz w:val="24"/>
                <w:shd w:fill="auto" w:val="clear"/>
              </w:rPr>
              <w:t xml:space="preserve">16</w:t>
            </w:r>
          </w:p>
        </w:tc>
        <w:tc>
          <w:tcPr>
            <w:tcW w:w="1056" w:type="dxa"/>
            <w:tcBorders>
              <w:top w:val="single" w:color="000000" w:sz="8"/>
              <w:left w:val="single" w:color="000000" w:sz="8"/>
              <w:bottom w:val="single" w:color="000000" w:sz="18"/>
              <w:right w:val="single" w:color="000000" w:sz="8"/>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87" w:type="dxa"/>
            <w:tcBorders>
              <w:top w:val="single" w:color="000000" w:sz="8"/>
              <w:left w:val="single" w:color="000000" w:sz="8"/>
              <w:bottom w:val="single" w:color="000000" w:sz="18"/>
              <w:right w:val="single" w:color="000000" w:sz="8"/>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10" w:type="dxa"/>
            <w:tcBorders>
              <w:top w:val="single" w:color="000000" w:sz="8"/>
              <w:left w:val="single" w:color="000000" w:sz="8"/>
              <w:bottom w:val="single" w:color="000000" w:sz="18"/>
              <w:right w:val="single" w:color="000000" w:sz="8"/>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23" w:type="dxa"/>
            <w:tcBorders>
              <w:top w:val="single" w:color="000000" w:sz="8"/>
              <w:left w:val="single" w:color="000000" w:sz="8"/>
              <w:bottom w:val="single" w:color="000000" w:sz="18"/>
              <w:right w:val="single" w:color="000000" w:sz="18"/>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40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4.1 Interpretation of Descriptive Statistics:</w:t>
      </w:r>
    </w:p>
    <w:p>
      <w:pPr>
        <w:numPr>
          <w:ilvl w:val="0"/>
          <w:numId w:val="124"/>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Week (N=16)</w:t>
      </w:r>
    </w:p>
    <w:p>
      <w:pPr>
        <w:numPr>
          <w:ilvl w:val="0"/>
          <w:numId w:val="124"/>
        </w:numPr>
        <w:tabs>
          <w:tab w:val="left" w:pos="1440" w:leader="none"/>
        </w:tabs>
        <w:spacing w:before="100" w:after="100" w:line="240"/>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Minimum = 1, Maximum = 4</w:t>
      </w:r>
      <w:r>
        <w:rPr>
          <w:rFonts w:ascii="Times New Roman" w:hAnsi="Times New Roman" w:cs="Times New Roman" w:eastAsia="Times New Roman"/>
          <w:color w:val="auto"/>
          <w:spacing w:val="0"/>
          <w:position w:val="0"/>
          <w:sz w:val="24"/>
          <w:shd w:fill="auto" w:val="clear"/>
        </w:rPr>
        <w:t xml:space="preserve">: The study covered four weeks in each month.</w:t>
      </w:r>
    </w:p>
    <w:p>
      <w:pPr>
        <w:numPr>
          <w:ilvl w:val="0"/>
          <w:numId w:val="124"/>
        </w:numPr>
        <w:tabs>
          <w:tab w:val="left" w:pos="1440" w:leader="none"/>
        </w:tabs>
        <w:spacing w:before="100" w:after="100" w:line="240"/>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Mean = 2.50</w:t>
      </w:r>
      <w:r>
        <w:rPr>
          <w:rFonts w:ascii="Times New Roman" w:hAnsi="Times New Roman" w:cs="Times New Roman" w:eastAsia="Times New Roman"/>
          <w:color w:val="auto"/>
          <w:spacing w:val="0"/>
          <w:position w:val="0"/>
          <w:sz w:val="24"/>
          <w:shd w:fill="auto" w:val="clear"/>
        </w:rPr>
        <w:t xml:space="preserve">: On average, the recorded weeks are distributed evenly across the study period.</w:t>
      </w:r>
    </w:p>
    <w:p>
      <w:pPr>
        <w:numPr>
          <w:ilvl w:val="0"/>
          <w:numId w:val="124"/>
        </w:numPr>
        <w:tabs>
          <w:tab w:val="left" w:pos="1440" w:leader="none"/>
        </w:tabs>
        <w:spacing w:before="100" w:after="100" w:line="240"/>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Standard Deviation = 1.155</w:t>
      </w:r>
      <w:r>
        <w:rPr>
          <w:rFonts w:ascii="Times New Roman" w:hAnsi="Times New Roman" w:cs="Times New Roman" w:eastAsia="Times New Roman"/>
          <w:color w:val="auto"/>
          <w:spacing w:val="0"/>
          <w:position w:val="0"/>
          <w:sz w:val="24"/>
          <w:shd w:fill="auto" w:val="clear"/>
        </w:rPr>
        <w:t xml:space="preserve">: There is moderate variability in the weeks recorded.</w:t>
      </w:r>
    </w:p>
    <w:p>
      <w:pPr>
        <w:numPr>
          <w:ilvl w:val="0"/>
          <w:numId w:val="124"/>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Children Immunized (N=16)</w:t>
      </w:r>
    </w:p>
    <w:p>
      <w:pPr>
        <w:numPr>
          <w:ilvl w:val="0"/>
          <w:numId w:val="124"/>
        </w:numPr>
        <w:tabs>
          <w:tab w:val="left" w:pos="1440" w:leader="none"/>
        </w:tabs>
        <w:spacing w:before="100" w:after="100" w:line="240"/>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Minimum = 1020, Maximum = 1345</w:t>
      </w:r>
      <w:r>
        <w:rPr>
          <w:rFonts w:ascii="Times New Roman" w:hAnsi="Times New Roman" w:cs="Times New Roman" w:eastAsia="Times New Roman"/>
          <w:color w:val="auto"/>
          <w:spacing w:val="0"/>
          <w:position w:val="0"/>
          <w:sz w:val="24"/>
          <w:shd w:fill="auto" w:val="clear"/>
        </w:rPr>
        <w:t xml:space="preserve">: The number of children immunized per week ranged between 1020 and 1345.</w:t>
      </w:r>
    </w:p>
    <w:p>
      <w:pPr>
        <w:numPr>
          <w:ilvl w:val="0"/>
          <w:numId w:val="124"/>
        </w:numPr>
        <w:tabs>
          <w:tab w:val="left" w:pos="1440" w:leader="none"/>
        </w:tabs>
        <w:spacing w:before="100" w:after="100" w:line="240"/>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Mean = 1185.69</w:t>
      </w:r>
      <w:r>
        <w:rPr>
          <w:rFonts w:ascii="Times New Roman" w:hAnsi="Times New Roman" w:cs="Times New Roman" w:eastAsia="Times New Roman"/>
          <w:color w:val="auto"/>
          <w:spacing w:val="0"/>
          <w:position w:val="0"/>
          <w:sz w:val="24"/>
          <w:shd w:fill="auto" w:val="clear"/>
        </w:rPr>
        <w:t xml:space="preserve">: On average, approximately 1186 children were immunized per week.</w:t>
      </w:r>
    </w:p>
    <w:p>
      <w:pPr>
        <w:numPr>
          <w:ilvl w:val="0"/>
          <w:numId w:val="124"/>
        </w:numPr>
        <w:tabs>
          <w:tab w:val="left" w:pos="1440" w:leader="none"/>
        </w:tabs>
        <w:spacing w:before="100" w:after="100" w:line="240"/>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Standard Deviation = 86.606</w:t>
      </w:r>
      <w:r>
        <w:rPr>
          <w:rFonts w:ascii="Times New Roman" w:hAnsi="Times New Roman" w:cs="Times New Roman" w:eastAsia="Times New Roman"/>
          <w:color w:val="auto"/>
          <w:spacing w:val="0"/>
          <w:position w:val="0"/>
          <w:sz w:val="24"/>
          <w:shd w:fill="auto" w:val="clear"/>
        </w:rPr>
        <w:t xml:space="preserve">: The spread of immunization numbers is relatively small, indicating that the number of children immunized weekly does not fluctuate widely.</w:t>
      </w: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use of multiple bar chart to show the total number of children immunized.</w:t>
      </w: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Inferential Statistics [One-Way ANOVA]</w:t>
      </w:r>
    </w:p>
    <w:tbl>
      <w:tblPr/>
      <w:tblGrid>
        <w:gridCol w:w="1558"/>
        <w:gridCol w:w="1558"/>
        <w:gridCol w:w="1558"/>
        <w:gridCol w:w="1558"/>
        <w:gridCol w:w="1559"/>
      </w:tblGrid>
      <w:tr>
        <w:trPr>
          <w:trHeight w:val="1" w:hRule="atLeast"/>
          <w:jc w:val="left"/>
        </w:trPr>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Week</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August</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September</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October</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November</w:t>
            </w:r>
          </w:p>
        </w:tc>
      </w:tr>
      <w:tr>
        <w:trPr>
          <w:trHeight w:val="1" w:hRule="atLeast"/>
          <w:jc w:val="left"/>
        </w:trPr>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Week 1</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1222</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1201</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1075</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1210</w:t>
            </w:r>
          </w:p>
        </w:tc>
      </w:tr>
      <w:tr>
        <w:trPr>
          <w:trHeight w:val="1" w:hRule="atLeast"/>
          <w:jc w:val="left"/>
        </w:trPr>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Week 2</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1345</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1289</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1112</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1256</w:t>
            </w:r>
          </w:p>
        </w:tc>
      </w:tr>
      <w:tr>
        <w:trPr>
          <w:trHeight w:val="1" w:hRule="atLeast"/>
          <w:jc w:val="left"/>
        </w:trPr>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Week 3</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1150</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1234</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1020</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1154</w:t>
            </w:r>
          </w:p>
        </w:tc>
      </w:tr>
      <w:tr>
        <w:trPr>
          <w:trHeight w:val="1" w:hRule="atLeast"/>
          <w:jc w:val="left"/>
        </w:trPr>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Week 4</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1172</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1275</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1079</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1177</w:t>
            </w:r>
          </w:p>
        </w:tc>
      </w:tr>
      <w:tr>
        <w:trPr>
          <w:trHeight w:val="1" w:hRule="atLeast"/>
          <w:jc w:val="left"/>
        </w:trPr>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Total</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4889</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4999</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4286</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4797</w:t>
            </w:r>
          </w:p>
        </w:tc>
      </w:tr>
    </w:tbl>
    <w:p>
      <w:pPr>
        <w:spacing w:before="0" w:after="160" w:line="259"/>
        <w:ind w:right="0" w:left="0" w:firstLine="0"/>
        <w:jc w:val="left"/>
        <w:rPr>
          <w:rFonts w:ascii="Times New Roman" w:hAnsi="Times New Roman" w:cs="Times New Roman" w:eastAsia="Times New Roman"/>
          <w:b/>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Hypothesis testing</w:t>
      </w: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0"/>
          <w:position w:val="0"/>
          <w:sz w:val="24"/>
          <w:shd w:fill="auto" w:val="clear"/>
          <w:vertAlign w:val="subscript"/>
        </w:rPr>
        <w:t xml:space="preserve">o</w:t>
      </w:r>
      <w:r>
        <w:rPr>
          <w:rFonts w:ascii="Times New Roman" w:hAnsi="Times New Roman" w:cs="Times New Roman" w:eastAsia="Times New Roman"/>
          <w:color w:val="auto"/>
          <w:spacing w:val="0"/>
          <w:position w:val="0"/>
          <w:sz w:val="24"/>
          <w:shd w:fill="auto" w:val="clear"/>
        </w:rPr>
        <w:t xml:space="preserve">: There is no significant difference in the number of children immunized across months,</w:t>
      </w: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0"/>
          <w:position w:val="0"/>
          <w:sz w:val="24"/>
          <w:shd w:fill="auto" w:val="clear"/>
          <w:vertAlign w:val="subscript"/>
        </w:rPr>
        <w:t xml:space="preserve">1</w:t>
      </w:r>
      <w:r>
        <w:rPr>
          <w:rFonts w:ascii="Times New Roman" w:hAnsi="Times New Roman" w:cs="Times New Roman" w:eastAsia="Times New Roman"/>
          <w:color w:val="auto"/>
          <w:spacing w:val="0"/>
          <w:position w:val="0"/>
          <w:sz w:val="24"/>
          <w:shd w:fill="auto" w:val="clear"/>
        </w:rPr>
        <w:t xml:space="preserve">: There is significant difference in the number of children immunized across months.</w:t>
      </w: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Confidence Interval</w:t>
      </w: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95% C.I</w:t>
      </w: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α= 0.05</w:t>
      </w:r>
    </w:p>
    <w:p>
      <w:pPr>
        <w:spacing w:before="0" w:after="160" w:line="259"/>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Decision Rule:</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If </w:t>
      </w:r>
      <w:r>
        <w:rPr>
          <w:rFonts w:ascii="Times New Roman" w:hAnsi="Times New Roman" w:cs="Times New Roman" w:eastAsia="Times New Roman"/>
          <w:b/>
          <w:color w:val="auto"/>
          <w:spacing w:val="0"/>
          <w:position w:val="0"/>
          <w:sz w:val="24"/>
          <w:shd w:fill="auto" w:val="clear"/>
        </w:rPr>
        <w:t xml:space="preserve">p-value &lt; 0.05</w:t>
      </w:r>
      <w:r>
        <w:rPr>
          <w:rFonts w:ascii="Times New Roman" w:hAnsi="Times New Roman" w:cs="Times New Roman" w:eastAsia="Times New Roman"/>
          <w:color w:val="auto"/>
          <w:spacing w:val="0"/>
          <w:position w:val="0"/>
          <w:sz w:val="24"/>
          <w:shd w:fill="auto" w:val="clear"/>
        </w:rPr>
        <w:t xml:space="preserve">, reject the null hypothesis; otherwise accept.</w:t>
      </w: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Test Statistics</w:t>
      </w:r>
    </w:p>
    <w:p>
      <w:pPr>
        <w:spacing w:before="0" w:after="0" w:line="400"/>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Conclusion:</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Since the p-value (0.350) is greater than 0.05, we accept Ho and conclude that there is </w:t>
      </w:r>
      <w:r>
        <w:rPr>
          <w:rFonts w:ascii="Times New Roman" w:hAnsi="Times New Roman" w:cs="Times New Roman" w:eastAsia="Times New Roman"/>
          <w:b/>
          <w:color w:val="auto"/>
          <w:spacing w:val="0"/>
          <w:position w:val="0"/>
          <w:sz w:val="24"/>
          <w:shd w:fill="auto" w:val="clear"/>
        </w:rPr>
        <w:t xml:space="preserve">no significant difference</w:t>
      </w:r>
      <w:r>
        <w:rPr>
          <w:rFonts w:ascii="Times New Roman" w:hAnsi="Times New Roman" w:cs="Times New Roman" w:eastAsia="Times New Roman"/>
          <w:color w:val="auto"/>
          <w:spacing w:val="0"/>
          <w:position w:val="0"/>
          <w:sz w:val="24"/>
          <w:shd w:fill="auto" w:val="clear"/>
        </w:rPr>
        <w:t xml:space="preserve"> in the number of children immunized across the four months. This means that the fluctuations in immunization numbers are likely due to random variation rather than an actual difference in immunization efforts. </w:t>
      </w:r>
    </w:p>
    <w:p>
      <w:pPr>
        <w:spacing w:before="0" w:after="160" w:line="259"/>
        <w:ind w:right="0" w:left="0" w:firstLine="0"/>
        <w:jc w:val="left"/>
        <w:rPr>
          <w:rFonts w:ascii="Times New Roman" w:hAnsi="Times New Roman" w:cs="Times New Roman" w:eastAsia="Times New Roman"/>
          <w:b/>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4"/>
          <w:shd w:fill="auto" w:val="clear"/>
        </w:rPr>
      </w:pPr>
    </w:p>
    <w:p>
      <w:pPr>
        <w:spacing w:before="0" w:after="160" w:line="259"/>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Chapter five</w:t>
      </w:r>
    </w:p>
    <w:p>
      <w:pPr>
        <w:spacing w:before="0" w:after="160" w:line="259"/>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Summary of findings, conclusion and recommendation</w:t>
      </w:r>
    </w:p>
    <w:p>
      <w:pPr>
        <w:spacing w:before="0" w:after="160" w:line="259"/>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5.1 Summary of findings</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study analyzed the number of children immunized against measles at General Hospital, Surulere, Ilorin. The key findings are:</w:t>
      </w:r>
    </w:p>
    <w:p>
      <w:pPr>
        <w:numPr>
          <w:ilvl w:val="0"/>
          <w:numId w:val="156"/>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number of children immunized per week ranged between 1020 and 1345, with an average of 1185.69.</w:t>
      </w:r>
    </w:p>
    <w:p>
      <w:pPr>
        <w:numPr>
          <w:ilvl w:val="0"/>
          <w:numId w:val="156"/>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standard deviation (86.606) indicates moderate variability in immunization numbers across weeks.</w:t>
      </w:r>
    </w:p>
    <w:p>
      <w:pPr>
        <w:numPr>
          <w:ilvl w:val="0"/>
          <w:numId w:val="156"/>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ANOVA results showed no significant difference in the number of children immunized across different months (p-value = 0.350).</w:t>
      </w:r>
    </w:p>
    <w:p>
      <w:pPr>
        <w:numPr>
          <w:ilvl w:val="0"/>
          <w:numId w:val="156"/>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Immunization coverage remained relatively stable over the study period.</w:t>
      </w:r>
    </w:p>
    <w:p>
      <w:pPr>
        <w:numPr>
          <w:ilvl w:val="0"/>
          <w:numId w:val="156"/>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Factors such as parental awareness, accessibility, and healthcare policies may influence immunization trends.</w:t>
      </w:r>
    </w:p>
    <w:p>
      <w:pPr>
        <w:spacing w:before="0" w:after="160" w:line="259"/>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5.2 Conclusion</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study provides a comprehensive analysis of the immunization trends against measles at General Hospital, Surulere, Ilorin. The results indicate that while the number of children immunized has been fairly consistent, there are no significant differences across months. This suggests that immunization efforts have maintained stability, but potential barriers such as accessibility, awareness, and policy implementation still need attention to improve coverage.</w:t>
      </w:r>
    </w:p>
    <w:p>
      <w:pPr>
        <w:spacing w:before="0" w:after="160" w:line="259"/>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5.3 Recommedation</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 enhance immunization rates, the following recommendations are proposed:</w:t>
      </w:r>
    </w:p>
    <w:p>
      <w:pPr>
        <w:numPr>
          <w:ilvl w:val="0"/>
          <w:numId w:val="161"/>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Increase Awareness Campaigns:</w:t>
      </w:r>
      <w:r>
        <w:rPr>
          <w:rFonts w:ascii="Times New Roman" w:hAnsi="Times New Roman" w:cs="Times New Roman" w:eastAsia="Times New Roman"/>
          <w:color w:val="auto"/>
          <w:spacing w:val="0"/>
          <w:position w:val="0"/>
          <w:sz w:val="24"/>
          <w:shd w:fill="auto" w:val="clear"/>
        </w:rPr>
        <w:t xml:space="preserve"> Organize more sensitization programs to educate parents on the importance of immunization.</w:t>
      </w:r>
    </w:p>
    <w:p>
      <w:pPr>
        <w:numPr>
          <w:ilvl w:val="0"/>
          <w:numId w:val="161"/>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Improve Accessibility:</w:t>
      </w:r>
      <w:r>
        <w:rPr>
          <w:rFonts w:ascii="Times New Roman" w:hAnsi="Times New Roman" w:cs="Times New Roman" w:eastAsia="Times New Roman"/>
          <w:color w:val="auto"/>
          <w:spacing w:val="0"/>
          <w:position w:val="0"/>
          <w:sz w:val="24"/>
          <w:shd w:fill="auto" w:val="clear"/>
        </w:rPr>
        <w:t xml:space="preserve"> Ensure that vaccines are readily available at healthcare facilities and consider mobile immunization units for hard-to-reach areas.</w:t>
      </w:r>
    </w:p>
    <w:p>
      <w:pPr>
        <w:numPr>
          <w:ilvl w:val="0"/>
          <w:numId w:val="161"/>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Enhance Policy Implementation:</w:t>
      </w:r>
      <w:r>
        <w:rPr>
          <w:rFonts w:ascii="Times New Roman" w:hAnsi="Times New Roman" w:cs="Times New Roman" w:eastAsia="Times New Roman"/>
          <w:color w:val="auto"/>
          <w:spacing w:val="0"/>
          <w:position w:val="0"/>
          <w:sz w:val="24"/>
          <w:shd w:fill="auto" w:val="clear"/>
        </w:rPr>
        <w:t xml:space="preserve"> Strengthen government policies and funding for immunization programs.</w:t>
      </w:r>
    </w:p>
    <w:p>
      <w:pPr>
        <w:numPr>
          <w:ilvl w:val="0"/>
          <w:numId w:val="161"/>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Monitor and Evaluate Programs:</w:t>
      </w:r>
      <w:r>
        <w:rPr>
          <w:rFonts w:ascii="Times New Roman" w:hAnsi="Times New Roman" w:cs="Times New Roman" w:eastAsia="Times New Roman"/>
          <w:color w:val="auto"/>
          <w:spacing w:val="0"/>
          <w:position w:val="0"/>
          <w:sz w:val="24"/>
          <w:shd w:fill="auto" w:val="clear"/>
        </w:rPr>
        <w:t xml:space="preserve"> Establish periodic assessments to identify gaps and improve immunization strategies.</w:t>
      </w:r>
    </w:p>
    <w:p>
      <w:pPr>
        <w:numPr>
          <w:ilvl w:val="0"/>
          <w:numId w:val="161"/>
        </w:num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Encourage Community Involvement:</w:t>
      </w:r>
      <w:r>
        <w:rPr>
          <w:rFonts w:ascii="Times New Roman" w:hAnsi="Times New Roman" w:cs="Times New Roman" w:eastAsia="Times New Roman"/>
          <w:color w:val="auto"/>
          <w:spacing w:val="0"/>
          <w:position w:val="0"/>
          <w:sz w:val="24"/>
          <w:shd w:fill="auto" w:val="clear"/>
        </w:rPr>
        <w:t xml:space="preserve"> Engage community leaders and religious groups to support immunization campaigns and address cultural concerns.</w:t>
      </w:r>
    </w:p>
    <w:p>
      <w:pPr>
        <w:spacing w:before="0" w:after="160" w:line="259"/>
        <w:ind w:right="0" w:left="0" w:firstLine="0"/>
        <w:jc w:val="left"/>
        <w:rPr>
          <w:rFonts w:ascii="Times New Roman" w:hAnsi="Times New Roman" w:cs="Times New Roman" w:eastAsia="Times New Roman"/>
          <w:b/>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References</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Y.f Salawu and K.N Yusuf- </w:t>
      </w:r>
      <w:r>
        <w:rPr>
          <w:rFonts w:ascii="Times New Roman" w:hAnsi="Times New Roman" w:cs="Times New Roman" w:eastAsia="Times New Roman"/>
          <w:color w:val="auto"/>
          <w:spacing w:val="0"/>
          <w:position w:val="0"/>
          <w:sz w:val="24"/>
          <w:shd w:fill="auto" w:val="clear"/>
        </w:rPr>
        <w:t xml:space="preserve">An Introduction to Applied General Statisticss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African Journal of Health Sciences.</w:t>
      </w:r>
      <w:r>
        <w:rPr>
          <w:rFonts w:ascii="Times New Roman" w:hAnsi="Times New Roman" w:cs="Times New Roman" w:eastAsia="Times New Roman"/>
          <w:color w:val="auto"/>
          <w:spacing w:val="0"/>
          <w:position w:val="0"/>
          <w:sz w:val="24"/>
          <w:shd w:fill="auto" w:val="clear"/>
        </w:rPr>
        <w:t xml:space="preserve"> (2019). </w:t>
      </w:r>
      <w:r>
        <w:rPr>
          <w:rFonts w:ascii="Times New Roman" w:hAnsi="Times New Roman" w:cs="Times New Roman" w:eastAsia="Times New Roman"/>
          <w:i/>
          <w:color w:val="auto"/>
          <w:spacing w:val="0"/>
          <w:position w:val="0"/>
          <w:sz w:val="24"/>
          <w:shd w:fill="auto" w:val="clear"/>
        </w:rPr>
        <w:t xml:space="preserve">Parental Attitudes and Vaccine Hesitancy in Nigeria: A Case Study of Measles Immunization.</w:t>
      </w:r>
      <w:r>
        <w:rPr>
          <w:rFonts w:ascii="Times New Roman" w:hAnsi="Times New Roman" w:cs="Times New Roman" w:eastAsia="Times New Roman"/>
          <w:color w:val="auto"/>
          <w:spacing w:val="0"/>
          <w:position w:val="0"/>
          <w:sz w:val="24"/>
          <w:shd w:fill="auto" w:val="clear"/>
        </w:rPr>
        <w:t xml:space="preserve"> 26(2), 45</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58.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British Medical Journal (BMJ).</w:t>
      </w:r>
      <w:r>
        <w:rPr>
          <w:rFonts w:ascii="Times New Roman" w:hAnsi="Times New Roman" w:cs="Times New Roman" w:eastAsia="Times New Roman"/>
          <w:color w:val="auto"/>
          <w:spacing w:val="0"/>
          <w:position w:val="0"/>
          <w:sz w:val="24"/>
          <w:shd w:fill="auto" w:val="clear"/>
        </w:rPr>
        <w:t xml:space="preserve"> (2020). </w:t>
      </w:r>
      <w:r>
        <w:rPr>
          <w:rFonts w:ascii="Times New Roman" w:hAnsi="Times New Roman" w:cs="Times New Roman" w:eastAsia="Times New Roman"/>
          <w:i/>
          <w:color w:val="auto"/>
          <w:spacing w:val="0"/>
          <w:position w:val="0"/>
          <w:sz w:val="24"/>
          <w:shd w:fill="auto" w:val="clear"/>
        </w:rPr>
        <w:t xml:space="preserve">The Economic and Social Impact of Vaccine Hesitancy on Measles Resurgence in Nigeria.</w:t>
      </w:r>
      <w:r>
        <w:rPr>
          <w:rFonts w:ascii="Times New Roman" w:hAnsi="Times New Roman" w:cs="Times New Roman" w:eastAsia="Times New Roman"/>
          <w:color w:val="auto"/>
          <w:spacing w:val="0"/>
          <w:position w:val="0"/>
          <w:sz w:val="24"/>
          <w:shd w:fill="auto" w:val="clear"/>
        </w:rPr>
        <w:t xml:space="preserve"> 368, m710.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Centers for Disease Control and Prevention (CDC).</w:t>
      </w:r>
      <w:r>
        <w:rPr>
          <w:rFonts w:ascii="Times New Roman" w:hAnsi="Times New Roman" w:cs="Times New Roman" w:eastAsia="Times New Roman"/>
          <w:color w:val="auto"/>
          <w:spacing w:val="0"/>
          <w:position w:val="0"/>
          <w:sz w:val="24"/>
          <w:shd w:fill="auto" w:val="clear"/>
        </w:rPr>
        <w:t xml:space="preserve"> (2022). </w:t>
      </w:r>
      <w:r>
        <w:rPr>
          <w:rFonts w:ascii="Times New Roman" w:hAnsi="Times New Roman" w:cs="Times New Roman" w:eastAsia="Times New Roman"/>
          <w:i/>
          <w:color w:val="auto"/>
          <w:spacing w:val="0"/>
          <w:position w:val="0"/>
          <w:sz w:val="24"/>
          <w:shd w:fill="auto" w:val="clear"/>
        </w:rPr>
        <w:t xml:space="preserve">Measles (Rubeola): For Healthcare Professionals.</w:t>
      </w:r>
      <w:r>
        <w:rPr>
          <w:rFonts w:ascii="Times New Roman" w:hAnsi="Times New Roman" w:cs="Times New Roman" w:eastAsia="Times New Roman"/>
          <w:color w:val="auto"/>
          <w:spacing w:val="0"/>
          <w:position w:val="0"/>
          <w:sz w:val="24"/>
          <w:shd w:fill="auto" w:val="clear"/>
        </w:rPr>
        <w:t xml:space="preserve"> Retrieved from </w:t>
      </w:r>
      <w:hyperlink xmlns:r="http://schemas.openxmlformats.org/officeDocument/2006/relationships" r:id="docRId2">
        <w:r>
          <w:rPr>
            <w:rFonts w:ascii="Times New Roman" w:hAnsi="Times New Roman" w:cs="Times New Roman" w:eastAsia="Times New Roman"/>
            <w:color w:val="0000FF"/>
            <w:spacing w:val="0"/>
            <w:position w:val="0"/>
            <w:sz w:val="24"/>
            <w:u w:val="single"/>
            <w:shd w:fill="auto" w:val="clear"/>
          </w:rPr>
          <w:t xml:space="preserve">www.cdc.gov/measles</w:t>
        </w:r>
      </w:hyperlink>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Federal Ministry of Health, Nigeria.</w:t>
      </w:r>
      <w:r>
        <w:rPr>
          <w:rFonts w:ascii="Times New Roman" w:hAnsi="Times New Roman" w:cs="Times New Roman" w:eastAsia="Times New Roman"/>
          <w:color w:val="auto"/>
          <w:spacing w:val="0"/>
          <w:position w:val="0"/>
          <w:sz w:val="24"/>
          <w:shd w:fill="auto" w:val="clear"/>
        </w:rPr>
        <w:t xml:space="preserve"> (2019). </w:t>
      </w:r>
      <w:r>
        <w:rPr>
          <w:rFonts w:ascii="Times New Roman" w:hAnsi="Times New Roman" w:cs="Times New Roman" w:eastAsia="Times New Roman"/>
          <w:i/>
          <w:color w:val="auto"/>
          <w:spacing w:val="0"/>
          <w:position w:val="0"/>
          <w:sz w:val="24"/>
          <w:shd w:fill="auto" w:val="clear"/>
        </w:rPr>
        <w:t xml:space="preserve">Measles Surveillance and Response Strategy in Nigeria.</w:t>
      </w:r>
      <w:r>
        <w:rPr>
          <w:rFonts w:ascii="Times New Roman" w:hAnsi="Times New Roman" w:cs="Times New Roman" w:eastAsia="Times New Roman"/>
          <w:color w:val="auto"/>
          <w:spacing w:val="0"/>
          <w:position w:val="0"/>
          <w:sz w:val="24"/>
          <w:shd w:fill="auto" w:val="clear"/>
        </w:rPr>
        <w:t xml:space="preserve"> Abuja: FMOH Publications.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Gavi, the Vaccine Alliance.</w:t>
      </w:r>
      <w:r>
        <w:rPr>
          <w:rFonts w:ascii="Times New Roman" w:hAnsi="Times New Roman" w:cs="Times New Roman" w:eastAsia="Times New Roman"/>
          <w:color w:val="auto"/>
          <w:spacing w:val="0"/>
          <w:position w:val="0"/>
          <w:sz w:val="24"/>
          <w:shd w:fill="auto" w:val="clear"/>
        </w:rPr>
        <w:t xml:space="preserve"> (2020). </w:t>
      </w:r>
      <w:r>
        <w:rPr>
          <w:rFonts w:ascii="Times New Roman" w:hAnsi="Times New Roman" w:cs="Times New Roman" w:eastAsia="Times New Roman"/>
          <w:i/>
          <w:color w:val="auto"/>
          <w:spacing w:val="0"/>
          <w:position w:val="0"/>
          <w:sz w:val="24"/>
          <w:shd w:fill="auto" w:val="clear"/>
        </w:rPr>
        <w:t xml:space="preserve">The Role of Gavi in Strengthening Measles Immunization Coverage.</w:t>
      </w:r>
      <w:r>
        <w:rPr>
          <w:rFonts w:ascii="Times New Roman" w:hAnsi="Times New Roman" w:cs="Times New Roman" w:eastAsia="Times New Roman"/>
          <w:color w:val="auto"/>
          <w:spacing w:val="0"/>
          <w:position w:val="0"/>
          <w:sz w:val="24"/>
          <w:shd w:fill="auto" w:val="clear"/>
        </w:rPr>
        <w:t xml:space="preserve"> Geneva: Gavi Publications.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International Journal of Epidemiology.</w:t>
      </w:r>
      <w:r>
        <w:rPr>
          <w:rFonts w:ascii="Times New Roman" w:hAnsi="Times New Roman" w:cs="Times New Roman" w:eastAsia="Times New Roman"/>
          <w:color w:val="auto"/>
          <w:spacing w:val="0"/>
          <w:position w:val="0"/>
          <w:sz w:val="24"/>
          <w:shd w:fill="auto" w:val="clear"/>
        </w:rPr>
        <w:t xml:space="preserve"> (2020). </w:t>
      </w:r>
      <w:r>
        <w:rPr>
          <w:rFonts w:ascii="Times New Roman" w:hAnsi="Times New Roman" w:cs="Times New Roman" w:eastAsia="Times New Roman"/>
          <w:i/>
          <w:color w:val="auto"/>
          <w:spacing w:val="0"/>
          <w:position w:val="0"/>
          <w:sz w:val="24"/>
          <w:shd w:fill="auto" w:val="clear"/>
        </w:rPr>
        <w:t xml:space="preserve">Measles Outbreaks and Herd Immunity: Lessons from Nigeria.</w:t>
      </w:r>
      <w:r>
        <w:rPr>
          <w:rFonts w:ascii="Times New Roman" w:hAnsi="Times New Roman" w:cs="Times New Roman" w:eastAsia="Times New Roman"/>
          <w:color w:val="auto"/>
          <w:spacing w:val="0"/>
          <w:position w:val="0"/>
          <w:sz w:val="24"/>
          <w:shd w:fill="auto" w:val="clear"/>
        </w:rPr>
        <w:t xml:space="preserve"> 49(1), 23</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37.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Kalu, I. K., &amp; Akinyemi, J. O.</w:t>
      </w:r>
      <w:r>
        <w:rPr>
          <w:rFonts w:ascii="Times New Roman" w:hAnsi="Times New Roman" w:cs="Times New Roman" w:eastAsia="Times New Roman"/>
          <w:color w:val="auto"/>
          <w:spacing w:val="0"/>
          <w:position w:val="0"/>
          <w:sz w:val="24"/>
          <w:shd w:fill="auto" w:val="clear"/>
        </w:rPr>
        <w:t xml:space="preserve"> (2019). </w:t>
      </w:r>
      <w:r>
        <w:rPr>
          <w:rFonts w:ascii="Times New Roman" w:hAnsi="Times New Roman" w:cs="Times New Roman" w:eastAsia="Times New Roman"/>
          <w:i/>
          <w:color w:val="auto"/>
          <w:spacing w:val="0"/>
          <w:position w:val="0"/>
          <w:sz w:val="24"/>
          <w:shd w:fill="auto" w:val="clear"/>
        </w:rPr>
        <w:t xml:space="preserve">Factors Influencing Immunization Coverage in Urban and Rural Nigeria.</w:t>
      </w:r>
      <w:r>
        <w:rPr>
          <w:rFonts w:ascii="Times New Roman" w:hAnsi="Times New Roman" w:cs="Times New Roman" w:eastAsia="Times New Roman"/>
          <w:color w:val="auto"/>
          <w:spacing w:val="0"/>
          <w:position w:val="0"/>
          <w:sz w:val="24"/>
          <w:shd w:fill="auto" w:val="clear"/>
        </w:rPr>
        <w:t xml:space="preserve"> Journal of Public Health Policy, 40(3), 220</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234.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Measles and Rubella Initiative (MRI).</w:t>
      </w:r>
      <w:r>
        <w:rPr>
          <w:rFonts w:ascii="Times New Roman" w:hAnsi="Times New Roman" w:cs="Times New Roman" w:eastAsia="Times New Roman"/>
          <w:color w:val="auto"/>
          <w:spacing w:val="0"/>
          <w:position w:val="0"/>
          <w:sz w:val="24"/>
          <w:shd w:fill="auto" w:val="clear"/>
        </w:rPr>
        <w:t xml:space="preserve"> (2021). </w:t>
      </w:r>
      <w:r>
        <w:rPr>
          <w:rFonts w:ascii="Times New Roman" w:hAnsi="Times New Roman" w:cs="Times New Roman" w:eastAsia="Times New Roman"/>
          <w:i/>
          <w:color w:val="auto"/>
          <w:spacing w:val="0"/>
          <w:position w:val="0"/>
          <w:sz w:val="24"/>
          <w:shd w:fill="auto" w:val="clear"/>
        </w:rPr>
        <w:t xml:space="preserve">Annual Report on Global Measles Elimination Efforts.</w:t>
      </w:r>
      <w:r>
        <w:rPr>
          <w:rFonts w:ascii="Times New Roman" w:hAnsi="Times New Roman" w:cs="Times New Roman" w:eastAsia="Times New Roman"/>
          <w:color w:val="auto"/>
          <w:spacing w:val="0"/>
          <w:position w:val="0"/>
          <w:sz w:val="24"/>
          <w:shd w:fill="auto" w:val="clear"/>
        </w:rPr>
        <w:t xml:space="preserve"> Washington, DC: WHO-CDC Collaboration.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National Primary Health Care Development Agency (NPHCDA).</w:t>
      </w:r>
      <w:r>
        <w:rPr>
          <w:rFonts w:ascii="Times New Roman" w:hAnsi="Times New Roman" w:cs="Times New Roman" w:eastAsia="Times New Roman"/>
          <w:color w:val="auto"/>
          <w:spacing w:val="0"/>
          <w:position w:val="0"/>
          <w:sz w:val="24"/>
          <w:shd w:fill="auto" w:val="clear"/>
        </w:rPr>
        <w:t xml:space="preserve"> (2021). </w:t>
      </w:r>
      <w:r>
        <w:rPr>
          <w:rFonts w:ascii="Times New Roman" w:hAnsi="Times New Roman" w:cs="Times New Roman" w:eastAsia="Times New Roman"/>
          <w:i/>
          <w:color w:val="auto"/>
          <w:spacing w:val="0"/>
          <w:position w:val="0"/>
          <w:sz w:val="24"/>
          <w:shd w:fill="auto" w:val="clear"/>
        </w:rPr>
        <w:t xml:space="preserve">Annual Immunization Coverage Report.</w:t>
      </w:r>
      <w:r>
        <w:rPr>
          <w:rFonts w:ascii="Times New Roman" w:hAnsi="Times New Roman" w:cs="Times New Roman" w:eastAsia="Times New Roman"/>
          <w:color w:val="auto"/>
          <w:spacing w:val="0"/>
          <w:position w:val="0"/>
          <w:sz w:val="24"/>
          <w:shd w:fill="auto" w:val="clear"/>
        </w:rPr>
        <w:t xml:space="preserve"> Abuja: NPHCDA Publications.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Nigeria Federal Ministry of Health.</w:t>
      </w:r>
      <w:r>
        <w:rPr>
          <w:rFonts w:ascii="Times New Roman" w:hAnsi="Times New Roman" w:cs="Times New Roman" w:eastAsia="Times New Roman"/>
          <w:color w:val="auto"/>
          <w:spacing w:val="0"/>
          <w:position w:val="0"/>
          <w:sz w:val="24"/>
          <w:shd w:fill="auto" w:val="clear"/>
        </w:rPr>
        <w:t xml:space="preserve"> (2021). </w:t>
      </w:r>
      <w:r>
        <w:rPr>
          <w:rFonts w:ascii="Times New Roman" w:hAnsi="Times New Roman" w:cs="Times New Roman" w:eastAsia="Times New Roman"/>
          <w:i/>
          <w:color w:val="auto"/>
          <w:spacing w:val="0"/>
          <w:position w:val="0"/>
          <w:sz w:val="24"/>
          <w:shd w:fill="auto" w:val="clear"/>
        </w:rPr>
        <w:t xml:space="preserve">Routine Immunization Performance in Nigeria: National Strategy Report.</w:t>
      </w:r>
      <w:r>
        <w:rPr>
          <w:rFonts w:ascii="Times New Roman" w:hAnsi="Times New Roman" w:cs="Times New Roman" w:eastAsia="Times New Roman"/>
          <w:color w:val="auto"/>
          <w:spacing w:val="0"/>
          <w:position w:val="0"/>
          <w:sz w:val="24"/>
          <w:shd w:fill="auto" w:val="clear"/>
        </w:rPr>
        <w:t xml:space="preserve"> Abuja: FMOH Publications.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Nigeria National Immunization Coverage Survey.</w:t>
      </w:r>
      <w:r>
        <w:rPr>
          <w:rFonts w:ascii="Times New Roman" w:hAnsi="Times New Roman" w:cs="Times New Roman" w:eastAsia="Times New Roman"/>
          <w:color w:val="auto"/>
          <w:spacing w:val="0"/>
          <w:position w:val="0"/>
          <w:sz w:val="24"/>
          <w:shd w:fill="auto" w:val="clear"/>
        </w:rPr>
        <w:t xml:space="preserve"> (2019). </w:t>
      </w:r>
      <w:r>
        <w:rPr>
          <w:rFonts w:ascii="Times New Roman" w:hAnsi="Times New Roman" w:cs="Times New Roman" w:eastAsia="Times New Roman"/>
          <w:i/>
          <w:color w:val="auto"/>
          <w:spacing w:val="0"/>
          <w:position w:val="0"/>
          <w:sz w:val="24"/>
          <w:shd w:fill="auto" w:val="clear"/>
        </w:rPr>
        <w:t xml:space="preserve">Final Report on Routine Immunization Coverage in Nigeria.</w:t>
      </w:r>
      <w:r>
        <w:rPr>
          <w:rFonts w:ascii="Times New Roman" w:hAnsi="Times New Roman" w:cs="Times New Roman" w:eastAsia="Times New Roman"/>
          <w:color w:val="auto"/>
          <w:spacing w:val="0"/>
          <w:position w:val="0"/>
          <w:sz w:val="24"/>
          <w:shd w:fill="auto" w:val="clear"/>
        </w:rPr>
        <w:t xml:space="preserve"> Abuja: National Bureau of Statistics.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Nigerian Medical Journal.</w:t>
      </w:r>
      <w:r>
        <w:rPr>
          <w:rFonts w:ascii="Times New Roman" w:hAnsi="Times New Roman" w:cs="Times New Roman" w:eastAsia="Times New Roman"/>
          <w:color w:val="auto"/>
          <w:spacing w:val="0"/>
          <w:position w:val="0"/>
          <w:sz w:val="24"/>
          <w:shd w:fill="auto" w:val="clear"/>
        </w:rPr>
        <w:t xml:space="preserve"> (2018). </w:t>
      </w:r>
      <w:r>
        <w:rPr>
          <w:rFonts w:ascii="Times New Roman" w:hAnsi="Times New Roman" w:cs="Times New Roman" w:eastAsia="Times New Roman"/>
          <w:i/>
          <w:color w:val="auto"/>
          <w:spacing w:val="0"/>
          <w:position w:val="0"/>
          <w:sz w:val="24"/>
          <w:shd w:fill="auto" w:val="clear"/>
        </w:rPr>
        <w:t xml:space="preserve">Challenges and Progress in Immunization Coverage in Nigeria.</w:t>
      </w:r>
      <w:r>
        <w:rPr>
          <w:rFonts w:ascii="Times New Roman" w:hAnsi="Times New Roman" w:cs="Times New Roman" w:eastAsia="Times New Roman"/>
          <w:color w:val="auto"/>
          <w:spacing w:val="0"/>
          <w:position w:val="0"/>
          <w:sz w:val="24"/>
          <w:shd w:fill="auto" w:val="clear"/>
        </w:rPr>
        <w:t xml:space="preserve"> Nigerian Medical Association, 59(3), 102</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114.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Orenstein, W. A., &amp; Ahmed, R.</w:t>
      </w:r>
      <w:r>
        <w:rPr>
          <w:rFonts w:ascii="Times New Roman" w:hAnsi="Times New Roman" w:cs="Times New Roman" w:eastAsia="Times New Roman"/>
          <w:color w:val="auto"/>
          <w:spacing w:val="0"/>
          <w:position w:val="0"/>
          <w:sz w:val="24"/>
          <w:shd w:fill="auto" w:val="clear"/>
        </w:rPr>
        <w:t xml:space="preserve"> (2017). </w:t>
      </w:r>
      <w:r>
        <w:rPr>
          <w:rFonts w:ascii="Times New Roman" w:hAnsi="Times New Roman" w:cs="Times New Roman" w:eastAsia="Times New Roman"/>
          <w:i/>
          <w:color w:val="auto"/>
          <w:spacing w:val="0"/>
          <w:position w:val="0"/>
          <w:sz w:val="24"/>
          <w:shd w:fill="auto" w:val="clear"/>
        </w:rPr>
        <w:t xml:space="preserve">Measles eradication: Is it feasible?</w:t>
      </w:r>
      <w:r>
        <w:rPr>
          <w:rFonts w:ascii="Times New Roman" w:hAnsi="Times New Roman" w:cs="Times New Roman" w:eastAsia="Times New Roman"/>
          <w:color w:val="auto"/>
          <w:spacing w:val="0"/>
          <w:position w:val="0"/>
          <w:sz w:val="24"/>
          <w:shd w:fill="auto" w:val="clear"/>
        </w:rPr>
        <w:t xml:space="preserve"> The Journal of Infectious Diseases, 216(suppl_1), S251</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S257.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Research Articles on Vaccine Hesitancy.</w:t>
      </w:r>
      <w:r>
        <w:rPr>
          <w:rFonts w:ascii="Times New Roman" w:hAnsi="Times New Roman" w:cs="Times New Roman" w:eastAsia="Times New Roman"/>
          <w:color w:val="auto"/>
          <w:spacing w:val="0"/>
          <w:position w:val="0"/>
          <w:sz w:val="24"/>
          <w:shd w:fill="auto" w:val="clear"/>
        </w:rPr>
        <w:t xml:space="preserve"> (2019). </w:t>
      </w:r>
      <w:r>
        <w:rPr>
          <w:rFonts w:ascii="Times New Roman" w:hAnsi="Times New Roman" w:cs="Times New Roman" w:eastAsia="Times New Roman"/>
          <w:i/>
          <w:color w:val="auto"/>
          <w:spacing w:val="0"/>
          <w:position w:val="0"/>
          <w:sz w:val="24"/>
          <w:shd w:fill="auto" w:val="clear"/>
        </w:rPr>
        <w:t xml:space="preserve">Understanding Public Perception on Immunization in Sub-Saharan Africa.</w:t>
      </w:r>
      <w:r>
        <w:rPr>
          <w:rFonts w:ascii="Times New Roman" w:hAnsi="Times New Roman" w:cs="Times New Roman" w:eastAsia="Times New Roman"/>
          <w:color w:val="auto"/>
          <w:spacing w:val="0"/>
          <w:position w:val="0"/>
          <w:sz w:val="24"/>
          <w:shd w:fill="auto" w:val="clear"/>
        </w:rPr>
        <w:t xml:space="preserve"> Journal of Health Communications, 24(7), 1050</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1064.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The Global Burden of Disease Study.</w:t>
      </w:r>
      <w:r>
        <w:rPr>
          <w:rFonts w:ascii="Times New Roman" w:hAnsi="Times New Roman" w:cs="Times New Roman" w:eastAsia="Times New Roman"/>
          <w:color w:val="auto"/>
          <w:spacing w:val="0"/>
          <w:position w:val="0"/>
          <w:sz w:val="24"/>
          <w:shd w:fill="auto" w:val="clear"/>
        </w:rPr>
        <w:t xml:space="preserve"> (2020). </w:t>
      </w:r>
      <w:r>
        <w:rPr>
          <w:rFonts w:ascii="Times New Roman" w:hAnsi="Times New Roman" w:cs="Times New Roman" w:eastAsia="Times New Roman"/>
          <w:i/>
          <w:color w:val="auto"/>
          <w:spacing w:val="0"/>
          <w:position w:val="0"/>
          <w:sz w:val="24"/>
          <w:shd w:fill="auto" w:val="clear"/>
        </w:rPr>
        <w:t xml:space="preserve">Measles-related Morbidity and Mortality Trends in Africa.</w:t>
      </w:r>
      <w:r>
        <w:rPr>
          <w:rFonts w:ascii="Times New Roman" w:hAnsi="Times New Roman" w:cs="Times New Roman" w:eastAsia="Times New Roman"/>
          <w:color w:val="auto"/>
          <w:spacing w:val="0"/>
          <w:position w:val="0"/>
          <w:sz w:val="24"/>
          <w:shd w:fill="auto" w:val="clear"/>
        </w:rPr>
        <w:t xml:space="preserve"> The Lancet Global Health, 8(11), e1432</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e1445.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The Lancet Infectious Diseases.</w:t>
      </w:r>
      <w:r>
        <w:rPr>
          <w:rFonts w:ascii="Times New Roman" w:hAnsi="Times New Roman" w:cs="Times New Roman" w:eastAsia="Times New Roman"/>
          <w:color w:val="auto"/>
          <w:spacing w:val="0"/>
          <w:position w:val="0"/>
          <w:sz w:val="24"/>
          <w:shd w:fill="auto" w:val="clear"/>
        </w:rPr>
        <w:t xml:space="preserve"> (2021). </w:t>
      </w:r>
      <w:r>
        <w:rPr>
          <w:rFonts w:ascii="Times New Roman" w:hAnsi="Times New Roman" w:cs="Times New Roman" w:eastAsia="Times New Roman"/>
          <w:i/>
          <w:color w:val="auto"/>
          <w:spacing w:val="0"/>
          <w:position w:val="0"/>
          <w:sz w:val="24"/>
          <w:shd w:fill="auto" w:val="clear"/>
        </w:rPr>
        <w:t xml:space="preserve">Global Immunization Gaps and Strategies to Improve Measles Control.</w:t>
      </w:r>
      <w:r>
        <w:rPr>
          <w:rFonts w:ascii="Times New Roman" w:hAnsi="Times New Roman" w:cs="Times New Roman" w:eastAsia="Times New Roman"/>
          <w:color w:val="auto"/>
          <w:spacing w:val="0"/>
          <w:position w:val="0"/>
          <w:sz w:val="24"/>
          <w:shd w:fill="auto" w:val="clear"/>
        </w:rPr>
        <w:t xml:space="preserve"> 21(5), e168</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e175.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UNICEF &amp; WHO.</w:t>
      </w:r>
      <w:r>
        <w:rPr>
          <w:rFonts w:ascii="Times New Roman" w:hAnsi="Times New Roman" w:cs="Times New Roman" w:eastAsia="Times New Roman"/>
          <w:color w:val="auto"/>
          <w:spacing w:val="0"/>
          <w:position w:val="0"/>
          <w:sz w:val="24"/>
          <w:shd w:fill="auto" w:val="clear"/>
        </w:rPr>
        <w:t xml:space="preserve"> (2021). </w:t>
      </w:r>
      <w:r>
        <w:rPr>
          <w:rFonts w:ascii="Times New Roman" w:hAnsi="Times New Roman" w:cs="Times New Roman" w:eastAsia="Times New Roman"/>
          <w:i/>
          <w:color w:val="auto"/>
          <w:spacing w:val="0"/>
          <w:position w:val="0"/>
          <w:sz w:val="24"/>
          <w:shd w:fill="auto" w:val="clear"/>
        </w:rPr>
        <w:t xml:space="preserve">Achieving 95% Measles Immunization Coverage: Strategies for Low-income Countries.</w:t>
      </w:r>
      <w:r>
        <w:rPr>
          <w:rFonts w:ascii="Times New Roman" w:hAnsi="Times New Roman" w:cs="Times New Roman" w:eastAsia="Times New Roman"/>
          <w:color w:val="auto"/>
          <w:spacing w:val="0"/>
          <w:position w:val="0"/>
          <w:sz w:val="24"/>
          <w:shd w:fill="auto" w:val="clear"/>
        </w:rPr>
        <w:t xml:space="preserve"> Global Health Reports, 42(2), 55</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72.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United Nations Children's Fund (UNICEF).</w:t>
      </w:r>
      <w:r>
        <w:rPr>
          <w:rFonts w:ascii="Times New Roman" w:hAnsi="Times New Roman" w:cs="Times New Roman" w:eastAsia="Times New Roman"/>
          <w:color w:val="auto"/>
          <w:spacing w:val="0"/>
          <w:position w:val="0"/>
          <w:sz w:val="24"/>
          <w:shd w:fill="auto" w:val="clear"/>
        </w:rPr>
        <w:t xml:space="preserve"> (2020). </w:t>
      </w:r>
      <w:r>
        <w:rPr>
          <w:rFonts w:ascii="Times New Roman" w:hAnsi="Times New Roman" w:cs="Times New Roman" w:eastAsia="Times New Roman"/>
          <w:i/>
          <w:color w:val="auto"/>
          <w:spacing w:val="0"/>
          <w:position w:val="0"/>
          <w:sz w:val="24"/>
          <w:shd w:fill="auto" w:val="clear"/>
        </w:rPr>
        <w:t xml:space="preserve">State of the World's Children: Ensuring Every Child is Vaccinated.</w:t>
      </w:r>
      <w:r>
        <w:rPr>
          <w:rFonts w:ascii="Times New Roman" w:hAnsi="Times New Roman" w:cs="Times New Roman" w:eastAsia="Times New Roman"/>
          <w:color w:val="auto"/>
          <w:spacing w:val="0"/>
          <w:position w:val="0"/>
          <w:sz w:val="24"/>
          <w:shd w:fill="auto" w:val="clear"/>
        </w:rPr>
        <w:t xml:space="preserve"> New York: UNICEF Publications.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Vaccine Journal.</w:t>
      </w:r>
      <w:r>
        <w:rPr>
          <w:rFonts w:ascii="Times New Roman" w:hAnsi="Times New Roman" w:cs="Times New Roman" w:eastAsia="Times New Roman"/>
          <w:color w:val="auto"/>
          <w:spacing w:val="0"/>
          <w:position w:val="0"/>
          <w:sz w:val="24"/>
          <w:shd w:fill="auto" w:val="clear"/>
        </w:rPr>
        <w:t xml:space="preserve"> (2020). </w:t>
      </w:r>
      <w:r>
        <w:rPr>
          <w:rFonts w:ascii="Times New Roman" w:hAnsi="Times New Roman" w:cs="Times New Roman" w:eastAsia="Times New Roman"/>
          <w:i/>
          <w:color w:val="auto"/>
          <w:spacing w:val="0"/>
          <w:position w:val="0"/>
          <w:sz w:val="24"/>
          <w:shd w:fill="auto" w:val="clear"/>
        </w:rPr>
        <w:t xml:space="preserve">Advancements in Measles Immunization and Global Vaccine Strategies.</w:t>
      </w:r>
      <w:r>
        <w:rPr>
          <w:rFonts w:ascii="Times New Roman" w:hAnsi="Times New Roman" w:cs="Times New Roman" w:eastAsia="Times New Roman"/>
          <w:color w:val="auto"/>
          <w:spacing w:val="0"/>
          <w:position w:val="0"/>
          <w:sz w:val="24"/>
          <w:shd w:fill="auto" w:val="clear"/>
        </w:rPr>
        <w:t xml:space="preserve"> 38(4), 785</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800. </w:t>
      </w:r>
    </w:p>
    <w:p>
      <w:pPr>
        <w:spacing w:before="0" w:after="160" w:line="259"/>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World Health Organization (WHO).</w:t>
      </w:r>
      <w:r>
        <w:rPr>
          <w:rFonts w:ascii="Times New Roman" w:hAnsi="Times New Roman" w:cs="Times New Roman" w:eastAsia="Times New Roman"/>
          <w:color w:val="auto"/>
          <w:spacing w:val="0"/>
          <w:position w:val="0"/>
          <w:sz w:val="24"/>
          <w:shd w:fill="auto" w:val="clear"/>
        </w:rPr>
        <w:t xml:space="preserve"> (2021). </w:t>
      </w:r>
      <w:r>
        <w:rPr>
          <w:rFonts w:ascii="Times New Roman" w:hAnsi="Times New Roman" w:cs="Times New Roman" w:eastAsia="Times New Roman"/>
          <w:i/>
          <w:color w:val="auto"/>
          <w:spacing w:val="0"/>
          <w:position w:val="0"/>
          <w:sz w:val="24"/>
          <w:shd w:fill="auto" w:val="clear"/>
        </w:rPr>
        <w:t xml:space="preserve">Measles vaccines: WHO position paper, April 2021.</w:t>
      </w:r>
      <w:r>
        <w:rPr>
          <w:rFonts w:ascii="Times New Roman" w:hAnsi="Times New Roman" w:cs="Times New Roman" w:eastAsia="Times New Roman"/>
          <w:color w:val="auto"/>
          <w:spacing w:val="0"/>
          <w:position w:val="0"/>
          <w:sz w:val="24"/>
          <w:shd w:fill="auto" w:val="clear"/>
        </w:rPr>
        <w:t xml:space="preserve"> Weekly Epidemiological Record, 96(16), 153</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176.</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num w:numId="25">
    <w:abstractNumId w:val="66"/>
  </w:num>
  <w:num w:numId="28">
    <w:abstractNumId w:val="60"/>
  </w:num>
  <w:num w:numId="35">
    <w:abstractNumId w:val="54"/>
  </w:num>
  <w:num w:numId="43">
    <w:abstractNumId w:val="48"/>
  </w:num>
  <w:num w:numId="46">
    <w:abstractNumId w:val="42"/>
  </w:num>
  <w:num w:numId="48">
    <w:abstractNumId w:val="36"/>
  </w:num>
  <w:num w:numId="50">
    <w:abstractNumId w:val="30"/>
  </w:num>
  <w:num w:numId="52">
    <w:abstractNumId w:val="24"/>
  </w:num>
  <w:num w:numId="54">
    <w:abstractNumId w:val="18"/>
  </w:num>
  <w:num w:numId="124">
    <w:abstractNumId w:val="12"/>
  </w:num>
  <w:num w:numId="156">
    <w:abstractNumId w:val="6"/>
  </w:num>
  <w:num w:numId="161">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numbering.xml" Id="docRId3" Type="http://schemas.openxmlformats.org/officeDocument/2006/relationships/numbering" /><Relationship Target="embeddings/oleObject0.bin" Id="docRId0" Type="http://schemas.openxmlformats.org/officeDocument/2006/relationships/oleObject" /><Relationship TargetMode="External" Target="https://www.cdc.gov/measles" Id="docRId2" Type="http://schemas.openxmlformats.org/officeDocument/2006/relationships/hyperlink" /><Relationship Target="styles.xml" Id="docRId4" Type="http://schemas.openxmlformats.org/officeDocument/2006/relationships/styles" /></Relationships>
</file>