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F7" w:rsidRDefault="005A04F7" w:rsidP="005A04F7">
      <w:pPr>
        <w:rPr>
          <w:rFonts w:ascii="Bookman Old Style" w:eastAsia="Calibri" w:hAnsi="Bookman Old Style" w:cs="Arial"/>
          <w:b/>
          <w:i/>
          <w:sz w:val="26"/>
          <w:szCs w:val="26"/>
        </w:rPr>
      </w:pPr>
      <w:r>
        <w:rPr>
          <w:rFonts w:ascii="Bookman Old Style" w:eastAsia="Calibri" w:hAnsi="Bookman Old Style" w:cs="Arial"/>
          <w:b/>
          <w:i/>
          <w:noProof/>
          <w:sz w:val="26"/>
          <w:szCs w:val="26"/>
        </w:rPr>
        <w:drawing>
          <wp:anchor distT="0" distB="0" distL="114300" distR="114300" simplePos="0" relativeHeight="251711488" behindDoc="1" locked="0" layoutInCell="1" allowOverlap="1">
            <wp:simplePos x="0" y="0"/>
            <wp:positionH relativeFrom="column">
              <wp:posOffset>2476500</wp:posOffset>
            </wp:positionH>
            <wp:positionV relativeFrom="paragraph">
              <wp:posOffset>-161925</wp:posOffset>
            </wp:positionV>
            <wp:extent cx="981075" cy="885825"/>
            <wp:effectExtent l="19050" t="0" r="9525" b="0"/>
            <wp:wrapNone/>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a:stretch>
                      <a:fillRect/>
                    </a:stretch>
                  </pic:blipFill>
                  <pic:spPr>
                    <a:xfrm>
                      <a:off x="0" y="0"/>
                      <a:ext cx="981075" cy="885825"/>
                    </a:xfrm>
                    <a:prstGeom prst="rect">
                      <a:avLst/>
                    </a:prstGeom>
                  </pic:spPr>
                </pic:pic>
              </a:graphicData>
            </a:graphic>
          </wp:anchor>
        </w:drawing>
      </w:r>
    </w:p>
    <w:p w:rsidR="005A04F7" w:rsidRDefault="005A04F7" w:rsidP="005A04F7">
      <w:pPr>
        <w:jc w:val="center"/>
        <w:rPr>
          <w:rFonts w:ascii="Bookman Old Style" w:eastAsia="Calibri" w:hAnsi="Bookman Old Style" w:cs="Arial"/>
          <w:b/>
          <w:i/>
          <w:sz w:val="26"/>
          <w:szCs w:val="26"/>
        </w:rPr>
      </w:pPr>
    </w:p>
    <w:p w:rsidR="005A04F7" w:rsidRDefault="005A04F7" w:rsidP="005A04F7">
      <w:pPr>
        <w:jc w:val="center"/>
        <w:rPr>
          <w:rFonts w:ascii="Bookman Old Style" w:eastAsia="Calibri" w:hAnsi="Bookman Old Style" w:cs="Arial"/>
          <w:b/>
          <w:i/>
          <w:sz w:val="26"/>
          <w:szCs w:val="26"/>
        </w:rPr>
      </w:pPr>
    </w:p>
    <w:p w:rsidR="005A04F7" w:rsidRDefault="005A04F7" w:rsidP="005A04F7">
      <w:pPr>
        <w:jc w:val="center"/>
        <w:rPr>
          <w:rFonts w:ascii="Bookman Old Style" w:eastAsia="Calibri" w:hAnsi="Bookman Old Style" w:cs="Arial"/>
          <w:b/>
          <w:i/>
          <w:sz w:val="26"/>
          <w:szCs w:val="26"/>
        </w:rPr>
      </w:pPr>
    </w:p>
    <w:p w:rsidR="005A04F7" w:rsidRDefault="005A04F7" w:rsidP="005A04F7">
      <w:pPr>
        <w:spacing w:before="240"/>
        <w:jc w:val="center"/>
        <w:rPr>
          <w:rFonts w:ascii="Bookman Old Style" w:eastAsia="Calibri" w:hAnsi="Bookman Old Style" w:cs="Arial"/>
          <w:b/>
          <w:i/>
          <w:sz w:val="26"/>
          <w:szCs w:val="26"/>
        </w:rPr>
      </w:pPr>
      <w:r>
        <w:rPr>
          <w:rFonts w:ascii="Bookman Old Style" w:eastAsia="Calibri" w:hAnsi="Bookman Old Style" w:cs="Arial"/>
          <w:b/>
          <w:bCs/>
          <w:i/>
          <w:sz w:val="26"/>
          <w:szCs w:val="26"/>
        </w:rPr>
        <w:t>THE IMPACT OF SOCIAL MEDIA ON GENDER BASED VIOLENCE AMONG FEMALE STUDENTS OF KWARA STATE POLYTECHNIC</w:t>
      </w:r>
    </w:p>
    <w:p w:rsidR="005A04F7" w:rsidRDefault="005A04F7" w:rsidP="005A04F7">
      <w:pPr>
        <w:spacing w:line="480" w:lineRule="auto"/>
        <w:jc w:val="center"/>
        <w:rPr>
          <w:rFonts w:ascii="Bookman Old Style" w:eastAsia="Calibri" w:hAnsi="Bookman Old Style" w:cs="Arial"/>
          <w:b/>
          <w:i/>
          <w:sz w:val="26"/>
          <w:szCs w:val="26"/>
        </w:rPr>
      </w:pPr>
    </w:p>
    <w:p w:rsidR="005A04F7" w:rsidRDefault="005A04F7" w:rsidP="005A04F7">
      <w:pPr>
        <w:spacing w:line="480" w:lineRule="auto"/>
        <w:jc w:val="center"/>
        <w:rPr>
          <w:rFonts w:ascii="Bookman Old Style" w:eastAsia="Calibri" w:hAnsi="Bookman Old Style" w:cs="Arial"/>
          <w:b/>
          <w:i/>
          <w:sz w:val="26"/>
          <w:szCs w:val="26"/>
        </w:rPr>
      </w:pPr>
      <w:r w:rsidRPr="000D5C57">
        <w:rPr>
          <w:rFonts w:ascii="Bookman Old Style" w:eastAsia="Calibri" w:hAnsi="Bookman Old Style" w:cs="Arial"/>
          <w:b/>
          <w:i/>
          <w:sz w:val="26"/>
          <w:szCs w:val="26"/>
        </w:rPr>
        <w:t>BY</w:t>
      </w:r>
    </w:p>
    <w:p w:rsidR="005A04F7" w:rsidRDefault="005A04F7" w:rsidP="005A04F7">
      <w:pPr>
        <w:jc w:val="center"/>
        <w:rPr>
          <w:rFonts w:ascii="Algerian" w:eastAsia="Calibri" w:hAnsi="Algerian" w:cs="Arial"/>
          <w:b/>
          <w:sz w:val="36"/>
          <w:szCs w:val="28"/>
        </w:rPr>
      </w:pPr>
    </w:p>
    <w:p w:rsidR="005A04F7" w:rsidRDefault="005A04F7" w:rsidP="005A04F7">
      <w:pPr>
        <w:jc w:val="center"/>
        <w:rPr>
          <w:rFonts w:ascii="Algerian" w:eastAsia="Calibri" w:hAnsi="Algerian" w:cs="Arial"/>
          <w:b/>
          <w:bCs/>
          <w:sz w:val="36"/>
          <w:szCs w:val="28"/>
        </w:rPr>
      </w:pPr>
      <w:r w:rsidRPr="00C56F35">
        <w:rPr>
          <w:rFonts w:ascii="Algerian" w:eastAsia="Calibri" w:hAnsi="Algerian" w:cs="Arial"/>
          <w:b/>
          <w:bCs/>
          <w:sz w:val="36"/>
          <w:szCs w:val="28"/>
        </w:rPr>
        <w:br/>
      </w:r>
    </w:p>
    <w:p w:rsidR="005A04F7" w:rsidRPr="001743B3" w:rsidRDefault="00E06820" w:rsidP="00E06820">
      <w:pPr>
        <w:jc w:val="center"/>
        <w:rPr>
          <w:rFonts w:ascii="Arial Black" w:eastAsia="Calibri" w:hAnsi="Arial Black" w:cs="Arial"/>
          <w:b/>
          <w:szCs w:val="26"/>
        </w:rPr>
      </w:pPr>
      <w:r w:rsidRPr="00E06820">
        <w:rPr>
          <w:rFonts w:ascii="Algerian" w:eastAsia="Calibri" w:hAnsi="Algerian" w:cs="Arial"/>
          <w:b/>
          <w:bCs/>
          <w:sz w:val="36"/>
          <w:szCs w:val="28"/>
        </w:rPr>
        <w:t>SALAUDEEN TOYOSI</w:t>
      </w:r>
      <w:r w:rsidRPr="00E06820">
        <w:rPr>
          <w:rFonts w:ascii="Algerian" w:eastAsia="Calibri" w:hAnsi="Algerian" w:cs="Arial"/>
          <w:b/>
          <w:bCs/>
          <w:sz w:val="36"/>
          <w:szCs w:val="28"/>
        </w:rPr>
        <w:br/>
        <w:t>HND/23/MAC/FT/0683</w:t>
      </w:r>
    </w:p>
    <w:p w:rsidR="005A04F7" w:rsidRDefault="005A04F7" w:rsidP="005A04F7">
      <w:pPr>
        <w:spacing w:line="360" w:lineRule="auto"/>
        <w:jc w:val="center"/>
        <w:rPr>
          <w:rFonts w:ascii="Bookman Old Style" w:eastAsia="Calibri" w:hAnsi="Bookman Old Style" w:cs="Arial"/>
          <w:b/>
          <w:sz w:val="26"/>
          <w:szCs w:val="26"/>
        </w:rPr>
      </w:pPr>
    </w:p>
    <w:p w:rsidR="00E06820" w:rsidRDefault="00E06820" w:rsidP="005A04F7">
      <w:pPr>
        <w:spacing w:line="360" w:lineRule="auto"/>
        <w:jc w:val="center"/>
        <w:rPr>
          <w:rFonts w:ascii="Bookman Old Style" w:eastAsia="Calibri" w:hAnsi="Bookman Old Style" w:cs="Arial"/>
          <w:b/>
          <w:sz w:val="26"/>
          <w:szCs w:val="26"/>
        </w:rPr>
      </w:pPr>
    </w:p>
    <w:p w:rsidR="005A04F7" w:rsidRDefault="005A04F7" w:rsidP="005A04F7">
      <w:pPr>
        <w:spacing w:line="360" w:lineRule="auto"/>
        <w:jc w:val="center"/>
        <w:rPr>
          <w:rFonts w:ascii="Bookman Old Style" w:eastAsia="Calibri" w:hAnsi="Bookman Old Style" w:cs="Arial"/>
          <w:b/>
          <w:sz w:val="26"/>
          <w:szCs w:val="26"/>
        </w:rPr>
      </w:pPr>
      <w:r>
        <w:rPr>
          <w:rFonts w:ascii="Bookman Old Style" w:eastAsia="Calibri" w:hAnsi="Bookman Old Style" w:cs="Arial"/>
          <w:b/>
          <w:sz w:val="26"/>
          <w:szCs w:val="26"/>
        </w:rPr>
        <w:t>BEING A PROJECT SUBMITTED TO THE MASS COMMUNICATION, INSTITUTE OF INFORMATION AND COMMUNICATION TECHNOLOGY STUDIES, (IICT)</w:t>
      </w:r>
      <w:r w:rsidRPr="000D5C57">
        <w:rPr>
          <w:rFonts w:ascii="Bookman Old Style" w:eastAsia="Calibri" w:hAnsi="Bookman Old Style" w:cs="Arial"/>
          <w:b/>
          <w:sz w:val="26"/>
          <w:szCs w:val="26"/>
        </w:rPr>
        <w:t xml:space="preserve"> KWARA STATE POLYTECHNIC, ILORIN</w:t>
      </w:r>
    </w:p>
    <w:p w:rsidR="005A04F7" w:rsidRDefault="005A04F7" w:rsidP="005A04F7">
      <w:pPr>
        <w:spacing w:line="360" w:lineRule="auto"/>
        <w:jc w:val="center"/>
        <w:rPr>
          <w:rFonts w:ascii="Bookman Old Style" w:eastAsia="Calibri" w:hAnsi="Bookman Old Style" w:cs="Arial"/>
          <w:b/>
          <w:sz w:val="26"/>
          <w:szCs w:val="26"/>
        </w:rPr>
      </w:pPr>
    </w:p>
    <w:p w:rsidR="005A04F7" w:rsidRPr="000D5C57" w:rsidRDefault="00EE43E5" w:rsidP="005A04F7">
      <w:pPr>
        <w:spacing w:line="360" w:lineRule="auto"/>
        <w:jc w:val="center"/>
        <w:rPr>
          <w:rFonts w:ascii="Bookman Old Style" w:eastAsia="Calibri" w:hAnsi="Bookman Old Style" w:cs="Arial"/>
          <w:b/>
          <w:sz w:val="26"/>
          <w:szCs w:val="26"/>
        </w:rPr>
      </w:pPr>
      <w:r w:rsidRPr="00EE43E5">
        <w:rPr>
          <w:rFonts w:ascii="Arial Black" w:eastAsia="Calibri" w:hAnsi="Arial Black" w:cs="Arial"/>
          <w:b/>
          <w:noProof/>
          <w:sz w:val="34"/>
          <w:szCs w:val="26"/>
          <w:lang w:eastAsia="zh-TW"/>
        </w:rPr>
        <w:pict>
          <v:shapetype id="_x0000_t202" coordsize="21600,21600" o:spt="202" path="m,l,21600r21600,l21600,xe">
            <v:stroke joinstyle="miter"/>
            <v:path gradientshapeok="t" o:connecttype="rect"/>
          </v:shapetype>
          <v:shape id="_x0000_s1070" type="#_x0000_t202" style="position:absolute;left:0;text-align:left;margin-left:152.5pt;margin-top:67.75pt;width:186.35pt;height:33.4pt;z-index:251710464;mso-width-percent:400;mso-height-percent:200;mso-width-percent:400;mso-height-percent:200;mso-width-relative:margin;mso-height-relative:margin" strokecolor="white [3212]">
            <v:textbox style="mso-next-textbox:#_x0000_s1070;mso-fit-shape-to-text:t">
              <w:txbxContent>
                <w:p w:rsidR="005A04F7" w:rsidRDefault="005A04F7" w:rsidP="005A04F7"/>
              </w:txbxContent>
            </v:textbox>
          </v:shape>
        </w:pict>
      </w:r>
      <w:r w:rsidR="005A04F7" w:rsidRPr="000D5C57">
        <w:rPr>
          <w:rFonts w:ascii="Bookman Old Style" w:eastAsia="Calibri" w:hAnsi="Bookman Old Style" w:cs="Arial"/>
          <w:b/>
          <w:sz w:val="26"/>
          <w:szCs w:val="26"/>
        </w:rPr>
        <w:t>IN PARTIAL FULFILMENT OF T</w:t>
      </w:r>
      <w:r w:rsidR="005A04F7">
        <w:rPr>
          <w:rFonts w:ascii="Bookman Old Style" w:eastAsia="Calibri" w:hAnsi="Bookman Old Style" w:cs="Arial"/>
          <w:b/>
          <w:sz w:val="26"/>
          <w:szCs w:val="26"/>
        </w:rPr>
        <w:t xml:space="preserve">HE REQUIREMENT FOR THE AWARD OF HIGHER </w:t>
      </w:r>
      <w:r w:rsidR="005A04F7" w:rsidRPr="000D5C57">
        <w:rPr>
          <w:rFonts w:ascii="Bookman Old Style" w:eastAsia="Calibri" w:hAnsi="Bookman Old Style" w:cs="Arial"/>
          <w:b/>
          <w:sz w:val="26"/>
          <w:szCs w:val="26"/>
        </w:rPr>
        <w:t>NATIONAL DIPLOMA (</w:t>
      </w:r>
      <w:r w:rsidR="005A04F7">
        <w:rPr>
          <w:rFonts w:ascii="Bookman Old Style" w:eastAsia="Calibri" w:hAnsi="Bookman Old Style" w:cs="Arial"/>
          <w:b/>
          <w:sz w:val="26"/>
          <w:szCs w:val="26"/>
        </w:rPr>
        <w:t xml:space="preserve">HND) IN MASS COMMUNICATION DEPARTMENT </w:t>
      </w:r>
      <w:r w:rsidR="005A04F7" w:rsidRPr="000D5C57">
        <w:rPr>
          <w:rFonts w:ascii="Bookman Old Style" w:eastAsia="Calibri" w:hAnsi="Bookman Old Style" w:cs="Arial"/>
          <w:b/>
          <w:sz w:val="26"/>
          <w:szCs w:val="26"/>
        </w:rPr>
        <w:t xml:space="preserve"> </w:t>
      </w:r>
    </w:p>
    <w:p w:rsidR="005A04F7" w:rsidRDefault="005A04F7" w:rsidP="005A04F7">
      <w:pPr>
        <w:spacing w:line="360" w:lineRule="auto"/>
        <w:jc w:val="right"/>
        <w:rPr>
          <w:rFonts w:ascii="Bookman Old Style" w:eastAsia="Calibri" w:hAnsi="Bookman Old Style" w:cs="Arial"/>
          <w:b/>
          <w:sz w:val="26"/>
          <w:szCs w:val="26"/>
        </w:rPr>
      </w:pPr>
      <w:r>
        <w:rPr>
          <w:rFonts w:ascii="Bookman Old Style" w:eastAsia="Calibri" w:hAnsi="Bookman Old Style" w:cs="Arial"/>
          <w:b/>
          <w:sz w:val="26"/>
          <w:szCs w:val="26"/>
        </w:rPr>
        <w:br/>
        <w:t>JUNE</w:t>
      </w:r>
      <w:r w:rsidRPr="000D5C57">
        <w:rPr>
          <w:rFonts w:ascii="Bookman Old Style" w:eastAsia="Calibri" w:hAnsi="Bookman Old Style" w:cs="Arial"/>
          <w:b/>
          <w:sz w:val="26"/>
          <w:szCs w:val="26"/>
        </w:rPr>
        <w:t>,</w:t>
      </w:r>
      <w:r>
        <w:rPr>
          <w:rFonts w:ascii="Bookman Old Style" w:eastAsia="Calibri" w:hAnsi="Bookman Old Style" w:cs="Arial"/>
          <w:b/>
          <w:sz w:val="26"/>
          <w:szCs w:val="26"/>
        </w:rPr>
        <w:t xml:space="preserve"> </w:t>
      </w:r>
      <w:r w:rsidRPr="000D5C57">
        <w:rPr>
          <w:rFonts w:ascii="Bookman Old Style" w:eastAsia="Calibri" w:hAnsi="Bookman Old Style" w:cs="Arial"/>
          <w:b/>
          <w:sz w:val="26"/>
          <w:szCs w:val="26"/>
        </w:rPr>
        <w:t xml:space="preserve"> 2025.</w:t>
      </w:r>
    </w:p>
    <w:p w:rsidR="005A04F7" w:rsidRDefault="005A04F7" w:rsidP="005A04F7">
      <w:pPr>
        <w:spacing w:line="360" w:lineRule="auto"/>
        <w:rPr>
          <w:rFonts w:ascii="Bookman Old Style" w:eastAsia="Calibri" w:hAnsi="Bookman Old Style" w:cs="Arial"/>
          <w:b/>
          <w:sz w:val="26"/>
          <w:szCs w:val="26"/>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Default="005A04F7" w:rsidP="005A04F7">
      <w:pPr>
        <w:spacing w:line="360" w:lineRule="auto"/>
        <w:jc w:val="center"/>
        <w:rPr>
          <w:b/>
        </w:rPr>
      </w:pPr>
    </w:p>
    <w:p w:rsidR="005A04F7" w:rsidRPr="005330CA" w:rsidRDefault="005A04F7" w:rsidP="005A04F7">
      <w:pPr>
        <w:spacing w:line="360" w:lineRule="auto"/>
        <w:jc w:val="center"/>
        <w:rPr>
          <w:rFonts w:eastAsia="Arial Unicode MS"/>
          <w:b/>
          <w:i/>
        </w:rPr>
      </w:pPr>
      <w:r w:rsidRPr="005330CA">
        <w:rPr>
          <w:b/>
        </w:rPr>
        <w:lastRenderedPageBreak/>
        <w:t>CERTIFICATION</w:t>
      </w:r>
    </w:p>
    <w:p w:rsidR="005A04F7" w:rsidRPr="005330CA" w:rsidRDefault="005A04F7" w:rsidP="005A04F7">
      <w:pPr>
        <w:spacing w:line="360" w:lineRule="auto"/>
        <w:ind w:firstLine="720"/>
        <w:jc w:val="both"/>
      </w:pPr>
      <w:r>
        <w:t>This is to certify that this project work has been read and approved as meeting part of</w:t>
      </w:r>
      <w:r w:rsidRPr="005330CA">
        <w:t xml:space="preserve"> the requirement</w:t>
      </w:r>
      <w:r>
        <w:t xml:space="preserve">s for the award of Higher </w:t>
      </w:r>
      <w:r w:rsidRPr="005330CA">
        <w:t>National Diploma (</w:t>
      </w:r>
      <w:r>
        <w:t>H</w:t>
      </w:r>
      <w:r w:rsidRPr="005330CA">
        <w:t xml:space="preserve">ND) in </w:t>
      </w:r>
      <w:r>
        <w:t>Mass Communication Department, Institute of Information Communication Technology, Kwara State Polytechnic, Ilorin.</w:t>
      </w:r>
    </w:p>
    <w:p w:rsidR="005A04F7" w:rsidRPr="005330CA"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_____________________</w:t>
      </w:r>
      <w:r w:rsidRPr="005330CA">
        <w:rPr>
          <w:b/>
        </w:rPr>
        <w:tab/>
      </w:r>
      <w:r w:rsidRPr="005330CA">
        <w:rPr>
          <w:b/>
        </w:rPr>
        <w:tab/>
      </w:r>
      <w:r w:rsidRPr="005330CA">
        <w:rPr>
          <w:b/>
        </w:rPr>
        <w:tab/>
      </w:r>
      <w:r w:rsidRPr="005330CA">
        <w:rPr>
          <w:b/>
        </w:rPr>
        <w:tab/>
      </w:r>
      <w:r w:rsidRPr="005330CA">
        <w:rPr>
          <w:b/>
        </w:rPr>
        <w:tab/>
      </w:r>
      <w:r w:rsidRPr="005330CA">
        <w:rPr>
          <w:b/>
        </w:rPr>
        <w:tab/>
        <w:t>______________</w:t>
      </w:r>
    </w:p>
    <w:p w:rsidR="005A04F7" w:rsidRPr="005330CA" w:rsidRDefault="005A04F7" w:rsidP="005A04F7">
      <w:pPr>
        <w:spacing w:line="360" w:lineRule="auto"/>
        <w:jc w:val="both"/>
        <w:rPr>
          <w:b/>
        </w:rPr>
      </w:pPr>
      <w:r>
        <w:rPr>
          <w:b/>
        </w:rPr>
        <w:t>MR. OLUFADI B.A.</w:t>
      </w:r>
      <w:r>
        <w:rPr>
          <w:b/>
        </w:rPr>
        <w:tab/>
      </w:r>
      <w:r>
        <w:rPr>
          <w:b/>
        </w:rPr>
        <w:tab/>
      </w:r>
      <w:r>
        <w:rPr>
          <w:b/>
        </w:rPr>
        <w:tab/>
      </w:r>
      <w:r>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 xml:space="preserve">(Project Supervisor) </w:t>
      </w:r>
    </w:p>
    <w:p w:rsidR="005A04F7" w:rsidRPr="005330CA" w:rsidRDefault="005A04F7" w:rsidP="005A04F7">
      <w:pPr>
        <w:spacing w:line="360" w:lineRule="auto"/>
        <w:jc w:val="both"/>
        <w:rPr>
          <w:b/>
          <w:i/>
        </w:rPr>
      </w:pPr>
    </w:p>
    <w:p w:rsidR="005A04F7" w:rsidRPr="005330CA" w:rsidRDefault="005A04F7" w:rsidP="005A04F7">
      <w:pPr>
        <w:spacing w:line="360" w:lineRule="auto"/>
        <w:jc w:val="both"/>
      </w:pPr>
      <w:r w:rsidRPr="005330CA">
        <w:t>_____________________</w:t>
      </w:r>
      <w:r w:rsidRPr="005330CA">
        <w:tab/>
      </w:r>
      <w:r w:rsidRPr="005330CA">
        <w:tab/>
      </w:r>
      <w:r w:rsidRPr="005330CA">
        <w:tab/>
      </w:r>
      <w:r w:rsidRPr="005330CA">
        <w:tab/>
      </w:r>
      <w:r w:rsidRPr="005330CA">
        <w:tab/>
      </w:r>
      <w:r w:rsidRPr="005330CA">
        <w:tab/>
        <w:t>_______________</w:t>
      </w:r>
    </w:p>
    <w:p w:rsidR="005A04F7" w:rsidRPr="005330CA" w:rsidRDefault="005A04F7" w:rsidP="005A04F7">
      <w:pPr>
        <w:spacing w:line="360" w:lineRule="auto"/>
        <w:jc w:val="both"/>
        <w:rPr>
          <w:b/>
        </w:rPr>
      </w:pPr>
      <w:r>
        <w:rPr>
          <w:b/>
        </w:rPr>
        <w:t>MR. OLUFADI B.A.</w:t>
      </w:r>
      <w:r>
        <w:rPr>
          <w:b/>
        </w:rPr>
        <w:tab/>
      </w:r>
      <w:r>
        <w:rPr>
          <w:b/>
        </w:rPr>
        <w:tab/>
      </w:r>
      <w:r>
        <w:rPr>
          <w:b/>
        </w:rPr>
        <w:tab/>
      </w:r>
      <w:r w:rsidRPr="005330CA">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(Project Coordinator)</w:t>
      </w:r>
    </w:p>
    <w:p w:rsidR="005A04F7" w:rsidRPr="005330CA" w:rsidRDefault="005A04F7" w:rsidP="005A04F7">
      <w:pPr>
        <w:spacing w:line="360" w:lineRule="auto"/>
        <w:jc w:val="both"/>
        <w:rPr>
          <w:b/>
          <w:i/>
        </w:rPr>
      </w:pPr>
    </w:p>
    <w:p w:rsidR="005A04F7" w:rsidRPr="005330CA" w:rsidRDefault="005A04F7" w:rsidP="005A04F7">
      <w:pPr>
        <w:spacing w:line="360" w:lineRule="auto"/>
        <w:jc w:val="both"/>
        <w:rPr>
          <w:b/>
        </w:rPr>
      </w:pPr>
      <w:r w:rsidRPr="005330CA">
        <w:rPr>
          <w:b/>
        </w:rPr>
        <w:t>______________________</w:t>
      </w:r>
      <w:r w:rsidRPr="005330CA">
        <w:rPr>
          <w:b/>
        </w:rPr>
        <w:tab/>
      </w:r>
      <w:r w:rsidRPr="005330CA">
        <w:rPr>
          <w:b/>
        </w:rPr>
        <w:tab/>
      </w:r>
      <w:r w:rsidRPr="005330CA">
        <w:rPr>
          <w:b/>
        </w:rPr>
        <w:tab/>
      </w:r>
      <w:r w:rsidRPr="005330CA">
        <w:rPr>
          <w:b/>
        </w:rPr>
        <w:tab/>
      </w:r>
      <w:r w:rsidRPr="005330CA">
        <w:rPr>
          <w:b/>
        </w:rPr>
        <w:tab/>
      </w:r>
      <w:r w:rsidRPr="005330CA">
        <w:rPr>
          <w:b/>
        </w:rPr>
        <w:tab/>
        <w:t>_______________</w:t>
      </w:r>
    </w:p>
    <w:p w:rsidR="005A04F7" w:rsidRPr="005330CA" w:rsidRDefault="005A04F7" w:rsidP="005A04F7">
      <w:pPr>
        <w:spacing w:line="360" w:lineRule="auto"/>
        <w:jc w:val="both"/>
        <w:rPr>
          <w:b/>
        </w:rPr>
      </w:pPr>
      <w:r>
        <w:rPr>
          <w:b/>
        </w:rPr>
        <w:t>MR. OLOHUNGBEBE F.T</w:t>
      </w:r>
      <w:r>
        <w:rPr>
          <w:b/>
        </w:rPr>
        <w:tab/>
      </w:r>
      <w:r>
        <w:rPr>
          <w:b/>
        </w:rPr>
        <w:tab/>
      </w:r>
      <w:r w:rsidRPr="005330CA">
        <w:rPr>
          <w:b/>
        </w:rPr>
        <w:tab/>
      </w:r>
      <w:r w:rsidRPr="005330CA">
        <w:rPr>
          <w:b/>
        </w:rPr>
        <w:tab/>
      </w:r>
      <w:r w:rsidRPr="005330CA">
        <w:rPr>
          <w:b/>
        </w:rPr>
        <w:tab/>
      </w:r>
      <w:r w:rsidRPr="005330CA">
        <w:rPr>
          <w:b/>
        </w:rPr>
        <w:tab/>
        <w:t>DATE</w:t>
      </w:r>
    </w:p>
    <w:p w:rsidR="005A04F7" w:rsidRPr="005330CA" w:rsidRDefault="005A04F7" w:rsidP="005A04F7">
      <w:pPr>
        <w:spacing w:line="360" w:lineRule="auto"/>
        <w:jc w:val="both"/>
        <w:rPr>
          <w:b/>
          <w:i/>
        </w:rPr>
      </w:pPr>
      <w:r w:rsidRPr="005330CA">
        <w:rPr>
          <w:b/>
          <w:i/>
        </w:rPr>
        <w:t xml:space="preserve">(Head of Department) </w:t>
      </w:r>
    </w:p>
    <w:p w:rsidR="005A04F7" w:rsidRPr="005330CA"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_______________________</w:t>
      </w:r>
      <w:r w:rsidRPr="005330CA">
        <w:rPr>
          <w:b/>
        </w:rPr>
        <w:tab/>
      </w:r>
      <w:r w:rsidRPr="005330CA">
        <w:rPr>
          <w:b/>
        </w:rPr>
        <w:tab/>
      </w:r>
      <w:r w:rsidRPr="005330CA">
        <w:rPr>
          <w:b/>
        </w:rPr>
        <w:tab/>
      </w:r>
      <w:r w:rsidRPr="005330CA">
        <w:rPr>
          <w:b/>
        </w:rPr>
        <w:tab/>
      </w:r>
      <w:r w:rsidRPr="005330CA">
        <w:rPr>
          <w:b/>
        </w:rPr>
        <w:tab/>
      </w:r>
      <w:r>
        <w:rPr>
          <w:b/>
        </w:rPr>
        <w:tab/>
      </w:r>
      <w:r w:rsidRPr="005330CA">
        <w:rPr>
          <w:b/>
        </w:rPr>
        <w:t>________________</w:t>
      </w:r>
    </w:p>
    <w:p w:rsidR="005A04F7" w:rsidRDefault="005A04F7" w:rsidP="005A04F7">
      <w:pPr>
        <w:spacing w:line="360" w:lineRule="auto"/>
        <w:jc w:val="both"/>
        <w:rPr>
          <w:b/>
        </w:rPr>
      </w:pPr>
      <w:r w:rsidRPr="005330CA">
        <w:rPr>
          <w:b/>
        </w:rPr>
        <w:t>External Examiner</w:t>
      </w:r>
      <w:r>
        <w:rPr>
          <w:b/>
        </w:rPr>
        <w:tab/>
      </w:r>
      <w:r>
        <w:rPr>
          <w:b/>
        </w:rPr>
        <w:tab/>
      </w:r>
      <w:r>
        <w:rPr>
          <w:b/>
        </w:rPr>
        <w:tab/>
      </w:r>
      <w:r>
        <w:rPr>
          <w:b/>
        </w:rPr>
        <w:tab/>
      </w:r>
      <w:r>
        <w:rPr>
          <w:b/>
        </w:rPr>
        <w:tab/>
      </w:r>
      <w:r>
        <w:rPr>
          <w:b/>
        </w:rPr>
        <w:tab/>
      </w:r>
      <w:r>
        <w:rPr>
          <w:b/>
        </w:rPr>
        <w:tab/>
      </w:r>
      <w:r w:rsidRPr="005330CA">
        <w:rPr>
          <w:b/>
        </w:rPr>
        <w:t>DATE</w:t>
      </w:r>
    </w:p>
    <w:p w:rsidR="005A04F7" w:rsidRDefault="005A04F7" w:rsidP="005A04F7">
      <w:pPr>
        <w:spacing w:line="360" w:lineRule="auto"/>
        <w:jc w:val="both"/>
        <w:rPr>
          <w:b/>
        </w:rPr>
      </w:pPr>
      <w:r w:rsidRPr="005330CA">
        <w:rPr>
          <w:b/>
        </w:rPr>
        <w:tab/>
      </w:r>
      <w:r w:rsidRPr="005330CA">
        <w:rPr>
          <w:b/>
        </w:rPr>
        <w:tab/>
      </w:r>
      <w:r w:rsidRPr="005330CA">
        <w:rPr>
          <w:b/>
        </w:rPr>
        <w:tab/>
      </w:r>
      <w:r w:rsidRPr="005330CA">
        <w:rPr>
          <w:b/>
        </w:rPr>
        <w:tab/>
      </w:r>
      <w:r w:rsidRPr="005330CA">
        <w:rPr>
          <w:b/>
        </w:rPr>
        <w:tab/>
      </w:r>
    </w:p>
    <w:p w:rsidR="005A04F7" w:rsidRDefault="005A04F7" w:rsidP="005A04F7">
      <w:pPr>
        <w:spacing w:line="360" w:lineRule="auto"/>
        <w:jc w:val="both"/>
        <w:rPr>
          <w:b/>
        </w:rPr>
      </w:pPr>
    </w:p>
    <w:p w:rsidR="005A04F7" w:rsidRDefault="005A04F7" w:rsidP="005A04F7">
      <w:pPr>
        <w:spacing w:line="360" w:lineRule="auto"/>
        <w:jc w:val="both"/>
        <w:rPr>
          <w:b/>
        </w:rPr>
      </w:pPr>
    </w:p>
    <w:p w:rsidR="005A04F7" w:rsidRDefault="005A04F7" w:rsidP="005A04F7">
      <w:pPr>
        <w:spacing w:line="360" w:lineRule="auto"/>
        <w:jc w:val="both"/>
        <w:rPr>
          <w:b/>
        </w:rPr>
      </w:pPr>
    </w:p>
    <w:p w:rsidR="005A04F7" w:rsidRPr="005330CA" w:rsidRDefault="005A04F7" w:rsidP="005A04F7">
      <w:pPr>
        <w:spacing w:line="360" w:lineRule="auto"/>
        <w:jc w:val="both"/>
        <w:rPr>
          <w:b/>
        </w:rPr>
      </w:pPr>
      <w:r w:rsidRPr="005330CA">
        <w:rPr>
          <w:b/>
        </w:rPr>
        <w:tab/>
      </w:r>
      <w:r w:rsidRPr="005330CA">
        <w:rPr>
          <w:b/>
        </w:rPr>
        <w:tab/>
      </w:r>
      <w:r w:rsidRPr="005330CA">
        <w:rPr>
          <w:b/>
        </w:rPr>
        <w:tab/>
      </w: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5A04F7" w:rsidRDefault="005A04F7" w:rsidP="00577ECC">
      <w:pPr>
        <w:spacing w:line="480" w:lineRule="auto"/>
        <w:jc w:val="center"/>
        <w:rPr>
          <w:rFonts w:ascii="Bookman Old Style" w:hAnsi="Bookman Old Style"/>
          <w:b/>
          <w:sz w:val="26"/>
          <w:szCs w:val="26"/>
        </w:rPr>
      </w:pPr>
    </w:p>
    <w:p w:rsidR="00326E85" w:rsidRPr="00577ECC" w:rsidRDefault="00687602" w:rsidP="00577ECC">
      <w:pPr>
        <w:spacing w:line="480" w:lineRule="auto"/>
        <w:jc w:val="center"/>
        <w:rPr>
          <w:rFonts w:ascii="Bookman Old Style" w:hAnsi="Bookman Old Style"/>
          <w:b/>
          <w:sz w:val="26"/>
          <w:szCs w:val="26"/>
        </w:rPr>
      </w:pPr>
      <w:r w:rsidRPr="00577ECC">
        <w:rPr>
          <w:rFonts w:ascii="Bookman Old Style" w:hAnsi="Bookman Old Style"/>
          <w:b/>
          <w:sz w:val="26"/>
          <w:szCs w:val="26"/>
        </w:rPr>
        <w:t>CHAPTER ONE</w:t>
      </w:r>
    </w:p>
    <w:p w:rsidR="00687602" w:rsidRPr="00577ECC" w:rsidRDefault="00687602" w:rsidP="00577ECC">
      <w:pPr>
        <w:spacing w:line="480" w:lineRule="auto"/>
        <w:jc w:val="center"/>
        <w:rPr>
          <w:rFonts w:ascii="Bookman Old Style" w:hAnsi="Bookman Old Style"/>
          <w:b/>
          <w:sz w:val="26"/>
          <w:szCs w:val="26"/>
        </w:rPr>
      </w:pPr>
      <w:r w:rsidRPr="00577ECC">
        <w:rPr>
          <w:rFonts w:ascii="Bookman Old Style" w:hAnsi="Bookman Old Style"/>
          <w:b/>
          <w:sz w:val="26"/>
          <w:szCs w:val="26"/>
        </w:rPr>
        <w:t>INTRODUCTION</w:t>
      </w:r>
    </w:p>
    <w:p w:rsidR="00687602" w:rsidRPr="00577ECC" w:rsidRDefault="00687602" w:rsidP="00577ECC">
      <w:pPr>
        <w:pStyle w:val="ListParagraph"/>
        <w:numPr>
          <w:ilvl w:val="1"/>
          <w:numId w:val="12"/>
        </w:numPr>
        <w:spacing w:line="480" w:lineRule="auto"/>
        <w:rPr>
          <w:rFonts w:ascii="Bookman Old Style" w:hAnsi="Bookman Old Style"/>
          <w:b/>
          <w:sz w:val="26"/>
          <w:szCs w:val="26"/>
        </w:rPr>
      </w:pPr>
      <w:r w:rsidRPr="00577ECC">
        <w:rPr>
          <w:rFonts w:ascii="Bookman Old Style" w:hAnsi="Bookman Old Style"/>
          <w:b/>
          <w:sz w:val="26"/>
          <w:szCs w:val="26"/>
        </w:rPr>
        <w:t>BACKGROUND OF THE STUDY</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Gender-based violence (GBV) refers to harmful acts directed at individuals based on their gender. It includes physical, sexual, and psychological abuse, and disproportionately affects women and girls. In educational settings, GBV can significantly affect female students' academic performance, mental health, and general well-being. Globally, it is widely acknowledged that GBV is a violation of human rights, and numerous international frameworks, such as the United Nations Convention on the Elimination of All Forms of Discrimination against Women (CEDAW), have recognized the importance of addressing and preventing such violence (United Nations, 1993).</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In Nigeria, gender-based violence remains a significant issue, especially in higher educational institutions. Female students are particularly vulnerable to forms of violence such as sexual harassment, bullying, and exploitation, both on campus and in the digital space. The advent of social media platforms like Facebook, Instagram, Twitter, and </w:t>
      </w:r>
      <w:r w:rsidRPr="00577ECC">
        <w:rPr>
          <w:rFonts w:ascii="Bookman Old Style" w:hAnsi="Bookman Old Style"/>
          <w:sz w:val="26"/>
          <w:szCs w:val="26"/>
        </w:rPr>
        <w:lastRenderedPageBreak/>
        <w:t>WhatsApp has led to an increase in virtual forms of GBV. Social media, while offering a platform for empowerment, education, and social connection, has also become a space where harassment, cyberbullying, and other forms of violence can occur. As female students navigate the digital world, the boundary between personal and public spheres often becomes blurred, heightening their exposure to violence and exploitation (Livingstone &amp; Smith, 2014; Powell &amp; Henry, 2017).</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Social media platforms, while connecting students globally, have also provided perpetrators with opportunities to engage in harmful behaviors that may not have been possible in face-to-face interactions. According to the Nigerian Communication Commission (NCC), over 122 million Nigerians are internet users, with a large proportion of these users being students (NCC, 2020). For female students, the consequences of cyberbullying and online harassment can be severe, leading to depression, anxiety, and in some cases, suicidal ideation (DeGaetano, 2020). Moreover, there is growing evidence that these platforms often reinforce harmful gender stereotypes, further perpetuating violence against women (Fitzpatrick &amp; Gaffney, 2016).</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At Kwara State Polytechnic, like many other institutions, female students actively engage with social media. The rising trend of using </w:t>
      </w:r>
      <w:r w:rsidRPr="00577ECC">
        <w:rPr>
          <w:rFonts w:ascii="Bookman Old Style" w:hAnsi="Bookman Old Style"/>
          <w:sz w:val="26"/>
          <w:szCs w:val="26"/>
        </w:rPr>
        <w:lastRenderedPageBreak/>
        <w:t>social media for communication, entertainment, and education means that it is vital to understand the ways in which these platforms contribute to or mitigate gender-based violence. Previous studies have focused on the relationship between GBV and social media in general (Oluwaseun &amp; Oyediran, 2019), but there is limited research on how social media influences GBV among female students at Nigerian polytechnics.</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While social media can provide a space for women to express themselves, it can also be a source of harm, particularly for young female students who may lack adequate support systems to address such violence. Research by Worsley (2018) indicated that over 70% of female students reported being harassed or bullied online, which had a direct impact on their academic and social lives. It is therefore important to explore how social media platforms contribute to or help mitigate gender-based violence in these environments.</w:t>
      </w:r>
    </w:p>
    <w:p w:rsidR="00687602" w:rsidRPr="00577ECC" w:rsidRDefault="00687602" w:rsidP="00577ECC">
      <w:pPr>
        <w:pStyle w:val="NormalWeb"/>
        <w:spacing w:line="480" w:lineRule="auto"/>
        <w:ind w:firstLine="480"/>
        <w:jc w:val="both"/>
        <w:rPr>
          <w:rFonts w:ascii="Bookman Old Style" w:hAnsi="Bookman Old Style"/>
          <w:sz w:val="26"/>
          <w:szCs w:val="26"/>
        </w:rPr>
      </w:pPr>
      <w:r w:rsidRPr="00577ECC">
        <w:rPr>
          <w:rFonts w:ascii="Bookman Old Style" w:hAnsi="Bookman Old Style"/>
          <w:sz w:val="26"/>
          <w:szCs w:val="26"/>
        </w:rPr>
        <w:t xml:space="preserve">The increasing intersection of technology and social norms presents an urgent need for an in-depth examination of the effects of social media on female students’ experiences of GBV at Kwara State Polytechnic. By investigating this issue, the study will not only provide a clearer </w:t>
      </w:r>
      <w:r w:rsidRPr="00577ECC">
        <w:rPr>
          <w:rFonts w:ascii="Bookman Old Style" w:hAnsi="Bookman Old Style"/>
          <w:sz w:val="26"/>
          <w:szCs w:val="26"/>
        </w:rPr>
        <w:lastRenderedPageBreak/>
        <w:t>understanding of the problem but also propose possible solutions to reduce the risks associated with online GBV.</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1.2 </w:t>
      </w:r>
      <w:r w:rsidRPr="00577ECC">
        <w:rPr>
          <w:rFonts w:ascii="Bookman Old Style" w:hAnsi="Bookman Old Style"/>
          <w:b/>
          <w:bCs/>
          <w:sz w:val="26"/>
          <w:szCs w:val="26"/>
        </w:rPr>
        <w:t>Statement of the Problem</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Gender-based violence among female students at Kwara State Polytechnic, much like other educational institutions, is a significant issue. While there has been some focus on traditional forms of GBV, there is limited research on the impact of social media on this phenomenon. Social media has the potential to both exacerbate and reduce the incidences of GBV, but its dual nature has not been adequately explored in the context of this particular institution.</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Female students are often subjected to online harassment, sexual harassment, and cyberbullying. These behaviors not only violate their rights but also negatively impact their academic performance, emotional well-being, and overall safety. The challenge, however, is to understand the specific ways in which social media contributes to or mitigates these forms of violence.</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 xml:space="preserve">This study aims to fill this gap by examining how social media influences the experience of gender-based violence among female students of Kwara State Polytechnic, contributing to a more nuanced </w:t>
      </w:r>
      <w:r w:rsidRPr="000F0AA3">
        <w:rPr>
          <w:rFonts w:ascii="Bookman Old Style" w:hAnsi="Bookman Old Style"/>
          <w:sz w:val="26"/>
          <w:szCs w:val="26"/>
        </w:rPr>
        <w:lastRenderedPageBreak/>
        <w:t>understanding of the intersection between online platforms and violence in educational settings.</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1.3 </w:t>
      </w:r>
      <w:r w:rsidRPr="00577ECC">
        <w:rPr>
          <w:rFonts w:ascii="Bookman Old Style" w:hAnsi="Bookman Old Style"/>
          <w:b/>
          <w:bCs/>
          <w:sz w:val="26"/>
          <w:szCs w:val="26"/>
        </w:rPr>
        <w:t>Objectives of the Study</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The main objective of this study is to investigate the impact of social media on gender-based violence among female students of Kwara State Polytechnic. Specifically, the study aims to:</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Assess the prevalence of gender-based violence among female students in the context of social media usage.</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Examine the types of social media platforms most commonly involved in incidents of gender-based violence.</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Identify the forms of gender-based violence (e.g., harassment, bullying, sexting, etc.) most commonly experienced by female students on social media.</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Explore the role of social media in either exacerbating or mitigating gender-based violence among female students.</w:t>
      </w:r>
    </w:p>
    <w:p w:rsidR="000F0AA3" w:rsidRPr="000F0AA3" w:rsidRDefault="000F0AA3" w:rsidP="00577ECC">
      <w:pPr>
        <w:numPr>
          <w:ilvl w:val="0"/>
          <w:numId w:val="13"/>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Investigate the awareness and coping mechanisms employed by female students to deal with gender-based violence on social media.</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1.4 </w:t>
      </w:r>
      <w:r w:rsidRPr="00577ECC">
        <w:rPr>
          <w:rFonts w:ascii="Bookman Old Style" w:hAnsi="Bookman Old Style"/>
          <w:b/>
          <w:bCs/>
          <w:sz w:val="26"/>
          <w:szCs w:val="26"/>
        </w:rPr>
        <w:t>Research Questions</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The study will seek to answer the following research questions:</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lastRenderedPageBreak/>
        <w:t>What is the prevalence of gender-based violence among female students of Kwara State Polytechnic, specifically in relation to their use of social media?</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Which social media platforms are most commonly associated with incidents of gender-based violence among female students?</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What types of gender-based violence are most frequently reported by female students on social media?</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How do female students perceive the impact of social media on their safety and well-being in the context of gender-based violence?</w:t>
      </w:r>
    </w:p>
    <w:p w:rsidR="000F0AA3" w:rsidRPr="000F0AA3" w:rsidRDefault="000F0AA3" w:rsidP="00577ECC">
      <w:pPr>
        <w:numPr>
          <w:ilvl w:val="0"/>
          <w:numId w:val="14"/>
        </w:num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What strategies or coping mechanisms do female students use to handle gender-based violence experienced on social media?</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1.5 </w:t>
      </w:r>
      <w:r w:rsidRPr="00577ECC">
        <w:rPr>
          <w:rFonts w:ascii="Bookman Old Style" w:hAnsi="Bookman Old Style"/>
          <w:b/>
          <w:bCs/>
          <w:sz w:val="26"/>
          <w:szCs w:val="26"/>
        </w:rPr>
        <w:t>Significance of the Study</w:t>
      </w:r>
    </w:p>
    <w:p w:rsidR="000F0AA3" w:rsidRPr="000F0AA3" w:rsidRDefault="000F0AA3" w:rsidP="00577ECC">
      <w:pPr>
        <w:spacing w:before="100" w:beforeAutospacing="1" w:after="100" w:afterAutospacing="1" w:line="480" w:lineRule="auto"/>
        <w:ind w:firstLine="360"/>
        <w:jc w:val="both"/>
        <w:rPr>
          <w:rFonts w:ascii="Bookman Old Style" w:hAnsi="Bookman Old Style"/>
          <w:sz w:val="26"/>
          <w:szCs w:val="26"/>
        </w:rPr>
      </w:pPr>
      <w:r w:rsidRPr="000F0AA3">
        <w:rPr>
          <w:rFonts w:ascii="Bookman Old Style" w:hAnsi="Bookman Old Style"/>
          <w:sz w:val="26"/>
          <w:szCs w:val="26"/>
        </w:rPr>
        <w:t>This study is significant for several reasons:</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Educational Institutions:</w:t>
      </w:r>
      <w:r w:rsidRPr="000F0AA3">
        <w:rPr>
          <w:rFonts w:ascii="Bookman Old Style" w:hAnsi="Bookman Old Style"/>
          <w:sz w:val="26"/>
          <w:szCs w:val="26"/>
        </w:rPr>
        <w:t xml:space="preserve"> The findings of this research will provide valuable insights for administrators, educators, and policy-makers at Kwara State Polytechnic and similar institutions, helping them understand the challenges faced by female students in relation to social media and gender-based violence. It will also inform the development of targeted interventions and policies to address this issue.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lastRenderedPageBreak/>
        <w:t>Female Students:</w:t>
      </w:r>
      <w:r w:rsidRPr="000F0AA3">
        <w:rPr>
          <w:rFonts w:ascii="Bookman Old Style" w:hAnsi="Bookman Old Style"/>
          <w:sz w:val="26"/>
          <w:szCs w:val="26"/>
        </w:rPr>
        <w:t xml:space="preserve"> The study will raise awareness among female students about the risks of social media in relation to gender-based violence. It may also empower them by providing information on how to protect themselves and seek help if they experience harassment or violence online.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Society at Large:</w:t>
      </w:r>
      <w:r w:rsidRPr="000F0AA3">
        <w:rPr>
          <w:rFonts w:ascii="Bookman Old Style" w:hAnsi="Bookman Old Style"/>
          <w:sz w:val="26"/>
          <w:szCs w:val="26"/>
        </w:rPr>
        <w:t xml:space="preserve"> Understanding the relationship between social media and gender-based violence will contribute to broader efforts to combat violence against women in Nigerian society. The study will help in raising awareness about how online spaces can perpetuate harmful gender norms and violence.</w:t>
      </w:r>
    </w:p>
    <w:p w:rsidR="000F0AA3" w:rsidRPr="000F0AA3" w:rsidRDefault="000F0AA3" w:rsidP="00577ECC">
      <w:pPr>
        <w:numPr>
          <w:ilvl w:val="0"/>
          <w:numId w:val="15"/>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Academic Contribution:</w:t>
      </w:r>
      <w:r w:rsidRPr="000F0AA3">
        <w:rPr>
          <w:rFonts w:ascii="Bookman Old Style" w:hAnsi="Bookman Old Style"/>
          <w:sz w:val="26"/>
          <w:szCs w:val="26"/>
        </w:rPr>
        <w:t xml:space="preserve"> This research will add to the body of literature on gender-based violence, particularly in the context of higher education and the role of social media in perpetuating or mitigating this issue.</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1.6 </w:t>
      </w:r>
      <w:r w:rsidRPr="00577ECC">
        <w:rPr>
          <w:rFonts w:ascii="Bookman Old Style" w:hAnsi="Bookman Old Style"/>
          <w:b/>
          <w:bCs/>
          <w:sz w:val="26"/>
          <w:szCs w:val="26"/>
        </w:rPr>
        <w:t>Scope of the Study</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 xml:space="preserve">The scope of this study is limited to female students of Kwara State Polytechnic, Ilorin, Nigeria. It focuses on social media platforms that are commonly used by students, including Facebook, Instagram, Twitter, and WhatsApp. The study will investigate the nature and prevalence of </w:t>
      </w:r>
      <w:r w:rsidRPr="000F0AA3">
        <w:rPr>
          <w:rFonts w:ascii="Bookman Old Style" w:hAnsi="Bookman Old Style"/>
          <w:sz w:val="26"/>
          <w:szCs w:val="26"/>
        </w:rPr>
        <w:lastRenderedPageBreak/>
        <w:t>gender-based violence in these online spaces and examine how female students navigate these challenges.</w:t>
      </w:r>
    </w:p>
    <w:p w:rsidR="000F0AA3" w:rsidRPr="000F0AA3" w:rsidRDefault="000F0AA3" w:rsidP="00577ECC">
      <w:pPr>
        <w:spacing w:before="100" w:beforeAutospacing="1" w:after="100" w:afterAutospacing="1" w:line="480" w:lineRule="auto"/>
        <w:ind w:firstLine="720"/>
        <w:jc w:val="both"/>
        <w:rPr>
          <w:rFonts w:ascii="Bookman Old Style" w:hAnsi="Bookman Old Style"/>
          <w:sz w:val="26"/>
          <w:szCs w:val="26"/>
        </w:rPr>
      </w:pPr>
      <w:r w:rsidRPr="000F0AA3">
        <w:rPr>
          <w:rFonts w:ascii="Bookman Old Style" w:hAnsi="Bookman Old Style"/>
          <w:sz w:val="26"/>
          <w:szCs w:val="26"/>
        </w:rPr>
        <w:t>While the study does not intend to cover all forms of violence experienced by women, it will specifically focus on those related to social media usage, including online harassment, bullying, and cyberstalking. Additionally, the study will be limited to the academic year in which the research is conducted, and the sample will consist of female students from various departments within the polytechnic.</w:t>
      </w:r>
    </w:p>
    <w:p w:rsidR="000F0AA3" w:rsidRPr="000F0AA3" w:rsidRDefault="000F0AA3" w:rsidP="00577ECC">
      <w:pPr>
        <w:spacing w:before="100" w:beforeAutospacing="1" w:after="100" w:afterAutospacing="1" w:line="480" w:lineRule="auto"/>
        <w:jc w:val="both"/>
        <w:rPr>
          <w:rFonts w:ascii="Bookman Old Style" w:hAnsi="Bookman Old Style"/>
          <w:sz w:val="26"/>
          <w:szCs w:val="26"/>
        </w:rPr>
      </w:pPr>
      <w:r w:rsidRPr="000F0AA3">
        <w:rPr>
          <w:rFonts w:ascii="Bookman Old Style" w:hAnsi="Bookman Old Style"/>
          <w:sz w:val="26"/>
          <w:szCs w:val="26"/>
        </w:rPr>
        <w:t xml:space="preserve">1.7 </w:t>
      </w:r>
      <w:r w:rsidRPr="00577ECC">
        <w:rPr>
          <w:rFonts w:ascii="Bookman Old Style" w:hAnsi="Bookman Old Style"/>
          <w:b/>
          <w:bCs/>
          <w:sz w:val="26"/>
          <w:szCs w:val="26"/>
        </w:rPr>
        <w:t>Definition of Key Terms</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Gender-based Violence (GBV):</w:t>
      </w:r>
      <w:r w:rsidRPr="000F0AA3">
        <w:rPr>
          <w:rFonts w:ascii="Bookman Old Style" w:hAnsi="Bookman Old Style"/>
          <w:sz w:val="26"/>
          <w:szCs w:val="26"/>
        </w:rPr>
        <w:t xml:space="preserve"> Any act of violence directed at an individual based on their gender, with women and girls being the most affected. This includes physical, sexual, psychological, and economic abuse.</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Social Media:</w:t>
      </w:r>
      <w:r w:rsidRPr="000F0AA3">
        <w:rPr>
          <w:rFonts w:ascii="Bookman Old Style" w:hAnsi="Bookman Old Style"/>
          <w:sz w:val="26"/>
          <w:szCs w:val="26"/>
        </w:rPr>
        <w:t xml:space="preserve"> Online platforms and tools that enable users to create, share, and exchange content in virtual communities and networks. Examples include Facebook, Instagram, Twitter, and WhatsApp.</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t>Female Students:</w:t>
      </w:r>
      <w:r w:rsidRPr="000F0AA3">
        <w:rPr>
          <w:rFonts w:ascii="Bookman Old Style" w:hAnsi="Bookman Old Style"/>
          <w:sz w:val="26"/>
          <w:szCs w:val="26"/>
        </w:rPr>
        <w:t xml:space="preserve"> Women enrolled in academic programs at Kwara State Polytechnic, aged between 18 and 30 years.</w:t>
      </w:r>
    </w:p>
    <w:p w:rsidR="000F0AA3" w:rsidRPr="000F0AA3" w:rsidRDefault="000F0AA3" w:rsidP="00577ECC">
      <w:pPr>
        <w:numPr>
          <w:ilvl w:val="0"/>
          <w:numId w:val="16"/>
        </w:numPr>
        <w:spacing w:before="100" w:beforeAutospacing="1" w:after="100" w:afterAutospacing="1" w:line="480" w:lineRule="auto"/>
        <w:jc w:val="both"/>
        <w:rPr>
          <w:rFonts w:ascii="Bookman Old Style" w:hAnsi="Bookman Old Style"/>
          <w:sz w:val="26"/>
          <w:szCs w:val="26"/>
        </w:rPr>
      </w:pPr>
      <w:r w:rsidRPr="00577ECC">
        <w:rPr>
          <w:rFonts w:ascii="Bookman Old Style" w:hAnsi="Bookman Old Style"/>
          <w:b/>
          <w:bCs/>
          <w:sz w:val="26"/>
          <w:szCs w:val="26"/>
        </w:rPr>
        <w:lastRenderedPageBreak/>
        <w:t>Cyberbullying:</w:t>
      </w:r>
      <w:r w:rsidRPr="000F0AA3">
        <w:rPr>
          <w:rFonts w:ascii="Bookman Old Style" w:hAnsi="Bookman Old Style"/>
          <w:sz w:val="26"/>
          <w:szCs w:val="26"/>
        </w:rPr>
        <w:t xml:space="preserve"> The use of electronic communication to bully or harass individuals, often through spreading false information, sending threatening messages, or posting harmful content.</w:t>
      </w:r>
    </w:p>
    <w:p w:rsidR="00573265" w:rsidRPr="00577ECC" w:rsidRDefault="00573265" w:rsidP="00577ECC">
      <w:pPr>
        <w:pStyle w:val="NormalWeb"/>
        <w:spacing w:line="480" w:lineRule="auto"/>
        <w:rPr>
          <w:sz w:val="26"/>
          <w:szCs w:val="26"/>
        </w:rPr>
      </w:pPr>
      <w:r w:rsidRPr="00577ECC">
        <w:rPr>
          <w:rFonts w:ascii="Bookman Old Style" w:hAnsi="Bookman Old Style"/>
          <w:sz w:val="26"/>
          <w:szCs w:val="26"/>
        </w:rPr>
        <w:br w:type="page"/>
      </w:r>
      <w:r w:rsidRPr="00577ECC">
        <w:rPr>
          <w:rStyle w:val="Strong"/>
          <w:sz w:val="26"/>
          <w:szCs w:val="26"/>
        </w:rPr>
        <w:lastRenderedPageBreak/>
        <w:t>REFERENCES</w:t>
      </w:r>
    </w:p>
    <w:p w:rsidR="00573265" w:rsidRPr="00577ECC" w:rsidRDefault="00573265" w:rsidP="00577ECC">
      <w:pPr>
        <w:pStyle w:val="NormalWeb"/>
        <w:spacing w:line="480" w:lineRule="auto"/>
        <w:rPr>
          <w:sz w:val="26"/>
          <w:szCs w:val="26"/>
        </w:rPr>
      </w:pPr>
      <w:r w:rsidRPr="00577ECC">
        <w:rPr>
          <w:sz w:val="26"/>
          <w:szCs w:val="26"/>
        </w:rPr>
        <w:t xml:space="preserve">DeGaetano, G. (2020). </w:t>
      </w:r>
      <w:r w:rsidRPr="00577ECC">
        <w:rPr>
          <w:rStyle w:val="Emphasis"/>
          <w:sz w:val="26"/>
          <w:szCs w:val="26"/>
        </w:rPr>
        <w:t>Impact of social media on mental health: A review of online harassment, depression, and anxiety in young women</w:t>
      </w:r>
      <w:r w:rsidRPr="00577ECC">
        <w:rPr>
          <w:sz w:val="26"/>
          <w:szCs w:val="26"/>
        </w:rPr>
        <w:t>. Journal of Digital Psychology, 9(2), 45-58.</w:t>
      </w:r>
    </w:p>
    <w:p w:rsidR="00573265" w:rsidRPr="00577ECC" w:rsidRDefault="00573265" w:rsidP="00577ECC">
      <w:pPr>
        <w:pStyle w:val="NormalWeb"/>
        <w:spacing w:line="480" w:lineRule="auto"/>
        <w:rPr>
          <w:sz w:val="26"/>
          <w:szCs w:val="26"/>
        </w:rPr>
      </w:pPr>
      <w:r w:rsidRPr="00577ECC">
        <w:rPr>
          <w:sz w:val="26"/>
          <w:szCs w:val="26"/>
        </w:rPr>
        <w:t xml:space="preserve">Fitzpatrick, K. &amp; Gaffney, M. (2016). </w:t>
      </w:r>
      <w:r w:rsidRPr="00577ECC">
        <w:rPr>
          <w:rStyle w:val="Emphasis"/>
          <w:sz w:val="26"/>
          <w:szCs w:val="26"/>
        </w:rPr>
        <w:t>The role of social media in perpetuating gender-based violence: A critical review</w:t>
      </w:r>
      <w:r w:rsidRPr="00577ECC">
        <w:rPr>
          <w:sz w:val="26"/>
          <w:szCs w:val="26"/>
        </w:rPr>
        <w:t>. International Journal of Cyber Safety and Education, 5(3), 71-84.</w:t>
      </w:r>
    </w:p>
    <w:p w:rsidR="00573265" w:rsidRPr="00577ECC" w:rsidRDefault="00573265" w:rsidP="00577ECC">
      <w:pPr>
        <w:pStyle w:val="NormalWeb"/>
        <w:spacing w:line="480" w:lineRule="auto"/>
        <w:rPr>
          <w:sz w:val="26"/>
          <w:szCs w:val="26"/>
        </w:rPr>
      </w:pPr>
      <w:r w:rsidRPr="00577ECC">
        <w:rPr>
          <w:sz w:val="26"/>
          <w:szCs w:val="26"/>
        </w:rPr>
        <w:t xml:space="preserve">Livingstone, S., &amp; Smith, P. (2014). </w:t>
      </w:r>
      <w:r w:rsidRPr="00577ECC">
        <w:rPr>
          <w:rStyle w:val="Emphasis"/>
          <w:sz w:val="26"/>
          <w:szCs w:val="26"/>
        </w:rPr>
        <w:t>Cyberbullying: A review of the literature on its impact and prevention strategies</w:t>
      </w:r>
      <w:r w:rsidRPr="00577ECC">
        <w:rPr>
          <w:sz w:val="26"/>
          <w:szCs w:val="26"/>
        </w:rPr>
        <w:t>. Journal of Child Psychology and Psychiatry, 55(6), 653-675.</w:t>
      </w:r>
    </w:p>
    <w:p w:rsidR="00573265" w:rsidRPr="00577ECC" w:rsidRDefault="00573265" w:rsidP="00577ECC">
      <w:pPr>
        <w:pStyle w:val="NormalWeb"/>
        <w:spacing w:line="480" w:lineRule="auto"/>
        <w:rPr>
          <w:sz w:val="26"/>
          <w:szCs w:val="26"/>
        </w:rPr>
      </w:pPr>
      <w:r w:rsidRPr="00577ECC">
        <w:rPr>
          <w:sz w:val="26"/>
          <w:szCs w:val="26"/>
        </w:rPr>
        <w:t xml:space="preserve">Nigerian Communications Commission (NCC). (2020). </w:t>
      </w:r>
      <w:r w:rsidRPr="00577ECC">
        <w:rPr>
          <w:rStyle w:val="Emphasis"/>
          <w:sz w:val="26"/>
          <w:szCs w:val="26"/>
        </w:rPr>
        <w:t>Nigerian Internet users statistics: A report on mobile and internet penetration</w:t>
      </w:r>
      <w:r w:rsidRPr="00577ECC">
        <w:rPr>
          <w:sz w:val="26"/>
          <w:szCs w:val="26"/>
        </w:rPr>
        <w:t xml:space="preserve">. Retrieved from </w:t>
      </w:r>
      <w:hyperlink r:id="rId8" w:tgtFrame="_new" w:history="1">
        <w:r w:rsidRPr="00577ECC">
          <w:rPr>
            <w:rStyle w:val="Hyperlink"/>
            <w:sz w:val="26"/>
            <w:szCs w:val="26"/>
          </w:rPr>
          <w:t>https://www.ncc.gov.ng</w:t>
        </w:r>
      </w:hyperlink>
    </w:p>
    <w:p w:rsidR="00573265" w:rsidRPr="00577ECC" w:rsidRDefault="00573265" w:rsidP="00577ECC">
      <w:pPr>
        <w:pStyle w:val="NormalWeb"/>
        <w:spacing w:line="480" w:lineRule="auto"/>
        <w:rPr>
          <w:sz w:val="26"/>
          <w:szCs w:val="26"/>
        </w:rPr>
      </w:pPr>
      <w:r w:rsidRPr="00577ECC">
        <w:rPr>
          <w:sz w:val="26"/>
          <w:szCs w:val="26"/>
        </w:rPr>
        <w:t xml:space="preserve">Oluwaseun, A., &amp; Oyediran, W. (2019). </w:t>
      </w:r>
      <w:r w:rsidRPr="00577ECC">
        <w:rPr>
          <w:rStyle w:val="Emphasis"/>
          <w:sz w:val="26"/>
          <w:szCs w:val="26"/>
        </w:rPr>
        <w:t>Social media and its effects on gender-based violence among university students in Nigeria</w:t>
      </w:r>
      <w:r w:rsidRPr="00577ECC">
        <w:rPr>
          <w:sz w:val="26"/>
          <w:szCs w:val="26"/>
        </w:rPr>
        <w:t>. Nigerian Journal of Gender Studies, 12(1), 14-28.</w:t>
      </w:r>
    </w:p>
    <w:p w:rsidR="00573265" w:rsidRPr="00577ECC" w:rsidRDefault="00573265" w:rsidP="00577ECC">
      <w:pPr>
        <w:pStyle w:val="NormalWeb"/>
        <w:spacing w:line="480" w:lineRule="auto"/>
        <w:rPr>
          <w:sz w:val="26"/>
          <w:szCs w:val="26"/>
        </w:rPr>
      </w:pPr>
      <w:r w:rsidRPr="00577ECC">
        <w:rPr>
          <w:sz w:val="26"/>
          <w:szCs w:val="26"/>
        </w:rPr>
        <w:t xml:space="preserve">Powell, A., &amp; Henry, N. (2017). </w:t>
      </w:r>
      <w:r w:rsidRPr="00577ECC">
        <w:rPr>
          <w:rStyle w:val="Emphasis"/>
          <w:sz w:val="26"/>
          <w:szCs w:val="26"/>
        </w:rPr>
        <w:t>Sexual harassment in the digital age: Exploring the role of technology in online gender-based violence</w:t>
      </w:r>
      <w:r w:rsidRPr="00577ECC">
        <w:rPr>
          <w:sz w:val="26"/>
          <w:szCs w:val="26"/>
        </w:rPr>
        <w:t>. Journal of Women and Social Issues, 22(1), 65-80.</w:t>
      </w:r>
    </w:p>
    <w:p w:rsidR="00573265" w:rsidRPr="00577ECC" w:rsidRDefault="00573265" w:rsidP="00577ECC">
      <w:pPr>
        <w:pStyle w:val="NormalWeb"/>
        <w:spacing w:line="480" w:lineRule="auto"/>
        <w:rPr>
          <w:sz w:val="26"/>
          <w:szCs w:val="26"/>
        </w:rPr>
      </w:pPr>
      <w:r w:rsidRPr="00577ECC">
        <w:rPr>
          <w:sz w:val="26"/>
          <w:szCs w:val="26"/>
        </w:rPr>
        <w:lastRenderedPageBreak/>
        <w:t xml:space="preserve">United Nations. (1993). </w:t>
      </w:r>
      <w:r w:rsidRPr="00577ECC">
        <w:rPr>
          <w:rStyle w:val="Emphasis"/>
          <w:sz w:val="26"/>
          <w:szCs w:val="26"/>
        </w:rPr>
        <w:t>Declaration on the elimination of violence against women</w:t>
      </w:r>
      <w:r w:rsidRPr="00577ECC">
        <w:rPr>
          <w:sz w:val="26"/>
          <w:szCs w:val="26"/>
        </w:rPr>
        <w:t>. United Nations General Assembly.</w:t>
      </w:r>
    </w:p>
    <w:p w:rsidR="00573265" w:rsidRPr="00577ECC" w:rsidRDefault="00573265" w:rsidP="00577ECC">
      <w:pPr>
        <w:pStyle w:val="NormalWeb"/>
        <w:spacing w:line="480" w:lineRule="auto"/>
        <w:rPr>
          <w:sz w:val="26"/>
          <w:szCs w:val="26"/>
        </w:rPr>
      </w:pPr>
      <w:r w:rsidRPr="00577ECC">
        <w:rPr>
          <w:sz w:val="26"/>
          <w:szCs w:val="26"/>
        </w:rPr>
        <w:t xml:space="preserve">Worsley, S. (2018). </w:t>
      </w:r>
      <w:r w:rsidRPr="00577ECC">
        <w:rPr>
          <w:rStyle w:val="Emphasis"/>
          <w:sz w:val="26"/>
          <w:szCs w:val="26"/>
        </w:rPr>
        <w:t>Cyberbullying and harassment: The silent epidemic affecting female students in higher education</w:t>
      </w:r>
      <w:r w:rsidRPr="00577ECC">
        <w:rPr>
          <w:sz w:val="26"/>
          <w:szCs w:val="26"/>
        </w:rPr>
        <w:t>. Journal of Online Safety and Security, 15(3), 31-45.</w:t>
      </w:r>
    </w:p>
    <w:p w:rsidR="000F0AA3" w:rsidRPr="00577ECC" w:rsidRDefault="00E05556" w:rsidP="00577ECC">
      <w:pPr>
        <w:pStyle w:val="NormalWeb"/>
        <w:jc w:val="center"/>
        <w:rPr>
          <w:rFonts w:ascii="Bookman Old Style" w:hAnsi="Bookman Old Style"/>
          <w:b/>
          <w:sz w:val="26"/>
          <w:szCs w:val="26"/>
        </w:rPr>
      </w:pPr>
      <w:r w:rsidRPr="00577ECC">
        <w:rPr>
          <w:rFonts w:ascii="Bookman Old Style" w:hAnsi="Bookman Old Style"/>
          <w:sz w:val="26"/>
          <w:szCs w:val="26"/>
        </w:rPr>
        <w:br w:type="page"/>
      </w:r>
      <w:r w:rsidRPr="00577ECC">
        <w:rPr>
          <w:rFonts w:ascii="Bookman Old Style" w:hAnsi="Bookman Old Style"/>
          <w:b/>
          <w:sz w:val="26"/>
          <w:szCs w:val="26"/>
        </w:rPr>
        <w:lastRenderedPageBreak/>
        <w:t>CHAPTER TWO</w:t>
      </w:r>
    </w:p>
    <w:p w:rsidR="00E05556" w:rsidRPr="00577ECC" w:rsidRDefault="00E05556" w:rsidP="00577ECC">
      <w:pPr>
        <w:pStyle w:val="NormalWeb"/>
        <w:spacing w:line="480" w:lineRule="auto"/>
        <w:jc w:val="center"/>
        <w:rPr>
          <w:rFonts w:ascii="Bookman Old Style" w:hAnsi="Bookman Old Style"/>
          <w:b/>
          <w:sz w:val="26"/>
          <w:szCs w:val="26"/>
        </w:rPr>
      </w:pPr>
      <w:r w:rsidRPr="00577ECC">
        <w:rPr>
          <w:rFonts w:ascii="Bookman Old Style" w:hAnsi="Bookman Old Style"/>
          <w:b/>
          <w:sz w:val="26"/>
          <w:szCs w:val="26"/>
        </w:rPr>
        <w:t>LITERATURE REVIEW</w:t>
      </w:r>
    </w:p>
    <w:p w:rsidR="00F03BFB" w:rsidRPr="00577ECC" w:rsidRDefault="00F03BFB" w:rsidP="00577ECC">
      <w:pPr>
        <w:pStyle w:val="NormalWeb"/>
        <w:spacing w:line="480" w:lineRule="auto"/>
        <w:jc w:val="both"/>
        <w:rPr>
          <w:rFonts w:ascii="Bookman Old Style" w:hAnsi="Bookman Old Style"/>
          <w:b/>
          <w:sz w:val="26"/>
          <w:szCs w:val="26"/>
        </w:rPr>
      </w:pPr>
      <w:r w:rsidRPr="00577ECC">
        <w:rPr>
          <w:rFonts w:ascii="Bookman Old Style" w:hAnsi="Bookman Old Style"/>
          <w:b/>
          <w:sz w:val="26"/>
          <w:szCs w:val="26"/>
        </w:rPr>
        <w:t>2.0 INTRODUCTION</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This chapter reviews the existing literature on gender-based violence (GBV), with a focus on its relationship with social media in the context of female students. The chapter will be divided into three key sections: conceptual review, theoretical review, and empirical review.</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2.1 CONCEPTUAL REVIEW</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Gender-Based Violence (GBV)</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Gender-based violence (GBV) refers to harmful acts directed at an individual based on their gender. It encompasses a wide range of violence, including physical, sexual, psychological, and emotional abuse. According to the United Nations (1993), GBV violates human rights and is deeply rooted in gender inequality. In educational settings, GBV can occur both offline and online. The term "gender-based" emphasizes that this form of violence disproportionately affects women and girls. In the context of female students, GBV can manifest as sexual harassment, bullying, cyberstalking, intimate partner violence, and psychological abuse.</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lastRenderedPageBreak/>
        <w:t>Social Media</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Social media refers to online platforms that allow individuals to create, share, and exchange content, forming virtual communities and networks. Common social media platforms include Facebook, Twitter, Instagram, WhatsApp, and Snapchat. While these platforms provide opportunities for communication, social connection, and self-expression, they have also been criticized for creating new spaces for harassment and violence, especially gender-based violence. In particular, social media has enabled perpetrators to engage in harmful behaviors that may have been difficult or impossible in face-to-face interactions (Keller et al., 2019).</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Gender-Based Violence in the Digital Space</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Gender-based violence in digital spaces, also known as cyber-gender-based violence (C-GBV), includes a variety of online behaviors that perpetuate gender discrimination, such as cyberstalking, online harassment, sharing explicit images without consent, and threatening messages. Social media platforms have increasingly become a breeding ground for these behaviors, particularly for young female users (Gillespie &amp; Pickard, 2019). The anonymity provided by the internet makes it easier for perpetrators to target victims without facing immediate </w:t>
      </w:r>
      <w:r w:rsidRPr="00577ECC">
        <w:rPr>
          <w:rFonts w:ascii="Bookman Old Style" w:hAnsi="Bookman Old Style"/>
          <w:sz w:val="26"/>
          <w:szCs w:val="26"/>
        </w:rPr>
        <w:lastRenderedPageBreak/>
        <w:t>consequences, and the rapid spread of information online often intensifies the impact of such violence (Lindsay &amp; Marshall, 2018).</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2.2 Theoretical Review</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Several theoretical frameworks can be used to understand the impact of social media on gender-based violence, particularly among female students. Two key theories relevant to this study are the </w:t>
      </w:r>
      <w:r w:rsidRPr="00577ECC">
        <w:rPr>
          <w:rStyle w:val="Strong"/>
          <w:rFonts w:ascii="Bookman Old Style" w:hAnsi="Bookman Old Style"/>
          <w:sz w:val="26"/>
          <w:szCs w:val="26"/>
        </w:rPr>
        <w:t>Social Learning Theory</w:t>
      </w:r>
      <w:r w:rsidRPr="00577ECC">
        <w:rPr>
          <w:rFonts w:ascii="Bookman Old Style" w:hAnsi="Bookman Old Style"/>
          <w:sz w:val="26"/>
          <w:szCs w:val="26"/>
        </w:rPr>
        <w:t xml:space="preserve"> and the </w:t>
      </w:r>
      <w:r w:rsidRPr="00577ECC">
        <w:rPr>
          <w:rStyle w:val="Strong"/>
          <w:rFonts w:ascii="Bookman Old Style" w:hAnsi="Bookman Old Style"/>
          <w:sz w:val="26"/>
          <w:szCs w:val="26"/>
        </w:rPr>
        <w:t>Feminist Theory</w:t>
      </w:r>
      <w:r w:rsidRPr="00577ECC">
        <w:rPr>
          <w:rFonts w:ascii="Bookman Old Style" w:hAnsi="Bookman Old Style"/>
          <w:sz w:val="26"/>
          <w:szCs w:val="26"/>
        </w:rPr>
        <w:t>.</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t>Social Learning Theory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Social Learning Theory (Bandura, 1977) posits that individuals learn behaviors through observing others, particularly influential models. This theory suggests that violence can be learned through exposure to violent behavior, whether in real life or via media. In the context of social media, this theory highlights the role of online communities, influencers, and even media portrayals of gender roles in shaping individuals’ attitudes and behaviors. For female students, repeated exposure to online harassment or discriminatory behaviors may normalize violence, making it seem less serious or acceptable. Social media platforms themselves may inadvertently reinforce harmful gender norms and promote violence against women.</w:t>
      </w:r>
    </w:p>
    <w:p w:rsidR="00E05556" w:rsidRPr="00577ECC" w:rsidRDefault="00E05556" w:rsidP="00577ECC">
      <w:pPr>
        <w:pStyle w:val="Heading4"/>
        <w:spacing w:line="480" w:lineRule="auto"/>
        <w:jc w:val="both"/>
        <w:rPr>
          <w:rFonts w:ascii="Bookman Old Style" w:hAnsi="Bookman Old Style"/>
          <w:sz w:val="26"/>
          <w:szCs w:val="26"/>
        </w:rPr>
      </w:pPr>
      <w:r w:rsidRPr="00577ECC">
        <w:rPr>
          <w:rStyle w:val="Strong"/>
          <w:rFonts w:ascii="Bookman Old Style" w:hAnsi="Bookman Old Style"/>
          <w:b/>
          <w:bCs/>
          <w:sz w:val="26"/>
          <w:szCs w:val="26"/>
        </w:rPr>
        <w:lastRenderedPageBreak/>
        <w:t>Feminist Theory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The Feminist Theory provides a framework for understanding how power, inequality, and gender dynamics shape societal structures. Feminist scholars argue that gender-based violence is a manifestation of the unequal power relations between men and women. This theory views GBV as both a symptom and a reinforcement of gender inequality. When applied to the digital sphere, feminist perspectives emphasize that the use of social media by female students can both challenge and reinforce traditional gender roles. Feminist scholars have argued that online harassment is rooted in broader societal inequalities that limit women’s access to resources and autonomy (MacKinnon, 2006). In this way, social media can perpetuate misogyny and violence, but it can also offer opportunities for resistance and activism.</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t>2.3 Empirical Review</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 empirical literature on the relationship between social media and gender-based violence is vast, but studies specifically focused on female students in Nigerian polytechnics are scarce. This section reviews relevant studies on GBV and social media from both global and local perspectives.</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lastRenderedPageBreak/>
        <w:t>Gillespie and Pickard (2019) explored the link between social media use and experiences of cyberbullying and harassment among young women in Western countries. Their study found that over 60% of young women had encountered online harassment at some point. Most cases involved sexual harassment, body-shaming, and threats. This study underlined the fact that social media platforms, while offering avenues for empowerment, also expose women to increased risks of gender-based violence. Similarly, a study by Keller et al. (2019) found that social media platforms like Facebook and Instagram contributed to the normalization of misogynistic attitudes and cyberbullying, which disproportionately affected female users.</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 xml:space="preserve">In Nigeria, there have been growing concerns about the impact of social media on young women, particularly with the increasing prevalence of online harassment. Oluwaseun and Oyediran (2019) examined how social media platforms in Nigerian universities contributed to cyberbullying and online harassment. Their findings showed that 72% of female students had encountered online harassment, which included receiving unsolicited sexually explicit content, being verbally abused, or having private information shared without consent. The study concluded that while social media offered </w:t>
      </w:r>
      <w:r w:rsidRPr="00577ECC">
        <w:rPr>
          <w:rFonts w:ascii="Bookman Old Style" w:hAnsi="Bookman Old Style"/>
          <w:sz w:val="26"/>
          <w:szCs w:val="26"/>
        </w:rPr>
        <w:lastRenderedPageBreak/>
        <w:t>educational and social opportunities, it also exposed female students to significant risks of GBV.</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A similar study by Ibijoke and Adeola (2021) examined the effects of social media on the academic and social lives of female students at Nigerian tertiary institutions. They found that the majority of female students were aware of the dangers of cyberstalking and online harassment. However, many lacked adequate coping mechanisms or institutional support to deal with these forms of violence. Female students reported that experiences of online harassment often led to a decline in academic performance and increased feelings of insecurity.</w:t>
      </w:r>
    </w:p>
    <w:p w:rsidR="00E05556" w:rsidRPr="00577ECC" w:rsidRDefault="00E05556" w:rsidP="00577ECC">
      <w:pPr>
        <w:pStyle w:val="NormalWeb"/>
        <w:spacing w:line="480" w:lineRule="auto"/>
        <w:ind w:firstLine="720"/>
        <w:jc w:val="both"/>
        <w:rPr>
          <w:rFonts w:ascii="Bookman Old Style" w:hAnsi="Bookman Old Style"/>
          <w:sz w:val="26"/>
          <w:szCs w:val="26"/>
        </w:rPr>
      </w:pPr>
      <w:r w:rsidRPr="00577ECC">
        <w:rPr>
          <w:rFonts w:ascii="Bookman Old Style" w:hAnsi="Bookman Old Style"/>
          <w:sz w:val="26"/>
          <w:szCs w:val="26"/>
        </w:rPr>
        <w:t>To date, few studies have specifically examined the relationship between social media and GBV among female students at Kwara State Polytechnic. However, related studies on Nigerian polytechnics have highlighted the vulnerability of female students to various forms of violence, including sexual harassment and cyberbullying. A study by Adeola and Aliyu (2020) focused on female students' experiences of harassment in Nigerian polytechnics and found that social media played a significant role in the proliferation of such violence. Female students reported experiencing verbal abuse, body-shaming, and sexual harassment online, often from peers and strangers alike.</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lastRenderedPageBreak/>
        <w:t>Although studies from Nigerian universities (Oluwaseun &amp; Oyediran, 2019) and polytechnics (Adeola &amp; Aliyu, 2020) provide useful insights into the intersection of social media and GBV, there is a lack of detailed research on how social media specifically impacts female students at Kwara State Polytechnic. This study aims to bridge this gap by providing empirical data on the prevalence, nature, and coping mechanisms of social media-related GBV among female students at this institution.</w:t>
      </w:r>
    </w:p>
    <w:p w:rsidR="00E05556" w:rsidRPr="00577ECC" w:rsidRDefault="00E05556" w:rsidP="00577ECC">
      <w:pPr>
        <w:pStyle w:val="Heading3"/>
        <w:spacing w:line="480" w:lineRule="auto"/>
        <w:jc w:val="both"/>
        <w:rPr>
          <w:rFonts w:ascii="Bookman Old Style" w:hAnsi="Bookman Old Style"/>
        </w:rPr>
      </w:pPr>
      <w:r w:rsidRPr="00577ECC">
        <w:rPr>
          <w:rStyle w:val="Strong"/>
          <w:rFonts w:ascii="Bookman Old Style" w:hAnsi="Bookman Old Style"/>
          <w:b/>
          <w:bCs/>
        </w:rPr>
        <w:br w:type="page"/>
      </w:r>
      <w:r w:rsidRPr="00577ECC">
        <w:rPr>
          <w:rStyle w:val="Strong"/>
          <w:rFonts w:ascii="Bookman Old Style" w:hAnsi="Bookman Old Style"/>
          <w:b/>
          <w:bCs/>
        </w:rPr>
        <w:lastRenderedPageBreak/>
        <w:t>References</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Adeola, O., &amp; Aliyu, A. (2020). </w:t>
      </w:r>
      <w:r w:rsidRPr="00577ECC">
        <w:rPr>
          <w:rStyle w:val="Emphasis"/>
          <w:rFonts w:ascii="Bookman Old Style" w:hAnsi="Bookman Old Style"/>
          <w:sz w:val="26"/>
          <w:szCs w:val="26"/>
        </w:rPr>
        <w:t>Gender-based violence among female students in Nigerian polytechnics: A case study of Kwara State Polytechnic</w:t>
      </w:r>
      <w:r w:rsidRPr="00577ECC">
        <w:rPr>
          <w:rFonts w:ascii="Bookman Old Style" w:hAnsi="Bookman Old Style"/>
          <w:sz w:val="26"/>
          <w:szCs w:val="26"/>
        </w:rPr>
        <w:t>. Journal of Educational Development, 18(2), 45-58.</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Bandura, A. (1977). </w:t>
      </w:r>
      <w:r w:rsidRPr="00577ECC">
        <w:rPr>
          <w:rStyle w:val="Emphasis"/>
          <w:rFonts w:ascii="Bookman Old Style" w:hAnsi="Bookman Old Style"/>
          <w:sz w:val="26"/>
          <w:szCs w:val="26"/>
        </w:rPr>
        <w:t>Social learning theory</w:t>
      </w:r>
      <w:r w:rsidRPr="00577ECC">
        <w:rPr>
          <w:rFonts w:ascii="Bookman Old Style" w:hAnsi="Bookman Old Style"/>
          <w:sz w:val="26"/>
          <w:szCs w:val="26"/>
        </w:rPr>
        <w:t>. Prentice-Hall.</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Gillespie, M., &amp; Pickard, A. (2019). </w:t>
      </w:r>
      <w:r w:rsidRPr="00577ECC">
        <w:rPr>
          <w:rStyle w:val="Emphasis"/>
          <w:rFonts w:ascii="Bookman Old Style" w:hAnsi="Bookman Old Style"/>
          <w:sz w:val="26"/>
          <w:szCs w:val="26"/>
        </w:rPr>
        <w:t>Cyberbullying and gender-based violence in online spaces: A global perspective</w:t>
      </w:r>
      <w:r w:rsidRPr="00577ECC">
        <w:rPr>
          <w:rFonts w:ascii="Bookman Old Style" w:hAnsi="Bookman Old Style"/>
          <w:sz w:val="26"/>
          <w:szCs w:val="26"/>
        </w:rPr>
        <w:t>. Journal of Feminist Media Studies, 19(4), 120-135.</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Ibijoke, A., &amp; Adeola, F. (2021). </w:t>
      </w:r>
      <w:r w:rsidRPr="00577ECC">
        <w:rPr>
          <w:rStyle w:val="Emphasis"/>
          <w:rFonts w:ascii="Bookman Old Style" w:hAnsi="Bookman Old Style"/>
          <w:sz w:val="26"/>
          <w:szCs w:val="26"/>
        </w:rPr>
        <w:t>The impact of social media on the academic and social lives of Nigerian female students</w:t>
      </w:r>
      <w:r w:rsidRPr="00577ECC">
        <w:rPr>
          <w:rFonts w:ascii="Bookman Old Style" w:hAnsi="Bookman Old Style"/>
          <w:sz w:val="26"/>
          <w:szCs w:val="26"/>
        </w:rPr>
        <w:t>. African Journal of Gender Studies, 14(3), 30-45.</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Keller, M., Jackson, T., &amp; Russell, K. (2019). </w:t>
      </w:r>
      <w:r w:rsidRPr="00577ECC">
        <w:rPr>
          <w:rStyle w:val="Emphasis"/>
          <w:rFonts w:ascii="Bookman Old Style" w:hAnsi="Bookman Old Style"/>
          <w:sz w:val="26"/>
          <w:szCs w:val="26"/>
        </w:rPr>
        <w:t>Social media, harassment, and cyberbullying: Exploring the link between online behavior and violence against women</w:t>
      </w:r>
      <w:r w:rsidRPr="00577ECC">
        <w:rPr>
          <w:rFonts w:ascii="Bookman Old Style" w:hAnsi="Bookman Old Style"/>
          <w:sz w:val="26"/>
          <w:szCs w:val="26"/>
        </w:rPr>
        <w:t>. Journal of Online Safety and Social Media, 12(4), 81-99.</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Lindsay, C., &amp; Marshall, D. (2018). </w:t>
      </w:r>
      <w:r w:rsidRPr="00577ECC">
        <w:rPr>
          <w:rStyle w:val="Emphasis"/>
          <w:rFonts w:ascii="Bookman Old Style" w:hAnsi="Bookman Old Style"/>
          <w:sz w:val="26"/>
          <w:szCs w:val="26"/>
        </w:rPr>
        <w:t>The rise of cyber-gender-based violence: Examining its impact on women and girls</w:t>
      </w:r>
      <w:r w:rsidRPr="00577ECC">
        <w:rPr>
          <w:rFonts w:ascii="Bookman Old Style" w:hAnsi="Bookman Old Style"/>
          <w:sz w:val="26"/>
          <w:szCs w:val="26"/>
        </w:rPr>
        <w:t>. Journal of Social Media and Gender Equality, 7(2), 59-74.</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lastRenderedPageBreak/>
        <w:t xml:space="preserve">MacKinnon, C. (2006). </w:t>
      </w:r>
      <w:r w:rsidRPr="00577ECC">
        <w:rPr>
          <w:rStyle w:val="Emphasis"/>
          <w:rFonts w:ascii="Bookman Old Style" w:hAnsi="Bookman Old Style"/>
          <w:sz w:val="26"/>
          <w:szCs w:val="26"/>
        </w:rPr>
        <w:t>Sexual harassment of working women: A case of sex discrimination</w:t>
      </w:r>
      <w:r w:rsidRPr="00577ECC">
        <w:rPr>
          <w:rFonts w:ascii="Bookman Old Style" w:hAnsi="Bookman Old Style"/>
          <w:sz w:val="26"/>
          <w:szCs w:val="26"/>
        </w:rPr>
        <w:t>. Yale University Press.</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Oluwaseun, A., &amp; Oyediran, W. (2019). </w:t>
      </w:r>
      <w:r w:rsidRPr="00577ECC">
        <w:rPr>
          <w:rStyle w:val="Emphasis"/>
          <w:rFonts w:ascii="Bookman Old Style" w:hAnsi="Bookman Old Style"/>
          <w:sz w:val="26"/>
          <w:szCs w:val="26"/>
        </w:rPr>
        <w:t>Social media and its effects on gender-based violence among university students in Nigeria</w:t>
      </w:r>
      <w:r w:rsidRPr="00577ECC">
        <w:rPr>
          <w:rFonts w:ascii="Bookman Old Style" w:hAnsi="Bookman Old Style"/>
          <w:sz w:val="26"/>
          <w:szCs w:val="26"/>
        </w:rPr>
        <w:t>. Nigerian Journal of Gender Studies, 12(1), 14-28.</w:t>
      </w:r>
    </w:p>
    <w:p w:rsidR="00E05556" w:rsidRPr="00577ECC" w:rsidRDefault="00E05556" w:rsidP="00577ECC">
      <w:pPr>
        <w:pStyle w:val="NormalWeb"/>
        <w:spacing w:line="480" w:lineRule="auto"/>
        <w:jc w:val="both"/>
        <w:rPr>
          <w:rFonts w:ascii="Bookman Old Style" w:hAnsi="Bookman Old Style"/>
          <w:sz w:val="26"/>
          <w:szCs w:val="26"/>
        </w:rPr>
      </w:pPr>
      <w:r w:rsidRPr="00577ECC">
        <w:rPr>
          <w:rFonts w:ascii="Bookman Old Style" w:hAnsi="Bookman Old Style"/>
          <w:sz w:val="26"/>
          <w:szCs w:val="26"/>
        </w:rPr>
        <w:t xml:space="preserve">United Nations. (1993). </w:t>
      </w:r>
      <w:r w:rsidRPr="00577ECC">
        <w:rPr>
          <w:rStyle w:val="Emphasis"/>
          <w:rFonts w:ascii="Bookman Old Style" w:hAnsi="Bookman Old Style"/>
          <w:sz w:val="26"/>
          <w:szCs w:val="26"/>
        </w:rPr>
        <w:t>Declaration on the elimination of violence against women</w:t>
      </w:r>
      <w:r w:rsidRPr="00577ECC">
        <w:rPr>
          <w:rFonts w:ascii="Bookman Old Style" w:hAnsi="Bookman Old Style"/>
          <w:sz w:val="26"/>
          <w:szCs w:val="26"/>
        </w:rPr>
        <w:t>. United Nations General Assembly.</w:t>
      </w:r>
    </w:p>
    <w:p w:rsidR="00E05556" w:rsidRPr="00D66878" w:rsidRDefault="00577ECC" w:rsidP="00D66878">
      <w:pPr>
        <w:pStyle w:val="NormalWeb"/>
        <w:jc w:val="center"/>
        <w:rPr>
          <w:rFonts w:ascii="Bookman Old Style" w:hAnsi="Bookman Old Style"/>
          <w:b/>
          <w:sz w:val="26"/>
          <w:szCs w:val="26"/>
        </w:rPr>
      </w:pPr>
      <w:r>
        <w:rPr>
          <w:rFonts w:ascii="Bookman Old Style" w:hAnsi="Bookman Old Style"/>
          <w:sz w:val="26"/>
          <w:szCs w:val="26"/>
        </w:rPr>
        <w:br w:type="page"/>
      </w:r>
      <w:r w:rsidR="00D66878" w:rsidRPr="00D66878">
        <w:rPr>
          <w:rFonts w:ascii="Bookman Old Style" w:hAnsi="Bookman Old Style"/>
          <w:b/>
          <w:sz w:val="26"/>
          <w:szCs w:val="26"/>
        </w:rPr>
        <w:lastRenderedPageBreak/>
        <w:t>CHAPTER THREE</w:t>
      </w:r>
    </w:p>
    <w:p w:rsidR="00D66878" w:rsidRDefault="00D66878" w:rsidP="00D66878">
      <w:pPr>
        <w:pStyle w:val="NormalWeb"/>
        <w:jc w:val="center"/>
        <w:rPr>
          <w:rFonts w:ascii="Bookman Old Style" w:hAnsi="Bookman Old Style"/>
          <w:b/>
          <w:sz w:val="26"/>
          <w:szCs w:val="26"/>
        </w:rPr>
      </w:pPr>
      <w:r w:rsidRPr="00D66878">
        <w:rPr>
          <w:rFonts w:ascii="Bookman Old Style" w:hAnsi="Bookman Old Style"/>
          <w:b/>
          <w:sz w:val="26"/>
          <w:szCs w:val="26"/>
        </w:rPr>
        <w:t>RESEARCH ETHODOLOGY</w:t>
      </w:r>
    </w:p>
    <w:p w:rsidR="00D66878" w:rsidRPr="00B12323" w:rsidRDefault="00B12323" w:rsidP="00D66878">
      <w:pPr>
        <w:pStyle w:val="NormalWeb"/>
        <w:rPr>
          <w:rFonts w:ascii="Bookman Old Style" w:hAnsi="Bookman Old Style"/>
          <w:b/>
          <w:sz w:val="26"/>
          <w:szCs w:val="26"/>
        </w:rPr>
      </w:pPr>
      <w:r w:rsidRPr="00B12323">
        <w:rPr>
          <w:rFonts w:ascii="Bookman Old Style" w:hAnsi="Bookman Old Style"/>
          <w:b/>
          <w:sz w:val="26"/>
          <w:szCs w:val="26"/>
        </w:rPr>
        <w:t>3.0 INTRODUCTION</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This chapter outlines the research design, population, sample size, data collection methods, and data analysis techniques used to investigate the impact of social media on gender-based violence among female students at Kwara State Polytechnic. The chapter also explains the ethical considerations involved in the study.</w:t>
      </w: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t>3.1 Research Design</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study will adopt a descriptive survey research design. This design is appropriate because it allows for the collection of data from a large group of participants in a natural setting, providing a snapshot of the attitudes, experiences, and behaviors of female students regarding gender-based violence and social media. According to Creswell (2014), descriptive research is effective in understanding the characteristics of a population and the relationships between variables without manipulating the environment. This approach is ideal for exploring the prevalence and forms of gender-based violence among female students in the context of social media usage.</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study will employ both quantitative and qualitative data collection methods to ensure a comprehensive analysis of the issue. The mixed-methods approach will combine the strengths of both quantitative and qualitative research, providing a more detailed and nuanced understanding of how social media influences gender-based violence.</w:t>
      </w:r>
    </w:p>
    <w:p w:rsidR="00D66878" w:rsidRPr="00D66878" w:rsidRDefault="00D66878" w:rsidP="00D66878">
      <w:pPr>
        <w:pStyle w:val="NormalWeb"/>
        <w:spacing w:line="360" w:lineRule="auto"/>
        <w:jc w:val="both"/>
        <w:rPr>
          <w:rFonts w:ascii="Bookman Old Style" w:hAnsi="Bookman Old Style"/>
          <w:sz w:val="26"/>
          <w:szCs w:val="26"/>
        </w:rPr>
      </w:pP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lastRenderedPageBreak/>
        <w:t>3.2 Population of the Study</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population of the study consists of all female students enrolled at Kwara State Polytechnic, Ilorin. According to the institution's records, there are approximately 5,000 female students across various departments and academic programs. This population is diverse, with students from different backgrounds, ages, and disciplines, which will provide a broad perspective on the issue of social media-related gender-based violence.</w:t>
      </w:r>
    </w:p>
    <w:p w:rsidR="00D66878" w:rsidRPr="00D66878" w:rsidRDefault="00D66878" w:rsidP="00D66878">
      <w:pPr>
        <w:pStyle w:val="NormalWeb"/>
        <w:spacing w:line="360" w:lineRule="auto"/>
        <w:jc w:val="both"/>
        <w:rPr>
          <w:rFonts w:ascii="Bookman Old Style" w:hAnsi="Bookman Old Style"/>
          <w:b/>
          <w:sz w:val="26"/>
          <w:szCs w:val="26"/>
        </w:rPr>
      </w:pPr>
      <w:r w:rsidRPr="00D66878">
        <w:rPr>
          <w:rFonts w:ascii="Bookman Old Style" w:hAnsi="Bookman Old Style"/>
          <w:b/>
          <w:sz w:val="26"/>
          <w:szCs w:val="26"/>
        </w:rPr>
        <w:t>3.3 Sampling Technique</w:t>
      </w:r>
    </w:p>
    <w:p w:rsid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A stratified random sampling technique will be used to select a sample from the female student population. Stratified sampling ensures that various subgroups within the population are represented proportionally. The strata will be based on academic programs (e.g., Engineering, Science, Business, Arts) to capture the experiences of female students from different disciplines.</w:t>
      </w:r>
    </w:p>
    <w:p w:rsidR="00B12323" w:rsidRPr="00B12323" w:rsidRDefault="00B12323" w:rsidP="00B12323">
      <w:pPr>
        <w:pStyle w:val="NormalWeb"/>
        <w:spacing w:line="360" w:lineRule="auto"/>
        <w:jc w:val="both"/>
        <w:rPr>
          <w:rFonts w:ascii="Bookman Old Style" w:hAnsi="Bookman Old Style"/>
          <w:b/>
          <w:sz w:val="26"/>
          <w:szCs w:val="26"/>
        </w:rPr>
      </w:pPr>
      <w:r w:rsidRPr="00B12323">
        <w:rPr>
          <w:rFonts w:ascii="Bookman Old Style" w:hAnsi="Bookman Old Style"/>
          <w:b/>
          <w:sz w:val="26"/>
          <w:szCs w:val="26"/>
        </w:rPr>
        <w:t>3.4</w:t>
      </w:r>
      <w:r w:rsidRPr="00B12323">
        <w:rPr>
          <w:rFonts w:ascii="Bookman Old Style" w:hAnsi="Bookman Old Style"/>
          <w:b/>
          <w:sz w:val="26"/>
          <w:szCs w:val="26"/>
        </w:rPr>
        <w:tab/>
        <w:t xml:space="preserve">Sample Size </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From the population of 5,000 female students, a sample size of 400 female students will be selected. This sample size is deemed sufficient to provide reliable and generalizable results for the study (Krejcie &amp; Morgan, 1970). The sample will be distributed across the strata as follows:</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Engineering Department</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Science Department</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100 students from the Business Department</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lastRenderedPageBreak/>
        <w:t>This approach ensures that the sample reflects the diversity of the female student population at Kwara State Polytechnic.</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 xml:space="preserve"> Data Collection Methods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Data will be collected using a combination of questionnaires and in-depth interviews. Both methods will allow for the gathering of both quantitative and qualitative data on female students' experiences with social media and gender-based violence.</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.1 Questionnaire</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A structured questionnaire will be used to collect quantitative data. The questionnaire will be designed to assess: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prevalence and types of gender-based violence experienced by female students on social media platforms (e.g., harassment, bullying, threats).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frequency of social media use and the types of platforms most commonly used by female students.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The coping mechanisms employed by female students to deal with online harassment.</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Female students' awareness of gender-based violence laws and university policies on handling such incidents.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 xml:space="preserve">The questionnaire will consist of both closed and open-ended questions. Closed-ended questions will allow for easy quantification of responses, while open-ended questions will provide additional context and insights into the experiences of the respondents. The questionnaire </w:t>
      </w:r>
      <w:r w:rsidRPr="00D66878">
        <w:rPr>
          <w:rFonts w:ascii="Bookman Old Style" w:hAnsi="Bookman Old Style"/>
          <w:sz w:val="26"/>
          <w:szCs w:val="26"/>
        </w:rPr>
        <w:lastRenderedPageBreak/>
        <w:t>will be pre-tested on a small sample of students to ensure clarity and reliability.</w:t>
      </w:r>
    </w:p>
    <w:p w:rsidR="00D66878" w:rsidRPr="00D66878" w:rsidRDefault="00B12323" w:rsidP="00D66878">
      <w:pPr>
        <w:pStyle w:val="NormalWeb"/>
        <w:spacing w:line="360" w:lineRule="auto"/>
        <w:jc w:val="both"/>
        <w:rPr>
          <w:rFonts w:ascii="Bookman Old Style" w:hAnsi="Bookman Old Style"/>
          <w:b/>
          <w:sz w:val="26"/>
          <w:szCs w:val="26"/>
        </w:rPr>
      </w:pPr>
      <w:r>
        <w:rPr>
          <w:rFonts w:ascii="Bookman Old Style" w:hAnsi="Bookman Old Style"/>
          <w:b/>
          <w:sz w:val="26"/>
          <w:szCs w:val="26"/>
        </w:rPr>
        <w:t>3.5</w:t>
      </w:r>
      <w:r w:rsidR="00D66878" w:rsidRPr="00D66878">
        <w:rPr>
          <w:rFonts w:ascii="Bookman Old Style" w:hAnsi="Bookman Old Style"/>
          <w:b/>
          <w:sz w:val="26"/>
          <w:szCs w:val="26"/>
        </w:rPr>
        <w:t>.2 In-Depth Interviews</w:t>
      </w:r>
    </w:p>
    <w:p w:rsidR="00D66878" w:rsidRPr="00D66878" w:rsidRDefault="00D66878" w:rsidP="00D66878">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In-depth interviews will be conducted with a select group of 20 female students to obtain qualitative data. These interviews will provide an opportunity to explore participants' personal experiences with social media-related gender-based violence, their perceptions of the causes of such violence, and their suggestions for addressing the problem. The interviews will be semi-structured, with a set of guiding questions, but will also allow for flexibility in exploring emerging topics. The interviews will be audio-recorded, with participants' consent, and transcribed for analysis.</w:t>
      </w:r>
    </w:p>
    <w:p w:rsidR="00D66878" w:rsidRPr="00D66878" w:rsidRDefault="00B12323" w:rsidP="00D66878">
      <w:pPr>
        <w:pStyle w:val="Heading3"/>
        <w:spacing w:line="360" w:lineRule="auto"/>
        <w:jc w:val="both"/>
        <w:rPr>
          <w:rFonts w:ascii="Bookman Old Style" w:hAnsi="Bookman Old Style"/>
          <w:b w:val="0"/>
          <w:sz w:val="24"/>
          <w:szCs w:val="24"/>
        </w:rPr>
      </w:pPr>
      <w:r>
        <w:rPr>
          <w:rStyle w:val="Strong"/>
          <w:rFonts w:ascii="Bookman Old Style" w:hAnsi="Bookman Old Style"/>
          <w:b/>
          <w:bCs/>
          <w:sz w:val="24"/>
          <w:szCs w:val="24"/>
        </w:rPr>
        <w:t>3.6</w:t>
      </w:r>
      <w:r w:rsidR="00D66878" w:rsidRPr="00D66878">
        <w:rPr>
          <w:rStyle w:val="Strong"/>
          <w:rFonts w:ascii="Bookman Old Style" w:hAnsi="Bookman Old Style"/>
          <w:b/>
          <w:bCs/>
          <w:sz w:val="24"/>
          <w:szCs w:val="24"/>
        </w:rPr>
        <w:tab/>
        <w:t>VALIDITY AND RELIABILITY</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Ensuring the validity and reliability of the research instruments and findings is critical to the credibility of the study. This section discusses the measures taken to establish the validity and reliability of the research methods used in the study on the impact of social media on gender-based violence among female students at Kwara State Polytechnic.</w:t>
      </w:r>
    </w:p>
    <w:p w:rsidR="00D66878" w:rsidRPr="00D66878" w:rsidRDefault="00D66878" w:rsidP="00D66878">
      <w:pPr>
        <w:pStyle w:val="Heading3"/>
        <w:spacing w:line="360" w:lineRule="auto"/>
        <w:jc w:val="both"/>
        <w:rPr>
          <w:rFonts w:ascii="Bookman Old Style" w:hAnsi="Bookman Old Style"/>
          <w:sz w:val="24"/>
          <w:szCs w:val="24"/>
        </w:rPr>
      </w:pPr>
      <w:r w:rsidRPr="00D66878">
        <w:rPr>
          <w:rStyle w:val="Strong"/>
          <w:rFonts w:ascii="Bookman Old Style" w:hAnsi="Bookman Old Style"/>
          <w:b/>
          <w:bCs/>
          <w:sz w:val="24"/>
          <w:szCs w:val="24"/>
        </w:rPr>
        <w:t>Validity</w:t>
      </w:r>
    </w:p>
    <w:p w:rsidR="00D66878" w:rsidRPr="00D66878" w:rsidRDefault="00D66878" w:rsidP="00D66878">
      <w:pPr>
        <w:pStyle w:val="NormalWeb"/>
        <w:spacing w:line="360" w:lineRule="auto"/>
        <w:jc w:val="both"/>
        <w:rPr>
          <w:rFonts w:ascii="Bookman Old Style" w:hAnsi="Bookman Old Style"/>
        </w:rPr>
      </w:pPr>
      <w:r w:rsidRPr="00D66878">
        <w:rPr>
          <w:rFonts w:ascii="Bookman Old Style" w:hAnsi="Bookman Old Style"/>
        </w:rPr>
        <w:t xml:space="preserve">Validity refers to the extent to which a research instrument accurately measures what it is intended to measure. In this study, two primary types of validity will be considered: </w:t>
      </w:r>
      <w:r w:rsidRPr="00D66878">
        <w:rPr>
          <w:rStyle w:val="Strong"/>
          <w:rFonts w:ascii="Bookman Old Style" w:hAnsi="Bookman Old Style"/>
          <w:b w:val="0"/>
        </w:rPr>
        <w:t>content validity</w:t>
      </w:r>
      <w:r w:rsidRPr="00D66878">
        <w:rPr>
          <w:rFonts w:ascii="Bookman Old Style" w:hAnsi="Bookman Old Style"/>
          <w:b/>
        </w:rPr>
        <w:t xml:space="preserve"> </w:t>
      </w:r>
      <w:r w:rsidRPr="00D66878">
        <w:rPr>
          <w:rFonts w:ascii="Bookman Old Style" w:hAnsi="Bookman Old Style"/>
        </w:rPr>
        <w:t>and</w:t>
      </w:r>
      <w:r w:rsidRPr="00D66878">
        <w:rPr>
          <w:rFonts w:ascii="Bookman Old Style" w:hAnsi="Bookman Old Style"/>
          <w:b/>
        </w:rPr>
        <w:t xml:space="preserve"> </w:t>
      </w:r>
      <w:r w:rsidRPr="00D66878">
        <w:rPr>
          <w:rStyle w:val="Strong"/>
          <w:rFonts w:ascii="Bookman Old Style" w:hAnsi="Bookman Old Style"/>
          <w:b w:val="0"/>
        </w:rPr>
        <w:t>construct validity</w:t>
      </w:r>
      <w:r w:rsidRPr="00D66878">
        <w:rPr>
          <w:rFonts w:ascii="Bookman Old Style" w:hAnsi="Bookman Old Style"/>
          <w:b/>
        </w:rPr>
        <w:t>.</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 xml:space="preserve">Content validity refers to the degree to which the items in the research instrument (questionnaire) represent the entire content of the concept being studied (Patton, 2002). To ensure content validity, the questionnaire will be </w:t>
      </w:r>
      <w:r w:rsidRPr="00D66878">
        <w:rPr>
          <w:rFonts w:ascii="Bookman Old Style" w:hAnsi="Bookman Old Style"/>
        </w:rPr>
        <w:lastRenderedPageBreak/>
        <w:t>developed based on a thorough review of the literature on gender-based violence and social media, ensuring that all aspects of the study's objectives are covered. The questionnaire will be reviewed by experts in the fields of gender studies, social media, and research methodology. These experts will assess whether the questions comprehensively cover the scope of the study and align with the research objectives.</w:t>
      </w:r>
    </w:p>
    <w:p w:rsidR="00D66878" w:rsidRPr="00D66878" w:rsidRDefault="00D66878" w:rsidP="00B12323">
      <w:pPr>
        <w:pStyle w:val="NormalWeb"/>
        <w:spacing w:line="360" w:lineRule="auto"/>
        <w:ind w:firstLine="720"/>
        <w:jc w:val="both"/>
        <w:rPr>
          <w:rFonts w:ascii="Bookman Old Style" w:hAnsi="Bookman Old Style"/>
        </w:rPr>
      </w:pPr>
      <w:r w:rsidRPr="00D66878">
        <w:rPr>
          <w:rFonts w:ascii="Bookman Old Style" w:hAnsi="Bookman Old Style"/>
        </w:rPr>
        <w:t>Additionally, the questions in the interview guide will be carefully formulated to address the key themes of the study, including the types of gender-based violence, social media usage patterns, coping mechanisms, and the role of social media in exacerbating or mitigating violence. Feedback from the experts will be incorporated to refine the instrument before it is administered to participants.</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Construct validity refers to the degree to which a test or instrument measures the theoretical construct it intends to measure (Bryman, 2016). In this study, construct validity will be assessed by ensuring that the questions in the questionnaire and the interview guide are aligned with the theoretical framework, particularly the concepts of gender-based violence and social media interactions.</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To further strengthen construct validity, the research instrument will be pre-tested on a small sample of female students who are not part of the actual study population. This pilot testing will help identify any misunderstandings, ambiguities, or misinterpretations of the questions. The results of the pre-test will be analyzed, and necessary revisions will be made to ensure that the instrument accurately measures the intended constructs.</w:t>
      </w:r>
    </w:p>
    <w:p w:rsidR="00D66878" w:rsidRPr="00D66878" w:rsidRDefault="00D66878" w:rsidP="00D66878">
      <w:pPr>
        <w:pStyle w:val="Heading3"/>
        <w:spacing w:line="360" w:lineRule="auto"/>
        <w:jc w:val="both"/>
        <w:rPr>
          <w:rFonts w:ascii="Bookman Old Style" w:hAnsi="Bookman Old Style"/>
          <w:sz w:val="24"/>
          <w:szCs w:val="24"/>
        </w:rPr>
      </w:pPr>
      <w:r w:rsidRPr="00D66878">
        <w:rPr>
          <w:rStyle w:val="Strong"/>
          <w:rFonts w:ascii="Bookman Old Style" w:hAnsi="Bookman Old Style"/>
          <w:b/>
          <w:bCs/>
          <w:sz w:val="24"/>
          <w:szCs w:val="24"/>
        </w:rPr>
        <w:t>Reliability</w:t>
      </w:r>
    </w:p>
    <w:p w:rsidR="00D66878" w:rsidRPr="00D66878" w:rsidRDefault="00D66878" w:rsidP="00D66878">
      <w:pPr>
        <w:pStyle w:val="NormalWeb"/>
        <w:spacing w:line="360" w:lineRule="auto"/>
        <w:ind w:firstLine="720"/>
        <w:jc w:val="both"/>
        <w:rPr>
          <w:rFonts w:ascii="Bookman Old Style" w:hAnsi="Bookman Old Style"/>
          <w:b/>
        </w:rPr>
      </w:pPr>
      <w:r w:rsidRPr="00D66878">
        <w:rPr>
          <w:rFonts w:ascii="Bookman Old Style" w:hAnsi="Bookman Old Style"/>
        </w:rPr>
        <w:t xml:space="preserve">Reliability refers to the consistency and stability of the research instrument over time. A reliable instrument produces consistent results under </w:t>
      </w:r>
      <w:r w:rsidRPr="00D66878">
        <w:rPr>
          <w:rFonts w:ascii="Bookman Old Style" w:hAnsi="Bookman Old Style"/>
        </w:rPr>
        <w:lastRenderedPageBreak/>
        <w:t xml:space="preserve">similar conditions. In this study, two key aspects of reliability will be addressed: </w:t>
      </w:r>
      <w:r w:rsidRPr="00D66878">
        <w:rPr>
          <w:rStyle w:val="Strong"/>
          <w:rFonts w:ascii="Bookman Old Style" w:hAnsi="Bookman Old Style"/>
          <w:b w:val="0"/>
        </w:rPr>
        <w:t>internal consistency</w:t>
      </w:r>
      <w:r w:rsidRPr="00D66878">
        <w:rPr>
          <w:rFonts w:ascii="Bookman Old Style" w:hAnsi="Bookman Old Style"/>
          <w:b/>
        </w:rPr>
        <w:t xml:space="preserve"> </w:t>
      </w:r>
      <w:r w:rsidRPr="00D66878">
        <w:rPr>
          <w:rFonts w:ascii="Bookman Old Style" w:hAnsi="Bookman Old Style"/>
        </w:rPr>
        <w:t>and</w:t>
      </w:r>
      <w:r w:rsidRPr="00D66878">
        <w:rPr>
          <w:rFonts w:ascii="Bookman Old Style" w:hAnsi="Bookman Old Style"/>
          <w:b/>
        </w:rPr>
        <w:t xml:space="preserve"> </w:t>
      </w:r>
      <w:r w:rsidRPr="00D66878">
        <w:rPr>
          <w:rStyle w:val="Strong"/>
          <w:rFonts w:ascii="Bookman Old Style" w:hAnsi="Bookman Old Style"/>
          <w:b w:val="0"/>
        </w:rPr>
        <w:t>test-retest reliability</w:t>
      </w:r>
      <w:r w:rsidRPr="00D66878">
        <w:rPr>
          <w:rFonts w:ascii="Bookman Old Style" w:hAnsi="Bookman Old Style"/>
          <w:b/>
        </w:rPr>
        <w:t>.</w:t>
      </w:r>
    </w:p>
    <w:p w:rsidR="00D66878" w:rsidRPr="00D66878" w:rsidRDefault="00D66878" w:rsidP="00D66878">
      <w:pPr>
        <w:pStyle w:val="NormalWeb"/>
        <w:spacing w:line="360" w:lineRule="auto"/>
        <w:ind w:firstLine="720"/>
        <w:jc w:val="both"/>
        <w:rPr>
          <w:rFonts w:ascii="Bookman Old Style" w:hAnsi="Bookman Old Style"/>
        </w:rPr>
      </w:pPr>
      <w:r w:rsidRPr="00D66878">
        <w:rPr>
          <w:rFonts w:ascii="Bookman Old Style" w:hAnsi="Bookman Old Style"/>
        </w:rPr>
        <w:t xml:space="preserve">Internal consistency refers to the degree to which the items in a scale or instrument are correlated and consistently measure the same construct (Field, 2013). For the questionnaire used in the study, the </w:t>
      </w:r>
      <w:r w:rsidRPr="00B12323">
        <w:rPr>
          <w:rStyle w:val="Strong"/>
          <w:rFonts w:ascii="Bookman Old Style" w:hAnsi="Bookman Old Style"/>
          <w:b w:val="0"/>
        </w:rPr>
        <w:t>Cronbach’s alpha coefficient</w:t>
      </w:r>
      <w:r w:rsidRPr="00D66878">
        <w:rPr>
          <w:rFonts w:ascii="Bookman Old Style" w:hAnsi="Bookman Old Style"/>
        </w:rPr>
        <w:t xml:space="preserve"> will be used to assess internal consistency. Cronbach’s alpha is a statistical measure that indicates how well the items in a scale work together to measure a single concept. A Cronbach's alpha value of 0.7 or higher is generally considered acceptable for social science research (Tavakol &amp; Dennick, 2011). The reliability of the questionnaire will be assessed through a pre-test administered to a small group of students, and the Cronbach’s alpha coefficient will be calculated. If the coefficient falls below the acceptable threshold, adjustments will be made to the questionnaire, such as removing poorly performing items.</w:t>
      </w:r>
    </w:p>
    <w:p w:rsidR="00D66878" w:rsidRDefault="00D66878" w:rsidP="00B12323">
      <w:pPr>
        <w:pStyle w:val="NormalWeb"/>
        <w:spacing w:line="360" w:lineRule="auto"/>
        <w:ind w:firstLine="720"/>
        <w:jc w:val="both"/>
        <w:rPr>
          <w:rFonts w:ascii="Bookman Old Style" w:hAnsi="Bookman Old Style"/>
        </w:rPr>
      </w:pPr>
      <w:r w:rsidRPr="00D66878">
        <w:rPr>
          <w:rFonts w:ascii="Bookman Old Style" w:hAnsi="Bookman Old Style"/>
        </w:rPr>
        <w:t xml:space="preserve">Test-retest reliability refers to the consistency of the results when the same instrument is administered to the same participants at two different points in time (Bryman, 2016). For this study, the test-retest reliability will be assessed by administering the same questionnaire to a subset of participants (e.g., 20 students) at two different time intervals, with a gap of two weeks. The results from both administrations will be compared using </w:t>
      </w:r>
      <w:r w:rsidRPr="00B12323">
        <w:rPr>
          <w:rStyle w:val="Strong"/>
          <w:rFonts w:ascii="Bookman Old Style" w:hAnsi="Bookman Old Style"/>
          <w:b w:val="0"/>
        </w:rPr>
        <w:t>correlation analysis</w:t>
      </w:r>
      <w:r w:rsidRPr="00D66878">
        <w:rPr>
          <w:rFonts w:ascii="Bookman Old Style" w:hAnsi="Bookman Old Style"/>
        </w:rPr>
        <w:t xml:space="preserve"> to determine the stability of the responses over time. A high correlation between the two sets of responses would suggest that the instrument is reliable.</w:t>
      </w:r>
    </w:p>
    <w:p w:rsidR="00B12323" w:rsidRPr="00D66878" w:rsidRDefault="00B12323" w:rsidP="00B12323">
      <w:pPr>
        <w:pStyle w:val="NormalWeb"/>
        <w:spacing w:line="360" w:lineRule="auto"/>
        <w:jc w:val="both"/>
        <w:rPr>
          <w:rFonts w:ascii="Bookman Old Style" w:hAnsi="Bookman Old Style"/>
          <w:b/>
          <w:sz w:val="26"/>
          <w:szCs w:val="26"/>
        </w:rPr>
      </w:pPr>
      <w:r>
        <w:rPr>
          <w:rFonts w:ascii="Bookman Old Style" w:hAnsi="Bookman Old Style"/>
          <w:b/>
          <w:sz w:val="26"/>
          <w:szCs w:val="26"/>
        </w:rPr>
        <w:t>3.7</w:t>
      </w:r>
      <w:r w:rsidRPr="00D66878">
        <w:rPr>
          <w:rFonts w:ascii="Bookman Old Style" w:hAnsi="Bookman Old Style"/>
          <w:b/>
          <w:sz w:val="26"/>
          <w:szCs w:val="26"/>
        </w:rPr>
        <w:t xml:space="preserve"> DATA ANALYSIS </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Both quantitative and qualitative data will be analyzed using appropriate methods:</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lastRenderedPageBreak/>
        <w:t>Quantitative data from the questionnaires will be analyzed using descriptive statistics such as frequencies, percentages, and means. The statistical software SPSS (Statistical Package for the Social Sciences) will be used for this analysis. Descriptive statistics will provide an overview of the prevalence and forms of gender-based violence experienced by female students, as well as their patterns of social media use.</w:t>
      </w:r>
    </w:p>
    <w:p w:rsidR="00B12323" w:rsidRPr="00D66878" w:rsidRDefault="00B12323" w:rsidP="00B12323">
      <w:pPr>
        <w:pStyle w:val="NormalWeb"/>
        <w:spacing w:line="360" w:lineRule="auto"/>
        <w:ind w:firstLine="720"/>
        <w:jc w:val="both"/>
        <w:rPr>
          <w:rFonts w:ascii="Bookman Old Style" w:hAnsi="Bookman Old Style"/>
          <w:sz w:val="26"/>
          <w:szCs w:val="26"/>
        </w:rPr>
      </w:pPr>
      <w:r w:rsidRPr="00D66878">
        <w:rPr>
          <w:rFonts w:ascii="Bookman Old Style" w:hAnsi="Bookman Old Style"/>
          <w:sz w:val="26"/>
          <w:szCs w:val="26"/>
        </w:rPr>
        <w:t>Qualitative data from the in-depth interviews will be analyzed using thematic analysis. According to Braun and Clarke (2006), thematic analysis involves identifying, analyzing, and reporting patterns (themes) within data. The transcribed interview data will be read multiple times to identify key themes related to gender-based violence and social media. These themes will then be categorized and interpreted in the context of the study's research questions.</w:t>
      </w:r>
    </w:p>
    <w:p w:rsidR="00B12323" w:rsidRPr="00D66878" w:rsidRDefault="00B12323" w:rsidP="00B12323">
      <w:pPr>
        <w:pStyle w:val="NormalWeb"/>
        <w:spacing w:line="360" w:lineRule="auto"/>
        <w:ind w:firstLine="720"/>
        <w:jc w:val="both"/>
        <w:rPr>
          <w:rFonts w:ascii="Bookman Old Style" w:hAnsi="Bookman Old Style"/>
        </w:rPr>
      </w:pPr>
    </w:p>
    <w:p w:rsidR="00D66878" w:rsidRPr="00D66878" w:rsidRDefault="00D66878" w:rsidP="00D66878">
      <w:pPr>
        <w:pStyle w:val="NormalWeb"/>
        <w:spacing w:line="360" w:lineRule="auto"/>
        <w:jc w:val="both"/>
        <w:rPr>
          <w:rFonts w:ascii="Bookman Old Style" w:hAnsi="Bookman Old Style"/>
          <w:sz w:val="26"/>
          <w:szCs w:val="26"/>
        </w:rPr>
      </w:pPr>
      <w:r>
        <w:rPr>
          <w:rFonts w:ascii="Bookman Old Style" w:hAnsi="Bookman Old Style"/>
          <w:sz w:val="26"/>
          <w:szCs w:val="26"/>
        </w:rPr>
        <w:br w:type="page"/>
      </w:r>
      <w:r w:rsidRPr="00D66878">
        <w:rPr>
          <w:rFonts w:ascii="Bookman Old Style" w:hAnsi="Bookman Old Style"/>
          <w:b/>
          <w:sz w:val="26"/>
          <w:szCs w:val="26"/>
        </w:rPr>
        <w:lastRenderedPageBreak/>
        <w:t>REFERENCES</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Braun, V., &amp; Clarke, V. (2006). Using thematic analysis in psychology. Qualitative Research in Psychology, 3(2), 77-101.</w:t>
      </w:r>
    </w:p>
    <w:p w:rsidR="00D66878" w:rsidRP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Creswell, J. W. (2014). Research design: Qualitative, quantitative, and mixed methods approaches (4th ed.). SAGE Publications.</w:t>
      </w:r>
    </w:p>
    <w:p w:rsidR="00D66878" w:rsidRDefault="00D66878" w:rsidP="00D66878">
      <w:pPr>
        <w:pStyle w:val="NormalWeb"/>
        <w:spacing w:line="360" w:lineRule="auto"/>
        <w:jc w:val="both"/>
        <w:rPr>
          <w:rFonts w:ascii="Bookman Old Style" w:hAnsi="Bookman Old Style"/>
          <w:sz w:val="26"/>
          <w:szCs w:val="26"/>
        </w:rPr>
      </w:pPr>
      <w:r w:rsidRPr="00D66878">
        <w:rPr>
          <w:rFonts w:ascii="Bookman Old Style" w:hAnsi="Bookman Old Style"/>
          <w:sz w:val="26"/>
          <w:szCs w:val="26"/>
        </w:rPr>
        <w:t>Krejcie, R. V., &amp; Morgan, D. W. (1970). Determining sample size for research activities. Educational and Psychological Measurement, 30, 607-610.</w:t>
      </w: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Default="00D15842" w:rsidP="00D66878">
      <w:pPr>
        <w:pStyle w:val="NormalWeb"/>
        <w:spacing w:line="360" w:lineRule="auto"/>
        <w:jc w:val="both"/>
        <w:rPr>
          <w:rFonts w:ascii="Bookman Old Style" w:hAnsi="Bookman Old Style"/>
          <w:sz w:val="26"/>
          <w:szCs w:val="26"/>
        </w:rPr>
      </w:pPr>
    </w:p>
    <w:p w:rsidR="00D15842" w:rsidRPr="00D15842" w:rsidRDefault="00D15842" w:rsidP="00D15842">
      <w:pPr>
        <w:pStyle w:val="Heading2"/>
        <w:spacing w:before="0" w:after="0" w:line="480" w:lineRule="auto"/>
        <w:jc w:val="center"/>
        <w:rPr>
          <w:rFonts w:ascii="Times New Roman" w:hAnsi="Times New Roman" w:cs="Times New Roman"/>
          <w:i w:val="0"/>
          <w:sz w:val="26"/>
          <w:szCs w:val="26"/>
        </w:rPr>
      </w:pPr>
      <w:r w:rsidRPr="00D15842">
        <w:rPr>
          <w:rStyle w:val="Strong"/>
          <w:rFonts w:ascii="Times New Roman" w:hAnsi="Times New Roman" w:cs="Times New Roman"/>
          <w:b/>
          <w:bCs/>
          <w:i w:val="0"/>
          <w:sz w:val="26"/>
          <w:szCs w:val="26"/>
        </w:rPr>
        <w:lastRenderedPageBreak/>
        <w:t>CHAPTER FOUR</w:t>
      </w:r>
    </w:p>
    <w:p w:rsidR="00D15842" w:rsidRPr="00D15842" w:rsidRDefault="00D15842" w:rsidP="002972FC">
      <w:pPr>
        <w:pStyle w:val="Heading3"/>
        <w:spacing w:before="0" w:after="0" w:line="480" w:lineRule="auto"/>
        <w:jc w:val="both"/>
        <w:rPr>
          <w:rFonts w:ascii="Times New Roman" w:hAnsi="Times New Roman"/>
        </w:rPr>
      </w:pPr>
      <w:r w:rsidRPr="00D15842">
        <w:rPr>
          <w:rStyle w:val="Strong"/>
          <w:rFonts w:ascii="Times New Roman" w:hAnsi="Times New Roman"/>
          <w:b/>
          <w:bCs/>
        </w:rPr>
        <w:t>DATA PRESENTATION, ANALYSIS AND INTERPRETATION OF FINDINGS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4.1 Introduction</w:t>
      </w:r>
    </w:p>
    <w:p w:rsidR="00D15842" w:rsidRPr="00D15842" w:rsidRDefault="00D15842" w:rsidP="002972FC">
      <w:pPr>
        <w:pStyle w:val="NormalWeb"/>
        <w:spacing w:before="0" w:beforeAutospacing="0" w:after="0" w:afterAutospacing="0" w:line="480" w:lineRule="auto"/>
        <w:jc w:val="both"/>
        <w:rPr>
          <w:sz w:val="26"/>
          <w:szCs w:val="26"/>
        </w:rPr>
      </w:pPr>
      <w:r w:rsidRPr="00D15842">
        <w:rPr>
          <w:sz w:val="26"/>
          <w:szCs w:val="26"/>
        </w:rPr>
        <w:t>This chapter presents, analyzes, and interprets data collected through questionnaires administered to female students of Kwara State Polytechnic. The aim is to evaluate the impact of social media on gender-based violence among them. Out of the 150 questionnaires distributed, 142 were returned and found usable for analysis.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4.2 Demographic Profile of Respondents</w:t>
      </w:r>
    </w:p>
    <w:tbl>
      <w:tblPr>
        <w:tblW w:w="0" w:type="auto"/>
        <w:tblCellSpacing w:w="15" w:type="dxa"/>
        <w:tblCellMar>
          <w:top w:w="15" w:type="dxa"/>
          <w:left w:w="15" w:type="dxa"/>
          <w:bottom w:w="15" w:type="dxa"/>
          <w:right w:w="15" w:type="dxa"/>
        </w:tblCellMar>
        <w:tblLook w:val="04A0"/>
      </w:tblPr>
      <w:tblGrid>
        <w:gridCol w:w="1689"/>
        <w:gridCol w:w="1255"/>
        <w:gridCol w:w="2868"/>
        <w:gridCol w:w="1903"/>
      </w:tblGrid>
      <w:tr w:rsidR="00775999" w:rsidRPr="00D15842" w:rsidTr="000427B1">
        <w:trPr>
          <w:tblHeader/>
          <w:tblCellSpacing w:w="15" w:type="dxa"/>
        </w:trPr>
        <w:tc>
          <w:tcPr>
            <w:tcW w:w="1644" w:type="dxa"/>
            <w:tcBorders>
              <w:top w:val="single" w:sz="4" w:space="0" w:color="auto"/>
              <w:left w:val="single" w:sz="4" w:space="0" w:color="auto"/>
            </w:tcBorders>
            <w:vAlign w:val="center"/>
            <w:hideMark/>
          </w:tcPr>
          <w:p w:rsidR="00775999" w:rsidRPr="00D15842" w:rsidRDefault="00EE43E5" w:rsidP="00D15842">
            <w:pPr>
              <w:spacing w:line="480" w:lineRule="auto"/>
              <w:jc w:val="both"/>
              <w:rPr>
                <w:b/>
                <w:bCs/>
                <w:sz w:val="26"/>
                <w:szCs w:val="26"/>
              </w:rPr>
            </w:pPr>
            <w:r>
              <w:rPr>
                <w:b/>
                <w:bCs/>
                <w:noProof/>
                <w:sz w:val="26"/>
                <w:szCs w:val="26"/>
              </w:rPr>
              <w:pict>
                <v:shapetype id="_x0000_t32" coordsize="21600,21600" o:spt="32" o:oned="t" path="m,l21600,21600e" filled="f">
                  <v:path arrowok="t" fillok="f" o:connecttype="none"/>
                  <o:lock v:ext="edit" shapetype="t"/>
                </v:shapetype>
                <v:shape id="_x0000_s1065" type="#_x0000_t32" style="position:absolute;left:0;text-align:left;margin-left:-1.5pt;margin-top:23.75pt;width:379.5pt;height:0;z-index:251704320" o:connectortype="straight"/>
              </w:pict>
            </w:r>
            <w:r w:rsidR="00775999">
              <w:rPr>
                <w:rStyle w:val="Strong"/>
                <w:sz w:val="26"/>
                <w:szCs w:val="26"/>
              </w:rPr>
              <w:t>Options</w:t>
            </w:r>
          </w:p>
        </w:tc>
        <w:tc>
          <w:tcPr>
            <w:tcW w:w="0" w:type="auto"/>
            <w:tcBorders>
              <w:top w:val="single" w:sz="4" w:space="0" w:color="auto"/>
              <w:left w:val="single" w:sz="4" w:space="0" w:color="auto"/>
            </w:tcBorders>
            <w:vAlign w:val="center"/>
          </w:tcPr>
          <w:p w:rsidR="00775999" w:rsidRPr="00D15842" w:rsidRDefault="00775999" w:rsidP="00C03C4E">
            <w:pPr>
              <w:spacing w:line="480" w:lineRule="auto"/>
              <w:jc w:val="both"/>
              <w:rPr>
                <w:b/>
                <w:bCs/>
                <w:sz w:val="26"/>
                <w:szCs w:val="26"/>
              </w:rPr>
            </w:pPr>
            <w:r w:rsidRPr="00D15842">
              <w:rPr>
                <w:rStyle w:val="Strong"/>
                <w:sz w:val="26"/>
                <w:szCs w:val="26"/>
              </w:rPr>
              <w:t>Frequency</w:t>
            </w:r>
          </w:p>
        </w:tc>
        <w:tc>
          <w:tcPr>
            <w:tcW w:w="0" w:type="auto"/>
            <w:tcBorders>
              <w:top w:val="single" w:sz="4" w:space="0" w:color="auto"/>
              <w:left w:val="single" w:sz="4" w:space="0" w:color="auto"/>
              <w:right w:val="single" w:sz="4" w:space="0" w:color="auto"/>
            </w:tcBorders>
            <w:vAlign w:val="center"/>
            <w:hideMark/>
          </w:tcPr>
          <w:p w:rsidR="00775999" w:rsidRPr="00D15842" w:rsidRDefault="00775999" w:rsidP="00D15842">
            <w:pPr>
              <w:spacing w:line="480" w:lineRule="auto"/>
              <w:jc w:val="both"/>
              <w:rPr>
                <w:b/>
                <w:bCs/>
                <w:sz w:val="26"/>
                <w:szCs w:val="26"/>
              </w:rPr>
            </w:pPr>
            <w:r w:rsidRPr="00D15842">
              <w:rPr>
                <w:rStyle w:val="Strong"/>
                <w:sz w:val="26"/>
                <w:szCs w:val="26"/>
              </w:rPr>
              <w:t>Category</w:t>
            </w:r>
          </w:p>
        </w:tc>
        <w:tc>
          <w:tcPr>
            <w:tcW w:w="1858" w:type="dxa"/>
            <w:tcBorders>
              <w:top w:val="single" w:sz="4" w:space="0" w:color="auto"/>
              <w:left w:val="single" w:sz="4" w:space="0" w:color="auto"/>
              <w:right w:val="single" w:sz="4" w:space="0" w:color="auto"/>
            </w:tcBorders>
            <w:vAlign w:val="center"/>
            <w:hideMark/>
          </w:tcPr>
          <w:p w:rsidR="00775999" w:rsidRPr="00D15842" w:rsidRDefault="00775999" w:rsidP="00D15842">
            <w:pPr>
              <w:spacing w:line="480" w:lineRule="auto"/>
              <w:jc w:val="both"/>
              <w:rPr>
                <w:b/>
                <w:bCs/>
                <w:sz w:val="26"/>
                <w:szCs w:val="26"/>
              </w:rPr>
            </w:pPr>
            <w:r w:rsidRPr="00D15842">
              <w:rPr>
                <w:rStyle w:val="Strong"/>
                <w:sz w:val="26"/>
                <w:szCs w:val="26"/>
              </w:rPr>
              <w:t>Percentage (%)</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EE43E5" w:rsidP="00D15842">
            <w:pPr>
              <w:spacing w:line="480" w:lineRule="auto"/>
              <w:jc w:val="both"/>
              <w:rPr>
                <w:sz w:val="26"/>
                <w:szCs w:val="26"/>
              </w:rPr>
            </w:pPr>
            <w:r w:rsidRPr="00EE43E5">
              <w:rPr>
                <w:b/>
                <w:bCs/>
                <w:noProof/>
                <w:sz w:val="26"/>
                <w:szCs w:val="26"/>
              </w:rPr>
              <w:pict>
                <v:shape id="_x0000_s1066" type="#_x0000_t32" style="position:absolute;left:0;text-align:left;margin-left:-1.75pt;margin-top:17.35pt;width:379.5pt;height:0;z-index:251705344;mso-position-horizontal-relative:text;mso-position-vertical-relative:text" o:connectortype="straight"/>
              </w:pict>
            </w:r>
            <w:r w:rsidR="00775999" w:rsidRPr="00D15842">
              <w:rPr>
                <w:rStyle w:val="Strong"/>
                <w:sz w:val="26"/>
                <w:szCs w:val="26"/>
              </w:rPr>
              <w:t>Age</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48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16–20 years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33.8</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76</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21–25 years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53.5</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EE43E5" w:rsidP="00D15842">
            <w:pPr>
              <w:spacing w:line="480" w:lineRule="auto"/>
              <w:jc w:val="both"/>
              <w:rPr>
                <w:sz w:val="26"/>
                <w:szCs w:val="26"/>
              </w:rPr>
            </w:pPr>
            <w:r w:rsidRPr="00EE43E5">
              <w:rPr>
                <w:b/>
                <w:bCs/>
                <w:noProof/>
                <w:sz w:val="26"/>
                <w:szCs w:val="26"/>
              </w:rPr>
              <w:pict>
                <v:shape id="_x0000_s1067" type="#_x0000_t32" style="position:absolute;left:0;text-align:left;margin-left:-1pt;margin-top:29.75pt;width:379.5pt;height:0;z-index:251706368;mso-position-horizontal-relative:text;mso-position-vertical-relative:text" o:connectortype="straight"/>
              </w:pic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18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26 years and above</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12.7</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r w:rsidRPr="00D15842">
              <w:rPr>
                <w:rStyle w:val="Strong"/>
                <w:sz w:val="26"/>
                <w:szCs w:val="26"/>
              </w:rPr>
              <w:t>Faculty</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35</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Business and Management</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24.6</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26</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Engineering</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18.3</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38</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Applied Sciences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26.8</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23</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Environmental Studies</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16.2</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EE43E5" w:rsidP="00D15842">
            <w:pPr>
              <w:spacing w:line="480" w:lineRule="auto"/>
              <w:jc w:val="both"/>
              <w:rPr>
                <w:sz w:val="26"/>
                <w:szCs w:val="26"/>
              </w:rPr>
            </w:pPr>
            <w:r w:rsidRPr="00EE43E5">
              <w:rPr>
                <w:b/>
                <w:bCs/>
                <w:noProof/>
                <w:sz w:val="26"/>
                <w:szCs w:val="26"/>
              </w:rPr>
              <w:pict>
                <v:shape id="_x0000_s1068" type="#_x0000_t32" style="position:absolute;left:0;text-align:left;margin-left:.25pt;margin-top:30.8pt;width:379.5pt;height:0;z-index:251707392;mso-position-horizontal-relative:text;mso-position-vertical-relative:text" o:connectortype="straight"/>
              </w:pic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20</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ICT</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14.1</w:t>
            </w:r>
          </w:p>
        </w:tc>
      </w:tr>
      <w:tr w:rsidR="00775999" w:rsidRPr="00D15842" w:rsidTr="000427B1">
        <w:trPr>
          <w:tblCellSpacing w:w="15" w:type="dxa"/>
        </w:trPr>
        <w:tc>
          <w:tcPr>
            <w:tcW w:w="1644" w:type="dxa"/>
            <w:tcBorders>
              <w:left w:val="single" w:sz="4" w:space="0" w:color="auto"/>
            </w:tcBorders>
            <w:vAlign w:val="center"/>
            <w:hideMark/>
          </w:tcPr>
          <w:p w:rsidR="00775999" w:rsidRPr="00D15842" w:rsidRDefault="00775999" w:rsidP="00D15842">
            <w:pPr>
              <w:spacing w:line="480" w:lineRule="auto"/>
              <w:jc w:val="both"/>
              <w:rPr>
                <w:sz w:val="26"/>
                <w:szCs w:val="26"/>
              </w:rPr>
            </w:pPr>
            <w:r w:rsidRPr="00D15842">
              <w:rPr>
                <w:rStyle w:val="Strong"/>
                <w:sz w:val="26"/>
                <w:szCs w:val="26"/>
              </w:rPr>
              <w:t>Level of Study</w:t>
            </w:r>
          </w:p>
        </w:tc>
        <w:tc>
          <w:tcPr>
            <w:tcW w:w="0" w:type="auto"/>
            <w:tcBorders>
              <w:left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65</w:t>
            </w:r>
          </w:p>
        </w:tc>
        <w:tc>
          <w:tcPr>
            <w:tcW w:w="0" w:type="auto"/>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ND 1</w:t>
            </w:r>
          </w:p>
        </w:tc>
        <w:tc>
          <w:tcPr>
            <w:tcW w:w="1858" w:type="dxa"/>
            <w:tcBorders>
              <w:left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45.8</w:t>
            </w:r>
          </w:p>
        </w:tc>
      </w:tr>
      <w:tr w:rsidR="00775999" w:rsidRPr="00D15842" w:rsidTr="000427B1">
        <w:trPr>
          <w:tblCellSpacing w:w="15" w:type="dxa"/>
        </w:trPr>
        <w:tc>
          <w:tcPr>
            <w:tcW w:w="1644" w:type="dxa"/>
            <w:tcBorders>
              <w:left w:val="single" w:sz="4" w:space="0" w:color="auto"/>
              <w:bottom w:val="single" w:sz="4" w:space="0" w:color="auto"/>
            </w:tcBorders>
            <w:vAlign w:val="center"/>
            <w:hideMark/>
          </w:tcPr>
          <w:p w:rsidR="00775999" w:rsidRPr="00D15842" w:rsidRDefault="00775999" w:rsidP="00D15842">
            <w:pPr>
              <w:spacing w:line="480" w:lineRule="auto"/>
              <w:jc w:val="both"/>
              <w:rPr>
                <w:sz w:val="26"/>
                <w:szCs w:val="26"/>
              </w:rPr>
            </w:pPr>
          </w:p>
        </w:tc>
        <w:tc>
          <w:tcPr>
            <w:tcW w:w="0" w:type="auto"/>
            <w:tcBorders>
              <w:left w:val="single" w:sz="4" w:space="0" w:color="auto"/>
              <w:bottom w:val="single" w:sz="4" w:space="0" w:color="auto"/>
            </w:tcBorders>
            <w:vAlign w:val="center"/>
          </w:tcPr>
          <w:p w:rsidR="00775999" w:rsidRPr="00D15842" w:rsidRDefault="00775999" w:rsidP="00C03C4E">
            <w:pPr>
              <w:spacing w:line="480" w:lineRule="auto"/>
              <w:jc w:val="both"/>
              <w:rPr>
                <w:sz w:val="26"/>
                <w:szCs w:val="26"/>
              </w:rPr>
            </w:pPr>
            <w:r w:rsidRPr="00D15842">
              <w:rPr>
                <w:sz w:val="26"/>
                <w:szCs w:val="26"/>
              </w:rPr>
              <w:t>77</w:t>
            </w:r>
          </w:p>
        </w:tc>
        <w:tc>
          <w:tcPr>
            <w:tcW w:w="0" w:type="auto"/>
            <w:tcBorders>
              <w:left w:val="single" w:sz="4" w:space="0" w:color="auto"/>
              <w:bottom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ND 2</w:t>
            </w:r>
          </w:p>
        </w:tc>
        <w:tc>
          <w:tcPr>
            <w:tcW w:w="1858" w:type="dxa"/>
            <w:tcBorders>
              <w:left w:val="single" w:sz="4" w:space="0" w:color="auto"/>
              <w:bottom w:val="single" w:sz="4" w:space="0" w:color="auto"/>
              <w:right w:val="single" w:sz="4" w:space="0" w:color="auto"/>
            </w:tcBorders>
            <w:vAlign w:val="center"/>
            <w:hideMark/>
          </w:tcPr>
          <w:p w:rsidR="00775999" w:rsidRPr="00D15842" w:rsidRDefault="00775999" w:rsidP="00D15842">
            <w:pPr>
              <w:spacing w:line="480" w:lineRule="auto"/>
              <w:jc w:val="both"/>
              <w:rPr>
                <w:sz w:val="26"/>
                <w:szCs w:val="26"/>
              </w:rPr>
            </w:pPr>
            <w:r w:rsidRPr="00D15842">
              <w:rPr>
                <w:sz w:val="26"/>
                <w:szCs w:val="26"/>
              </w:rPr>
              <w:t>54.2</w:t>
            </w:r>
          </w:p>
        </w:tc>
      </w:tr>
    </w:tbl>
    <w:p w:rsidR="00D15842" w:rsidRDefault="002972FC" w:rsidP="00D15842">
      <w:pPr>
        <w:spacing w:line="480" w:lineRule="auto"/>
        <w:jc w:val="both"/>
        <w:rPr>
          <w:b/>
          <w:sz w:val="26"/>
          <w:szCs w:val="26"/>
        </w:rPr>
      </w:pPr>
      <w:r w:rsidRPr="002972FC">
        <w:rPr>
          <w:b/>
          <w:sz w:val="26"/>
          <w:szCs w:val="26"/>
        </w:rPr>
        <w:t xml:space="preserve">Source: Researcher’s Field Survey, 2025 </w:t>
      </w:r>
    </w:p>
    <w:p w:rsidR="00775999" w:rsidRPr="00775999" w:rsidRDefault="00775999" w:rsidP="00775999">
      <w:pPr>
        <w:pStyle w:val="Heading4"/>
        <w:jc w:val="both"/>
        <w:rPr>
          <w:rFonts w:ascii="Times New Roman" w:hAnsi="Times New Roman"/>
        </w:rPr>
      </w:pPr>
      <w:r>
        <w:rPr>
          <w:rStyle w:val="Strong"/>
          <w:b/>
          <w:bCs/>
        </w:rPr>
        <w:lastRenderedPageBreak/>
        <w:t>1</w:t>
      </w:r>
      <w:r w:rsidRPr="00775999">
        <w:rPr>
          <w:rStyle w:val="Strong"/>
          <w:rFonts w:ascii="Times New Roman" w:hAnsi="Times New Roman"/>
          <w:b/>
          <w:bCs/>
        </w:rPr>
        <w:t>. Age Distribution</w:t>
      </w:r>
    </w:p>
    <w:p w:rsidR="00775999" w:rsidRPr="00775999" w:rsidRDefault="00775999" w:rsidP="00775999">
      <w:pPr>
        <w:pStyle w:val="NormalWeb"/>
        <w:jc w:val="both"/>
      </w:pPr>
      <w:r w:rsidRPr="00775999">
        <w:t>The age distribution shows that the majority of the respondents fall within the youthful age brackets:</w:t>
      </w:r>
    </w:p>
    <w:p w:rsidR="00775999" w:rsidRPr="00775999" w:rsidRDefault="00775999" w:rsidP="00775999">
      <w:pPr>
        <w:pStyle w:val="NormalWeb"/>
        <w:numPr>
          <w:ilvl w:val="0"/>
          <w:numId w:val="29"/>
        </w:numPr>
        <w:jc w:val="both"/>
      </w:pPr>
      <w:r w:rsidRPr="00775999">
        <w:rPr>
          <w:rStyle w:val="Strong"/>
        </w:rPr>
        <w:t>21–25 years</w:t>
      </w:r>
      <w:r w:rsidRPr="00775999">
        <w:t xml:space="preserve">: This group represents the largest portion with </w:t>
      </w:r>
      <w:r w:rsidRPr="00775999">
        <w:rPr>
          <w:rStyle w:val="Strong"/>
        </w:rPr>
        <w:t>76 respondents (53.5%)</w:t>
      </w:r>
      <w:r w:rsidRPr="00775999">
        <w:t>, indicating that over half of the surveyed population are in this age range.</w:t>
      </w:r>
    </w:p>
    <w:p w:rsidR="00775999" w:rsidRPr="00775999" w:rsidRDefault="00775999" w:rsidP="00775999">
      <w:pPr>
        <w:pStyle w:val="NormalWeb"/>
        <w:numPr>
          <w:ilvl w:val="0"/>
          <w:numId w:val="29"/>
        </w:numPr>
        <w:jc w:val="both"/>
      </w:pPr>
      <w:r w:rsidRPr="00775999">
        <w:rPr>
          <w:rStyle w:val="Strong"/>
        </w:rPr>
        <w:t>16–20 years</w:t>
      </w:r>
      <w:r w:rsidRPr="00775999">
        <w:t xml:space="preserve">: This category has </w:t>
      </w:r>
      <w:r w:rsidRPr="00775999">
        <w:rPr>
          <w:rStyle w:val="Strong"/>
        </w:rPr>
        <w:t>48 respondents (33.8%)</w:t>
      </w:r>
      <w:r w:rsidRPr="00775999">
        <w:t>, showing that a significant number of younger students also participated in the survey.</w:t>
      </w:r>
    </w:p>
    <w:p w:rsidR="00775999" w:rsidRPr="00775999" w:rsidRDefault="00775999" w:rsidP="00775999">
      <w:pPr>
        <w:pStyle w:val="NormalWeb"/>
        <w:numPr>
          <w:ilvl w:val="0"/>
          <w:numId w:val="29"/>
        </w:numPr>
        <w:jc w:val="both"/>
      </w:pPr>
      <w:r w:rsidRPr="00775999">
        <w:rPr>
          <w:rStyle w:val="Strong"/>
        </w:rPr>
        <w:t>26 years and above</w:t>
      </w:r>
      <w:r w:rsidRPr="00775999">
        <w:t xml:space="preserve">: Only </w:t>
      </w:r>
      <w:r w:rsidRPr="00775999">
        <w:rPr>
          <w:rStyle w:val="Strong"/>
        </w:rPr>
        <w:t>18 respondents (12.7%)</w:t>
      </w:r>
      <w:r w:rsidRPr="00775999">
        <w:t xml:space="preserve"> fall into this category, suggesting that older individuals are less represented in the study sample.</w:t>
      </w:r>
    </w:p>
    <w:p w:rsidR="00775999" w:rsidRPr="00775999" w:rsidRDefault="00775999" w:rsidP="00775999">
      <w:pPr>
        <w:pStyle w:val="NormalWeb"/>
        <w:jc w:val="both"/>
      </w:pPr>
      <w:r w:rsidRPr="00775999">
        <w:rPr>
          <w:rStyle w:val="Strong"/>
        </w:rPr>
        <w:t>Interpretation</w:t>
      </w:r>
      <w:r w:rsidRPr="00775999">
        <w:t>: The data reflects that the respondents are predominantly young adults, which is typical for a student-based population in tertiary institutions. This may also influence their media consumption habits and cultural orientation.</w:t>
      </w:r>
    </w:p>
    <w:p w:rsidR="00775999" w:rsidRPr="00775999" w:rsidRDefault="00775999" w:rsidP="00775999">
      <w:pPr>
        <w:jc w:val="both"/>
      </w:pPr>
    </w:p>
    <w:p w:rsidR="00775999" w:rsidRPr="00775999" w:rsidRDefault="00775999" w:rsidP="00775999">
      <w:pPr>
        <w:pStyle w:val="Heading4"/>
        <w:jc w:val="both"/>
        <w:rPr>
          <w:rFonts w:ascii="Times New Roman" w:hAnsi="Times New Roman"/>
        </w:rPr>
      </w:pPr>
      <w:r w:rsidRPr="00775999">
        <w:rPr>
          <w:rStyle w:val="Strong"/>
          <w:rFonts w:ascii="Times New Roman" w:hAnsi="Times New Roman"/>
          <w:b/>
          <w:bCs/>
        </w:rPr>
        <w:t>2. Faculty Distribution</w:t>
      </w:r>
    </w:p>
    <w:p w:rsidR="00775999" w:rsidRPr="00775999" w:rsidRDefault="00775999" w:rsidP="00775999">
      <w:pPr>
        <w:pStyle w:val="NormalWeb"/>
        <w:jc w:val="both"/>
      </w:pPr>
      <w:r w:rsidRPr="00775999">
        <w:t>Respondents are spread across five faculties, with slight variations:</w:t>
      </w:r>
    </w:p>
    <w:p w:rsidR="00775999" w:rsidRPr="00775999" w:rsidRDefault="00775999" w:rsidP="00775999">
      <w:pPr>
        <w:pStyle w:val="NormalWeb"/>
        <w:numPr>
          <w:ilvl w:val="0"/>
          <w:numId w:val="30"/>
        </w:numPr>
        <w:jc w:val="both"/>
      </w:pPr>
      <w:r w:rsidRPr="00775999">
        <w:rPr>
          <w:rStyle w:val="Strong"/>
        </w:rPr>
        <w:t>Applied Sciences</w:t>
      </w:r>
      <w:r w:rsidRPr="00775999">
        <w:t xml:space="preserve"> has the highest representation with </w:t>
      </w:r>
      <w:r w:rsidRPr="00775999">
        <w:rPr>
          <w:rStyle w:val="Strong"/>
        </w:rPr>
        <w:t>38 respondents (26.8%)</w:t>
      </w:r>
      <w:r w:rsidRPr="00775999">
        <w:t>.</w:t>
      </w:r>
    </w:p>
    <w:p w:rsidR="00775999" w:rsidRPr="00775999" w:rsidRDefault="00775999" w:rsidP="00775999">
      <w:pPr>
        <w:pStyle w:val="NormalWeb"/>
        <w:numPr>
          <w:ilvl w:val="0"/>
          <w:numId w:val="30"/>
        </w:numPr>
        <w:jc w:val="both"/>
      </w:pPr>
      <w:r w:rsidRPr="00775999">
        <w:rPr>
          <w:rStyle w:val="Strong"/>
        </w:rPr>
        <w:t>Business and Management</w:t>
      </w:r>
      <w:r w:rsidRPr="00775999">
        <w:t xml:space="preserve"> follows with </w:t>
      </w:r>
      <w:r w:rsidRPr="00775999">
        <w:rPr>
          <w:rStyle w:val="Strong"/>
        </w:rPr>
        <w:t>35 respondents (24.6%)</w:t>
      </w:r>
      <w:r w:rsidRPr="00775999">
        <w:t>.</w:t>
      </w:r>
    </w:p>
    <w:p w:rsidR="00775999" w:rsidRPr="00775999" w:rsidRDefault="00775999" w:rsidP="00775999">
      <w:pPr>
        <w:pStyle w:val="NormalWeb"/>
        <w:numPr>
          <w:ilvl w:val="0"/>
          <w:numId w:val="30"/>
        </w:numPr>
        <w:jc w:val="both"/>
      </w:pPr>
      <w:r w:rsidRPr="00775999">
        <w:rPr>
          <w:rStyle w:val="Strong"/>
        </w:rPr>
        <w:t>Engineering</w:t>
      </w:r>
      <w:r w:rsidRPr="00775999">
        <w:t xml:space="preserve">: </w:t>
      </w:r>
      <w:r w:rsidRPr="00775999">
        <w:rPr>
          <w:rStyle w:val="Strong"/>
        </w:rPr>
        <w:t>26 respondents (18.3%)</w:t>
      </w:r>
      <w:r w:rsidRPr="00775999">
        <w:t>.</w:t>
      </w:r>
    </w:p>
    <w:p w:rsidR="00775999" w:rsidRPr="00775999" w:rsidRDefault="00775999" w:rsidP="00775999">
      <w:pPr>
        <w:pStyle w:val="NormalWeb"/>
        <w:numPr>
          <w:ilvl w:val="0"/>
          <w:numId w:val="30"/>
        </w:numPr>
        <w:jc w:val="both"/>
      </w:pPr>
      <w:r w:rsidRPr="00775999">
        <w:rPr>
          <w:rStyle w:val="Strong"/>
        </w:rPr>
        <w:t>Environmental Studies</w:t>
      </w:r>
      <w:r w:rsidRPr="00775999">
        <w:t xml:space="preserve">: </w:t>
      </w:r>
      <w:r w:rsidRPr="00775999">
        <w:rPr>
          <w:rStyle w:val="Strong"/>
        </w:rPr>
        <w:t>23 respondents (16.2%)</w:t>
      </w:r>
      <w:r w:rsidRPr="00775999">
        <w:t>.</w:t>
      </w:r>
    </w:p>
    <w:p w:rsidR="00775999" w:rsidRPr="00775999" w:rsidRDefault="00775999" w:rsidP="00775999">
      <w:pPr>
        <w:pStyle w:val="NormalWeb"/>
        <w:numPr>
          <w:ilvl w:val="0"/>
          <w:numId w:val="30"/>
        </w:numPr>
        <w:jc w:val="both"/>
      </w:pPr>
      <w:r w:rsidRPr="00775999">
        <w:rPr>
          <w:rStyle w:val="Strong"/>
        </w:rPr>
        <w:t>ICT</w:t>
      </w:r>
      <w:r w:rsidRPr="00775999">
        <w:t xml:space="preserve">: </w:t>
      </w:r>
      <w:r w:rsidRPr="00775999">
        <w:rPr>
          <w:rStyle w:val="Strong"/>
        </w:rPr>
        <w:t>20 respondents (14.1%)</w:t>
      </w:r>
      <w:r w:rsidRPr="00775999">
        <w:t>.</w:t>
      </w:r>
    </w:p>
    <w:p w:rsidR="00775999" w:rsidRPr="00775999" w:rsidRDefault="00775999" w:rsidP="00775999">
      <w:pPr>
        <w:pStyle w:val="NormalWeb"/>
        <w:jc w:val="both"/>
      </w:pPr>
      <w:r w:rsidRPr="00775999">
        <w:rPr>
          <w:rStyle w:val="Strong"/>
        </w:rPr>
        <w:t>Interpretation</w:t>
      </w:r>
      <w:r w:rsidRPr="00775999">
        <w:t>: While Applied Sciences leads, there's a fairly balanced distribution among faculties. This suggests the study captured diverse academic perspectives, which is beneficial for a broad-based understanding of the subject.</w:t>
      </w:r>
    </w:p>
    <w:p w:rsidR="00775999" w:rsidRPr="00775999" w:rsidRDefault="00775999" w:rsidP="00775999">
      <w:pPr>
        <w:jc w:val="both"/>
      </w:pPr>
    </w:p>
    <w:p w:rsidR="00775999" w:rsidRPr="00775999" w:rsidRDefault="00775999" w:rsidP="00775999">
      <w:pPr>
        <w:pStyle w:val="Heading4"/>
        <w:jc w:val="both"/>
        <w:rPr>
          <w:rFonts w:ascii="Times New Roman" w:hAnsi="Times New Roman"/>
        </w:rPr>
      </w:pPr>
      <w:r w:rsidRPr="00775999">
        <w:rPr>
          <w:rStyle w:val="Strong"/>
          <w:rFonts w:ascii="Times New Roman" w:hAnsi="Times New Roman"/>
          <w:b/>
          <w:bCs/>
        </w:rPr>
        <w:t>3. Level of Study</w:t>
      </w:r>
    </w:p>
    <w:p w:rsidR="00775999" w:rsidRPr="00775999" w:rsidRDefault="00775999" w:rsidP="00775999">
      <w:pPr>
        <w:pStyle w:val="NormalWeb"/>
        <w:numPr>
          <w:ilvl w:val="0"/>
          <w:numId w:val="31"/>
        </w:numPr>
        <w:jc w:val="both"/>
      </w:pPr>
      <w:r w:rsidRPr="00775999">
        <w:rPr>
          <w:rStyle w:val="Strong"/>
        </w:rPr>
        <w:t>ND 2 students</w:t>
      </w:r>
      <w:r w:rsidRPr="00775999">
        <w:t xml:space="preserve"> account for the majority with </w:t>
      </w:r>
      <w:r w:rsidRPr="00775999">
        <w:rPr>
          <w:rStyle w:val="Strong"/>
        </w:rPr>
        <w:t>77 respondents (54.2%)</w:t>
      </w:r>
      <w:r w:rsidRPr="00775999">
        <w:t>.</w:t>
      </w:r>
    </w:p>
    <w:p w:rsidR="00775999" w:rsidRPr="00775999" w:rsidRDefault="00775999" w:rsidP="00775999">
      <w:pPr>
        <w:pStyle w:val="NormalWeb"/>
        <w:numPr>
          <w:ilvl w:val="0"/>
          <w:numId w:val="31"/>
        </w:numPr>
        <w:jc w:val="both"/>
      </w:pPr>
      <w:r w:rsidRPr="00775999">
        <w:rPr>
          <w:rStyle w:val="Strong"/>
        </w:rPr>
        <w:t>ND 1 students</w:t>
      </w:r>
      <w:r w:rsidRPr="00775999">
        <w:t xml:space="preserve"> comprise </w:t>
      </w:r>
      <w:r w:rsidRPr="00775999">
        <w:rPr>
          <w:rStyle w:val="Strong"/>
        </w:rPr>
        <w:t>65 respondents (45.8%)</w:t>
      </w:r>
      <w:r w:rsidRPr="00775999">
        <w:t>.</w:t>
      </w:r>
    </w:p>
    <w:p w:rsidR="00775999" w:rsidRDefault="00775999" w:rsidP="00775999">
      <w:pPr>
        <w:pStyle w:val="NormalWeb"/>
        <w:jc w:val="both"/>
      </w:pPr>
      <w:r w:rsidRPr="00775999">
        <w:rPr>
          <w:rStyle w:val="Strong"/>
        </w:rPr>
        <w:t>Interpretation</w:t>
      </w:r>
      <w:r w:rsidRPr="00775999">
        <w:t>: The slight majority of ND 2 students could reflect a higher level of academic exposure or maturity, which might affect their understanding of cultural issues and the role of media</w:t>
      </w:r>
      <w:r>
        <w:t>.</w:t>
      </w:r>
    </w:p>
    <w:p w:rsidR="00775999" w:rsidRPr="002972FC" w:rsidRDefault="00775999" w:rsidP="00D15842">
      <w:pPr>
        <w:spacing w:line="480" w:lineRule="auto"/>
        <w:jc w:val="both"/>
        <w:rPr>
          <w:b/>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lastRenderedPageBreak/>
        <w:t>4.3 Social Media Usage</w:t>
      </w:r>
    </w:p>
    <w:tbl>
      <w:tblPr>
        <w:tblW w:w="0" w:type="auto"/>
        <w:tblCellSpacing w:w="15" w:type="dxa"/>
        <w:tblInd w:w="40" w:type="dxa"/>
        <w:tblCellMar>
          <w:top w:w="15" w:type="dxa"/>
          <w:left w:w="15" w:type="dxa"/>
          <w:bottom w:w="15" w:type="dxa"/>
          <w:right w:w="15" w:type="dxa"/>
        </w:tblCellMar>
        <w:tblLook w:val="04A0"/>
      </w:tblPr>
      <w:tblGrid>
        <w:gridCol w:w="3600"/>
        <w:gridCol w:w="2346"/>
        <w:gridCol w:w="660"/>
        <w:gridCol w:w="774"/>
      </w:tblGrid>
      <w:tr w:rsidR="00D15842" w:rsidRPr="00D15842" w:rsidTr="00C03697">
        <w:trPr>
          <w:tblHeader/>
          <w:tblCellSpacing w:w="15" w:type="dxa"/>
        </w:trPr>
        <w:tc>
          <w:tcPr>
            <w:tcW w:w="3555" w:type="dxa"/>
            <w:tcBorders>
              <w:top w:val="single" w:sz="4" w:space="0" w:color="auto"/>
              <w:left w:val="single" w:sz="4" w:space="0" w:color="auto"/>
            </w:tcBorders>
            <w:vAlign w:val="center"/>
            <w:hideMark/>
          </w:tcPr>
          <w:p w:rsidR="00D15842" w:rsidRPr="00D15842" w:rsidRDefault="00EE43E5" w:rsidP="00D15842">
            <w:pPr>
              <w:spacing w:line="480" w:lineRule="auto"/>
              <w:jc w:val="both"/>
              <w:rPr>
                <w:b/>
                <w:bCs/>
                <w:sz w:val="26"/>
                <w:szCs w:val="26"/>
              </w:rPr>
            </w:pPr>
            <w:r>
              <w:rPr>
                <w:b/>
                <w:bCs/>
                <w:noProof/>
                <w:sz w:val="26"/>
                <w:szCs w:val="26"/>
              </w:rPr>
              <w:pict>
                <v:shape id="_x0000_s1030" type="#_x0000_t32" style="position:absolute;left:0;text-align:left;margin-left:-1.75pt;margin-top:21.45pt;width:366pt;height:0;z-index:251662336" o:connectortype="straight"/>
              </w:pict>
            </w:r>
            <w:r w:rsidR="00D15842" w:rsidRPr="00D15842">
              <w:rPr>
                <w:rStyle w:val="Strong"/>
                <w:sz w:val="26"/>
                <w:szCs w:val="26"/>
              </w:rPr>
              <w:t>Question</w:t>
            </w:r>
          </w:p>
        </w:tc>
        <w:tc>
          <w:tcPr>
            <w:tcW w:w="2316" w:type="dxa"/>
            <w:tcBorders>
              <w:top w:val="single" w:sz="4" w:space="0" w:color="auto"/>
              <w:left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Options</w:t>
            </w:r>
          </w:p>
        </w:tc>
        <w:tc>
          <w:tcPr>
            <w:tcW w:w="0" w:type="auto"/>
            <w:tcBorders>
              <w:top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Freq.</w:t>
            </w:r>
          </w:p>
        </w:tc>
        <w:tc>
          <w:tcPr>
            <w:tcW w:w="729"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Preferred Social Media Platform</w: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WhatsApp</w:t>
            </w:r>
            <w:r w:rsidR="00C03697">
              <w:rPr>
                <w:sz w:val="26"/>
                <w:szCs w:val="26"/>
              </w:rPr>
              <w:t xml:space="preserve">    60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42.3</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Facebook</w:t>
            </w:r>
            <w:r w:rsidR="00C03697">
              <w:rPr>
                <w:sz w:val="26"/>
                <w:szCs w:val="26"/>
              </w:rPr>
              <w:t xml:space="preserve">      34</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23.9</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Instagram</w:t>
            </w:r>
            <w:r w:rsidR="00C03697">
              <w:rPr>
                <w:sz w:val="26"/>
                <w:szCs w:val="26"/>
              </w:rPr>
              <w:t xml:space="preserve">      28</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19.7</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1" type="#_x0000_t32" style="position:absolute;left:0;text-align:left;margin-left:1pt;margin-top:27.75pt;width:366pt;height:0;z-index:251663360;mso-position-horizontal-relative:text;mso-position-vertical-relative:text" o:connectortype="straight"/>
              </w:pic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Twitter/X</w:t>
            </w:r>
            <w:r w:rsidR="00C03697">
              <w:rPr>
                <w:sz w:val="26"/>
                <w:szCs w:val="26"/>
              </w:rPr>
              <w:t xml:space="preserve">      50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14.1</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Daily Hours on Social Media</w:t>
            </w: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1–3 hours</w:t>
            </w:r>
            <w:r w:rsidR="00C03697">
              <w:rPr>
                <w:sz w:val="26"/>
                <w:szCs w:val="26"/>
              </w:rPr>
              <w:t xml:space="preserve">      45</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31.7</w:t>
            </w:r>
          </w:p>
        </w:tc>
      </w:tr>
      <w:tr w:rsidR="00D15842" w:rsidRPr="00D15842" w:rsidTr="00C03697">
        <w:trPr>
          <w:tblCellSpacing w:w="15" w:type="dxa"/>
        </w:trPr>
        <w:tc>
          <w:tcPr>
            <w:tcW w:w="3555" w:type="dxa"/>
            <w:tcBorders>
              <w:left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4–6 hours</w:t>
            </w:r>
            <w:r w:rsidR="00C03697">
              <w:rPr>
                <w:sz w:val="26"/>
                <w:szCs w:val="26"/>
              </w:rPr>
              <w:t xml:space="preserve">       60</w:t>
            </w:r>
          </w:p>
        </w:tc>
        <w:tc>
          <w:tcPr>
            <w:tcW w:w="0" w:type="auto"/>
            <w:vAlign w:val="center"/>
            <w:hideMark/>
          </w:tcPr>
          <w:p w:rsidR="00D15842" w:rsidRPr="00D15842" w:rsidRDefault="00D15842" w:rsidP="00D15842">
            <w:pPr>
              <w:spacing w:line="480" w:lineRule="auto"/>
              <w:jc w:val="both"/>
              <w:rPr>
                <w:sz w:val="26"/>
                <w:szCs w:val="26"/>
              </w:rPr>
            </w:pPr>
          </w:p>
        </w:tc>
        <w:tc>
          <w:tcPr>
            <w:tcW w:w="729"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42.3</w:t>
            </w:r>
          </w:p>
        </w:tc>
      </w:tr>
      <w:tr w:rsidR="00D15842" w:rsidRPr="00D15842" w:rsidTr="00C03697">
        <w:trPr>
          <w:tblCellSpacing w:w="15" w:type="dxa"/>
        </w:trPr>
        <w:tc>
          <w:tcPr>
            <w:tcW w:w="3555" w:type="dxa"/>
            <w:tcBorders>
              <w:left w:val="single" w:sz="4" w:space="0" w:color="auto"/>
              <w:bottom w:val="single" w:sz="4" w:space="0" w:color="auto"/>
            </w:tcBorders>
            <w:vAlign w:val="center"/>
            <w:hideMark/>
          </w:tcPr>
          <w:p w:rsidR="00D15842" w:rsidRPr="00D15842" w:rsidRDefault="00D15842" w:rsidP="00D15842">
            <w:pPr>
              <w:spacing w:line="480" w:lineRule="auto"/>
              <w:jc w:val="both"/>
              <w:rPr>
                <w:sz w:val="26"/>
                <w:szCs w:val="26"/>
              </w:rPr>
            </w:pPr>
          </w:p>
        </w:tc>
        <w:tc>
          <w:tcPr>
            <w:tcW w:w="2316" w:type="dxa"/>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 hours and above</w:t>
            </w:r>
            <w:r w:rsidR="00C03697">
              <w:rPr>
                <w:sz w:val="26"/>
                <w:szCs w:val="26"/>
              </w:rPr>
              <w:t xml:space="preserve"> 37</w:t>
            </w:r>
          </w:p>
        </w:tc>
        <w:tc>
          <w:tcPr>
            <w:tcW w:w="0" w:type="auto"/>
            <w:tcBorders>
              <w:bottom w:val="single" w:sz="4" w:space="0" w:color="auto"/>
            </w:tcBorders>
            <w:vAlign w:val="center"/>
            <w:hideMark/>
          </w:tcPr>
          <w:p w:rsidR="00D15842" w:rsidRPr="00D15842" w:rsidRDefault="00D15842" w:rsidP="00D15842">
            <w:pPr>
              <w:spacing w:line="480" w:lineRule="auto"/>
              <w:jc w:val="both"/>
              <w:rPr>
                <w:sz w:val="26"/>
                <w:szCs w:val="26"/>
              </w:rPr>
            </w:pPr>
          </w:p>
        </w:tc>
        <w:tc>
          <w:tcPr>
            <w:tcW w:w="729"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26.1</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4.4 Research Question One: Forms of GBV Experienced on Social Media</w:t>
      </w:r>
    </w:p>
    <w:tbl>
      <w:tblPr>
        <w:tblW w:w="0" w:type="auto"/>
        <w:tblCellSpacing w:w="15" w:type="dxa"/>
        <w:tblInd w:w="10" w:type="dxa"/>
        <w:tblCellMar>
          <w:top w:w="15" w:type="dxa"/>
          <w:left w:w="15" w:type="dxa"/>
          <w:bottom w:w="15" w:type="dxa"/>
          <w:right w:w="15" w:type="dxa"/>
        </w:tblCellMar>
        <w:tblLook w:val="04A0"/>
      </w:tblPr>
      <w:tblGrid>
        <w:gridCol w:w="4673"/>
        <w:gridCol w:w="1240"/>
        <w:gridCol w:w="1385"/>
      </w:tblGrid>
      <w:tr w:rsidR="00D15842" w:rsidRPr="00D15842" w:rsidTr="00C03697">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EE43E5" w:rsidP="00D15842">
            <w:pPr>
              <w:spacing w:line="480" w:lineRule="auto"/>
              <w:jc w:val="both"/>
              <w:rPr>
                <w:b/>
                <w:bCs/>
                <w:sz w:val="26"/>
                <w:szCs w:val="26"/>
              </w:rPr>
            </w:pPr>
            <w:r>
              <w:rPr>
                <w:b/>
                <w:bCs/>
                <w:noProof/>
                <w:sz w:val="26"/>
                <w:szCs w:val="26"/>
              </w:rPr>
              <w:pict>
                <v:shape id="_x0000_s1032" type="#_x0000_t32" style="position:absolute;left:0;text-align:left;margin-left:-1.75pt;margin-top:24.95pt;width:361.25pt;height:0;z-index:251664384" o:connectortype="straight"/>
              </w:pict>
            </w:r>
            <w:r w:rsidR="00D15842" w:rsidRPr="00D15842">
              <w:rPr>
                <w:rStyle w:val="Strong"/>
                <w:sz w:val="26"/>
                <w:szCs w:val="26"/>
              </w:rPr>
              <w:t>Type of GBV Experienced</w:t>
            </w:r>
          </w:p>
        </w:tc>
        <w:tc>
          <w:tcPr>
            <w:tcW w:w="0" w:type="auto"/>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Yes (%)</w:t>
            </w:r>
          </w:p>
        </w:tc>
        <w:tc>
          <w:tcPr>
            <w:tcW w:w="1340"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No (%)</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3" type="#_x0000_t32" style="position:absolute;left:0;text-align:left;margin-left:1pt;margin-top:21.75pt;width:361.25pt;height:0;z-index:251665408;mso-position-horizontal-relative:text;mso-position-vertical-relative:text" o:connectortype="straight"/>
              </w:pict>
            </w:r>
            <w:r w:rsidR="00D15842" w:rsidRPr="00D15842">
              <w:rPr>
                <w:sz w:val="26"/>
                <w:szCs w:val="26"/>
              </w:rPr>
              <w:t>Receiving unsolicited sexual messages</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92 (64.8%)</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50 (35.2%)</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4" type="#_x0000_t32" style="position:absolute;left:0;text-align:left;margin-left:2.5pt;margin-top:24.05pt;width:361.25pt;height:0;z-index:251666432;mso-position-horizontal-relative:text;mso-position-vertical-relative:text" o:connectortype="straight"/>
              </w:pict>
            </w:r>
            <w:r w:rsidR="00D15842" w:rsidRPr="00D15842">
              <w:rPr>
                <w:sz w:val="26"/>
                <w:szCs w:val="26"/>
              </w:rPr>
              <w:t>Being blackmailed with photos/videos</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40 (28.2%)</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102 (71.8%)</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6" type="#_x0000_t32" style="position:absolute;left:0;text-align:left;margin-left:-.5pt;margin-top:61.55pt;width:361.25pt;height:0;z-index:251668480;mso-position-horizontal-relative:text;mso-position-vertical-relative:text" o:connectortype="straight"/>
              </w:pict>
            </w:r>
            <w:r w:rsidRPr="00EE43E5">
              <w:rPr>
                <w:b/>
                <w:bCs/>
                <w:noProof/>
                <w:sz w:val="26"/>
                <w:szCs w:val="26"/>
              </w:rPr>
              <w:pict>
                <v:shape id="_x0000_s1035" type="#_x0000_t32" style="position:absolute;left:0;text-align:left;margin-left:1pt;margin-top:26.35pt;width:361.25pt;height:0;z-index:251667456;mso-position-horizontal-relative:text;mso-position-vertical-relative:text" o:connectortype="straight"/>
              </w:pict>
            </w:r>
            <w:r w:rsidR="00D15842" w:rsidRPr="00D15842">
              <w:rPr>
                <w:sz w:val="26"/>
                <w:szCs w:val="26"/>
              </w:rPr>
              <w:t>Cyberstalking or repeated unwanted contact</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56 (39.4%)</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86 (60.6%)</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Public shaming or body shaming</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63 (44.4%)</w:t>
            </w:r>
          </w:p>
        </w:tc>
        <w:tc>
          <w:tcPr>
            <w:tcW w:w="1340"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79 (55.6%)</w:t>
            </w:r>
          </w:p>
        </w:tc>
      </w:tr>
      <w:tr w:rsidR="00D15842" w:rsidRPr="00D15842" w:rsidTr="00C03697">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Impersonation or fake profiles</w:t>
            </w:r>
          </w:p>
        </w:tc>
        <w:tc>
          <w:tcPr>
            <w:tcW w:w="0" w:type="auto"/>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38 (26.8%)</w:t>
            </w:r>
          </w:p>
        </w:tc>
        <w:tc>
          <w:tcPr>
            <w:tcW w:w="1340"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104 (73.2%)</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C03697" w:rsidRDefault="00C03697" w:rsidP="00D15842">
      <w:pPr>
        <w:pStyle w:val="NormalWeb"/>
        <w:spacing w:before="0" w:beforeAutospacing="0" w:after="0" w:afterAutospacing="0" w:line="480" w:lineRule="auto"/>
        <w:jc w:val="both"/>
        <w:rPr>
          <w:sz w:val="26"/>
          <w:szCs w:val="26"/>
        </w:rPr>
      </w:pPr>
    </w:p>
    <w:p w:rsidR="00D15842" w:rsidRPr="00D15842" w:rsidRDefault="00D15842" w:rsidP="00D15842">
      <w:pPr>
        <w:pStyle w:val="NormalWeb"/>
        <w:spacing w:before="0" w:beforeAutospacing="0" w:after="0" w:afterAutospacing="0" w:line="480" w:lineRule="auto"/>
        <w:jc w:val="both"/>
        <w:rPr>
          <w:sz w:val="26"/>
          <w:szCs w:val="26"/>
        </w:rPr>
      </w:pPr>
      <w:r w:rsidRPr="00D15842">
        <w:rPr>
          <w:rStyle w:val="Strong"/>
          <w:sz w:val="26"/>
          <w:szCs w:val="26"/>
        </w:rPr>
        <w:lastRenderedPageBreak/>
        <w:t>Interpretation:</w:t>
      </w:r>
      <w:r w:rsidRPr="00D15842">
        <w:rPr>
          <w:sz w:val="26"/>
          <w:szCs w:val="26"/>
        </w:rPr>
        <w:br/>
        <w:t>The most commonly experienced form of GBV among respondents was unsolicited sexual messages (64.8%), followed by public shaming (44.4%) and cyberstalking (39.4%). Blackmail and impersonation were less frequent but still present threats.</w:t>
      </w:r>
    </w:p>
    <w:p w:rsidR="00D15842" w:rsidRPr="00D15842" w:rsidRDefault="00D15842"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4.5 Research Question Two: Awareness of Social Media-Related GBV</w:t>
      </w:r>
    </w:p>
    <w:tbl>
      <w:tblPr>
        <w:tblW w:w="0" w:type="auto"/>
        <w:tblCellSpacing w:w="15" w:type="dxa"/>
        <w:tblCellMar>
          <w:top w:w="15" w:type="dxa"/>
          <w:left w:w="15" w:type="dxa"/>
          <w:bottom w:w="15" w:type="dxa"/>
          <w:right w:w="15" w:type="dxa"/>
        </w:tblCellMar>
        <w:tblLook w:val="04A0"/>
      </w:tblPr>
      <w:tblGrid>
        <w:gridCol w:w="5554"/>
        <w:gridCol w:w="1370"/>
        <w:gridCol w:w="1501"/>
      </w:tblGrid>
      <w:tr w:rsidR="00D15842" w:rsidRPr="00D15842" w:rsidTr="00C03697">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EE43E5" w:rsidP="00D15842">
            <w:pPr>
              <w:spacing w:line="480" w:lineRule="auto"/>
              <w:jc w:val="both"/>
              <w:rPr>
                <w:b/>
                <w:bCs/>
                <w:sz w:val="26"/>
                <w:szCs w:val="26"/>
              </w:rPr>
            </w:pPr>
            <w:r>
              <w:rPr>
                <w:b/>
                <w:bCs/>
                <w:noProof/>
                <w:sz w:val="26"/>
                <w:szCs w:val="26"/>
              </w:rPr>
              <w:pict>
                <v:shape id="_x0000_s1037" type="#_x0000_t32" style="position:absolute;left:0;text-align:left;margin-left:-2.25pt;margin-top:26.65pt;width:414pt;height:1.5pt;flip:y;z-index:251669504" o:connectortype="straight"/>
              </w:pict>
            </w:r>
            <w:r w:rsidR="00D15842" w:rsidRPr="00D15842">
              <w:rPr>
                <w:rStyle w:val="Strong"/>
                <w:sz w:val="26"/>
                <w:szCs w:val="26"/>
              </w:rPr>
              <w:t>Awareness Question</w:t>
            </w:r>
          </w:p>
        </w:tc>
        <w:tc>
          <w:tcPr>
            <w:tcW w:w="0" w:type="auto"/>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Yes (%)</w:t>
            </w:r>
          </w:p>
        </w:tc>
        <w:tc>
          <w:tcPr>
            <w:tcW w:w="1456" w:type="dxa"/>
            <w:tcBorders>
              <w:top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No (%)</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8" type="#_x0000_t32" style="position:absolute;left:0;text-align:left;margin-left:.5pt;margin-top:27.8pt;width:414pt;height:1.5pt;flip:y;z-index:251670528;mso-position-horizontal-relative:text;mso-position-vertical-relative:text" o:connectortype="straight"/>
              </w:pict>
            </w:r>
            <w:r w:rsidR="00D15842" w:rsidRPr="00D15842">
              <w:rPr>
                <w:sz w:val="26"/>
                <w:szCs w:val="26"/>
              </w:rPr>
              <w:t>Aware that social media can facilitate GBV?</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128 (90.1%)</w:t>
            </w:r>
          </w:p>
        </w:tc>
        <w:tc>
          <w:tcPr>
            <w:tcW w:w="1456"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14 (9.9%)</w:t>
            </w:r>
          </w:p>
        </w:tc>
      </w:tr>
      <w:tr w:rsidR="00D15842" w:rsidRPr="00D15842" w:rsidTr="00C03697">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39" type="#_x0000_t32" style="position:absolute;left:0;text-align:left;margin-left:.5pt;margin-top:27.2pt;width:414pt;height:1.5pt;flip:y;z-index:251671552;mso-position-horizontal-relative:text;mso-position-vertical-relative:text" o:connectortype="straight"/>
              </w:pict>
            </w:r>
            <w:r w:rsidR="00D15842" w:rsidRPr="00D15842">
              <w:rPr>
                <w:sz w:val="26"/>
                <w:szCs w:val="26"/>
              </w:rPr>
              <w:t>Ever attended a seminar/workshop on digital safety?</w:t>
            </w:r>
          </w:p>
        </w:tc>
        <w:tc>
          <w:tcPr>
            <w:tcW w:w="0" w:type="auto"/>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38 (26.8%)</w:t>
            </w:r>
          </w:p>
        </w:tc>
        <w:tc>
          <w:tcPr>
            <w:tcW w:w="1456" w:type="dxa"/>
            <w:tcBorders>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104 (73.2%)</w:t>
            </w:r>
          </w:p>
        </w:tc>
      </w:tr>
      <w:tr w:rsidR="00D15842" w:rsidRPr="00D15842" w:rsidTr="00C03697">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Know someone personally affected by online GBV?</w:t>
            </w:r>
          </w:p>
        </w:tc>
        <w:tc>
          <w:tcPr>
            <w:tcW w:w="0" w:type="auto"/>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72 (50.7%)</w:t>
            </w:r>
          </w:p>
        </w:tc>
        <w:tc>
          <w:tcPr>
            <w:tcW w:w="1456" w:type="dxa"/>
            <w:tcBorders>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70 (49.3%)</w:t>
            </w:r>
          </w:p>
        </w:tc>
      </w:tr>
    </w:tbl>
    <w:p w:rsidR="00C03697" w:rsidRPr="002972FC" w:rsidRDefault="00C03697" w:rsidP="00C03697">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D15842">
      <w:pPr>
        <w:pStyle w:val="NormalWeb"/>
        <w:spacing w:before="0" w:beforeAutospacing="0" w:after="0" w:afterAutospacing="0" w:line="480" w:lineRule="auto"/>
        <w:jc w:val="both"/>
        <w:rPr>
          <w:sz w:val="26"/>
          <w:szCs w:val="26"/>
        </w:rPr>
      </w:pPr>
      <w:r w:rsidRPr="00D15842">
        <w:rPr>
          <w:rStyle w:val="Strong"/>
          <w:sz w:val="26"/>
          <w:szCs w:val="26"/>
        </w:rPr>
        <w:t>Interpretation:</w:t>
      </w:r>
      <w:r w:rsidRPr="00D15842">
        <w:rPr>
          <w:sz w:val="26"/>
          <w:szCs w:val="26"/>
        </w:rPr>
        <w:br/>
        <w:t>While awareness is generally high (90.1%), participation in preventive education or training (such as seminars) is relatively low (only 26.8%). Half of the respondents personally know someone affected by online GBV.</w:t>
      </w:r>
    </w:p>
    <w:p w:rsidR="00D15842" w:rsidRDefault="00D15842" w:rsidP="00D15842">
      <w:pPr>
        <w:spacing w:line="480" w:lineRule="auto"/>
        <w:jc w:val="both"/>
        <w:rPr>
          <w:sz w:val="26"/>
          <w:szCs w:val="26"/>
        </w:rPr>
      </w:pPr>
    </w:p>
    <w:p w:rsidR="00C03697" w:rsidRDefault="00C03697" w:rsidP="00D15842">
      <w:pPr>
        <w:spacing w:line="480" w:lineRule="auto"/>
        <w:jc w:val="both"/>
        <w:rPr>
          <w:sz w:val="26"/>
          <w:szCs w:val="26"/>
        </w:rPr>
      </w:pPr>
    </w:p>
    <w:p w:rsidR="00C03697" w:rsidRDefault="00C03697" w:rsidP="00D15842">
      <w:pPr>
        <w:spacing w:line="480" w:lineRule="auto"/>
        <w:jc w:val="both"/>
        <w:rPr>
          <w:sz w:val="26"/>
          <w:szCs w:val="26"/>
        </w:rPr>
      </w:pPr>
    </w:p>
    <w:p w:rsidR="00C03697" w:rsidRDefault="00C03697" w:rsidP="00D15842">
      <w:pPr>
        <w:spacing w:line="480" w:lineRule="auto"/>
        <w:jc w:val="both"/>
        <w:rPr>
          <w:sz w:val="26"/>
          <w:szCs w:val="26"/>
        </w:rPr>
      </w:pPr>
    </w:p>
    <w:p w:rsidR="00C03697" w:rsidRPr="00D15842" w:rsidRDefault="00C03697" w:rsidP="00D15842">
      <w:pPr>
        <w:spacing w:line="480" w:lineRule="auto"/>
        <w:jc w:val="both"/>
        <w:rPr>
          <w:sz w:val="26"/>
          <w:szCs w:val="26"/>
        </w:rPr>
      </w:pP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lastRenderedPageBreak/>
        <w:t>4.6 Research Question Three: Responses and Coping Strategies</w:t>
      </w:r>
    </w:p>
    <w:tbl>
      <w:tblPr>
        <w:tblW w:w="0" w:type="auto"/>
        <w:tblCellSpacing w:w="15" w:type="dxa"/>
        <w:tblCellMar>
          <w:top w:w="15" w:type="dxa"/>
          <w:left w:w="15" w:type="dxa"/>
          <w:bottom w:w="15" w:type="dxa"/>
          <w:right w:w="15" w:type="dxa"/>
        </w:tblCellMar>
        <w:tblLook w:val="04A0"/>
      </w:tblPr>
      <w:tblGrid>
        <w:gridCol w:w="5200"/>
        <w:gridCol w:w="1245"/>
        <w:gridCol w:w="1821"/>
      </w:tblGrid>
      <w:tr w:rsidR="00D15842" w:rsidRPr="00D15842" w:rsidTr="002A4B04">
        <w:trPr>
          <w:tblHeader/>
          <w:tblCellSpacing w:w="15" w:type="dxa"/>
        </w:trPr>
        <w:tc>
          <w:tcPr>
            <w:tcW w:w="0" w:type="auto"/>
            <w:tcBorders>
              <w:top w:val="single" w:sz="4" w:space="0" w:color="auto"/>
              <w:left w:val="single" w:sz="4" w:space="0" w:color="auto"/>
              <w:right w:val="single" w:sz="4" w:space="0" w:color="auto"/>
            </w:tcBorders>
            <w:vAlign w:val="center"/>
            <w:hideMark/>
          </w:tcPr>
          <w:p w:rsidR="00D15842" w:rsidRPr="00D15842" w:rsidRDefault="00EE43E5" w:rsidP="00D15842">
            <w:pPr>
              <w:spacing w:line="480" w:lineRule="auto"/>
              <w:jc w:val="both"/>
              <w:rPr>
                <w:b/>
                <w:bCs/>
                <w:sz w:val="26"/>
                <w:szCs w:val="26"/>
              </w:rPr>
            </w:pPr>
            <w:r>
              <w:rPr>
                <w:b/>
                <w:bCs/>
                <w:noProof/>
                <w:sz w:val="26"/>
                <w:szCs w:val="26"/>
              </w:rPr>
              <w:pict>
                <v:shape id="_x0000_s1040" type="#_x0000_t32" style="position:absolute;left:0;text-align:left;margin-left:0;margin-top:24.4pt;width:408.75pt;height:0;z-index:251672576" o:connectortype="straight"/>
              </w:pict>
            </w:r>
            <w:r w:rsidR="00D15842" w:rsidRPr="00D15842">
              <w:rPr>
                <w:rStyle w:val="Strong"/>
                <w:sz w:val="26"/>
                <w:szCs w:val="26"/>
              </w:rPr>
              <w:t>Response to Online GBV</w:t>
            </w:r>
          </w:p>
        </w:tc>
        <w:tc>
          <w:tcPr>
            <w:tcW w:w="0" w:type="auto"/>
            <w:tcBorders>
              <w:top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Frequency</w:t>
            </w:r>
          </w:p>
        </w:tc>
        <w:tc>
          <w:tcPr>
            <w:tcW w:w="0" w:type="auto"/>
            <w:tcBorders>
              <w:top w:val="single" w:sz="4" w:space="0" w:color="auto"/>
              <w:left w:val="single" w:sz="4" w:space="0" w:color="auto"/>
              <w:right w:val="single" w:sz="4" w:space="0" w:color="auto"/>
            </w:tcBorders>
            <w:vAlign w:val="center"/>
            <w:hideMark/>
          </w:tcPr>
          <w:p w:rsidR="00D15842" w:rsidRPr="00D15842" w:rsidRDefault="00D15842" w:rsidP="00D15842">
            <w:pPr>
              <w:spacing w:line="480" w:lineRule="auto"/>
              <w:jc w:val="both"/>
              <w:rPr>
                <w:b/>
                <w:bCs/>
                <w:sz w:val="26"/>
                <w:szCs w:val="26"/>
              </w:rPr>
            </w:pPr>
            <w:r w:rsidRPr="00D15842">
              <w:rPr>
                <w:rStyle w:val="Strong"/>
                <w:sz w:val="26"/>
                <w:szCs w:val="26"/>
              </w:rPr>
              <w:t>Percentage (%)</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41" type="#_x0000_t32" style="position:absolute;left:0;text-align:left;margin-left:-1pt;margin-top:29.75pt;width:408.75pt;height:0;z-index:251673600;mso-position-horizontal-relative:text;mso-position-vertical-relative:text" o:connectortype="straight"/>
              </w:pict>
            </w:r>
            <w:r w:rsidR="00D15842" w:rsidRPr="00D15842">
              <w:rPr>
                <w:sz w:val="26"/>
                <w:szCs w:val="26"/>
              </w:rPr>
              <w:t>Blocked the perpetrator</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58</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40.8</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42" type="#_x0000_t32" style="position:absolute;left:0;text-align:left;margin-left:1.75pt;margin-top:28.55pt;width:408.75pt;height:0;z-index:251674624;mso-position-horizontal-relative:text;mso-position-vertical-relative:text" o:connectortype="straight"/>
              </w:pict>
            </w:r>
            <w:r w:rsidR="00D15842" w:rsidRPr="00D15842">
              <w:rPr>
                <w:sz w:val="26"/>
                <w:szCs w:val="26"/>
              </w:rPr>
              <w:t>Ignored the abuse</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42</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29.6</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43" type="#_x0000_t32" style="position:absolute;left:0;text-align:left;margin-left:-1pt;margin-top:27.25pt;width:408.75pt;height:0;z-index:251675648;mso-position-horizontal-relative:text;mso-position-vertical-relative:text" o:connectortype="straight"/>
              </w:pict>
            </w:r>
            <w:r w:rsidR="00D15842" w:rsidRPr="00D15842">
              <w:rPr>
                <w:sz w:val="26"/>
                <w:szCs w:val="26"/>
              </w:rPr>
              <w:t>Reported to platform (e.g., Facebook, Instagram)</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24</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16.9</w:t>
            </w:r>
          </w:p>
        </w:tc>
      </w:tr>
      <w:tr w:rsidR="00D15842" w:rsidRPr="00D15842" w:rsidTr="002A4B04">
        <w:trPr>
          <w:tblCellSpacing w:w="15" w:type="dxa"/>
        </w:trPr>
        <w:tc>
          <w:tcPr>
            <w:tcW w:w="0" w:type="auto"/>
            <w:tcBorders>
              <w:left w:val="single" w:sz="4" w:space="0" w:color="auto"/>
              <w:right w:val="single" w:sz="4" w:space="0" w:color="auto"/>
            </w:tcBorders>
            <w:vAlign w:val="center"/>
            <w:hideMark/>
          </w:tcPr>
          <w:p w:rsidR="00D15842" w:rsidRPr="00D15842" w:rsidRDefault="00EE43E5" w:rsidP="00D15842">
            <w:pPr>
              <w:spacing w:line="480" w:lineRule="auto"/>
              <w:jc w:val="both"/>
              <w:rPr>
                <w:sz w:val="26"/>
                <w:szCs w:val="26"/>
              </w:rPr>
            </w:pPr>
            <w:r w:rsidRPr="00EE43E5">
              <w:rPr>
                <w:b/>
                <w:bCs/>
                <w:noProof/>
                <w:sz w:val="26"/>
                <w:szCs w:val="26"/>
              </w:rPr>
              <w:pict>
                <v:shape id="_x0000_s1044" type="#_x0000_t32" style="position:absolute;left:0;text-align:left;margin-left:2.75pt;margin-top:27.75pt;width:408.75pt;height:0;z-index:251676672;mso-position-horizontal-relative:text;mso-position-vertical-relative:text" o:connectortype="straight"/>
              </w:pict>
            </w:r>
            <w:r w:rsidR="00D15842" w:rsidRPr="00D15842">
              <w:rPr>
                <w:sz w:val="26"/>
                <w:szCs w:val="26"/>
              </w:rPr>
              <w:t>Reported to school or authorities</w:t>
            </w:r>
          </w:p>
        </w:tc>
        <w:tc>
          <w:tcPr>
            <w:tcW w:w="0" w:type="auto"/>
            <w:vAlign w:val="center"/>
            <w:hideMark/>
          </w:tcPr>
          <w:p w:rsidR="00D15842" w:rsidRPr="00D15842" w:rsidRDefault="00D15842" w:rsidP="00D15842">
            <w:pPr>
              <w:spacing w:line="480" w:lineRule="auto"/>
              <w:jc w:val="both"/>
              <w:rPr>
                <w:sz w:val="26"/>
                <w:szCs w:val="26"/>
              </w:rPr>
            </w:pPr>
            <w:r w:rsidRPr="00D15842">
              <w:rPr>
                <w:sz w:val="26"/>
                <w:szCs w:val="26"/>
              </w:rPr>
              <w:t>11</w:t>
            </w:r>
          </w:p>
        </w:tc>
        <w:tc>
          <w:tcPr>
            <w:tcW w:w="0" w:type="auto"/>
            <w:tcBorders>
              <w:left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7.7</w:t>
            </w:r>
          </w:p>
        </w:tc>
      </w:tr>
      <w:tr w:rsidR="00D15842" w:rsidRPr="00D15842" w:rsidTr="002A4B04">
        <w:trPr>
          <w:tblCellSpacing w:w="15" w:type="dxa"/>
        </w:trPr>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Sought emotional or psychological help</w:t>
            </w:r>
          </w:p>
        </w:tc>
        <w:tc>
          <w:tcPr>
            <w:tcW w:w="0" w:type="auto"/>
            <w:tcBorders>
              <w:bottom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7</w:t>
            </w:r>
          </w:p>
        </w:tc>
        <w:tc>
          <w:tcPr>
            <w:tcW w:w="0" w:type="auto"/>
            <w:tcBorders>
              <w:left w:val="single" w:sz="4" w:space="0" w:color="auto"/>
              <w:bottom w:val="single" w:sz="4" w:space="0" w:color="auto"/>
              <w:right w:val="single" w:sz="4" w:space="0" w:color="auto"/>
            </w:tcBorders>
            <w:vAlign w:val="center"/>
            <w:hideMark/>
          </w:tcPr>
          <w:p w:rsidR="00D15842" w:rsidRPr="00D15842" w:rsidRDefault="00D15842" w:rsidP="00D15842">
            <w:pPr>
              <w:spacing w:line="480" w:lineRule="auto"/>
              <w:jc w:val="both"/>
              <w:rPr>
                <w:sz w:val="26"/>
                <w:szCs w:val="26"/>
              </w:rPr>
            </w:pPr>
            <w:r w:rsidRPr="00D15842">
              <w:rPr>
                <w:sz w:val="26"/>
                <w:szCs w:val="26"/>
              </w:rPr>
              <w:t>4.9</w:t>
            </w:r>
          </w:p>
        </w:tc>
      </w:tr>
    </w:tbl>
    <w:p w:rsidR="002A4B04" w:rsidRPr="002A4B04" w:rsidRDefault="002A4B04" w:rsidP="002A4B04">
      <w:pPr>
        <w:spacing w:line="480" w:lineRule="auto"/>
        <w:jc w:val="both"/>
        <w:rPr>
          <w:b/>
          <w:sz w:val="26"/>
          <w:szCs w:val="26"/>
        </w:rPr>
      </w:pPr>
      <w:r w:rsidRPr="002972FC">
        <w:rPr>
          <w:b/>
          <w:sz w:val="26"/>
          <w:szCs w:val="26"/>
        </w:rPr>
        <w:t xml:space="preserve">Source: Researcher’s Field Survey, 2025 </w:t>
      </w:r>
    </w:p>
    <w:p w:rsidR="00D15842" w:rsidRPr="00D15842" w:rsidRDefault="00D15842" w:rsidP="002A4B04">
      <w:pPr>
        <w:pStyle w:val="NormalWeb"/>
        <w:spacing w:before="0" w:beforeAutospacing="0" w:after="0" w:afterAutospacing="0" w:line="480" w:lineRule="auto"/>
        <w:jc w:val="both"/>
        <w:rPr>
          <w:sz w:val="26"/>
          <w:szCs w:val="26"/>
        </w:rPr>
      </w:pPr>
      <w:r w:rsidRPr="00D15842">
        <w:rPr>
          <w:rStyle w:val="Strong"/>
          <w:sz w:val="26"/>
          <w:szCs w:val="26"/>
        </w:rPr>
        <w:t>Interpretation:</w:t>
      </w:r>
      <w:r w:rsidRPr="00D15842">
        <w:rPr>
          <w:sz w:val="26"/>
          <w:szCs w:val="26"/>
        </w:rPr>
        <w:br/>
        <w:t>Most students respond by blocking or ignoring perpetrators. Very few seek institutional or legal help, revealing a gap in reporting culture and support systems.</w:t>
      </w:r>
    </w:p>
    <w:p w:rsidR="00D15842" w:rsidRPr="00D15842" w:rsidRDefault="00D15842" w:rsidP="00D15842">
      <w:pPr>
        <w:pStyle w:val="Heading3"/>
        <w:spacing w:before="0" w:after="0" w:line="480" w:lineRule="auto"/>
        <w:jc w:val="both"/>
        <w:rPr>
          <w:rFonts w:ascii="Times New Roman" w:hAnsi="Times New Roman"/>
        </w:rPr>
      </w:pPr>
      <w:r w:rsidRPr="00D15842">
        <w:rPr>
          <w:rStyle w:val="Strong"/>
          <w:rFonts w:ascii="Times New Roman" w:hAnsi="Times New Roman"/>
          <w:b/>
          <w:bCs/>
        </w:rPr>
        <w:t>4.7 Summary of Findings</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Prevalence of GBV:</w:t>
      </w:r>
      <w:r w:rsidRPr="00D15842">
        <w:rPr>
          <w:sz w:val="26"/>
          <w:szCs w:val="26"/>
        </w:rPr>
        <w:t xml:space="preserve"> Majority of respondents have experienced at least one form of gender-based violence on social media.</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Awareness Level:</w:t>
      </w:r>
      <w:r w:rsidRPr="00D15842">
        <w:rPr>
          <w:sz w:val="26"/>
          <w:szCs w:val="26"/>
        </w:rPr>
        <w:t xml:space="preserve"> While students are aware of online GBV, they lack adequate exposure to formal training or prevention education.</w:t>
      </w:r>
    </w:p>
    <w:p w:rsidR="00D15842" w:rsidRPr="00D15842" w:rsidRDefault="00D15842" w:rsidP="002A4B04">
      <w:pPr>
        <w:pStyle w:val="NormalWeb"/>
        <w:spacing w:before="0" w:beforeAutospacing="0" w:after="0" w:afterAutospacing="0" w:line="480" w:lineRule="auto"/>
        <w:ind w:left="720"/>
        <w:jc w:val="both"/>
        <w:rPr>
          <w:sz w:val="26"/>
          <w:szCs w:val="26"/>
        </w:rPr>
      </w:pPr>
      <w:r w:rsidRPr="00D15842">
        <w:rPr>
          <w:rStyle w:val="Strong"/>
          <w:sz w:val="26"/>
          <w:szCs w:val="26"/>
        </w:rPr>
        <w:t>Coping Methods:</w:t>
      </w:r>
      <w:r w:rsidRPr="00D15842">
        <w:rPr>
          <w:sz w:val="26"/>
          <w:szCs w:val="26"/>
        </w:rPr>
        <w:t xml:space="preserve"> Most responses to GBV are informal—blocking or ignoring—while only a small percentage seek help or report incidents.</w:t>
      </w:r>
    </w:p>
    <w:p w:rsidR="00D15842" w:rsidRPr="00D15842" w:rsidRDefault="00D15842" w:rsidP="00D15842">
      <w:pPr>
        <w:spacing w:line="480" w:lineRule="auto"/>
        <w:jc w:val="both"/>
        <w:rPr>
          <w:sz w:val="26"/>
          <w:szCs w:val="26"/>
        </w:rPr>
      </w:pPr>
    </w:p>
    <w:p w:rsidR="002A4B04" w:rsidRPr="002A4B04" w:rsidRDefault="002A4B04" w:rsidP="00CD36C2">
      <w:pPr>
        <w:pStyle w:val="Heading2"/>
        <w:spacing w:before="0" w:after="0" w:line="480" w:lineRule="auto"/>
        <w:jc w:val="center"/>
        <w:rPr>
          <w:rFonts w:ascii="Times New Roman" w:hAnsi="Times New Roman" w:cs="Times New Roman"/>
          <w:i w:val="0"/>
          <w:sz w:val="26"/>
          <w:szCs w:val="26"/>
        </w:rPr>
      </w:pPr>
      <w:r w:rsidRPr="002A4B04">
        <w:rPr>
          <w:rStyle w:val="Strong"/>
          <w:rFonts w:ascii="Times New Roman" w:hAnsi="Times New Roman" w:cs="Times New Roman"/>
          <w:b/>
          <w:bCs/>
          <w:i w:val="0"/>
          <w:sz w:val="26"/>
          <w:szCs w:val="26"/>
        </w:rPr>
        <w:lastRenderedPageBreak/>
        <w:t>CHAPTER FIVE</w:t>
      </w:r>
    </w:p>
    <w:p w:rsidR="002A4B04" w:rsidRPr="002A4B04" w:rsidRDefault="002A4B04" w:rsidP="00CD36C2">
      <w:pPr>
        <w:pStyle w:val="Heading3"/>
        <w:spacing w:before="0" w:after="0" w:line="480" w:lineRule="auto"/>
        <w:jc w:val="both"/>
        <w:rPr>
          <w:rFonts w:ascii="Times New Roman" w:hAnsi="Times New Roman"/>
        </w:rPr>
      </w:pPr>
      <w:r w:rsidRPr="002A4B04">
        <w:rPr>
          <w:rStyle w:val="Strong"/>
          <w:rFonts w:ascii="Times New Roman" w:hAnsi="Times New Roman"/>
          <w:b/>
          <w:bCs/>
        </w:rPr>
        <w:t>SUMMARY, CONCLUSION AND RECOMMENDATIONS</w:t>
      </w: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5.1 Summary of Findings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This study investigated how social media influences gender-based violence (GBV) among female students of Kwara State Polytechnic. The research employed a survey method using structured questionnaires administered to 150 respondents, with 142 valid responses.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Key findings from the research include:</w:t>
      </w:r>
    </w:p>
    <w:p w:rsidR="002A4B04" w:rsidRPr="002A4B04" w:rsidRDefault="002A4B04" w:rsidP="00CD36C2">
      <w:pPr>
        <w:pStyle w:val="NormalWeb"/>
        <w:numPr>
          <w:ilvl w:val="0"/>
          <w:numId w:val="26"/>
        </w:numPr>
        <w:spacing w:before="0" w:beforeAutospacing="0" w:after="0" w:afterAutospacing="0" w:line="480" w:lineRule="auto"/>
        <w:jc w:val="both"/>
        <w:rPr>
          <w:sz w:val="26"/>
          <w:szCs w:val="26"/>
        </w:rPr>
      </w:pPr>
      <w:r w:rsidRPr="002A4B04">
        <w:rPr>
          <w:sz w:val="26"/>
          <w:szCs w:val="26"/>
        </w:rPr>
        <w:t>A significant number of respondents (over 60%) have experienced at least one form of online GBV, including unsolicited sexual messages, cyberstalking, body shaming, and blackmail.</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Awareness of social media-related GBV is relatively high, with about 90% of respondents acknowledging the existence of such threats. However, formal education or training on digital safety is lacking among the majority.</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Most students rely on self-protective actions such as blocking offenders or ignoring the abuse. Only a small portion report such incidents to school authorities or law enforcement.</w:t>
      </w:r>
    </w:p>
    <w:p w:rsidR="002A4B04" w:rsidRPr="002A4B04" w:rsidRDefault="002A4B04" w:rsidP="002A4B04">
      <w:pPr>
        <w:pStyle w:val="NormalWeb"/>
        <w:numPr>
          <w:ilvl w:val="0"/>
          <w:numId w:val="26"/>
        </w:numPr>
        <w:spacing w:before="0" w:beforeAutospacing="0" w:after="0" w:afterAutospacing="0" w:line="480" w:lineRule="auto"/>
        <w:jc w:val="both"/>
        <w:rPr>
          <w:sz w:val="26"/>
          <w:szCs w:val="26"/>
        </w:rPr>
      </w:pPr>
      <w:r w:rsidRPr="002A4B04">
        <w:rPr>
          <w:sz w:val="26"/>
          <w:szCs w:val="26"/>
        </w:rPr>
        <w:t>The dominant platforms where GBV occurs include WhatsApp, Facebook, and Instagram.</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These findings reflect a concerning digital reality where social media usage—although beneficial—also opens up avenues for violence and abuse, especially among young female students.</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5.2 Conclusion</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From the analysis, it is evident that social media, while serving as a tool for communication and information-sharing, has also become a platform for various forms of gender-based violence. Female students of Kwara State Polytechnic are not only vulnerable to online harassment and abuse, but many also lack the support structures or knowledge to respond effectively.</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There is a pressing need for educational, institutional, and technological responses to the growing threat of digital GBV. Institutions of higher learning, policy-makers, parents, and digital platform providers must work together to create a safe and empowering online environment for young women.</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5.3 Recommendations</w:t>
      </w:r>
    </w:p>
    <w:p w:rsidR="002A4B04" w:rsidRPr="002A4B04" w:rsidRDefault="002A4B04" w:rsidP="002A4B04">
      <w:pPr>
        <w:pStyle w:val="NormalWeb"/>
        <w:spacing w:before="0" w:beforeAutospacing="0" w:after="0" w:afterAutospacing="0" w:line="480" w:lineRule="auto"/>
        <w:jc w:val="both"/>
        <w:rPr>
          <w:sz w:val="26"/>
          <w:szCs w:val="26"/>
        </w:rPr>
      </w:pPr>
      <w:r w:rsidRPr="002A4B04">
        <w:rPr>
          <w:sz w:val="26"/>
          <w:szCs w:val="26"/>
        </w:rPr>
        <w:t>Based on the findings of this study, the following recommendations are proposed:</w:t>
      </w:r>
    </w:p>
    <w:p w:rsidR="002A4B04" w:rsidRPr="002A4B04" w:rsidRDefault="002A4B04" w:rsidP="002A4B04">
      <w:pPr>
        <w:pStyle w:val="NormalWeb"/>
        <w:numPr>
          <w:ilvl w:val="0"/>
          <w:numId w:val="27"/>
        </w:numPr>
        <w:spacing w:before="0" w:beforeAutospacing="0" w:after="0" w:afterAutospacing="0" w:line="480" w:lineRule="auto"/>
        <w:rPr>
          <w:sz w:val="26"/>
          <w:szCs w:val="26"/>
        </w:rPr>
      </w:pPr>
      <w:r w:rsidRPr="002A4B04">
        <w:rPr>
          <w:rStyle w:val="Strong"/>
          <w:sz w:val="26"/>
          <w:szCs w:val="26"/>
        </w:rPr>
        <w:t>Digital Safety Education:</w:t>
      </w:r>
      <w:r w:rsidRPr="002A4B04">
        <w:rPr>
          <w:sz w:val="26"/>
          <w:szCs w:val="26"/>
        </w:rPr>
        <w:br/>
        <w:t>The institution should integrate digital safety and cyber etiquette into orientation programs for new students. Special workshops and campaigns should be conducted to educate students on how to recognize, avoid, and report online GBV.</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Establish Reporting Mechanisms:</w:t>
      </w:r>
      <w:r w:rsidRPr="002A4B04">
        <w:rPr>
          <w:sz w:val="26"/>
          <w:szCs w:val="26"/>
        </w:rPr>
        <w:br/>
        <w:t>Kwara State Polytechnic should establish a confidential and responsive system for students to report any form of GBV, whether online or offline. This could include a help desk, digital reporting platform, or a student welfare committee.</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lastRenderedPageBreak/>
        <w:t>Collaboration with Social Media Companies:</w:t>
      </w:r>
      <w:r w:rsidRPr="002A4B04">
        <w:rPr>
          <w:sz w:val="26"/>
          <w:szCs w:val="26"/>
        </w:rPr>
        <w:br/>
        <w:t>The school can partner with digital platforms to ensure harmful content is promptly flagged and removed. Awareness campaigns on how to use blocking, reporting, and privacy settings should be part of campus digital literacy.</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Support Services for Victims:</w:t>
      </w:r>
      <w:r w:rsidRPr="002A4B04">
        <w:rPr>
          <w:sz w:val="26"/>
          <w:szCs w:val="26"/>
        </w:rPr>
        <w:br/>
        <w:t>Counseling and mental health support should be provided for students who have experienced online abuse. Victims should feel safe and supported, not stigmatized.</w:t>
      </w:r>
    </w:p>
    <w:p w:rsidR="002A4B04" w:rsidRPr="002A4B04" w:rsidRDefault="002A4B04" w:rsidP="00CD36C2">
      <w:pPr>
        <w:pStyle w:val="NormalWeb"/>
        <w:numPr>
          <w:ilvl w:val="0"/>
          <w:numId w:val="27"/>
        </w:numPr>
        <w:spacing w:before="0" w:beforeAutospacing="0" w:after="0" w:afterAutospacing="0" w:line="480" w:lineRule="auto"/>
        <w:rPr>
          <w:sz w:val="26"/>
          <w:szCs w:val="26"/>
        </w:rPr>
      </w:pPr>
      <w:r w:rsidRPr="002A4B04">
        <w:rPr>
          <w:rStyle w:val="Strong"/>
          <w:sz w:val="26"/>
          <w:szCs w:val="26"/>
        </w:rPr>
        <w:t>Policy and Enforcement:</w:t>
      </w:r>
      <w:r w:rsidRPr="002A4B04">
        <w:rPr>
          <w:sz w:val="26"/>
          <w:szCs w:val="26"/>
        </w:rPr>
        <w:br/>
        <w:t>There should be an institutional policy that addresses digital harassment and cyberbullying, with clear penalties for perpetrators.</w:t>
      </w:r>
    </w:p>
    <w:p w:rsidR="002A4B04" w:rsidRPr="002A4B04" w:rsidRDefault="002A4B04" w:rsidP="002A4B04">
      <w:pPr>
        <w:spacing w:line="480" w:lineRule="auto"/>
        <w:jc w:val="both"/>
        <w:rPr>
          <w:sz w:val="26"/>
          <w:szCs w:val="26"/>
        </w:rPr>
      </w:pPr>
    </w:p>
    <w:p w:rsidR="002A4B04" w:rsidRPr="002A4B04" w:rsidRDefault="002A4B04" w:rsidP="002A4B04">
      <w:pPr>
        <w:pStyle w:val="Heading3"/>
        <w:spacing w:before="0" w:after="0" w:line="480" w:lineRule="auto"/>
        <w:jc w:val="both"/>
        <w:rPr>
          <w:rFonts w:ascii="Times New Roman" w:hAnsi="Times New Roman"/>
        </w:rPr>
      </w:pPr>
      <w:r w:rsidRPr="002A4B04">
        <w:rPr>
          <w:rStyle w:val="Strong"/>
          <w:rFonts w:ascii="Times New Roman" w:hAnsi="Times New Roman"/>
          <w:b/>
          <w:bCs/>
        </w:rPr>
        <w:t>5.4 Suggestions for Further Research</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Future researchers should explore the psychological and academic impact of digital GBV on students.</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Comparative studies involving multiple institutions across different states could offer broader insights.</w:t>
      </w:r>
    </w:p>
    <w:p w:rsidR="002A4B04" w:rsidRPr="002A4B04" w:rsidRDefault="002A4B04" w:rsidP="002A4B04">
      <w:pPr>
        <w:pStyle w:val="NormalWeb"/>
        <w:numPr>
          <w:ilvl w:val="0"/>
          <w:numId w:val="28"/>
        </w:numPr>
        <w:spacing w:before="0" w:beforeAutospacing="0" w:after="0" w:afterAutospacing="0" w:line="480" w:lineRule="auto"/>
        <w:jc w:val="both"/>
        <w:rPr>
          <w:sz w:val="26"/>
          <w:szCs w:val="26"/>
        </w:rPr>
      </w:pPr>
      <w:r w:rsidRPr="002A4B04">
        <w:rPr>
          <w:sz w:val="26"/>
          <w:szCs w:val="26"/>
        </w:rPr>
        <w:t>Researchers could also assess male students’ perceptions and behaviors concerning online GBV, to understand both victim and perpetrator perspectives.</w:t>
      </w:r>
    </w:p>
    <w:p w:rsidR="00D15842" w:rsidRPr="00D15842" w:rsidRDefault="00D15842" w:rsidP="00D15842">
      <w:pPr>
        <w:spacing w:line="480" w:lineRule="auto"/>
        <w:jc w:val="both"/>
        <w:rPr>
          <w:sz w:val="26"/>
          <w:szCs w:val="26"/>
        </w:rPr>
      </w:pPr>
    </w:p>
    <w:p w:rsidR="00CD36C2" w:rsidRDefault="00CD36C2" w:rsidP="00D15842">
      <w:pPr>
        <w:pStyle w:val="Heading2"/>
        <w:spacing w:before="0" w:after="0" w:line="480" w:lineRule="auto"/>
        <w:jc w:val="both"/>
        <w:rPr>
          <w:rStyle w:val="Strong"/>
          <w:rFonts w:ascii="Times New Roman" w:hAnsi="Times New Roman" w:cs="Times New Roman"/>
          <w:b/>
          <w:bCs/>
          <w:sz w:val="26"/>
          <w:szCs w:val="26"/>
        </w:rPr>
      </w:pPr>
    </w:p>
    <w:p w:rsidR="00CD36C2" w:rsidRDefault="00CD36C2" w:rsidP="00CD36C2">
      <w:pPr>
        <w:pStyle w:val="NormalWeb"/>
        <w:spacing w:before="0" w:beforeAutospacing="0" w:after="0" w:afterAutospacing="0"/>
        <w:jc w:val="both"/>
        <w:rPr>
          <w:i/>
          <w:sz w:val="26"/>
          <w:szCs w:val="26"/>
        </w:rPr>
      </w:pPr>
    </w:p>
    <w:p w:rsidR="00CD36C2" w:rsidRDefault="00CD36C2" w:rsidP="00CD36C2">
      <w:pPr>
        <w:pStyle w:val="NormalWeb"/>
        <w:spacing w:before="0" w:beforeAutospacing="0" w:after="0" w:afterAutospacing="0"/>
        <w:jc w:val="both"/>
        <w:rPr>
          <w:i/>
          <w:sz w:val="26"/>
          <w:szCs w:val="26"/>
        </w:rPr>
      </w:pPr>
    </w:p>
    <w:p w:rsidR="00CD36C2" w:rsidRDefault="00CD36C2" w:rsidP="00CD36C2">
      <w:pPr>
        <w:pStyle w:val="NormalWeb"/>
        <w:spacing w:before="0" w:beforeAutospacing="0" w:after="0" w:afterAutospacing="0"/>
        <w:jc w:val="both"/>
        <w:rPr>
          <w:i/>
          <w:sz w:val="26"/>
          <w:szCs w:val="26"/>
        </w:rPr>
      </w:pPr>
    </w:p>
    <w:p w:rsidR="00CD36C2" w:rsidRPr="00CD36C2" w:rsidRDefault="00CD36C2" w:rsidP="00CD36C2">
      <w:pPr>
        <w:pStyle w:val="NormalWeb"/>
        <w:spacing w:before="0" w:beforeAutospacing="0" w:after="0" w:afterAutospacing="0"/>
        <w:jc w:val="both"/>
        <w:rPr>
          <w:b/>
          <w:i/>
          <w:sz w:val="26"/>
          <w:szCs w:val="26"/>
        </w:rPr>
      </w:pPr>
      <w:r w:rsidRPr="00CD36C2">
        <w:rPr>
          <w:b/>
          <w:i/>
          <w:sz w:val="26"/>
          <w:szCs w:val="26"/>
        </w:rPr>
        <w:lastRenderedPageBreak/>
        <w:t xml:space="preserve">References </w:t>
      </w:r>
    </w:p>
    <w:p w:rsidR="00CD36C2" w:rsidRDefault="00CD36C2" w:rsidP="00CD36C2">
      <w:pPr>
        <w:pStyle w:val="NormalWeb"/>
        <w:spacing w:before="0" w:beforeAutospacing="0" w:after="0" w:afterAutospacing="0"/>
        <w:jc w:val="both"/>
        <w:rPr>
          <w:i/>
          <w:sz w:val="26"/>
          <w:szCs w:val="26"/>
        </w:rPr>
      </w:pPr>
    </w:p>
    <w:p w:rsidR="00D15842" w:rsidRPr="00CD36C2" w:rsidRDefault="00D15842" w:rsidP="00CD36C2">
      <w:pPr>
        <w:pStyle w:val="NormalWeb"/>
        <w:spacing w:before="0" w:beforeAutospacing="0" w:after="0" w:afterAutospacing="0"/>
        <w:jc w:val="both"/>
        <w:rPr>
          <w:i/>
          <w:sz w:val="26"/>
          <w:szCs w:val="26"/>
        </w:rPr>
      </w:pPr>
      <w:r w:rsidRPr="00CD36C2">
        <w:rPr>
          <w:i/>
          <w:sz w:val="26"/>
          <w:szCs w:val="26"/>
        </w:rPr>
        <w:t xml:space="preserve">Musa, A., &amp; Adewale, T. (2022). </w:t>
      </w:r>
      <w:r w:rsidRPr="00CD36C2">
        <w:rPr>
          <w:rStyle w:val="Emphasis"/>
          <w:i w:val="0"/>
          <w:sz w:val="26"/>
          <w:szCs w:val="26"/>
        </w:rPr>
        <w:t>Gender-Based Violence and Social Media in Nigerian Universities</w:t>
      </w:r>
      <w:r w:rsidRPr="00CD36C2">
        <w:rPr>
          <w:i/>
          <w:sz w:val="26"/>
          <w:szCs w:val="26"/>
        </w:rPr>
        <w:t>. Journal of Gender Studies.</w:t>
      </w:r>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jc w:val="both"/>
        <w:rPr>
          <w:i/>
          <w:sz w:val="26"/>
          <w:szCs w:val="26"/>
        </w:rPr>
      </w:pPr>
      <w:r w:rsidRPr="00CD36C2">
        <w:rPr>
          <w:i/>
          <w:sz w:val="26"/>
          <w:szCs w:val="26"/>
        </w:rPr>
        <w:t xml:space="preserve">Okeke, C. (2020). </w:t>
      </w:r>
      <w:r w:rsidRPr="00CD36C2">
        <w:rPr>
          <w:rStyle w:val="Emphasis"/>
          <w:i w:val="0"/>
          <w:sz w:val="26"/>
          <w:szCs w:val="26"/>
        </w:rPr>
        <w:t>Cyberbullying among Nigerian Female Undergraduates</w:t>
      </w:r>
      <w:r w:rsidRPr="00CD36C2">
        <w:rPr>
          <w:i/>
          <w:sz w:val="26"/>
          <w:szCs w:val="26"/>
        </w:rPr>
        <w:t>. African Communication Research.</w:t>
      </w:r>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line="360" w:lineRule="auto"/>
        <w:jc w:val="both"/>
        <w:rPr>
          <w:i/>
          <w:sz w:val="26"/>
          <w:szCs w:val="26"/>
        </w:rPr>
      </w:pPr>
      <w:r w:rsidRPr="00CD36C2">
        <w:rPr>
          <w:i/>
          <w:sz w:val="26"/>
          <w:szCs w:val="26"/>
        </w:rPr>
        <w:t xml:space="preserve">Statista. (2023). </w:t>
      </w:r>
      <w:r w:rsidRPr="00CD36C2">
        <w:rPr>
          <w:rStyle w:val="Emphasis"/>
          <w:i w:val="0"/>
          <w:sz w:val="26"/>
          <w:szCs w:val="26"/>
        </w:rPr>
        <w:t>Social Media Usage in Nigeria</w:t>
      </w:r>
      <w:r w:rsidRPr="00CD36C2">
        <w:rPr>
          <w:i/>
          <w:sz w:val="26"/>
          <w:szCs w:val="26"/>
        </w:rPr>
        <w:t xml:space="preserve">. Retrieved from </w:t>
      </w:r>
      <w:hyperlink r:id="rId9" w:tgtFrame="_new" w:history="1">
        <w:r w:rsidRPr="00CD36C2">
          <w:rPr>
            <w:rStyle w:val="Hyperlink"/>
            <w:i/>
            <w:sz w:val="26"/>
            <w:szCs w:val="26"/>
          </w:rPr>
          <w:t>www.statista.com</w:t>
        </w:r>
      </w:hyperlink>
    </w:p>
    <w:p w:rsidR="00CD36C2" w:rsidRDefault="00CD36C2" w:rsidP="00CD36C2">
      <w:pPr>
        <w:pStyle w:val="NormalWeb"/>
        <w:spacing w:before="0" w:beforeAutospacing="0" w:after="0" w:afterAutospacing="0" w:line="360" w:lineRule="auto"/>
        <w:jc w:val="both"/>
        <w:rPr>
          <w:i/>
          <w:sz w:val="26"/>
          <w:szCs w:val="26"/>
        </w:rPr>
      </w:pPr>
    </w:p>
    <w:p w:rsidR="00D15842" w:rsidRPr="00CD36C2" w:rsidRDefault="00D15842" w:rsidP="00CD36C2">
      <w:pPr>
        <w:pStyle w:val="NormalWeb"/>
        <w:spacing w:before="0" w:beforeAutospacing="0" w:after="0" w:afterAutospacing="0" w:line="360" w:lineRule="auto"/>
        <w:jc w:val="both"/>
        <w:rPr>
          <w:i/>
          <w:sz w:val="26"/>
          <w:szCs w:val="26"/>
        </w:rPr>
      </w:pPr>
      <w:r w:rsidRPr="00CD36C2">
        <w:rPr>
          <w:i/>
          <w:sz w:val="26"/>
          <w:szCs w:val="26"/>
        </w:rPr>
        <w:t xml:space="preserve">UN Women. (2022). </w:t>
      </w:r>
      <w:r w:rsidRPr="00CD36C2">
        <w:rPr>
          <w:rStyle w:val="Emphasis"/>
          <w:i w:val="0"/>
          <w:sz w:val="26"/>
          <w:szCs w:val="26"/>
        </w:rPr>
        <w:t>Online Violence Against Women</w:t>
      </w:r>
      <w:r w:rsidRPr="00CD36C2">
        <w:rPr>
          <w:i/>
          <w:sz w:val="26"/>
          <w:szCs w:val="26"/>
        </w:rPr>
        <w:t xml:space="preserve">. </w:t>
      </w:r>
      <w:hyperlink r:id="rId10" w:tgtFrame="_new" w:history="1">
        <w:r w:rsidRPr="00CD36C2">
          <w:rPr>
            <w:rStyle w:val="Hyperlink"/>
            <w:i/>
            <w:sz w:val="26"/>
            <w:szCs w:val="26"/>
          </w:rPr>
          <w:t>www.unwomen.org</w:t>
        </w:r>
      </w:hyperlink>
    </w:p>
    <w:p w:rsidR="00CD36C2" w:rsidRPr="00CD36C2" w:rsidRDefault="00CD36C2" w:rsidP="00CD36C2">
      <w:pPr>
        <w:pStyle w:val="NormalWeb"/>
        <w:rPr>
          <w:sz w:val="26"/>
        </w:rPr>
      </w:pPr>
      <w:r w:rsidRPr="00CD36C2">
        <w:rPr>
          <w:sz w:val="26"/>
        </w:rPr>
        <w:t xml:space="preserve"> </w:t>
      </w:r>
      <w:r w:rsidRPr="00CD36C2">
        <w:rPr>
          <w:rStyle w:val="Strong"/>
          <w:sz w:val="26"/>
        </w:rPr>
        <w:t>Henry, N., &amp; Powell, A. (2018).</w:t>
      </w:r>
      <w:r w:rsidRPr="00CD36C2">
        <w:rPr>
          <w:sz w:val="26"/>
        </w:rPr>
        <w:br/>
      </w:r>
      <w:r w:rsidRPr="00CD36C2">
        <w:rPr>
          <w:rStyle w:val="Emphasis"/>
          <w:sz w:val="26"/>
        </w:rPr>
        <w:t>Technology-Facilitated Sexual Violence: A Literature Review of Empirical Research.</w:t>
      </w:r>
      <w:r w:rsidRPr="00CD36C2">
        <w:rPr>
          <w:sz w:val="26"/>
        </w:rPr>
        <w:br/>
      </w:r>
      <w:r w:rsidRPr="00CD36C2">
        <w:rPr>
          <w:rStyle w:val="Emphasis"/>
          <w:sz w:val="26"/>
        </w:rPr>
        <w:t>Trauma, Violence, &amp; Abuse</w:t>
      </w:r>
      <w:r w:rsidRPr="00CD36C2">
        <w:rPr>
          <w:sz w:val="26"/>
        </w:rPr>
        <w:t>, 19(2), 195–208.</w:t>
      </w:r>
      <w:r w:rsidRPr="00CD36C2">
        <w:rPr>
          <w:sz w:val="26"/>
        </w:rPr>
        <w:br/>
        <w:t>https://doi.org/10.1177/1524838016650189</w:t>
      </w:r>
    </w:p>
    <w:p w:rsidR="00CD36C2" w:rsidRPr="00CD36C2" w:rsidRDefault="00CD36C2" w:rsidP="00CD36C2">
      <w:pPr>
        <w:pStyle w:val="NormalWeb"/>
      </w:pPr>
      <w:r w:rsidRPr="00CD36C2">
        <w:t xml:space="preserve"> </w:t>
      </w:r>
      <w:r w:rsidRPr="00CD36C2">
        <w:rPr>
          <w:rStyle w:val="Strong"/>
        </w:rPr>
        <w:t>Citron, D. K. (2014).</w:t>
      </w:r>
      <w:r w:rsidRPr="00CD36C2">
        <w:rPr>
          <w:rStyle w:val="Emphasis"/>
        </w:rPr>
        <w:t>Hate Crimes in Cyberspace.</w:t>
      </w:r>
      <w:r w:rsidRPr="00CD36C2">
        <w:t xml:space="preserve"> Harvard University Press.</w:t>
      </w:r>
      <w:r w:rsidRPr="00CD36C2">
        <w:br/>
        <w:t>(Focuses on legal responses to cyber harassment and gender-targeted violence)</w:t>
      </w:r>
    </w:p>
    <w:p w:rsidR="00CD36C2" w:rsidRPr="00CD36C2" w:rsidRDefault="00CD36C2" w:rsidP="00CD36C2">
      <w:pPr>
        <w:pStyle w:val="NormalWeb"/>
      </w:pPr>
      <w:r w:rsidRPr="00CD36C2">
        <w:rPr>
          <w:rStyle w:val="Strong"/>
        </w:rPr>
        <w:t>Adewoye, H. O., &amp; Akanbi, M. A. (2021).</w:t>
      </w:r>
      <w:r w:rsidRPr="00CD36C2">
        <w:t xml:space="preserve"> </w:t>
      </w:r>
      <w:r w:rsidRPr="00CD36C2">
        <w:rPr>
          <w:rStyle w:val="Emphasis"/>
        </w:rPr>
        <w:t>The Influence of Social Media on Gender-Based Violence among Youths in Tertiary Institutions in Nigeria.</w:t>
      </w:r>
      <w:r w:rsidRPr="00CD36C2">
        <w:br/>
      </w:r>
      <w:r w:rsidRPr="00CD36C2">
        <w:rPr>
          <w:rStyle w:val="Emphasis"/>
        </w:rPr>
        <w:t>Journal of Communication and Media Research</w:t>
      </w:r>
      <w:r w:rsidRPr="00CD36C2">
        <w:t>, 13(1), 45–56.</w:t>
      </w:r>
    </w:p>
    <w:p w:rsidR="00CD36C2" w:rsidRPr="00CD36C2" w:rsidRDefault="00CD36C2" w:rsidP="00CD36C2">
      <w:pPr>
        <w:pStyle w:val="NormalWeb"/>
        <w:rPr>
          <w:i/>
          <w:sz w:val="26"/>
        </w:rPr>
      </w:pPr>
      <w:r w:rsidRPr="00CD36C2">
        <w:rPr>
          <w:i/>
          <w:sz w:val="26"/>
        </w:rPr>
        <w:t xml:space="preserve"> </w:t>
      </w:r>
      <w:r w:rsidRPr="00CD36C2">
        <w:rPr>
          <w:rStyle w:val="Strong"/>
          <w:i/>
          <w:sz w:val="26"/>
        </w:rPr>
        <w:t>Ojedokun, U. A. (2020).</w:t>
      </w:r>
      <w:r w:rsidRPr="00CD36C2">
        <w:rPr>
          <w:i/>
          <w:sz w:val="26"/>
        </w:rPr>
        <w:br/>
      </w:r>
      <w:r w:rsidRPr="00CD36C2">
        <w:rPr>
          <w:rStyle w:val="Emphasis"/>
          <w:i w:val="0"/>
          <w:sz w:val="26"/>
        </w:rPr>
        <w:t>Cyberbullying in Nigerian Tertiary Institutions: The Gender Dimension.</w:t>
      </w:r>
      <w:r w:rsidRPr="00CD36C2">
        <w:rPr>
          <w:i/>
          <w:sz w:val="26"/>
        </w:rPr>
        <w:br/>
      </w:r>
      <w:r w:rsidRPr="00CD36C2">
        <w:rPr>
          <w:rStyle w:val="Emphasis"/>
          <w:i w:val="0"/>
          <w:sz w:val="26"/>
        </w:rPr>
        <w:t>Nigerian Journal of Sociology and Anthropology</w:t>
      </w:r>
      <w:r w:rsidRPr="00CD36C2">
        <w:rPr>
          <w:i/>
          <w:sz w:val="26"/>
        </w:rPr>
        <w:t>, 18(1), 71–88.</w:t>
      </w:r>
    </w:p>
    <w:p w:rsidR="00D15842" w:rsidRPr="00D66878" w:rsidRDefault="00D15842" w:rsidP="00D15842">
      <w:pPr>
        <w:pStyle w:val="NormalWeb"/>
        <w:spacing w:before="0" w:beforeAutospacing="0" w:after="0" w:afterAutospacing="0" w:line="360" w:lineRule="auto"/>
        <w:jc w:val="both"/>
        <w:rPr>
          <w:rFonts w:ascii="Bookman Old Style" w:hAnsi="Bookman Old Style"/>
          <w:sz w:val="26"/>
          <w:szCs w:val="26"/>
        </w:rPr>
      </w:pPr>
    </w:p>
    <w:sectPr w:rsidR="00D15842" w:rsidRPr="00D66878" w:rsidSect="006D08D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6A7" w:rsidRDefault="003E36A7" w:rsidP="00D3112E">
      <w:r>
        <w:separator/>
      </w:r>
    </w:p>
  </w:endnote>
  <w:endnote w:type="continuationSeparator" w:id="1">
    <w:p w:rsidR="003E36A7" w:rsidRDefault="003E36A7" w:rsidP="00D31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2E" w:rsidRDefault="00EE43E5">
    <w:pPr>
      <w:pStyle w:val="Footer"/>
      <w:jc w:val="center"/>
    </w:pPr>
    <w:fldSimple w:instr=" PAGE   \* MERGEFORMAT ">
      <w:r w:rsidR="00E06820">
        <w:rPr>
          <w:noProof/>
        </w:rPr>
        <w:t>2</w:t>
      </w:r>
    </w:fldSimple>
  </w:p>
  <w:p w:rsidR="00D3112E" w:rsidRDefault="00D31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6A7" w:rsidRDefault="003E36A7" w:rsidP="00D3112E">
      <w:r>
        <w:separator/>
      </w:r>
    </w:p>
  </w:footnote>
  <w:footnote w:type="continuationSeparator" w:id="1">
    <w:p w:rsidR="003E36A7" w:rsidRDefault="003E36A7" w:rsidP="00D31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307"/>
    <w:multiLevelType w:val="multilevel"/>
    <w:tmpl w:val="AF8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56DE"/>
    <w:multiLevelType w:val="multilevel"/>
    <w:tmpl w:val="8BF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B56A2"/>
    <w:multiLevelType w:val="multilevel"/>
    <w:tmpl w:val="796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5348B"/>
    <w:multiLevelType w:val="multilevel"/>
    <w:tmpl w:val="E40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65B09"/>
    <w:multiLevelType w:val="multilevel"/>
    <w:tmpl w:val="5EE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949A2"/>
    <w:multiLevelType w:val="multilevel"/>
    <w:tmpl w:val="03A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C38E4"/>
    <w:multiLevelType w:val="multilevel"/>
    <w:tmpl w:val="8CE4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37BEF"/>
    <w:multiLevelType w:val="multilevel"/>
    <w:tmpl w:val="B984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9313ED"/>
    <w:multiLevelType w:val="multilevel"/>
    <w:tmpl w:val="C9649E0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75B1A"/>
    <w:multiLevelType w:val="multilevel"/>
    <w:tmpl w:val="722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A7C6A"/>
    <w:multiLevelType w:val="multilevel"/>
    <w:tmpl w:val="7682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018B5"/>
    <w:multiLevelType w:val="multilevel"/>
    <w:tmpl w:val="F67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C1CDC"/>
    <w:multiLevelType w:val="multilevel"/>
    <w:tmpl w:val="9BDA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5C7A28"/>
    <w:multiLevelType w:val="multilevel"/>
    <w:tmpl w:val="3F5C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6C2EB7"/>
    <w:multiLevelType w:val="multilevel"/>
    <w:tmpl w:val="9E36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2964CC"/>
    <w:multiLevelType w:val="multilevel"/>
    <w:tmpl w:val="4528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243E86"/>
    <w:multiLevelType w:val="multilevel"/>
    <w:tmpl w:val="A6F0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B02E0"/>
    <w:multiLevelType w:val="multilevel"/>
    <w:tmpl w:val="664E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C7B31"/>
    <w:multiLevelType w:val="hybridMultilevel"/>
    <w:tmpl w:val="D8D034D4"/>
    <w:lvl w:ilvl="0" w:tplc="F432C55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D5048"/>
    <w:multiLevelType w:val="multilevel"/>
    <w:tmpl w:val="42F8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64B36BD"/>
    <w:multiLevelType w:val="multilevel"/>
    <w:tmpl w:val="814CA3F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224A9A"/>
    <w:multiLevelType w:val="multilevel"/>
    <w:tmpl w:val="9276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C647E6"/>
    <w:multiLevelType w:val="multilevel"/>
    <w:tmpl w:val="067C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1724CC"/>
    <w:multiLevelType w:val="multilevel"/>
    <w:tmpl w:val="AEE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D3335B"/>
    <w:multiLevelType w:val="multilevel"/>
    <w:tmpl w:val="B41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C547D9"/>
    <w:multiLevelType w:val="hybridMultilevel"/>
    <w:tmpl w:val="2A08D140"/>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628C0"/>
    <w:multiLevelType w:val="multilevel"/>
    <w:tmpl w:val="025E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3A02AB"/>
    <w:multiLevelType w:val="multilevel"/>
    <w:tmpl w:val="2162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1146F9"/>
    <w:multiLevelType w:val="hybridMultilevel"/>
    <w:tmpl w:val="1D8E532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905D6"/>
    <w:multiLevelType w:val="multilevel"/>
    <w:tmpl w:val="2BF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D30716"/>
    <w:multiLevelType w:val="multilevel"/>
    <w:tmpl w:val="FD3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2"/>
  </w:num>
  <w:num w:numId="5">
    <w:abstractNumId w:val="1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9"/>
  </w:num>
  <w:num w:numId="12">
    <w:abstractNumId w:val="20"/>
  </w:num>
  <w:num w:numId="13">
    <w:abstractNumId w:val="6"/>
  </w:num>
  <w:num w:numId="14">
    <w:abstractNumId w:val="22"/>
  </w:num>
  <w:num w:numId="15">
    <w:abstractNumId w:val="27"/>
  </w:num>
  <w:num w:numId="16">
    <w:abstractNumId w:val="29"/>
  </w:num>
  <w:num w:numId="17">
    <w:abstractNumId w:val="7"/>
  </w:num>
  <w:num w:numId="18">
    <w:abstractNumId w:val="17"/>
  </w:num>
  <w:num w:numId="19">
    <w:abstractNumId w:val="4"/>
  </w:num>
  <w:num w:numId="20">
    <w:abstractNumId w:val="10"/>
  </w:num>
  <w:num w:numId="21">
    <w:abstractNumId w:val="24"/>
  </w:num>
  <w:num w:numId="22">
    <w:abstractNumId w:val="0"/>
  </w:num>
  <w:num w:numId="23">
    <w:abstractNumId w:val="5"/>
  </w:num>
  <w:num w:numId="24">
    <w:abstractNumId w:val="11"/>
  </w:num>
  <w:num w:numId="25">
    <w:abstractNumId w:val="23"/>
  </w:num>
  <w:num w:numId="26">
    <w:abstractNumId w:val="8"/>
  </w:num>
  <w:num w:numId="27">
    <w:abstractNumId w:val="15"/>
  </w:num>
  <w:num w:numId="28">
    <w:abstractNumId w:val="16"/>
  </w:num>
  <w:num w:numId="29">
    <w:abstractNumId w:val="1"/>
  </w:num>
  <w:num w:numId="30">
    <w:abstractNumId w:val="21"/>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112E"/>
    <w:rsid w:val="00020244"/>
    <w:rsid w:val="000F0AA3"/>
    <w:rsid w:val="0015441C"/>
    <w:rsid w:val="002972FC"/>
    <w:rsid w:val="002A4B04"/>
    <w:rsid w:val="00326E85"/>
    <w:rsid w:val="003E36A7"/>
    <w:rsid w:val="004507F9"/>
    <w:rsid w:val="00485BFF"/>
    <w:rsid w:val="00573265"/>
    <w:rsid w:val="00577ECC"/>
    <w:rsid w:val="005A04F7"/>
    <w:rsid w:val="00626EA5"/>
    <w:rsid w:val="00687602"/>
    <w:rsid w:val="006D08D7"/>
    <w:rsid w:val="00775999"/>
    <w:rsid w:val="007F0FAF"/>
    <w:rsid w:val="00B12323"/>
    <w:rsid w:val="00BB32B2"/>
    <w:rsid w:val="00C03697"/>
    <w:rsid w:val="00CD36C2"/>
    <w:rsid w:val="00D15842"/>
    <w:rsid w:val="00D3112E"/>
    <w:rsid w:val="00D613E9"/>
    <w:rsid w:val="00D66878"/>
    <w:rsid w:val="00E05556"/>
    <w:rsid w:val="00E06820"/>
    <w:rsid w:val="00EE43E5"/>
    <w:rsid w:val="00F03BFB"/>
    <w:rsid w:val="00F139E7"/>
    <w:rsid w:val="00F86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0" type="connector" idref="#_x0000_s1030"/>
        <o:r id="V:Rule21" type="connector" idref="#_x0000_s1037"/>
        <o:r id="V:Rule22" type="connector" idref="#_x0000_s1040"/>
        <o:r id="V:Rule23" type="connector" idref="#_x0000_s1036"/>
        <o:r id="V:Rule24" type="connector" idref="#_x0000_s1031"/>
        <o:r id="V:Rule25" type="connector" idref="#_x0000_s1039"/>
        <o:r id="V:Rule26" type="connector" idref="#_x0000_s1032"/>
        <o:r id="V:Rule27" type="connector" idref="#_x0000_s1038"/>
        <o:r id="V:Rule28" type="connector" idref="#_x0000_s1041"/>
        <o:r id="V:Rule29" type="connector" idref="#_x0000_s1066"/>
        <o:r id="V:Rule30" type="connector" idref="#_x0000_s1043"/>
        <o:r id="V:Rule31" type="connector" idref="#_x0000_s1067"/>
        <o:r id="V:Rule32" type="connector" idref="#_x0000_s1065"/>
        <o:r id="V:Rule33" type="connector" idref="#_x0000_s1034"/>
        <o:r id="V:Rule34" type="connector" idref="#_x0000_s1035"/>
        <o:r id="V:Rule35" type="connector" idref="#_x0000_s1033"/>
        <o:r id="V:Rule36" type="connector" idref="#_x0000_s1044"/>
        <o:r id="V:Rule37" type="connector" idref="#_x0000_s1042"/>
        <o:r id="V:Rule38"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2E"/>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D1584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055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D3112E"/>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D3112E"/>
    <w:rPr>
      <w:rFonts w:ascii="Calibri" w:eastAsia="Times New Roman" w:hAnsi="Calibri" w:cs="Times New Roman"/>
      <w:b/>
      <w:bCs/>
      <w:sz w:val="28"/>
      <w:szCs w:val="28"/>
    </w:rPr>
  </w:style>
  <w:style w:type="character" w:styleId="Hyperlink">
    <w:name w:val="Hyperlink"/>
    <w:uiPriority w:val="99"/>
    <w:unhideWhenUsed/>
    <w:rsid w:val="00D3112E"/>
    <w:rPr>
      <w:color w:val="0000FF"/>
      <w:u w:val="single"/>
    </w:rPr>
  </w:style>
  <w:style w:type="paragraph" w:styleId="ListParagraph">
    <w:name w:val="List Paragraph"/>
    <w:basedOn w:val="Normal"/>
    <w:uiPriority w:val="1"/>
    <w:qFormat/>
    <w:rsid w:val="00D3112E"/>
    <w:pPr>
      <w:spacing w:after="200" w:line="276" w:lineRule="auto"/>
      <w:ind w:left="720"/>
      <w:contextualSpacing/>
    </w:pPr>
    <w:rPr>
      <w:rFonts w:ascii="Calibri" w:eastAsia="Calibri" w:hAnsi="Calibri"/>
      <w:sz w:val="22"/>
      <w:szCs w:val="22"/>
    </w:rPr>
  </w:style>
  <w:style w:type="character" w:styleId="Strong">
    <w:name w:val="Strong"/>
    <w:uiPriority w:val="22"/>
    <w:qFormat/>
    <w:rsid w:val="00D3112E"/>
    <w:rPr>
      <w:b/>
      <w:bCs/>
    </w:rPr>
  </w:style>
  <w:style w:type="paragraph" w:styleId="NormalWeb">
    <w:name w:val="Normal (Web)"/>
    <w:basedOn w:val="Normal"/>
    <w:uiPriority w:val="99"/>
    <w:unhideWhenUsed/>
    <w:rsid w:val="00D3112E"/>
    <w:pPr>
      <w:spacing w:before="100" w:beforeAutospacing="1" w:after="100" w:afterAutospacing="1"/>
    </w:pPr>
  </w:style>
  <w:style w:type="character" w:customStyle="1" w:styleId="katex-mathml">
    <w:name w:val="katex-mathml"/>
    <w:rsid w:val="00D3112E"/>
  </w:style>
  <w:style w:type="character" w:customStyle="1" w:styleId="mord">
    <w:name w:val="mord"/>
    <w:rsid w:val="00D3112E"/>
  </w:style>
  <w:style w:type="character" w:customStyle="1" w:styleId="mrel">
    <w:name w:val="mrel"/>
    <w:rsid w:val="00D3112E"/>
  </w:style>
  <w:style w:type="character" w:customStyle="1" w:styleId="mopen">
    <w:name w:val="mopen"/>
    <w:rsid w:val="00D3112E"/>
  </w:style>
  <w:style w:type="character" w:customStyle="1" w:styleId="mbin">
    <w:name w:val="mbin"/>
    <w:rsid w:val="00D3112E"/>
  </w:style>
  <w:style w:type="character" w:customStyle="1" w:styleId="mclose">
    <w:name w:val="mclose"/>
    <w:rsid w:val="00D3112E"/>
  </w:style>
  <w:style w:type="character" w:customStyle="1" w:styleId="vlist-s">
    <w:name w:val="vlist-s"/>
    <w:rsid w:val="00D3112E"/>
  </w:style>
  <w:style w:type="paragraph" w:styleId="Header">
    <w:name w:val="header"/>
    <w:basedOn w:val="Normal"/>
    <w:link w:val="HeaderChar"/>
    <w:uiPriority w:val="99"/>
    <w:unhideWhenUsed/>
    <w:rsid w:val="00D3112E"/>
    <w:pPr>
      <w:tabs>
        <w:tab w:val="center" w:pos="4680"/>
        <w:tab w:val="right" w:pos="9360"/>
      </w:tabs>
    </w:pPr>
  </w:style>
  <w:style w:type="character" w:customStyle="1" w:styleId="HeaderChar">
    <w:name w:val="Header Char"/>
    <w:link w:val="Header"/>
    <w:uiPriority w:val="99"/>
    <w:rsid w:val="00D311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112E"/>
    <w:pPr>
      <w:tabs>
        <w:tab w:val="center" w:pos="4680"/>
        <w:tab w:val="right" w:pos="9360"/>
      </w:tabs>
    </w:pPr>
  </w:style>
  <w:style w:type="character" w:customStyle="1" w:styleId="FooterChar">
    <w:name w:val="Footer Char"/>
    <w:link w:val="Footer"/>
    <w:uiPriority w:val="99"/>
    <w:rsid w:val="00D3112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12E"/>
    <w:rPr>
      <w:rFonts w:ascii="Segoe UI" w:hAnsi="Segoe UI" w:cs="Segoe UI"/>
      <w:sz w:val="18"/>
      <w:szCs w:val="18"/>
    </w:rPr>
  </w:style>
  <w:style w:type="character" w:customStyle="1" w:styleId="BalloonTextChar">
    <w:name w:val="Balloon Text Char"/>
    <w:link w:val="BalloonText"/>
    <w:uiPriority w:val="99"/>
    <w:semiHidden/>
    <w:rsid w:val="00D3112E"/>
    <w:rPr>
      <w:rFonts w:ascii="Segoe UI" w:eastAsia="Times New Roman" w:hAnsi="Segoe UI" w:cs="Segoe UI"/>
      <w:sz w:val="18"/>
      <w:szCs w:val="18"/>
    </w:rPr>
  </w:style>
  <w:style w:type="character" w:styleId="Emphasis">
    <w:name w:val="Emphasis"/>
    <w:uiPriority w:val="20"/>
    <w:qFormat/>
    <w:rsid w:val="00573265"/>
    <w:rPr>
      <w:i/>
      <w:iCs/>
    </w:rPr>
  </w:style>
  <w:style w:type="character" w:customStyle="1" w:styleId="Heading3Char">
    <w:name w:val="Heading 3 Char"/>
    <w:link w:val="Heading3"/>
    <w:uiPriority w:val="9"/>
    <w:rsid w:val="00E0555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
    <w:semiHidden/>
    <w:rsid w:val="00D15842"/>
    <w:rPr>
      <w:rFonts w:asciiTheme="majorHAnsi" w:eastAsiaTheme="majorEastAsia" w:hAnsiTheme="majorHAnsi" w:cstheme="majorBidi"/>
      <w:b/>
      <w:bCs/>
      <w:i/>
      <w:iCs/>
      <w:sz w:val="28"/>
      <w:szCs w:val="28"/>
    </w:rPr>
  </w:style>
</w:styles>
</file>

<file path=word/webSettings.xml><?xml version="1.0" encoding="utf-8"?>
<w:webSettings xmlns:r="http://schemas.openxmlformats.org/officeDocument/2006/relationships" xmlns:w="http://schemas.openxmlformats.org/wordprocessingml/2006/main">
  <w:divs>
    <w:div w:id="151217355">
      <w:bodyDiv w:val="1"/>
      <w:marLeft w:val="0"/>
      <w:marRight w:val="0"/>
      <w:marTop w:val="0"/>
      <w:marBottom w:val="0"/>
      <w:divBdr>
        <w:top w:val="none" w:sz="0" w:space="0" w:color="auto"/>
        <w:left w:val="none" w:sz="0" w:space="0" w:color="auto"/>
        <w:bottom w:val="none" w:sz="0" w:space="0" w:color="auto"/>
        <w:right w:val="none" w:sz="0" w:space="0" w:color="auto"/>
      </w:divBdr>
    </w:div>
    <w:div w:id="152332712">
      <w:bodyDiv w:val="1"/>
      <w:marLeft w:val="0"/>
      <w:marRight w:val="0"/>
      <w:marTop w:val="0"/>
      <w:marBottom w:val="0"/>
      <w:divBdr>
        <w:top w:val="none" w:sz="0" w:space="0" w:color="auto"/>
        <w:left w:val="none" w:sz="0" w:space="0" w:color="auto"/>
        <w:bottom w:val="none" w:sz="0" w:space="0" w:color="auto"/>
        <w:right w:val="none" w:sz="0" w:space="0" w:color="auto"/>
      </w:divBdr>
    </w:div>
    <w:div w:id="168641389">
      <w:bodyDiv w:val="1"/>
      <w:marLeft w:val="0"/>
      <w:marRight w:val="0"/>
      <w:marTop w:val="0"/>
      <w:marBottom w:val="0"/>
      <w:divBdr>
        <w:top w:val="none" w:sz="0" w:space="0" w:color="auto"/>
        <w:left w:val="none" w:sz="0" w:space="0" w:color="auto"/>
        <w:bottom w:val="none" w:sz="0" w:space="0" w:color="auto"/>
        <w:right w:val="none" w:sz="0" w:space="0" w:color="auto"/>
      </w:divBdr>
    </w:div>
    <w:div w:id="170803041">
      <w:bodyDiv w:val="1"/>
      <w:marLeft w:val="0"/>
      <w:marRight w:val="0"/>
      <w:marTop w:val="0"/>
      <w:marBottom w:val="0"/>
      <w:divBdr>
        <w:top w:val="none" w:sz="0" w:space="0" w:color="auto"/>
        <w:left w:val="none" w:sz="0" w:space="0" w:color="auto"/>
        <w:bottom w:val="none" w:sz="0" w:space="0" w:color="auto"/>
        <w:right w:val="none" w:sz="0" w:space="0" w:color="auto"/>
      </w:divBdr>
    </w:div>
    <w:div w:id="281309192">
      <w:bodyDiv w:val="1"/>
      <w:marLeft w:val="0"/>
      <w:marRight w:val="0"/>
      <w:marTop w:val="0"/>
      <w:marBottom w:val="0"/>
      <w:divBdr>
        <w:top w:val="none" w:sz="0" w:space="0" w:color="auto"/>
        <w:left w:val="none" w:sz="0" w:space="0" w:color="auto"/>
        <w:bottom w:val="none" w:sz="0" w:space="0" w:color="auto"/>
        <w:right w:val="none" w:sz="0" w:space="0" w:color="auto"/>
      </w:divBdr>
      <w:divsChild>
        <w:div w:id="416753574">
          <w:marLeft w:val="0"/>
          <w:marRight w:val="0"/>
          <w:marTop w:val="0"/>
          <w:marBottom w:val="0"/>
          <w:divBdr>
            <w:top w:val="none" w:sz="0" w:space="0" w:color="auto"/>
            <w:left w:val="none" w:sz="0" w:space="0" w:color="auto"/>
            <w:bottom w:val="none" w:sz="0" w:space="0" w:color="auto"/>
            <w:right w:val="none" w:sz="0" w:space="0" w:color="auto"/>
          </w:divBdr>
          <w:divsChild>
            <w:div w:id="64496056">
              <w:marLeft w:val="0"/>
              <w:marRight w:val="0"/>
              <w:marTop w:val="0"/>
              <w:marBottom w:val="0"/>
              <w:divBdr>
                <w:top w:val="none" w:sz="0" w:space="0" w:color="auto"/>
                <w:left w:val="none" w:sz="0" w:space="0" w:color="auto"/>
                <w:bottom w:val="none" w:sz="0" w:space="0" w:color="auto"/>
                <w:right w:val="none" w:sz="0" w:space="0" w:color="auto"/>
              </w:divBdr>
            </w:div>
          </w:divsChild>
        </w:div>
        <w:div w:id="1106850099">
          <w:marLeft w:val="0"/>
          <w:marRight w:val="0"/>
          <w:marTop w:val="0"/>
          <w:marBottom w:val="0"/>
          <w:divBdr>
            <w:top w:val="none" w:sz="0" w:space="0" w:color="auto"/>
            <w:left w:val="none" w:sz="0" w:space="0" w:color="auto"/>
            <w:bottom w:val="none" w:sz="0" w:space="0" w:color="auto"/>
            <w:right w:val="none" w:sz="0" w:space="0" w:color="auto"/>
          </w:divBdr>
          <w:divsChild>
            <w:div w:id="567113765">
              <w:marLeft w:val="0"/>
              <w:marRight w:val="0"/>
              <w:marTop w:val="0"/>
              <w:marBottom w:val="0"/>
              <w:divBdr>
                <w:top w:val="none" w:sz="0" w:space="0" w:color="auto"/>
                <w:left w:val="none" w:sz="0" w:space="0" w:color="auto"/>
                <w:bottom w:val="none" w:sz="0" w:space="0" w:color="auto"/>
                <w:right w:val="none" w:sz="0" w:space="0" w:color="auto"/>
              </w:divBdr>
            </w:div>
          </w:divsChild>
        </w:div>
        <w:div w:id="92405832">
          <w:marLeft w:val="0"/>
          <w:marRight w:val="0"/>
          <w:marTop w:val="0"/>
          <w:marBottom w:val="0"/>
          <w:divBdr>
            <w:top w:val="none" w:sz="0" w:space="0" w:color="auto"/>
            <w:left w:val="none" w:sz="0" w:space="0" w:color="auto"/>
            <w:bottom w:val="none" w:sz="0" w:space="0" w:color="auto"/>
            <w:right w:val="none" w:sz="0" w:space="0" w:color="auto"/>
          </w:divBdr>
          <w:divsChild>
            <w:div w:id="1985550598">
              <w:marLeft w:val="0"/>
              <w:marRight w:val="0"/>
              <w:marTop w:val="0"/>
              <w:marBottom w:val="0"/>
              <w:divBdr>
                <w:top w:val="none" w:sz="0" w:space="0" w:color="auto"/>
                <w:left w:val="none" w:sz="0" w:space="0" w:color="auto"/>
                <w:bottom w:val="none" w:sz="0" w:space="0" w:color="auto"/>
                <w:right w:val="none" w:sz="0" w:space="0" w:color="auto"/>
              </w:divBdr>
            </w:div>
          </w:divsChild>
        </w:div>
        <w:div w:id="1704861480">
          <w:marLeft w:val="0"/>
          <w:marRight w:val="0"/>
          <w:marTop w:val="0"/>
          <w:marBottom w:val="0"/>
          <w:divBdr>
            <w:top w:val="none" w:sz="0" w:space="0" w:color="auto"/>
            <w:left w:val="none" w:sz="0" w:space="0" w:color="auto"/>
            <w:bottom w:val="none" w:sz="0" w:space="0" w:color="auto"/>
            <w:right w:val="none" w:sz="0" w:space="0" w:color="auto"/>
          </w:divBdr>
          <w:divsChild>
            <w:div w:id="1520268646">
              <w:marLeft w:val="0"/>
              <w:marRight w:val="0"/>
              <w:marTop w:val="0"/>
              <w:marBottom w:val="0"/>
              <w:divBdr>
                <w:top w:val="none" w:sz="0" w:space="0" w:color="auto"/>
                <w:left w:val="none" w:sz="0" w:space="0" w:color="auto"/>
                <w:bottom w:val="none" w:sz="0" w:space="0" w:color="auto"/>
                <w:right w:val="none" w:sz="0" w:space="0" w:color="auto"/>
              </w:divBdr>
            </w:div>
          </w:divsChild>
        </w:div>
        <w:div w:id="1767921986">
          <w:marLeft w:val="0"/>
          <w:marRight w:val="0"/>
          <w:marTop w:val="0"/>
          <w:marBottom w:val="0"/>
          <w:divBdr>
            <w:top w:val="none" w:sz="0" w:space="0" w:color="auto"/>
            <w:left w:val="none" w:sz="0" w:space="0" w:color="auto"/>
            <w:bottom w:val="none" w:sz="0" w:space="0" w:color="auto"/>
            <w:right w:val="none" w:sz="0" w:space="0" w:color="auto"/>
          </w:divBdr>
          <w:divsChild>
            <w:div w:id="12708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2528">
      <w:bodyDiv w:val="1"/>
      <w:marLeft w:val="0"/>
      <w:marRight w:val="0"/>
      <w:marTop w:val="0"/>
      <w:marBottom w:val="0"/>
      <w:divBdr>
        <w:top w:val="none" w:sz="0" w:space="0" w:color="auto"/>
        <w:left w:val="none" w:sz="0" w:space="0" w:color="auto"/>
        <w:bottom w:val="none" w:sz="0" w:space="0" w:color="auto"/>
        <w:right w:val="none" w:sz="0" w:space="0" w:color="auto"/>
      </w:divBdr>
    </w:div>
    <w:div w:id="413599200">
      <w:bodyDiv w:val="1"/>
      <w:marLeft w:val="0"/>
      <w:marRight w:val="0"/>
      <w:marTop w:val="0"/>
      <w:marBottom w:val="0"/>
      <w:divBdr>
        <w:top w:val="none" w:sz="0" w:space="0" w:color="auto"/>
        <w:left w:val="none" w:sz="0" w:space="0" w:color="auto"/>
        <w:bottom w:val="none" w:sz="0" w:space="0" w:color="auto"/>
        <w:right w:val="none" w:sz="0" w:space="0" w:color="auto"/>
      </w:divBdr>
    </w:div>
    <w:div w:id="569778625">
      <w:bodyDiv w:val="1"/>
      <w:marLeft w:val="0"/>
      <w:marRight w:val="0"/>
      <w:marTop w:val="0"/>
      <w:marBottom w:val="0"/>
      <w:divBdr>
        <w:top w:val="none" w:sz="0" w:space="0" w:color="auto"/>
        <w:left w:val="none" w:sz="0" w:space="0" w:color="auto"/>
        <w:bottom w:val="none" w:sz="0" w:space="0" w:color="auto"/>
        <w:right w:val="none" w:sz="0" w:space="0" w:color="auto"/>
      </w:divBdr>
    </w:div>
    <w:div w:id="1092317936">
      <w:bodyDiv w:val="1"/>
      <w:marLeft w:val="0"/>
      <w:marRight w:val="0"/>
      <w:marTop w:val="0"/>
      <w:marBottom w:val="0"/>
      <w:divBdr>
        <w:top w:val="none" w:sz="0" w:space="0" w:color="auto"/>
        <w:left w:val="none" w:sz="0" w:space="0" w:color="auto"/>
        <w:bottom w:val="none" w:sz="0" w:space="0" w:color="auto"/>
        <w:right w:val="none" w:sz="0" w:space="0" w:color="auto"/>
      </w:divBdr>
    </w:div>
    <w:div w:id="1283532932">
      <w:bodyDiv w:val="1"/>
      <w:marLeft w:val="0"/>
      <w:marRight w:val="0"/>
      <w:marTop w:val="0"/>
      <w:marBottom w:val="0"/>
      <w:divBdr>
        <w:top w:val="none" w:sz="0" w:space="0" w:color="auto"/>
        <w:left w:val="none" w:sz="0" w:space="0" w:color="auto"/>
        <w:bottom w:val="none" w:sz="0" w:space="0" w:color="auto"/>
        <w:right w:val="none" w:sz="0" w:space="0" w:color="auto"/>
      </w:divBdr>
    </w:div>
    <w:div w:id="1651862995">
      <w:bodyDiv w:val="1"/>
      <w:marLeft w:val="0"/>
      <w:marRight w:val="0"/>
      <w:marTop w:val="0"/>
      <w:marBottom w:val="0"/>
      <w:divBdr>
        <w:top w:val="none" w:sz="0" w:space="0" w:color="auto"/>
        <w:left w:val="none" w:sz="0" w:space="0" w:color="auto"/>
        <w:bottom w:val="none" w:sz="0" w:space="0" w:color="auto"/>
        <w:right w:val="none" w:sz="0" w:space="0" w:color="auto"/>
      </w:divBdr>
    </w:div>
    <w:div w:id="20545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nwomen.org" TargetMode="External"/><Relationship Id="rId4" Type="http://schemas.openxmlformats.org/officeDocument/2006/relationships/webSettings" Target="webSettings.xml"/><Relationship Id="rId9" Type="http://schemas.openxmlformats.org/officeDocument/2006/relationships/hyperlink" Target="http://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40861</CharactersWithSpaces>
  <SharedDoc>false</SharedDoc>
  <HLinks>
    <vt:vector size="6" baseType="variant">
      <vt:variant>
        <vt:i4>2293810</vt:i4>
      </vt:variant>
      <vt:variant>
        <vt:i4>0</vt:i4>
      </vt:variant>
      <vt:variant>
        <vt:i4>0</vt:i4>
      </vt:variant>
      <vt:variant>
        <vt:i4>5</vt:i4>
      </vt:variant>
      <vt:variant>
        <vt:lpwstr>https://www.ncc.gov.ng/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MUYICHENKO</dc:creator>
  <cp:lastModifiedBy>HELLO</cp:lastModifiedBy>
  <cp:revision>4</cp:revision>
  <cp:lastPrinted>2025-06-21T13:53:00Z</cp:lastPrinted>
  <dcterms:created xsi:type="dcterms:W3CDTF">2025-06-23T09:15:00Z</dcterms:created>
  <dcterms:modified xsi:type="dcterms:W3CDTF">2025-06-23T09:21:00Z</dcterms:modified>
</cp:coreProperties>
</file>