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74A74" w:rsidRPr="00274A74" w:rsidRDefault="00274A74" w:rsidP="00274A74">
      <w:pPr>
        <w:pStyle w:val="NormalWeb"/>
        <w:spacing w:after="150" w:line="18" w:lineRule="atLeast"/>
        <w:jc w:val="center"/>
        <w:rPr>
          <w:rFonts w:eastAsiaTheme="minorHAnsi" w:cstheme="minorBidi"/>
          <w:b/>
          <w:bCs/>
          <w:color w:val="000000"/>
          <w:sz w:val="32"/>
          <w:szCs w:val="32"/>
        </w:rPr>
      </w:pPr>
      <w:r w:rsidRPr="00274A74">
        <w:rPr>
          <w:rFonts w:eastAsiaTheme="minorHAnsi" w:cstheme="minorBidi"/>
          <w:b/>
          <w:bCs/>
          <w:color w:val="000000"/>
          <w:sz w:val="32"/>
          <w:szCs w:val="32"/>
        </w:rPr>
        <w:t xml:space="preserve">ISHOLA BARAKAT BOLUWATIFE </w:t>
      </w:r>
    </w:p>
    <w:p w:rsidR="00E93A0B" w:rsidRDefault="00274A74" w:rsidP="00274A74">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HND/23/SLT/FT/</w:t>
      </w:r>
      <w:r w:rsidRPr="00274A74">
        <w:rPr>
          <w:rFonts w:eastAsiaTheme="minorHAnsi" w:cstheme="minorBidi"/>
          <w:b/>
          <w:bCs/>
          <w:color w:val="000000"/>
          <w:sz w:val="32"/>
          <w:szCs w:val="32"/>
        </w:rPr>
        <w:t>0238</w:t>
      </w:r>
    </w:p>
    <w:bookmarkEnd w:id="0"/>
    <w:p w:rsidR="00274A74" w:rsidRDefault="00274A74" w:rsidP="00274A74">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B5D5A"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A15B7C" w:rsidRDefault="0044505A" w:rsidP="0044505A">
      <w:pPr>
        <w:pStyle w:val="NormalWeb"/>
        <w:spacing w:beforeAutospacing="0" w:after="150" w:afterAutospacing="0" w:line="21" w:lineRule="atLeast"/>
        <w:jc w:val="center"/>
        <w:rPr>
          <w:b/>
          <w:sz w:val="28"/>
          <w:szCs w:val="28"/>
        </w:rPr>
      </w:pPr>
      <w:r>
        <w:rPr>
          <w:b/>
          <w:sz w:val="28"/>
          <w:szCs w:val="28"/>
        </w:rPr>
        <w:t>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44505A" w:rsidRDefault="0044505A" w:rsidP="0044505A">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274A74" w:rsidRPr="00274A74">
        <w:rPr>
          <w:rFonts w:ascii="Times New Roman" w:hAnsi="Times New Roman"/>
          <w:b/>
          <w:bCs/>
          <w:color w:val="000000"/>
          <w:sz w:val="28"/>
          <w:szCs w:val="28"/>
        </w:rPr>
        <w:t xml:space="preserve">ISHOLA BARAKAT BOLUWATIFE </w:t>
      </w:r>
      <w:r w:rsidR="00506202">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274A74">
        <w:rPr>
          <w:rFonts w:ascii="Times New Roman" w:hAnsi="Times New Roman"/>
          <w:b/>
          <w:bCs/>
          <w:color w:val="000000"/>
          <w:sz w:val="28"/>
          <w:szCs w:val="32"/>
        </w:rPr>
        <w:t>HND/23/SLT/FT/0238</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w:t>
      </w:r>
      <w:r w:rsidR="00A15B7C">
        <w:rPr>
          <w:rFonts w:ascii="Times New Roman" w:hAnsi="Times New Roman"/>
          <w:color w:val="000000"/>
          <w:sz w:val="28"/>
          <w:szCs w:val="28"/>
        </w:rPr>
        <w:t>echnology, Microbiology</w:t>
      </w:r>
      <w:r>
        <w:rPr>
          <w:rFonts w:ascii="Times New Roman" w:hAnsi="Times New Roman"/>
          <w:color w:val="000000"/>
          <w:sz w:val="28"/>
          <w:szCs w:val="28"/>
        </w:rPr>
        <w:t xml:space="preserve"> unit, Institute Of Applied Sciences (IAS) Kwara State Polytechnic Ilorin and it has been approved In partial fulfillment of the requirements of the Award of Higher National Diploma (HND) In Science Laboratory Technology</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ALU S.O.</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44505A">
        <w:rPr>
          <w:rFonts w:ascii="Times New Roman" w:hAnsi="Times New Roman"/>
          <w:b/>
          <w:color w:val="000000"/>
          <w:sz w:val="28"/>
          <w:szCs w:val="28"/>
        </w:rPr>
        <w:t xml:space="preserve"> </w:t>
      </w:r>
      <w:r w:rsidR="0044505A">
        <w:rPr>
          <w:rFonts w:ascii="Times New Roman" w:hAnsi="Times New Roman"/>
          <w:b/>
          <w:color w:val="000000"/>
          <w:sz w:val="28"/>
          <w:szCs w:val="28"/>
        </w:rPr>
        <w:tab/>
        <w:t xml:space="preserve">                                                        DATE</w:t>
      </w:r>
    </w:p>
    <w:p w:rsidR="0044505A" w:rsidRDefault="00A15B7C"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(HOU MICRO</w:t>
      </w:r>
      <w:r w:rsidR="0044505A">
        <w:rPr>
          <w:rFonts w:ascii="Times New Roman" w:hAnsi="Times New Roman"/>
          <w:b/>
          <w:color w:val="000000"/>
          <w:sz w:val="28"/>
          <w:szCs w:val="28"/>
        </w:rPr>
        <w:t xml:space="preserve">BIOLOGY)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p>
    <w:p w:rsidR="0044505A" w:rsidRDefault="0044505A" w:rsidP="0044505A">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44505A" w:rsidRDefault="0044505A" w:rsidP="0044505A">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44505A" w:rsidRDefault="0044505A" w:rsidP="0044505A">
      <w:pPr>
        <w:spacing w:after="0" w:line="480" w:lineRule="auto"/>
        <w:jc w:val="center"/>
        <w:rPr>
          <w:rFonts w:ascii="Times New Roman" w:hAnsi="Times New Roman"/>
          <w:b/>
          <w:bCs/>
          <w:color w:val="000000"/>
          <w:sz w:val="28"/>
          <w:szCs w:val="28"/>
        </w:rPr>
      </w:pPr>
    </w:p>
    <w:p w:rsidR="0044505A" w:rsidRDefault="0044505A">
      <w:pPr>
        <w:rPr>
          <w:rFonts w:ascii="Times New Roman" w:hAnsi="Times New Roman"/>
          <w:b/>
          <w:bCs/>
          <w:color w:val="000000"/>
          <w:sz w:val="28"/>
          <w:szCs w:val="28"/>
        </w:rPr>
      </w:pPr>
      <w:r>
        <w:rPr>
          <w:rFonts w:ascii="Times New Roman" w:hAnsi="Times New Roman"/>
          <w:b/>
          <w:bCs/>
          <w:color w:val="000000"/>
          <w:sz w:val="28"/>
          <w:szCs w:val="28"/>
        </w:rPr>
        <w:br w:type="page"/>
      </w:r>
    </w:p>
    <w:p w:rsidR="0044505A" w:rsidRPr="0035602D" w:rsidRDefault="0044505A" w:rsidP="0044505A">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44505A" w:rsidRDefault="00274A74" w:rsidP="00274A74">
      <w:pPr>
        <w:spacing w:after="0" w:line="480" w:lineRule="auto"/>
        <w:jc w:val="both"/>
        <w:rPr>
          <w:rFonts w:ascii="Times New Roman" w:hAnsi="Times New Roman"/>
          <w:b/>
          <w:color w:val="000000"/>
          <w:sz w:val="26"/>
          <w:szCs w:val="26"/>
        </w:rPr>
      </w:pPr>
      <w:r w:rsidRPr="00274A74">
        <w:rPr>
          <w:rFonts w:ascii="Times New Roman" w:hAnsi="Times New Roman"/>
          <w:color w:val="000000"/>
          <w:sz w:val="28"/>
          <w:szCs w:val="28"/>
        </w:rPr>
        <w:t>This project work is dedicated to Almighty God The creator of the Universe, the most gracious and merciful who has been with me throughout the period of my stay in Kwara State polytechnic, and counted me worthy of those that wil be alive to undergo this programme Successfully. Also to my  mentor and able PARENTS for their financial  support and care.</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All glory belong to Almight Allah giver of Knowlege and the Sustainer of life who in this love, care mercy obliges me with Inspiration and ability to put together this project work to be a successful one.</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My Special appreciation goes to my caring, loving Parents MR and MRS ISHOLA for their financial prayer and support towards my academic life. I pray that almighty Allah will grant them long life to reap the fruits of their labour. I also appreciate my guidance sister like mother Ishola Balikis And Adumadeyin Nimotallahi for her Support both Spiritual and financial during my study years</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I also express my sincere appreciation to my supervisor</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MR ALU S.O for his delight and careful supervision of this project work. Thank you Sir.</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Furthermore, my gratitude goes to my head of department MRS Ahmed  and other lecturers in our department who had all thaught and developed my Knowledge and the non teaching staff.</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 xml:space="preserve">My Special greeting goes to my Fiance Issa Abdulwaheed Olamilekan </w:t>
      </w:r>
    </w:p>
    <w:p w:rsidR="00274A74" w:rsidRPr="00274A74" w:rsidRDefault="00274A74" w:rsidP="00274A74">
      <w:pPr>
        <w:spacing w:line="240" w:lineRule="auto"/>
        <w:jc w:val="both"/>
        <w:rPr>
          <w:rFonts w:ascii="Times New Roman" w:hAnsi="Times New Roman"/>
          <w:sz w:val="28"/>
          <w:szCs w:val="28"/>
        </w:rPr>
      </w:pPr>
      <w:r w:rsidRPr="00274A74">
        <w:rPr>
          <w:rFonts w:ascii="Times New Roman" w:hAnsi="Times New Roman"/>
          <w:sz w:val="28"/>
          <w:szCs w:val="28"/>
        </w:rPr>
        <w:t xml:space="preserve">Thank you for being such an Important part of my life, especially when things get tough . May Almighty Allah help me to bless you more. </w:t>
      </w:r>
    </w:p>
    <w:p w:rsidR="0044505A" w:rsidRDefault="00274A74" w:rsidP="00274A74">
      <w:pPr>
        <w:spacing w:line="240" w:lineRule="auto"/>
        <w:jc w:val="both"/>
        <w:rPr>
          <w:rFonts w:ascii="Times New Roman" w:hAnsi="Times New Roman"/>
          <w:b/>
          <w:sz w:val="28"/>
          <w:szCs w:val="28"/>
        </w:rPr>
      </w:pPr>
      <w:r w:rsidRPr="00274A74">
        <w:rPr>
          <w:rFonts w:ascii="Times New Roman" w:hAnsi="Times New Roman"/>
          <w:sz w:val="28"/>
          <w:szCs w:val="28"/>
        </w:rPr>
        <w:t>My appreciation is  sincerely extended to all my special friend;Kolawole Kharimat,Usman Ganiyat,Fapohunda Joy,Oguntuase Opeyemi,Kasali Kaosara,Owoyale Fathia,Odejobi Mujidat. May God bless you all,amAnd To My Special Person Adeoti Micheal Thanks So Much For Everything May Reward You Abundantly.</w:t>
      </w:r>
    </w:p>
    <w:p w:rsidR="0044505A" w:rsidRDefault="004450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44505A" w:rsidRDefault="0044505A" w:rsidP="00E93A0B">
      <w:pPr>
        <w:jc w:val="center"/>
        <w:rPr>
          <w:rFonts w:ascii="Times New Roman" w:hAnsi="Times New Roman"/>
          <w:b/>
          <w:sz w:val="28"/>
          <w:szCs w:val="28"/>
        </w:rPr>
      </w:pPr>
      <w:r>
        <w:rPr>
          <w:rFonts w:ascii="Times New Roman" w:hAnsi="Times New Roman"/>
          <w:b/>
          <w:sz w:val="28"/>
          <w:szCs w:val="28"/>
        </w:rPr>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lastRenderedPageBreak/>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7"/>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lastRenderedPageBreak/>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lastRenderedPageBreak/>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w:t>
      </w:r>
      <w:r w:rsidRPr="005B6412">
        <w:rPr>
          <w:rFonts w:ascii="Times New Roman" w:eastAsia="Times New Roman" w:hAnsi="Times New Roman" w:cs="Times New Roman"/>
          <w:sz w:val="28"/>
          <w:szCs w:val="28"/>
        </w:rPr>
        <w:lastRenderedPageBreak/>
        <w:t>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 xml:space="preserve">may produce unique </w:t>
      </w:r>
      <w:r w:rsidRPr="005B6412">
        <w:rPr>
          <w:rFonts w:ascii="Times New Roman" w:eastAsia="Times New Roman" w:hAnsi="Times New Roman" w:cs="Times New Roman"/>
          <w:sz w:val="28"/>
          <w:szCs w:val="28"/>
        </w:rPr>
        <w:lastRenderedPageBreak/>
        <w:t>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w:t>
      </w:r>
      <w:r w:rsidRPr="005B6412">
        <w:rPr>
          <w:rFonts w:ascii="Times New Roman" w:eastAsia="Times New Roman" w:hAnsi="Times New Roman" w:cs="Times New Roman"/>
          <w:sz w:val="28"/>
          <w:szCs w:val="28"/>
        </w:rPr>
        <w:lastRenderedPageBreak/>
        <w:t>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w:t>
      </w:r>
      <w:r w:rsidRPr="00E57783">
        <w:rPr>
          <w:rFonts w:ascii="Times New Roman" w:eastAsia="Times New Roman" w:hAnsi="Times New Roman" w:cs="Times New Roman"/>
          <w:sz w:val="28"/>
          <w:szCs w:val="28"/>
        </w:rPr>
        <w:lastRenderedPageBreak/>
        <w:t>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w:t>
      </w:r>
      <w:r w:rsidRPr="00E57783">
        <w:rPr>
          <w:rFonts w:ascii="Times New Roman" w:eastAsia="Times New Roman" w:hAnsi="Times New Roman" w:cs="Times New Roman"/>
          <w:sz w:val="28"/>
          <w:szCs w:val="28"/>
        </w:rPr>
        <w:lastRenderedPageBreak/>
        <w:t>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lastRenderedPageBreak/>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lastRenderedPageBreak/>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lastRenderedPageBreak/>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lastRenderedPageBreak/>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w:t>
      </w:r>
      <w:r w:rsidRPr="00EA64EB">
        <w:rPr>
          <w:rFonts w:ascii="Times New Roman" w:hAnsi="Times New Roman" w:cs="Times New Roman"/>
          <w:sz w:val="28"/>
          <w:szCs w:val="28"/>
        </w:rPr>
        <w:lastRenderedPageBreak/>
        <w:t xml:space="preserve">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w:t>
      </w:r>
      <w:r w:rsidRPr="00EA64EB">
        <w:rPr>
          <w:rFonts w:ascii="Times New Roman" w:hAnsi="Times New Roman" w:cs="Times New Roman"/>
          <w:sz w:val="28"/>
          <w:szCs w:val="28"/>
        </w:rPr>
        <w:lastRenderedPageBreak/>
        <w:t xml:space="preserve">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lastRenderedPageBreak/>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lastRenderedPageBreak/>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 xml:space="preserve">fish contaminated with </w:t>
      </w:r>
      <w:r w:rsidRPr="00F260A3">
        <w:rPr>
          <w:sz w:val="28"/>
          <w:szCs w:val="28"/>
        </w:rPr>
        <w:lastRenderedPageBreak/>
        <w:t>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w:t>
      </w:r>
      <w:r w:rsidRPr="00F260A3">
        <w:rPr>
          <w:sz w:val="28"/>
          <w:szCs w:val="28"/>
        </w:rPr>
        <w:lastRenderedPageBreak/>
        <w:t xml:space="preserve">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lastRenderedPageBreak/>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0"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w:t>
      </w:r>
      <w:r w:rsidRPr="00E57783">
        <w:rPr>
          <w:rFonts w:ascii="Times New Roman" w:hAnsi="Times New Roman" w:cs="Times New Roman"/>
          <w:color w:val="222222"/>
          <w:sz w:val="28"/>
          <w:szCs w:val="28"/>
          <w:shd w:val="clear" w:color="auto" w:fill="FFFFFF"/>
        </w:rPr>
        <w:lastRenderedPageBreak/>
        <w:t>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lastRenderedPageBreak/>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lastRenderedPageBreak/>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1"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8BA" w:rsidRDefault="006108BA" w:rsidP="00E57783">
      <w:pPr>
        <w:spacing w:after="0" w:line="240" w:lineRule="auto"/>
      </w:pPr>
      <w:r>
        <w:separator/>
      </w:r>
    </w:p>
  </w:endnote>
  <w:endnote w:type="continuationSeparator" w:id="0">
    <w:p w:rsidR="006108BA" w:rsidRDefault="006108BA"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274A74">
          <w:rPr>
            <w:noProof/>
          </w:rPr>
          <w:t>vi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8BA" w:rsidRDefault="006108BA" w:rsidP="00E57783">
      <w:pPr>
        <w:spacing w:after="0" w:line="240" w:lineRule="auto"/>
      </w:pPr>
      <w:r>
        <w:separator/>
      </w:r>
    </w:p>
  </w:footnote>
  <w:footnote w:type="continuationSeparator" w:id="0">
    <w:p w:rsidR="006108BA" w:rsidRDefault="006108BA"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91234"/>
    <w:rsid w:val="001B5D5A"/>
    <w:rsid w:val="001D33C6"/>
    <w:rsid w:val="00274A74"/>
    <w:rsid w:val="00280381"/>
    <w:rsid w:val="002B0BB5"/>
    <w:rsid w:val="003C6492"/>
    <w:rsid w:val="0044505A"/>
    <w:rsid w:val="00480C86"/>
    <w:rsid w:val="00491236"/>
    <w:rsid w:val="004F40C3"/>
    <w:rsid w:val="00506202"/>
    <w:rsid w:val="00546526"/>
    <w:rsid w:val="00577653"/>
    <w:rsid w:val="005B6412"/>
    <w:rsid w:val="006108BA"/>
    <w:rsid w:val="00620265"/>
    <w:rsid w:val="00645FF4"/>
    <w:rsid w:val="00782938"/>
    <w:rsid w:val="0078606D"/>
    <w:rsid w:val="007A5C16"/>
    <w:rsid w:val="007E00CD"/>
    <w:rsid w:val="007F3EA7"/>
    <w:rsid w:val="008E05E5"/>
    <w:rsid w:val="009C0674"/>
    <w:rsid w:val="009E2C8E"/>
    <w:rsid w:val="00A15B7C"/>
    <w:rsid w:val="00B52347"/>
    <w:rsid w:val="00B965D5"/>
    <w:rsid w:val="00C77AD7"/>
    <w:rsid w:val="00C905E9"/>
    <w:rsid w:val="00D415F8"/>
    <w:rsid w:val="00D67A43"/>
    <w:rsid w:val="00DA0F41"/>
    <w:rsid w:val="00E02935"/>
    <w:rsid w:val="00E57783"/>
    <w:rsid w:val="00E71726"/>
    <w:rsid w:val="00E93A0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93/fqsafe/fyad006" TargetMode="External"/><Relationship Id="rId5" Type="http://schemas.openxmlformats.org/officeDocument/2006/relationships/footnotes" Target="footnotes.xml"/><Relationship Id="rId10" Type="http://schemas.openxmlformats.org/officeDocument/2006/relationships/hyperlink" Target="https://doi.org/10.22038/JFSH.2022.56789.1123"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33494328"/>
        <c:axId val="333494720"/>
      </c:barChart>
      <c:catAx>
        <c:axId val="333494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94720"/>
        <c:crosses val="autoZero"/>
        <c:auto val="1"/>
        <c:lblAlgn val="ctr"/>
        <c:lblOffset val="100"/>
        <c:noMultiLvlLbl val="0"/>
      </c:catAx>
      <c:valAx>
        <c:axId val="333494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3494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2025-06-22T16:14:00Z</dcterms:created>
  <dcterms:modified xsi:type="dcterms:W3CDTF">2025-06-22T16:14:00Z</dcterms:modified>
</cp:coreProperties>
</file>