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A1C" w:rsidRPr="00F93A1C" w:rsidRDefault="00F93A1C" w:rsidP="00F93A1C">
      <w:pPr>
        <w:spacing w:after="0" w:line="240" w:lineRule="auto"/>
        <w:jc w:val="center"/>
        <w:rPr>
          <w:rFonts w:ascii="Impact" w:hAnsi="Impact"/>
          <w:bCs/>
          <w:sz w:val="32"/>
          <w:szCs w:val="48"/>
        </w:rPr>
      </w:pPr>
      <w:r w:rsidRPr="00F93A1C">
        <w:rPr>
          <w:rFonts w:ascii="Impact" w:hAnsi="Impact"/>
          <w:bCs/>
          <w:sz w:val="32"/>
          <w:szCs w:val="48"/>
        </w:rPr>
        <w:t>IMPACT OF GREEN HUMAN RESOURCE MANAGEMENT PRACTICES ON ORGANIZATIONAL PERFORMANCE: AN INSIGHT FROM GUARANTY TRUST BANK, ILORIN KWARA STATE</w:t>
      </w:r>
    </w:p>
    <w:p w:rsidR="00F93A1C" w:rsidRDefault="00F93A1C" w:rsidP="00F93A1C">
      <w:pPr>
        <w:spacing w:line="432" w:lineRule="auto"/>
        <w:jc w:val="center"/>
        <w:rPr>
          <w:rFonts w:ascii="Bookman Old Style" w:hAnsi="Bookman Old Style"/>
          <w:b/>
          <w:i/>
          <w:szCs w:val="48"/>
        </w:rPr>
      </w:pPr>
    </w:p>
    <w:p w:rsidR="00F93A1C" w:rsidRPr="002263B2" w:rsidRDefault="00F93A1C" w:rsidP="00F93A1C">
      <w:pPr>
        <w:spacing w:line="432" w:lineRule="auto"/>
        <w:jc w:val="center"/>
        <w:rPr>
          <w:rFonts w:ascii="Bookman Old Style" w:hAnsi="Bookman Old Style"/>
          <w:b/>
          <w:i/>
          <w:szCs w:val="48"/>
        </w:rPr>
      </w:pPr>
    </w:p>
    <w:p w:rsidR="00F93A1C" w:rsidRDefault="00F93A1C" w:rsidP="00F93A1C">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F93A1C" w:rsidRPr="00442253" w:rsidRDefault="00132BE5" w:rsidP="00F93A1C">
      <w:pPr>
        <w:spacing w:after="0" w:line="240" w:lineRule="auto"/>
        <w:jc w:val="center"/>
        <w:rPr>
          <w:rFonts w:ascii="Agency FB" w:hAnsi="Agency FB"/>
          <w:b/>
          <w:bCs/>
          <w:sz w:val="56"/>
          <w:szCs w:val="68"/>
        </w:rPr>
      </w:pPr>
      <w:r>
        <w:rPr>
          <w:rFonts w:ascii="Agency FB" w:hAnsi="Agency FB"/>
          <w:b/>
          <w:bCs/>
          <w:sz w:val="56"/>
          <w:szCs w:val="68"/>
        </w:rPr>
        <w:t>RAHMON JAMIU OLATUNDE</w:t>
      </w:r>
    </w:p>
    <w:p w:rsidR="00F93A1C" w:rsidRPr="00442253" w:rsidRDefault="00F93A1C" w:rsidP="00F93A1C">
      <w:pPr>
        <w:spacing w:after="0" w:line="240" w:lineRule="auto"/>
        <w:jc w:val="center"/>
        <w:rPr>
          <w:rFonts w:ascii="Cambria" w:hAnsi="Cambria"/>
          <w:b/>
          <w:sz w:val="34"/>
          <w:szCs w:val="68"/>
        </w:rPr>
      </w:pPr>
      <w:r w:rsidRPr="00442253">
        <w:rPr>
          <w:rFonts w:ascii="Cambria" w:hAnsi="Cambria"/>
          <w:b/>
          <w:sz w:val="34"/>
          <w:szCs w:val="68"/>
        </w:rPr>
        <w:t>HND/23/BAM/FT/06</w:t>
      </w:r>
      <w:r w:rsidR="00132BE5">
        <w:rPr>
          <w:rFonts w:ascii="Cambria" w:hAnsi="Cambria"/>
          <w:b/>
          <w:sz w:val="34"/>
          <w:szCs w:val="68"/>
        </w:rPr>
        <w:t>84</w:t>
      </w:r>
    </w:p>
    <w:p w:rsidR="00F93A1C" w:rsidRPr="004826C7" w:rsidRDefault="00F93A1C" w:rsidP="00F93A1C">
      <w:pPr>
        <w:spacing w:after="0" w:line="240" w:lineRule="auto"/>
        <w:jc w:val="center"/>
        <w:rPr>
          <w:rFonts w:ascii="Cambria" w:hAnsi="Cambria"/>
          <w:b/>
          <w:sz w:val="54"/>
          <w:szCs w:val="68"/>
        </w:rPr>
      </w:pPr>
    </w:p>
    <w:p w:rsidR="00F93A1C" w:rsidRDefault="00F93A1C" w:rsidP="00F93A1C">
      <w:pPr>
        <w:jc w:val="center"/>
        <w:rPr>
          <w:rFonts w:ascii="Agency FB" w:hAnsi="Agency FB"/>
          <w:b/>
          <w:szCs w:val="68"/>
        </w:rPr>
      </w:pPr>
    </w:p>
    <w:p w:rsidR="00F93A1C" w:rsidRPr="00012282" w:rsidRDefault="00F93A1C" w:rsidP="00F93A1C">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F93A1C" w:rsidRDefault="00F93A1C" w:rsidP="00F93A1C">
      <w:pPr>
        <w:jc w:val="center"/>
        <w:rPr>
          <w:rFonts w:ascii="Bookman Old Style" w:hAnsi="Bookman Old Style"/>
          <w:b/>
          <w:szCs w:val="28"/>
        </w:rPr>
      </w:pPr>
    </w:p>
    <w:p w:rsidR="00F93A1C" w:rsidRPr="00414BEB" w:rsidRDefault="00F93A1C" w:rsidP="00F93A1C">
      <w:pPr>
        <w:spacing w:line="432" w:lineRule="auto"/>
        <w:jc w:val="center"/>
        <w:rPr>
          <w:rFonts w:ascii="Bookman Old Style" w:hAnsi="Bookman Old Style"/>
          <w:b/>
          <w:sz w:val="2"/>
          <w:szCs w:val="28"/>
        </w:rPr>
      </w:pPr>
    </w:p>
    <w:p w:rsidR="00F93A1C" w:rsidRPr="00414BEB" w:rsidRDefault="00F93A1C" w:rsidP="00F93A1C">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w:t>
      </w:r>
      <w:r w:rsidRPr="00414BEB">
        <w:rPr>
          <w:rFonts w:ascii="Bookman Old Style" w:hAnsi="Bookman Old Style"/>
          <w:b/>
          <w:sz w:val="26"/>
          <w:szCs w:val="28"/>
        </w:rPr>
        <w:t xml:space="preserve"> </w:t>
      </w:r>
      <w:r>
        <w:rPr>
          <w:rFonts w:ascii="Bookman Old Style" w:hAnsi="Bookman Old Style"/>
          <w:b/>
          <w:sz w:val="26"/>
          <w:szCs w:val="28"/>
        </w:rPr>
        <w:t>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A409A7" w:rsidRDefault="00A409A7" w:rsidP="00F93A1C">
      <w:pPr>
        <w:spacing w:line="432" w:lineRule="auto"/>
        <w:ind w:left="5040" w:firstLine="720"/>
        <w:jc w:val="both"/>
        <w:rPr>
          <w:rFonts w:ascii="Bookman Old Style" w:hAnsi="Bookman Old Style"/>
          <w:b/>
          <w:sz w:val="32"/>
          <w:szCs w:val="28"/>
        </w:rPr>
      </w:pPr>
    </w:p>
    <w:p w:rsidR="00F93A1C" w:rsidRPr="00012282" w:rsidRDefault="00F93A1C" w:rsidP="00F93A1C">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F93A1C" w:rsidRPr="000D0A90" w:rsidRDefault="00F93A1C" w:rsidP="00F93A1C">
      <w:pPr>
        <w:spacing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F93A1C" w:rsidRPr="000D0A90" w:rsidRDefault="00F93A1C" w:rsidP="00F93A1C">
      <w:pPr>
        <w:spacing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w:t>
      </w:r>
      <w:proofErr w:type="spellStart"/>
      <w:r w:rsidRPr="000D0A90">
        <w:rPr>
          <w:rFonts w:ascii="Times New Roman" w:hAnsi="Times New Roman" w:cs="Times New Roman"/>
          <w:sz w:val="24"/>
          <w:szCs w:val="24"/>
        </w:rPr>
        <w:t>Kwara</w:t>
      </w:r>
      <w:proofErr w:type="spellEnd"/>
      <w:r w:rsidRPr="000D0A90">
        <w:rPr>
          <w:rFonts w:ascii="Times New Roman" w:hAnsi="Times New Roman" w:cs="Times New Roman"/>
          <w:sz w:val="24"/>
          <w:szCs w:val="24"/>
        </w:rPr>
        <w:t xml:space="preserve"> State Polytechnic, Ilorin.</w:t>
      </w:r>
    </w:p>
    <w:p w:rsidR="00F93A1C" w:rsidRPr="000D0A90" w:rsidRDefault="00F93A1C" w:rsidP="00F93A1C">
      <w:pPr>
        <w:spacing w:line="432" w:lineRule="auto"/>
        <w:jc w:val="both"/>
        <w:rPr>
          <w:rFonts w:ascii="Times New Roman" w:hAnsi="Times New Roman" w:cs="Times New Roman"/>
          <w:sz w:val="24"/>
          <w:szCs w:val="24"/>
        </w:rPr>
      </w:pPr>
    </w:p>
    <w:p w:rsidR="00F93A1C" w:rsidRPr="000D0A90" w:rsidRDefault="00F93A1C" w:rsidP="00F93A1C">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F93A1C" w:rsidRPr="000D0A90" w:rsidRDefault="00132BE5" w:rsidP="00F93A1C">
      <w:pPr>
        <w:spacing w:after="0"/>
        <w:jc w:val="both"/>
        <w:rPr>
          <w:rFonts w:ascii="Times New Roman" w:hAnsi="Times New Roman" w:cs="Times New Roman"/>
          <w:b/>
          <w:sz w:val="24"/>
          <w:szCs w:val="24"/>
        </w:rPr>
      </w:pPr>
      <w:r>
        <w:rPr>
          <w:rFonts w:ascii="Times New Roman" w:hAnsi="Times New Roman" w:cs="Times New Roman"/>
          <w:b/>
          <w:sz w:val="24"/>
          <w:szCs w:val="24"/>
        </w:rPr>
        <w:t>DR. POPOOLA T.A</w:t>
      </w:r>
      <w:r w:rsidR="00F93A1C" w:rsidRPr="000D0A90">
        <w:rPr>
          <w:rFonts w:ascii="Times New Roman" w:hAnsi="Times New Roman" w:cs="Times New Roman"/>
          <w:b/>
          <w:sz w:val="24"/>
          <w:szCs w:val="24"/>
        </w:rPr>
        <w:tab/>
      </w:r>
      <w:r w:rsidR="00F93A1C" w:rsidRPr="000D0A90">
        <w:rPr>
          <w:rFonts w:ascii="Times New Roman" w:hAnsi="Times New Roman" w:cs="Times New Roman"/>
          <w:b/>
          <w:sz w:val="24"/>
          <w:szCs w:val="24"/>
        </w:rPr>
        <w:tab/>
      </w:r>
      <w:r w:rsidR="00F93A1C" w:rsidRPr="000D0A90">
        <w:rPr>
          <w:rFonts w:ascii="Times New Roman" w:hAnsi="Times New Roman" w:cs="Times New Roman"/>
          <w:b/>
          <w:sz w:val="24"/>
          <w:szCs w:val="24"/>
        </w:rPr>
        <w:tab/>
      </w:r>
      <w:r w:rsidR="00F93A1C" w:rsidRPr="000D0A90">
        <w:rPr>
          <w:rFonts w:ascii="Times New Roman" w:hAnsi="Times New Roman" w:cs="Times New Roman"/>
          <w:b/>
          <w:sz w:val="24"/>
          <w:szCs w:val="24"/>
        </w:rPr>
        <w:tab/>
      </w:r>
      <w:r w:rsidR="00F93A1C" w:rsidRPr="000D0A90">
        <w:rPr>
          <w:rFonts w:ascii="Times New Roman" w:hAnsi="Times New Roman" w:cs="Times New Roman"/>
          <w:b/>
          <w:sz w:val="24"/>
          <w:szCs w:val="24"/>
        </w:rPr>
        <w:tab/>
      </w:r>
      <w:r w:rsidR="00F93A1C" w:rsidRPr="000D0A90">
        <w:rPr>
          <w:rFonts w:ascii="Times New Roman" w:hAnsi="Times New Roman" w:cs="Times New Roman"/>
          <w:b/>
          <w:sz w:val="24"/>
          <w:szCs w:val="24"/>
        </w:rPr>
        <w:tab/>
        <w:t>DATE</w:t>
      </w:r>
    </w:p>
    <w:p w:rsidR="00F93A1C" w:rsidRPr="000D0A90" w:rsidRDefault="00F93A1C" w:rsidP="00F93A1C">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F93A1C" w:rsidRPr="000D0A90" w:rsidRDefault="00F93A1C" w:rsidP="00F93A1C">
      <w:pPr>
        <w:spacing w:after="0" w:line="432" w:lineRule="auto"/>
        <w:jc w:val="both"/>
        <w:rPr>
          <w:rFonts w:ascii="Times New Roman" w:hAnsi="Times New Roman" w:cs="Times New Roman"/>
          <w:b/>
          <w:sz w:val="24"/>
          <w:szCs w:val="24"/>
        </w:rPr>
      </w:pPr>
    </w:p>
    <w:p w:rsidR="00F93A1C" w:rsidRPr="000D0A90" w:rsidRDefault="00F93A1C" w:rsidP="00F93A1C">
      <w:pPr>
        <w:spacing w:after="0" w:line="432" w:lineRule="auto"/>
        <w:jc w:val="both"/>
        <w:rPr>
          <w:rFonts w:ascii="Times New Roman" w:hAnsi="Times New Roman" w:cs="Times New Roman"/>
          <w:b/>
          <w:sz w:val="24"/>
          <w:szCs w:val="24"/>
        </w:rPr>
      </w:pPr>
    </w:p>
    <w:p w:rsidR="00F93A1C" w:rsidRPr="000D0A90" w:rsidRDefault="00F93A1C" w:rsidP="00F93A1C">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4D173F" w:rsidRPr="000D0A90" w:rsidRDefault="004D173F" w:rsidP="004D173F">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Pr>
          <w:rFonts w:ascii="Times New Roman" w:hAnsi="Times New Roman" w:cs="Times New Roman"/>
          <w:b/>
          <w:sz w:val="24"/>
          <w:szCs w:val="24"/>
        </w:rPr>
        <w:t>ALIYU B.U</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F93A1C" w:rsidRPr="000D0A90" w:rsidRDefault="00F93A1C" w:rsidP="004D173F">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F93A1C" w:rsidRPr="000D0A90" w:rsidRDefault="00F93A1C" w:rsidP="00F93A1C">
      <w:pPr>
        <w:spacing w:after="0"/>
        <w:jc w:val="both"/>
        <w:rPr>
          <w:rFonts w:ascii="Times New Roman" w:hAnsi="Times New Roman" w:cs="Times New Roman"/>
          <w:b/>
          <w:i/>
          <w:sz w:val="24"/>
          <w:szCs w:val="24"/>
        </w:rPr>
      </w:pPr>
    </w:p>
    <w:p w:rsidR="00F93A1C" w:rsidRPr="000D0A90" w:rsidRDefault="00F93A1C" w:rsidP="00F93A1C">
      <w:pPr>
        <w:spacing w:after="0"/>
        <w:jc w:val="both"/>
        <w:rPr>
          <w:rFonts w:ascii="Times New Roman" w:hAnsi="Times New Roman" w:cs="Times New Roman"/>
          <w:b/>
          <w:i/>
          <w:sz w:val="24"/>
          <w:szCs w:val="24"/>
        </w:rPr>
      </w:pPr>
    </w:p>
    <w:p w:rsidR="00F93A1C" w:rsidRPr="000D0A90" w:rsidRDefault="00F93A1C" w:rsidP="00F93A1C">
      <w:pPr>
        <w:spacing w:after="0"/>
        <w:jc w:val="both"/>
        <w:rPr>
          <w:rFonts w:ascii="Times New Roman" w:hAnsi="Times New Roman" w:cs="Times New Roman"/>
          <w:b/>
          <w:sz w:val="24"/>
          <w:szCs w:val="24"/>
        </w:rPr>
      </w:pPr>
    </w:p>
    <w:p w:rsidR="00F93A1C" w:rsidRPr="000D0A90" w:rsidRDefault="00F93A1C" w:rsidP="00F93A1C">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w:t>
      </w:r>
      <w:r>
        <w:rPr>
          <w:rFonts w:ascii="Times New Roman" w:hAnsi="Times New Roman" w:cs="Times New Roman"/>
          <w:b/>
          <w:sz w:val="24"/>
          <w:szCs w:val="24"/>
        </w:rPr>
        <w:t>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r>
        <w:rPr>
          <w:rFonts w:ascii="Times New Roman" w:hAnsi="Times New Roman" w:cs="Times New Roman"/>
          <w:b/>
          <w:sz w:val="24"/>
          <w:szCs w:val="24"/>
        </w:rPr>
        <w:br/>
        <w:t>M</w:t>
      </w:r>
      <w:r w:rsidRPr="000D0A90">
        <w:rPr>
          <w:rFonts w:ascii="Times New Roman" w:hAnsi="Times New Roman" w:cs="Times New Roman"/>
          <w:b/>
          <w:sz w:val="24"/>
          <w:szCs w:val="24"/>
        </w:rPr>
        <w:t xml:space="preserve">R.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F93A1C" w:rsidRPr="000D0A90" w:rsidRDefault="00F93A1C" w:rsidP="00F93A1C">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F93A1C" w:rsidRDefault="00F93A1C" w:rsidP="00F93A1C">
      <w:pPr>
        <w:jc w:val="both"/>
        <w:rPr>
          <w:b/>
          <w:szCs w:val="28"/>
        </w:rPr>
      </w:pPr>
    </w:p>
    <w:p w:rsidR="00F93A1C" w:rsidRPr="004826C7" w:rsidRDefault="00F93A1C" w:rsidP="00F93A1C">
      <w:pPr>
        <w:jc w:val="both"/>
        <w:rPr>
          <w:b/>
          <w:szCs w:val="28"/>
        </w:rPr>
      </w:pPr>
    </w:p>
    <w:p w:rsidR="00F93A1C" w:rsidRPr="004826C7" w:rsidRDefault="00F93A1C" w:rsidP="00F93A1C">
      <w:pPr>
        <w:spacing w:line="432" w:lineRule="auto"/>
        <w:jc w:val="both"/>
        <w:rPr>
          <w:b/>
          <w:sz w:val="6"/>
          <w:szCs w:val="28"/>
        </w:rPr>
      </w:pPr>
    </w:p>
    <w:p w:rsidR="00F93A1C" w:rsidRPr="004B1C40" w:rsidRDefault="00F93A1C" w:rsidP="00F93A1C">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F93A1C" w:rsidRPr="004B1C40" w:rsidRDefault="00F93A1C" w:rsidP="00F93A1C">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F93A1C" w:rsidRPr="004826C7" w:rsidRDefault="00F93A1C" w:rsidP="00F93A1C">
      <w:pPr>
        <w:spacing w:line="432" w:lineRule="auto"/>
        <w:jc w:val="center"/>
        <w:rPr>
          <w:b/>
          <w:szCs w:val="28"/>
        </w:rPr>
      </w:pPr>
    </w:p>
    <w:p w:rsidR="00F93A1C" w:rsidRPr="004826C7" w:rsidRDefault="00F93A1C" w:rsidP="00F93A1C">
      <w:pPr>
        <w:spacing w:line="360" w:lineRule="auto"/>
        <w:jc w:val="center"/>
        <w:rPr>
          <w:b/>
        </w:rPr>
      </w:pPr>
      <w:bookmarkStart w:id="0" w:name="_GoBack"/>
      <w:bookmarkEnd w:id="0"/>
    </w:p>
    <w:p w:rsidR="00A409A7" w:rsidRDefault="00A409A7"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F93A1C" w:rsidRPr="00F54599" w:rsidRDefault="00F93A1C" w:rsidP="00F93A1C">
      <w:pPr>
        <w:jc w:val="both"/>
        <w:rPr>
          <w:rFonts w:ascii="Times New Roman" w:hAnsi="Times New Roman" w:cs="Times New Roman"/>
          <w:sz w:val="24"/>
          <w:szCs w:val="24"/>
        </w:rPr>
      </w:pPr>
      <w:r w:rsidRPr="00F54599">
        <w:rPr>
          <w:rFonts w:ascii="Times New Roman" w:hAnsi="Times New Roman" w:cs="Times New Roman"/>
          <w:sz w:val="24"/>
          <w:szCs w:val="24"/>
        </w:rPr>
        <w:tab/>
        <w:t>This proj</w:t>
      </w:r>
      <w:r>
        <w:rPr>
          <w:rFonts w:ascii="Times New Roman" w:hAnsi="Times New Roman" w:cs="Times New Roman"/>
          <w:sz w:val="24"/>
          <w:szCs w:val="24"/>
        </w:rPr>
        <w:t>ect is dedicated to Almighty Allah</w:t>
      </w:r>
      <w:r w:rsidRPr="00F54599">
        <w:rPr>
          <w:rFonts w:ascii="Times New Roman" w:hAnsi="Times New Roman" w:cs="Times New Roman"/>
          <w:sz w:val="24"/>
          <w:szCs w:val="24"/>
        </w:rPr>
        <w:t xml:space="preserve"> and to my wonderful parent</w:t>
      </w: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p>
    <w:p w:rsidR="00A409A7" w:rsidRDefault="00A409A7" w:rsidP="00F93A1C">
      <w:pPr>
        <w:spacing w:line="360" w:lineRule="auto"/>
        <w:jc w:val="center"/>
        <w:rPr>
          <w:rFonts w:ascii="Times New Roman" w:hAnsi="Times New Roman" w:cs="Times New Roman"/>
          <w:b/>
          <w:sz w:val="24"/>
          <w:szCs w:val="24"/>
        </w:rPr>
      </w:pPr>
    </w:p>
    <w:p w:rsidR="00F93A1C" w:rsidRPr="00F54599" w:rsidRDefault="00F93A1C" w:rsidP="00F93A1C">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ACKNOWLEDGEMENT </w:t>
      </w:r>
    </w:p>
    <w:p w:rsidR="00697512" w:rsidRPr="007C4C05" w:rsidRDefault="00697512" w:rsidP="00697512">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 xml:space="preserve">All glory, praises, and thanks belong to Almighty Allah, the Most Merciful, </w:t>
      </w:r>
      <w:proofErr w:type="gramStart"/>
      <w:r w:rsidRPr="007C4C05">
        <w:rPr>
          <w:rFonts w:ascii="Times New Roman" w:hAnsi="Times New Roman" w:cs="Times New Roman"/>
          <w:sz w:val="24"/>
          <w:szCs w:val="24"/>
        </w:rPr>
        <w:t>the</w:t>
      </w:r>
      <w:proofErr w:type="gramEnd"/>
      <w:r w:rsidRPr="007C4C05">
        <w:rPr>
          <w:rFonts w:ascii="Times New Roman" w:hAnsi="Times New Roman" w:cs="Times New Roman"/>
          <w:sz w:val="24"/>
          <w:szCs w:val="24"/>
        </w:rPr>
        <w:t xml:space="preserve"> Giver of strength, wisdom, and grace. His divine guidance has carried me through every challenge and triumph in this journey. Without His mercy, this project would never have been possible.</w:t>
      </w:r>
    </w:p>
    <w:p w:rsidR="00697512" w:rsidRPr="007C4C05" w:rsidRDefault="00697512" w:rsidP="00697512">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 xml:space="preserve">With a grateful heart, I extend my deepest appreciation to Engr. </w:t>
      </w:r>
      <w:proofErr w:type="spellStart"/>
      <w:r w:rsidRPr="007C4C05">
        <w:rPr>
          <w:rFonts w:ascii="Times New Roman" w:hAnsi="Times New Roman" w:cs="Times New Roman"/>
          <w:sz w:val="24"/>
          <w:szCs w:val="24"/>
        </w:rPr>
        <w:t>Ramoni</w:t>
      </w:r>
      <w:proofErr w:type="spellEnd"/>
      <w:r w:rsidRPr="007C4C05">
        <w:rPr>
          <w:rFonts w:ascii="Times New Roman" w:hAnsi="Times New Roman" w:cs="Times New Roman"/>
          <w:sz w:val="24"/>
          <w:szCs w:val="24"/>
        </w:rPr>
        <w:t xml:space="preserve"> </w:t>
      </w:r>
      <w:proofErr w:type="spellStart"/>
      <w:r w:rsidRPr="007C4C05">
        <w:rPr>
          <w:rFonts w:ascii="Times New Roman" w:hAnsi="Times New Roman" w:cs="Times New Roman"/>
          <w:sz w:val="24"/>
          <w:szCs w:val="24"/>
        </w:rPr>
        <w:t>Wasiu</w:t>
      </w:r>
      <w:proofErr w:type="spellEnd"/>
      <w:r w:rsidRPr="007C4C05">
        <w:rPr>
          <w:rFonts w:ascii="Times New Roman" w:hAnsi="Times New Roman" w:cs="Times New Roman"/>
          <w:sz w:val="24"/>
          <w:szCs w:val="24"/>
        </w:rPr>
        <w:t xml:space="preserve"> and Dr. </w:t>
      </w:r>
      <w:proofErr w:type="spellStart"/>
      <w:r w:rsidRPr="007C4C05">
        <w:rPr>
          <w:rFonts w:ascii="Times New Roman" w:hAnsi="Times New Roman" w:cs="Times New Roman"/>
          <w:sz w:val="24"/>
          <w:szCs w:val="24"/>
        </w:rPr>
        <w:t>Faoziyat</w:t>
      </w:r>
      <w:proofErr w:type="spellEnd"/>
      <w:r w:rsidRPr="007C4C05">
        <w:rPr>
          <w:rFonts w:ascii="Times New Roman" w:hAnsi="Times New Roman" w:cs="Times New Roman"/>
          <w:sz w:val="24"/>
          <w:szCs w:val="24"/>
        </w:rPr>
        <w:t xml:space="preserve"> </w:t>
      </w:r>
      <w:proofErr w:type="spellStart"/>
      <w:r w:rsidRPr="007C4C05">
        <w:rPr>
          <w:rFonts w:ascii="Times New Roman" w:hAnsi="Times New Roman" w:cs="Times New Roman"/>
          <w:sz w:val="24"/>
          <w:szCs w:val="24"/>
        </w:rPr>
        <w:t>Ramoni</w:t>
      </w:r>
      <w:proofErr w:type="spellEnd"/>
      <w:r w:rsidRPr="007C4C05">
        <w:rPr>
          <w:rFonts w:ascii="Times New Roman" w:hAnsi="Times New Roman" w:cs="Times New Roman"/>
          <w:sz w:val="24"/>
          <w:szCs w:val="24"/>
        </w:rPr>
        <w:t xml:space="preserve"> your support, inspiration, and belief in me have meant more than words can express. Thank you for being pillars of encouragement in my life.</w:t>
      </w:r>
    </w:p>
    <w:p w:rsidR="00697512" w:rsidRPr="007C4C05" w:rsidRDefault="00697512" w:rsidP="00697512">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To my dearest mum</w:t>
      </w:r>
      <w:r w:rsidR="008811B8">
        <w:rPr>
          <w:rFonts w:ascii="Times New Roman" w:hAnsi="Times New Roman" w:cs="Times New Roman"/>
          <w:sz w:val="24"/>
          <w:szCs w:val="24"/>
        </w:rPr>
        <w:t xml:space="preserve"> Mrs. </w:t>
      </w:r>
      <w:proofErr w:type="spellStart"/>
      <w:r w:rsidR="008811B8">
        <w:rPr>
          <w:rFonts w:ascii="Times New Roman" w:hAnsi="Times New Roman" w:cs="Times New Roman"/>
          <w:sz w:val="24"/>
          <w:szCs w:val="24"/>
        </w:rPr>
        <w:t>Ramoni</w:t>
      </w:r>
      <w:proofErr w:type="spellEnd"/>
      <w:r w:rsidR="008811B8">
        <w:rPr>
          <w:rFonts w:ascii="Times New Roman" w:hAnsi="Times New Roman" w:cs="Times New Roman"/>
          <w:sz w:val="24"/>
          <w:szCs w:val="24"/>
        </w:rPr>
        <w:t xml:space="preserve"> </w:t>
      </w:r>
      <w:proofErr w:type="spellStart"/>
      <w:r w:rsidR="008811B8">
        <w:rPr>
          <w:rFonts w:ascii="Times New Roman" w:hAnsi="Times New Roman" w:cs="Times New Roman"/>
          <w:sz w:val="24"/>
          <w:szCs w:val="24"/>
        </w:rPr>
        <w:t>Kudirat</w:t>
      </w:r>
      <w:proofErr w:type="spellEnd"/>
      <w:r w:rsidR="008811B8">
        <w:rPr>
          <w:rFonts w:ascii="Times New Roman" w:hAnsi="Times New Roman" w:cs="Times New Roman"/>
          <w:sz w:val="24"/>
          <w:szCs w:val="24"/>
        </w:rPr>
        <w:t xml:space="preserve"> and Late Mr. </w:t>
      </w:r>
      <w:proofErr w:type="spellStart"/>
      <w:r w:rsidR="008811B8">
        <w:rPr>
          <w:rFonts w:ascii="Times New Roman" w:hAnsi="Times New Roman" w:cs="Times New Roman"/>
          <w:sz w:val="24"/>
          <w:szCs w:val="24"/>
        </w:rPr>
        <w:t>Jimoh</w:t>
      </w:r>
      <w:proofErr w:type="spellEnd"/>
      <w:r w:rsidR="008811B8">
        <w:rPr>
          <w:rFonts w:ascii="Times New Roman" w:hAnsi="Times New Roman" w:cs="Times New Roman"/>
          <w:sz w:val="24"/>
          <w:szCs w:val="24"/>
        </w:rPr>
        <w:t xml:space="preserve"> </w:t>
      </w:r>
      <w:proofErr w:type="spellStart"/>
      <w:r w:rsidR="008811B8">
        <w:rPr>
          <w:rFonts w:ascii="Times New Roman" w:hAnsi="Times New Roman" w:cs="Times New Roman"/>
          <w:sz w:val="24"/>
          <w:szCs w:val="24"/>
        </w:rPr>
        <w:t>Ramoni</w:t>
      </w:r>
      <w:proofErr w:type="spellEnd"/>
      <w:r w:rsidRPr="007C4C05">
        <w:rPr>
          <w:rFonts w:ascii="Times New Roman" w:hAnsi="Times New Roman" w:cs="Times New Roman"/>
          <w:sz w:val="24"/>
          <w:szCs w:val="24"/>
        </w:rPr>
        <w:t>, your prayers, love, and sacrifices have been the silent strength behind every step I’ve taken. You are my greatest blessing, and I owe this success to you.</w:t>
      </w:r>
    </w:p>
    <w:p w:rsidR="00697512" w:rsidRPr="007C4C05" w:rsidRDefault="00697512" w:rsidP="00697512">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To my wonderful siblings, thank you for your constant support, for cheering me on, and for being my source of joy and motivation even on the hardest days.</w:t>
      </w:r>
    </w:p>
    <w:p w:rsidR="00697512" w:rsidRPr="007C4C05" w:rsidRDefault="00697512" w:rsidP="00697512">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To my supervisor</w:t>
      </w:r>
      <w:r>
        <w:rPr>
          <w:rFonts w:ascii="Times New Roman" w:hAnsi="Times New Roman" w:cs="Times New Roman"/>
          <w:sz w:val="24"/>
          <w:szCs w:val="24"/>
        </w:rPr>
        <w:t xml:space="preserve"> Dr.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T.A</w:t>
      </w:r>
      <w:r w:rsidRPr="007C4C05">
        <w:rPr>
          <w:rFonts w:ascii="Times New Roman" w:hAnsi="Times New Roman" w:cs="Times New Roman"/>
          <w:sz w:val="24"/>
          <w:szCs w:val="24"/>
        </w:rPr>
        <w:t>, the Head of Department</w:t>
      </w:r>
      <w:r>
        <w:rPr>
          <w:rFonts w:ascii="Times New Roman" w:hAnsi="Times New Roman" w:cs="Times New Roman"/>
          <w:sz w:val="24"/>
          <w:szCs w:val="24"/>
        </w:rPr>
        <w:t xml:space="preserve"> Mr. </w:t>
      </w:r>
      <w:proofErr w:type="spellStart"/>
      <w:r>
        <w:rPr>
          <w:rFonts w:ascii="Times New Roman" w:hAnsi="Times New Roman" w:cs="Times New Roman"/>
          <w:sz w:val="24"/>
          <w:szCs w:val="24"/>
        </w:rPr>
        <w:t>Alakoso</w:t>
      </w:r>
      <w:proofErr w:type="spellEnd"/>
      <w:r>
        <w:rPr>
          <w:rFonts w:ascii="Times New Roman" w:hAnsi="Times New Roman" w:cs="Times New Roman"/>
          <w:sz w:val="24"/>
          <w:szCs w:val="24"/>
        </w:rPr>
        <w:t xml:space="preserve"> I.K</w:t>
      </w:r>
      <w:r w:rsidRPr="007C4C05">
        <w:rPr>
          <w:rFonts w:ascii="Times New Roman" w:hAnsi="Times New Roman" w:cs="Times New Roman"/>
          <w:sz w:val="24"/>
          <w:szCs w:val="24"/>
        </w:rPr>
        <w:t>, and all the lecturers of Business Administration and Management, thank you for the knowledge, guidance, and mentorship. Your impact on my academic journey will forever remain in my heart.</w:t>
      </w:r>
    </w:p>
    <w:p w:rsidR="00697512" w:rsidRPr="007C4C05" w:rsidRDefault="00697512" w:rsidP="00697512">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Finally, to everyone who contributed to the success of this project, in one</w:t>
      </w:r>
      <w:r>
        <w:rPr>
          <w:rFonts w:ascii="Times New Roman" w:hAnsi="Times New Roman" w:cs="Times New Roman"/>
          <w:sz w:val="24"/>
          <w:szCs w:val="24"/>
        </w:rPr>
        <w:t xml:space="preserve"> way or another </w:t>
      </w:r>
      <w:r w:rsidRPr="007C4C05">
        <w:rPr>
          <w:rFonts w:ascii="Times New Roman" w:hAnsi="Times New Roman" w:cs="Times New Roman"/>
          <w:sz w:val="24"/>
          <w:szCs w:val="24"/>
        </w:rPr>
        <w:t>through prayers, words of encouragement, acts</w:t>
      </w:r>
      <w:r>
        <w:rPr>
          <w:rFonts w:ascii="Times New Roman" w:hAnsi="Times New Roman" w:cs="Times New Roman"/>
          <w:sz w:val="24"/>
          <w:szCs w:val="24"/>
        </w:rPr>
        <w:t xml:space="preserve"> of kindness, or silent support </w:t>
      </w:r>
      <w:r w:rsidRPr="007C4C05">
        <w:rPr>
          <w:rFonts w:ascii="Times New Roman" w:hAnsi="Times New Roman" w:cs="Times New Roman"/>
          <w:sz w:val="24"/>
          <w:szCs w:val="24"/>
        </w:rPr>
        <w:t>I see you, I appreciate you, and I am truly thankful. Thi</w:t>
      </w:r>
      <w:r>
        <w:rPr>
          <w:rFonts w:ascii="Times New Roman" w:hAnsi="Times New Roman" w:cs="Times New Roman"/>
          <w:sz w:val="24"/>
          <w:szCs w:val="24"/>
        </w:rPr>
        <w:t xml:space="preserve">s achievement is not mine alone </w:t>
      </w:r>
      <w:r w:rsidRPr="007C4C05">
        <w:rPr>
          <w:rFonts w:ascii="Times New Roman" w:hAnsi="Times New Roman" w:cs="Times New Roman"/>
          <w:sz w:val="24"/>
          <w:szCs w:val="24"/>
        </w:rPr>
        <w:t>it belongs to all of us.</w:t>
      </w:r>
    </w:p>
    <w:p w:rsidR="00697512" w:rsidRPr="007C4C05" w:rsidRDefault="00697512" w:rsidP="00697512">
      <w:pPr>
        <w:spacing w:line="360" w:lineRule="auto"/>
        <w:jc w:val="both"/>
        <w:rPr>
          <w:rFonts w:ascii="Times New Roman" w:hAnsi="Times New Roman" w:cs="Times New Roman"/>
          <w:sz w:val="24"/>
          <w:szCs w:val="24"/>
        </w:rPr>
      </w:pPr>
    </w:p>
    <w:p w:rsidR="00F93A1C" w:rsidRPr="003F7330" w:rsidRDefault="00F93A1C" w:rsidP="00F93A1C">
      <w:pPr>
        <w:spacing w:line="360" w:lineRule="auto"/>
        <w:jc w:val="both"/>
        <w:rPr>
          <w:rFonts w:ascii="Times New Roman" w:hAnsi="Times New Roman" w:cs="Times New Roman"/>
          <w:sz w:val="24"/>
          <w:szCs w:val="24"/>
        </w:rPr>
      </w:pPr>
    </w:p>
    <w:p w:rsidR="00F93A1C" w:rsidRPr="00F54599" w:rsidRDefault="00F93A1C" w:rsidP="00F93A1C">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TABLE OF CONTENTS</w:t>
      </w:r>
    </w:p>
    <w:p w:rsidR="00F93A1C" w:rsidRPr="0052512A" w:rsidRDefault="00F93A1C" w:rsidP="00F93A1C">
      <w:pPr>
        <w:pStyle w:val="NormalWeb"/>
        <w:tabs>
          <w:tab w:val="left" w:pos="360"/>
        </w:tabs>
        <w:spacing w:before="0" w:beforeAutospacing="0" w:after="0" w:afterAutospacing="0" w:line="360" w:lineRule="auto"/>
        <w:jc w:val="both"/>
        <w:rPr>
          <w:lang w:val="en-US"/>
        </w:rPr>
      </w:pPr>
      <w:r w:rsidRPr="00F54599">
        <w:t>Title Page</w:t>
      </w:r>
      <w:r w:rsidRPr="00F54599">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rPr>
        <w:tab/>
      </w:r>
      <w:proofErr w:type="spellStart"/>
      <w:r w:rsidR="0052512A">
        <w:rPr>
          <w:rFonts w:eastAsiaTheme="minorEastAsia"/>
          <w:lang w:val="en-US"/>
        </w:rPr>
        <w:t>i</w:t>
      </w:r>
      <w:proofErr w:type="spellEnd"/>
    </w:p>
    <w:p w:rsidR="00F93A1C" w:rsidRPr="0052512A" w:rsidRDefault="00F93A1C" w:rsidP="00F93A1C">
      <w:pPr>
        <w:pStyle w:val="NormalWeb"/>
        <w:tabs>
          <w:tab w:val="left" w:pos="360"/>
        </w:tabs>
        <w:spacing w:before="0" w:beforeAutospacing="0" w:after="0" w:afterAutospacing="0" w:line="360" w:lineRule="auto"/>
        <w:jc w:val="both"/>
        <w:rPr>
          <w:lang w:val="en-US"/>
        </w:rPr>
      </w:pPr>
      <w:r w:rsidRPr="00F54599">
        <w:t>Certification</w:t>
      </w:r>
      <w:r w:rsidRPr="00F54599">
        <w:tab/>
      </w:r>
      <w:r w:rsidRPr="00F54599">
        <w:tab/>
      </w:r>
      <w:r w:rsidRPr="00F54599">
        <w:tab/>
      </w:r>
      <w:r w:rsidRPr="00F54599">
        <w:tab/>
      </w:r>
      <w:r w:rsidRPr="00F54599">
        <w:tab/>
      </w:r>
      <w:r w:rsidRPr="00F54599">
        <w:tab/>
      </w:r>
      <w:r w:rsidRPr="00F54599">
        <w:tab/>
      </w:r>
      <w:r w:rsidRPr="00F54599">
        <w:tab/>
      </w:r>
      <w:r w:rsidRPr="00F54599">
        <w:tab/>
      </w:r>
      <w:r w:rsidR="0052512A">
        <w:rPr>
          <w:lang w:val="en-US"/>
        </w:rPr>
        <w:t>ii</w:t>
      </w:r>
    </w:p>
    <w:p w:rsidR="00F93A1C" w:rsidRPr="0052512A" w:rsidRDefault="00F93A1C" w:rsidP="00F93A1C">
      <w:pPr>
        <w:pStyle w:val="NormalWeb"/>
        <w:tabs>
          <w:tab w:val="left" w:pos="540"/>
        </w:tabs>
        <w:spacing w:before="0" w:beforeAutospacing="0" w:after="0" w:afterAutospacing="0" w:line="360" w:lineRule="auto"/>
        <w:jc w:val="both"/>
        <w:rPr>
          <w:lang w:val="en-US"/>
        </w:rPr>
      </w:pPr>
      <w:r w:rsidRPr="00F54599">
        <w:t>Dedication</w:t>
      </w:r>
      <w:r w:rsidRPr="00F54599">
        <w:tab/>
      </w:r>
      <w:r w:rsidRPr="00F54599">
        <w:tab/>
      </w:r>
      <w:r w:rsidRPr="00F54599">
        <w:tab/>
      </w:r>
      <w:r w:rsidRPr="00F54599">
        <w:tab/>
      </w:r>
      <w:r w:rsidRPr="00F54599">
        <w:tab/>
      </w:r>
      <w:r w:rsidRPr="00F54599">
        <w:tab/>
      </w:r>
      <w:r w:rsidRPr="00F54599">
        <w:tab/>
      </w:r>
      <w:r w:rsidRPr="00F54599">
        <w:tab/>
      </w:r>
      <w:r w:rsidRPr="00F54599">
        <w:tab/>
      </w:r>
      <w:r w:rsidR="0052512A">
        <w:rPr>
          <w:lang w:val="en-US"/>
        </w:rPr>
        <w:t>iii</w:t>
      </w:r>
    </w:p>
    <w:p w:rsidR="00F93A1C" w:rsidRPr="0052512A" w:rsidRDefault="00F93A1C" w:rsidP="00F93A1C">
      <w:pPr>
        <w:pStyle w:val="NormalWeb"/>
        <w:tabs>
          <w:tab w:val="left" w:pos="540"/>
        </w:tabs>
        <w:spacing w:before="0" w:beforeAutospacing="0" w:after="0" w:afterAutospacing="0" w:line="360" w:lineRule="auto"/>
        <w:jc w:val="both"/>
        <w:rPr>
          <w:lang w:val="en-US"/>
        </w:rPr>
      </w:pPr>
      <w:r w:rsidRPr="00F54599">
        <w:t>Acknowledgements</w:t>
      </w:r>
      <w:r w:rsidRPr="00F54599">
        <w:tab/>
      </w:r>
      <w:r w:rsidRPr="00F54599">
        <w:tab/>
      </w:r>
      <w:r w:rsidRPr="00F54599">
        <w:tab/>
      </w:r>
      <w:r w:rsidRPr="00F54599">
        <w:tab/>
      </w:r>
      <w:r w:rsidRPr="00F54599">
        <w:tab/>
      </w:r>
      <w:r w:rsidRPr="00F54599">
        <w:tab/>
      </w:r>
      <w:r w:rsidRPr="00F54599">
        <w:tab/>
      </w:r>
      <w:r w:rsidRPr="00F54599">
        <w:tab/>
      </w:r>
      <w:r w:rsidR="0052512A">
        <w:rPr>
          <w:lang w:val="en-US"/>
        </w:rPr>
        <w:t>iv</w:t>
      </w:r>
    </w:p>
    <w:p w:rsidR="00080EF4" w:rsidRPr="0052512A" w:rsidRDefault="00F93A1C" w:rsidP="00F93A1C">
      <w:pPr>
        <w:pStyle w:val="NormalWeb"/>
        <w:tabs>
          <w:tab w:val="left" w:pos="540"/>
        </w:tabs>
        <w:spacing w:before="0" w:beforeAutospacing="0" w:after="0" w:afterAutospacing="0" w:line="360" w:lineRule="auto"/>
        <w:jc w:val="both"/>
        <w:rPr>
          <w:rFonts w:eastAsiaTheme="minorEastAsia"/>
          <w:lang w:val="en-US"/>
        </w:rPr>
      </w:pPr>
      <w:r w:rsidRPr="00F54599">
        <w:t>Table of Content</w:t>
      </w:r>
      <w:r w:rsidRPr="00F54599">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rPr>
        <w:tab/>
      </w:r>
      <w:r w:rsidR="0052512A">
        <w:rPr>
          <w:rFonts w:eastAsiaTheme="minorEastAsia"/>
          <w:lang w:val="en-US"/>
        </w:rPr>
        <w:t>v</w:t>
      </w:r>
    </w:p>
    <w:p w:rsidR="00F93A1C" w:rsidRPr="0052512A" w:rsidRDefault="00080EF4" w:rsidP="00F93A1C">
      <w:pPr>
        <w:pStyle w:val="NormalWeb"/>
        <w:tabs>
          <w:tab w:val="left" w:pos="540"/>
        </w:tabs>
        <w:spacing w:before="0" w:beforeAutospacing="0" w:after="0" w:afterAutospacing="0" w:line="360" w:lineRule="auto"/>
        <w:jc w:val="both"/>
        <w:rPr>
          <w:rFonts w:eastAsiaTheme="minorEastAsia"/>
          <w:lang w:val="en-US"/>
        </w:rPr>
      </w:pPr>
      <w:r>
        <w:rPr>
          <w:rFonts w:eastAsiaTheme="minorEastAsia"/>
        </w:rPr>
        <w:t>A</w:t>
      </w:r>
      <w:r>
        <w:rPr>
          <w:rFonts w:eastAsiaTheme="minorEastAsia" w:hint="eastAsia"/>
        </w:rPr>
        <w:t>bstract</w:t>
      </w:r>
      <w:r w:rsidR="00F93A1C" w:rsidRPr="00F54599">
        <w:tab/>
      </w:r>
      <w:r w:rsidR="00F93A1C" w:rsidRPr="00F54599">
        <w:tab/>
      </w:r>
      <w:r w:rsidR="00F93A1C" w:rsidRPr="00F54599">
        <w:tab/>
      </w:r>
      <w:r w:rsidR="00F93A1C" w:rsidRPr="00F54599">
        <w:tab/>
      </w:r>
      <w:r w:rsidR="00F93A1C" w:rsidRPr="00F54599">
        <w:tab/>
      </w:r>
      <w:r w:rsidR="00F93A1C" w:rsidRPr="00F54599">
        <w:tab/>
      </w:r>
      <w:r w:rsidR="00F93A1C" w:rsidRPr="00F54599">
        <w:tab/>
      </w:r>
      <w:r w:rsidR="0052512A">
        <w:rPr>
          <w:rFonts w:eastAsiaTheme="minorEastAsia"/>
        </w:rPr>
        <w:tab/>
      </w:r>
      <w:r w:rsidR="0052512A">
        <w:rPr>
          <w:rFonts w:eastAsiaTheme="minorEastAsia"/>
        </w:rPr>
        <w:tab/>
      </w:r>
      <w:r w:rsidR="0052512A">
        <w:rPr>
          <w:rFonts w:eastAsiaTheme="minorEastAsia"/>
          <w:lang w:val="en-US"/>
        </w:rPr>
        <w:t>vii</w:t>
      </w:r>
    </w:p>
    <w:p w:rsidR="00F93A1C" w:rsidRPr="00F54599" w:rsidRDefault="00F93A1C" w:rsidP="00F93A1C">
      <w:pPr>
        <w:pStyle w:val="NormalWeb"/>
        <w:tabs>
          <w:tab w:val="left" w:pos="540"/>
        </w:tabs>
        <w:spacing w:before="0" w:beforeAutospacing="0" w:after="0" w:afterAutospacing="0" w:line="360" w:lineRule="auto"/>
        <w:jc w:val="both"/>
        <w:rPr>
          <w:b/>
        </w:rPr>
      </w:pPr>
      <w:r w:rsidRPr="00F54599">
        <w:rPr>
          <w:b/>
        </w:rPr>
        <w:t xml:space="preserve">CHAPTER ONE: </w:t>
      </w:r>
      <w:r>
        <w:rPr>
          <w:b/>
        </w:rPr>
        <w:t>INTRODUCTION</w:t>
      </w:r>
      <w:r w:rsidRPr="00F54599">
        <w:rPr>
          <w:b/>
        </w:rPr>
        <w:tab/>
      </w:r>
      <w:r w:rsidRPr="00F54599">
        <w:rPr>
          <w:b/>
        </w:rPr>
        <w:tab/>
      </w:r>
    </w:p>
    <w:p w:rsidR="00F93A1C" w:rsidRPr="0052512A" w:rsidRDefault="00F93A1C" w:rsidP="00F93A1C">
      <w:pPr>
        <w:pStyle w:val="NormalWeb"/>
        <w:tabs>
          <w:tab w:val="left" w:pos="540"/>
        </w:tabs>
        <w:spacing w:before="0" w:beforeAutospacing="0" w:after="0" w:afterAutospacing="0" w:line="360" w:lineRule="auto"/>
        <w:jc w:val="both"/>
        <w:rPr>
          <w:b/>
          <w:lang w:val="en-US"/>
        </w:rPr>
      </w:pPr>
      <w:r w:rsidRPr="00F54599">
        <w:t xml:space="preserve">1.1 </w:t>
      </w:r>
      <w:r w:rsidRPr="00F54599">
        <w:tab/>
        <w:t xml:space="preserve">Background to the Study </w:t>
      </w:r>
      <w:r w:rsidRPr="00F54599">
        <w:tab/>
      </w:r>
      <w:r w:rsidRPr="00F54599">
        <w:rPr>
          <w:b/>
        </w:rPr>
        <w:tab/>
      </w:r>
      <w:r w:rsidRPr="00F54599">
        <w:rPr>
          <w:b/>
        </w:rPr>
        <w:tab/>
      </w:r>
      <w:r w:rsidRPr="00F54599">
        <w:rPr>
          <w:b/>
        </w:rPr>
        <w:tab/>
      </w:r>
      <w:r w:rsidRPr="00F54599">
        <w:rPr>
          <w:b/>
        </w:rPr>
        <w:tab/>
      </w:r>
      <w:r w:rsidRPr="00F54599">
        <w:tab/>
      </w:r>
      <w:r w:rsidR="0052512A">
        <w:rPr>
          <w:lang w:val="en-US"/>
        </w:rPr>
        <w:t>1</w:t>
      </w:r>
    </w:p>
    <w:p w:rsidR="00F93A1C" w:rsidRPr="0052512A" w:rsidRDefault="00F93A1C" w:rsidP="00F93A1C">
      <w:pPr>
        <w:pStyle w:val="NormalWeb"/>
        <w:tabs>
          <w:tab w:val="left" w:pos="540"/>
        </w:tabs>
        <w:spacing w:before="0" w:beforeAutospacing="0" w:after="0" w:afterAutospacing="0" w:line="360" w:lineRule="auto"/>
        <w:jc w:val="both"/>
        <w:rPr>
          <w:lang w:val="en-US"/>
        </w:rPr>
      </w:pPr>
      <w:r w:rsidRPr="00F54599">
        <w:t xml:space="preserve">1.2 </w:t>
      </w:r>
      <w:r w:rsidRPr="00F54599">
        <w:tab/>
        <w:t>Statement of the Problem</w:t>
      </w:r>
      <w:r w:rsidRPr="00F54599">
        <w:tab/>
      </w:r>
      <w:r w:rsidRPr="00F54599">
        <w:tab/>
      </w:r>
      <w:r w:rsidRPr="00F54599">
        <w:tab/>
      </w:r>
      <w:r w:rsidRPr="00F54599">
        <w:tab/>
      </w:r>
      <w:r w:rsidRPr="00F54599">
        <w:tab/>
      </w:r>
      <w:r w:rsidRPr="00F54599">
        <w:tab/>
      </w:r>
      <w:r w:rsidR="0052512A">
        <w:rPr>
          <w:lang w:val="en-US"/>
        </w:rPr>
        <w:t>2</w:t>
      </w:r>
    </w:p>
    <w:p w:rsidR="00F93A1C" w:rsidRPr="0052512A" w:rsidRDefault="00F93A1C" w:rsidP="00F93A1C">
      <w:pPr>
        <w:pStyle w:val="NormalWeb"/>
        <w:tabs>
          <w:tab w:val="left" w:pos="540"/>
        </w:tabs>
        <w:spacing w:before="0" w:beforeAutospacing="0" w:after="0" w:afterAutospacing="0" w:line="360" w:lineRule="auto"/>
        <w:jc w:val="both"/>
        <w:rPr>
          <w:lang w:val="en-US"/>
        </w:rPr>
      </w:pPr>
      <w:r w:rsidRPr="00F54599">
        <w:t xml:space="preserve">1.3 </w:t>
      </w:r>
      <w:r w:rsidRPr="00F54599">
        <w:tab/>
        <w:t>Aims and Objective of the Study</w:t>
      </w:r>
      <w:r w:rsidRPr="00F54599">
        <w:tab/>
      </w:r>
      <w:r w:rsidRPr="00F54599">
        <w:tab/>
      </w:r>
      <w:r w:rsidRPr="00F54599">
        <w:tab/>
      </w:r>
      <w:r w:rsidRPr="00F54599">
        <w:tab/>
      </w:r>
      <w:r w:rsidRPr="00F54599">
        <w:tab/>
      </w:r>
      <w:r w:rsidR="0052512A">
        <w:rPr>
          <w:lang w:val="en-US"/>
        </w:rPr>
        <w:t>3</w:t>
      </w:r>
    </w:p>
    <w:p w:rsidR="00F93A1C" w:rsidRPr="0052512A" w:rsidRDefault="00F93A1C" w:rsidP="00F93A1C">
      <w:pPr>
        <w:pStyle w:val="NormalWeb"/>
        <w:tabs>
          <w:tab w:val="left" w:pos="540"/>
        </w:tabs>
        <w:spacing w:before="0" w:beforeAutospacing="0" w:after="0" w:afterAutospacing="0" w:line="360" w:lineRule="auto"/>
        <w:jc w:val="both"/>
        <w:rPr>
          <w:lang w:val="en-US"/>
        </w:rPr>
      </w:pPr>
      <w:r w:rsidRPr="00F54599">
        <w:t xml:space="preserve">1.4 </w:t>
      </w:r>
      <w:r w:rsidRPr="00F54599">
        <w:tab/>
        <w:t>Research questions</w:t>
      </w:r>
      <w:r w:rsidRPr="00F54599">
        <w:tab/>
      </w:r>
      <w:r w:rsidRPr="00F54599">
        <w:tab/>
      </w:r>
      <w:r w:rsidRPr="00F54599">
        <w:tab/>
      </w:r>
      <w:r w:rsidRPr="00F54599">
        <w:tab/>
      </w:r>
      <w:r w:rsidRPr="00F54599">
        <w:tab/>
      </w:r>
      <w:r w:rsidRPr="00F54599">
        <w:tab/>
      </w:r>
      <w:r w:rsidRPr="00F54599">
        <w:tab/>
      </w:r>
      <w:r w:rsidR="0052512A">
        <w:rPr>
          <w:lang w:val="en-US"/>
        </w:rPr>
        <w:t>3</w:t>
      </w:r>
    </w:p>
    <w:p w:rsidR="00F93A1C" w:rsidRPr="00144F66" w:rsidRDefault="00F93A1C" w:rsidP="00F93A1C">
      <w:pPr>
        <w:pStyle w:val="NormalWeb"/>
        <w:tabs>
          <w:tab w:val="left" w:pos="540"/>
        </w:tabs>
        <w:spacing w:before="0" w:beforeAutospacing="0" w:after="0" w:afterAutospacing="0" w:line="360" w:lineRule="auto"/>
        <w:jc w:val="both"/>
        <w:rPr>
          <w:rFonts w:eastAsiaTheme="minorEastAsia"/>
          <w:lang w:val="en-US"/>
        </w:rPr>
      </w:pPr>
      <w:r w:rsidRPr="00F54599">
        <w:t>1.5</w:t>
      </w:r>
      <w:r w:rsidRPr="00F54599">
        <w:tab/>
        <w:t xml:space="preserve">Research hypothesis </w:t>
      </w:r>
      <w:r w:rsidRPr="00F54599">
        <w:tab/>
      </w:r>
      <w:r w:rsidRPr="00F54599">
        <w:tab/>
      </w:r>
      <w:r w:rsidRPr="00F54599">
        <w:tab/>
      </w:r>
      <w:r w:rsidRPr="00F54599">
        <w:tab/>
      </w:r>
      <w:r w:rsidRPr="00F54599">
        <w:tab/>
      </w:r>
      <w:r w:rsidRPr="00F54599">
        <w:tab/>
      </w:r>
      <w:r w:rsidR="00144F66">
        <w:rPr>
          <w:rFonts w:eastAsiaTheme="minorEastAsia"/>
        </w:rPr>
        <w:tab/>
      </w:r>
      <w:r w:rsidR="00144F66">
        <w:rPr>
          <w:rFonts w:eastAsiaTheme="minorEastAsia"/>
          <w:lang w:val="en-US"/>
        </w:rPr>
        <w:t>4</w:t>
      </w:r>
    </w:p>
    <w:p w:rsidR="00F93A1C" w:rsidRPr="00144F66" w:rsidRDefault="00F93A1C" w:rsidP="00F93A1C">
      <w:pPr>
        <w:pStyle w:val="NormalWeb"/>
        <w:tabs>
          <w:tab w:val="left" w:pos="540"/>
        </w:tabs>
        <w:spacing w:before="0" w:beforeAutospacing="0" w:after="0" w:afterAutospacing="0" w:line="360" w:lineRule="auto"/>
        <w:jc w:val="both"/>
        <w:rPr>
          <w:lang w:val="en-US"/>
        </w:rPr>
      </w:pPr>
      <w:r w:rsidRPr="00F54599">
        <w:t>1.6</w:t>
      </w:r>
      <w:r w:rsidRPr="00F54599">
        <w:tab/>
        <w:t xml:space="preserve">Significance of the study </w:t>
      </w:r>
      <w:r w:rsidRPr="00F54599">
        <w:tab/>
      </w:r>
      <w:r w:rsidRPr="00F54599">
        <w:tab/>
      </w:r>
      <w:r w:rsidRPr="00F54599">
        <w:tab/>
      </w:r>
      <w:r w:rsidRPr="00F54599">
        <w:tab/>
      </w:r>
      <w:r w:rsidRPr="00F54599">
        <w:tab/>
      </w:r>
      <w:r w:rsidRPr="00F54599">
        <w:tab/>
      </w:r>
      <w:r w:rsidR="00144F66">
        <w:rPr>
          <w:lang w:val="en-US"/>
        </w:rPr>
        <w:t>4</w:t>
      </w:r>
    </w:p>
    <w:p w:rsidR="00F93A1C" w:rsidRPr="00144F66" w:rsidRDefault="00F93A1C" w:rsidP="00F93A1C">
      <w:pPr>
        <w:pStyle w:val="NormalWeb"/>
        <w:tabs>
          <w:tab w:val="left" w:pos="540"/>
        </w:tabs>
        <w:spacing w:before="0" w:beforeAutospacing="0" w:after="0" w:afterAutospacing="0" w:line="360" w:lineRule="auto"/>
        <w:jc w:val="both"/>
        <w:rPr>
          <w:lang w:val="en-US"/>
        </w:rPr>
      </w:pPr>
      <w:r w:rsidRPr="00F54599">
        <w:t>1.7</w:t>
      </w:r>
      <w:r w:rsidRPr="00F54599">
        <w:tab/>
        <w:t xml:space="preserve">Scope of the Study </w:t>
      </w:r>
      <w:r w:rsidRPr="00F54599">
        <w:tab/>
      </w:r>
      <w:r w:rsidRPr="00F54599">
        <w:tab/>
      </w:r>
      <w:r w:rsidRPr="00F54599">
        <w:tab/>
      </w:r>
      <w:r w:rsidRPr="00F54599">
        <w:tab/>
      </w:r>
      <w:r w:rsidRPr="00F54599">
        <w:tab/>
      </w:r>
      <w:r w:rsidRPr="00F54599">
        <w:tab/>
      </w:r>
      <w:r w:rsidRPr="00F54599">
        <w:tab/>
      </w:r>
      <w:r w:rsidR="00144F66">
        <w:rPr>
          <w:lang w:val="en-US"/>
        </w:rPr>
        <w:t>4</w:t>
      </w:r>
    </w:p>
    <w:p w:rsidR="00F93A1C" w:rsidRPr="00144F66" w:rsidRDefault="00144F66" w:rsidP="00F93A1C">
      <w:pPr>
        <w:pStyle w:val="NormalWeb"/>
        <w:tabs>
          <w:tab w:val="left" w:pos="540"/>
        </w:tabs>
        <w:spacing w:before="0" w:beforeAutospacing="0" w:after="0" w:afterAutospacing="0" w:line="360" w:lineRule="auto"/>
        <w:jc w:val="both"/>
        <w:rPr>
          <w:lang w:val="en-US"/>
        </w:rPr>
      </w:pPr>
      <w:r>
        <w:t>1.8</w:t>
      </w:r>
      <w:r w:rsidR="00F93A1C" w:rsidRPr="00F54599">
        <w:tab/>
        <w:t xml:space="preserve">Definition of Terms </w:t>
      </w:r>
      <w:r w:rsidR="00F93A1C" w:rsidRPr="00F54599">
        <w:tab/>
      </w:r>
      <w:r w:rsidR="00F93A1C" w:rsidRPr="00F54599">
        <w:tab/>
      </w:r>
      <w:r w:rsidR="00F93A1C" w:rsidRPr="00F54599">
        <w:tab/>
      </w:r>
      <w:r w:rsidR="00F93A1C" w:rsidRPr="00F54599">
        <w:tab/>
      </w:r>
      <w:r w:rsidR="00F93A1C" w:rsidRPr="00F54599">
        <w:tab/>
      </w:r>
      <w:r w:rsidR="00F93A1C" w:rsidRPr="00F54599">
        <w:tab/>
      </w:r>
      <w:r w:rsidR="00F93A1C" w:rsidRPr="00F54599">
        <w:tab/>
      </w:r>
      <w:r>
        <w:rPr>
          <w:lang w:val="en-US"/>
        </w:rPr>
        <w:t>4</w:t>
      </w:r>
    </w:p>
    <w:p w:rsidR="00F93A1C" w:rsidRPr="00F54599" w:rsidRDefault="00F93A1C" w:rsidP="00F93A1C">
      <w:pPr>
        <w:pStyle w:val="NormalWeb"/>
        <w:tabs>
          <w:tab w:val="left" w:pos="540"/>
        </w:tabs>
        <w:spacing w:before="0" w:beforeAutospacing="0" w:after="0" w:afterAutospacing="0" w:line="360" w:lineRule="auto"/>
        <w:jc w:val="both"/>
        <w:rPr>
          <w:b/>
        </w:rPr>
      </w:pPr>
      <w:r w:rsidRPr="00F54599">
        <w:rPr>
          <w:b/>
        </w:rPr>
        <w:t>CHAPTER TWO: LITERATURE REVIEW</w:t>
      </w:r>
      <w:r w:rsidRPr="00F54599">
        <w:rPr>
          <w:b/>
        </w:rPr>
        <w:tab/>
      </w:r>
      <w:r w:rsidRPr="00F54599">
        <w:rPr>
          <w:b/>
        </w:rPr>
        <w:tab/>
      </w:r>
      <w:r w:rsidRPr="00F54599">
        <w:rPr>
          <w:b/>
        </w:rPr>
        <w:tab/>
        <w:t xml:space="preserve">        </w:t>
      </w:r>
      <w:r w:rsidRPr="00F54599">
        <w:rPr>
          <w:b/>
        </w:rPr>
        <w:tab/>
      </w:r>
    </w:p>
    <w:p w:rsidR="00F93A1C" w:rsidRPr="00144F66" w:rsidRDefault="00144F66" w:rsidP="00F93A1C">
      <w:pPr>
        <w:pStyle w:val="NormalWeb"/>
        <w:tabs>
          <w:tab w:val="left" w:pos="540"/>
        </w:tabs>
        <w:spacing w:before="0" w:beforeAutospacing="0" w:after="0" w:afterAutospacing="0" w:line="360" w:lineRule="auto"/>
        <w:jc w:val="both"/>
        <w:rPr>
          <w:b/>
          <w:lang w:val="en-US"/>
        </w:rPr>
      </w:pPr>
      <w:r>
        <w:t xml:space="preserve">2.1 </w:t>
      </w:r>
      <w:r>
        <w:tab/>
        <w:t>Introduction</w:t>
      </w:r>
      <w:r>
        <w:tab/>
      </w:r>
      <w:r>
        <w:tab/>
      </w:r>
      <w:r>
        <w:tab/>
      </w:r>
      <w:r>
        <w:tab/>
      </w:r>
      <w:r>
        <w:tab/>
      </w:r>
      <w:r>
        <w:tab/>
      </w:r>
      <w:r>
        <w:rPr>
          <w:rFonts w:eastAsiaTheme="minorEastAsia"/>
        </w:rPr>
        <w:tab/>
      </w:r>
      <w:r w:rsidR="00F93A1C" w:rsidRPr="00F54599">
        <w:tab/>
      </w:r>
      <w:r>
        <w:rPr>
          <w:lang w:val="en-US"/>
        </w:rPr>
        <w:t>6</w:t>
      </w:r>
    </w:p>
    <w:p w:rsidR="00F93A1C" w:rsidRPr="00144F66" w:rsidRDefault="00F93A1C" w:rsidP="00F93A1C">
      <w:pPr>
        <w:pStyle w:val="NormalWeb"/>
        <w:tabs>
          <w:tab w:val="left" w:pos="540"/>
        </w:tabs>
        <w:spacing w:before="0" w:beforeAutospacing="0" w:after="0" w:afterAutospacing="0" w:line="360" w:lineRule="auto"/>
        <w:jc w:val="both"/>
        <w:rPr>
          <w:rFonts w:eastAsiaTheme="minorEastAsia"/>
          <w:lang w:val="en-US"/>
        </w:rPr>
      </w:pPr>
      <w:r w:rsidRPr="00F54599">
        <w:t xml:space="preserve">2.2 </w:t>
      </w:r>
      <w:r w:rsidRPr="00F54599">
        <w:tab/>
        <w:t xml:space="preserve">Conceptual framework </w:t>
      </w:r>
      <w:r w:rsidRPr="00F54599">
        <w:tab/>
      </w:r>
      <w:r w:rsidRPr="00F54599">
        <w:tab/>
      </w:r>
      <w:r w:rsidRPr="00F54599">
        <w:tab/>
      </w:r>
      <w:r w:rsidRPr="00F54599">
        <w:tab/>
      </w:r>
      <w:r w:rsidRPr="00F54599">
        <w:tab/>
      </w:r>
      <w:r w:rsidRPr="00F54599">
        <w:tab/>
      </w:r>
      <w:r w:rsidR="00144F66">
        <w:rPr>
          <w:rFonts w:eastAsiaTheme="minorEastAsia"/>
        </w:rPr>
        <w:tab/>
      </w:r>
      <w:r w:rsidR="00144F66">
        <w:rPr>
          <w:rFonts w:eastAsiaTheme="minorEastAsia"/>
          <w:lang w:val="en-US"/>
        </w:rPr>
        <w:t>6</w:t>
      </w:r>
    </w:p>
    <w:p w:rsidR="00F93A1C" w:rsidRPr="00B2364B" w:rsidRDefault="00F93A1C" w:rsidP="00F93A1C">
      <w:pPr>
        <w:pStyle w:val="NormalWeb"/>
        <w:tabs>
          <w:tab w:val="left" w:pos="540"/>
        </w:tabs>
        <w:spacing w:before="0" w:beforeAutospacing="0" w:after="0" w:afterAutospacing="0" w:line="360" w:lineRule="auto"/>
        <w:jc w:val="both"/>
        <w:rPr>
          <w:rFonts w:eastAsiaTheme="minorEastAsia"/>
          <w:lang w:val="en-US"/>
        </w:rPr>
      </w:pPr>
      <w:r w:rsidRPr="00F54599">
        <w:t xml:space="preserve">2.3 </w:t>
      </w:r>
      <w:r w:rsidRPr="00F54599">
        <w:tab/>
        <w:t>Theoretical framework</w:t>
      </w:r>
      <w:r w:rsidRPr="00F54599">
        <w:tab/>
      </w:r>
      <w:r w:rsidRPr="00F54599">
        <w:tab/>
      </w:r>
      <w:r w:rsidRPr="00F54599">
        <w:tab/>
      </w:r>
      <w:r w:rsidRPr="00F54599">
        <w:tab/>
      </w:r>
      <w:r w:rsidRPr="00F54599">
        <w:tab/>
      </w:r>
      <w:r w:rsidRPr="00F54599">
        <w:tab/>
      </w:r>
      <w:r w:rsidR="00B2364B">
        <w:rPr>
          <w:rFonts w:eastAsiaTheme="minorEastAsia"/>
        </w:rPr>
        <w:tab/>
      </w:r>
      <w:r w:rsidR="00B2364B">
        <w:rPr>
          <w:rFonts w:eastAsiaTheme="minorEastAsia"/>
          <w:lang w:val="en-US"/>
        </w:rPr>
        <w:t>20</w:t>
      </w:r>
    </w:p>
    <w:p w:rsidR="00F93A1C" w:rsidRPr="00B2364B" w:rsidRDefault="00F93A1C" w:rsidP="00F93A1C">
      <w:pPr>
        <w:pStyle w:val="NormalWeb"/>
        <w:tabs>
          <w:tab w:val="left" w:pos="540"/>
        </w:tabs>
        <w:spacing w:before="0" w:beforeAutospacing="0" w:after="0" w:afterAutospacing="0" w:line="360" w:lineRule="auto"/>
        <w:jc w:val="both"/>
        <w:rPr>
          <w:rFonts w:eastAsiaTheme="minorEastAsia"/>
          <w:lang w:val="en-US"/>
        </w:rPr>
      </w:pPr>
      <w:r w:rsidRPr="00F54599">
        <w:t xml:space="preserve">2.4 </w:t>
      </w:r>
      <w:r w:rsidRPr="00F54599">
        <w:tab/>
        <w:t xml:space="preserve">Empirical framework </w:t>
      </w:r>
      <w:r w:rsidRPr="00F54599">
        <w:tab/>
      </w:r>
      <w:r w:rsidR="00B2364B">
        <w:rPr>
          <w:rFonts w:eastAsiaTheme="minorEastAsia"/>
        </w:rPr>
        <w:tab/>
      </w:r>
      <w:r w:rsidR="00B2364B">
        <w:rPr>
          <w:rFonts w:eastAsiaTheme="minorEastAsia"/>
        </w:rPr>
        <w:tab/>
      </w:r>
      <w:r w:rsidR="00B2364B">
        <w:rPr>
          <w:rFonts w:eastAsiaTheme="minorEastAsia"/>
        </w:rPr>
        <w:tab/>
      </w:r>
      <w:r w:rsidR="00B2364B">
        <w:rPr>
          <w:rFonts w:eastAsiaTheme="minorEastAsia"/>
        </w:rPr>
        <w:tab/>
      </w:r>
      <w:r w:rsidR="00B2364B">
        <w:rPr>
          <w:rFonts w:eastAsiaTheme="minorEastAsia"/>
        </w:rPr>
        <w:tab/>
      </w:r>
      <w:r w:rsidR="00B2364B">
        <w:rPr>
          <w:rFonts w:eastAsiaTheme="minorEastAsia"/>
        </w:rPr>
        <w:tab/>
      </w:r>
      <w:r w:rsidR="00B2364B">
        <w:rPr>
          <w:rFonts w:eastAsiaTheme="minorEastAsia"/>
          <w:lang w:val="en-US"/>
        </w:rPr>
        <w:t>22</w:t>
      </w:r>
    </w:p>
    <w:p w:rsidR="00F93A1C" w:rsidRPr="00F54599" w:rsidRDefault="00DD6BF6" w:rsidP="00F93A1C">
      <w:pPr>
        <w:pStyle w:val="NormalWeb"/>
        <w:tabs>
          <w:tab w:val="left" w:pos="540"/>
        </w:tabs>
        <w:spacing w:before="0" w:beforeAutospacing="0" w:after="0" w:afterAutospacing="0" w:line="360" w:lineRule="auto"/>
        <w:rPr>
          <w:b/>
        </w:rPr>
      </w:pPr>
      <w:r>
        <w:rPr>
          <w:b/>
        </w:rPr>
        <w:t xml:space="preserve">CHAPTER THREE: </w:t>
      </w:r>
      <w:r w:rsidR="00F93A1C" w:rsidRPr="00F54599">
        <w:rPr>
          <w:b/>
        </w:rPr>
        <w:t>METHODOLOGY</w:t>
      </w:r>
    </w:p>
    <w:p w:rsidR="00F93A1C" w:rsidRPr="00F54599" w:rsidRDefault="00DD6BF6" w:rsidP="00F93A1C">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sidR="00B2364B">
        <w:rPr>
          <w:rFonts w:ascii="Times New Roman" w:hAnsi="Times New Roman" w:cs="Times New Roman"/>
          <w:color w:val="000000" w:themeColor="text1"/>
          <w:sz w:val="24"/>
          <w:szCs w:val="24"/>
        </w:rPr>
        <w:tab/>
      </w:r>
      <w:r w:rsidR="00B2364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2364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25</w:t>
      </w:r>
    </w:p>
    <w:p w:rsidR="00F93A1C" w:rsidRPr="00F54599" w:rsidRDefault="00DD6BF6" w:rsidP="00F93A1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Research 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rsidR="00F93A1C" w:rsidRPr="00F54599" w:rsidRDefault="00F93A1C" w:rsidP="00F93A1C">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3.3</w:t>
      </w:r>
      <w:r w:rsidRPr="00F54599">
        <w:rPr>
          <w:rFonts w:ascii="Times New Roman" w:hAnsi="Times New Roman" w:cs="Times New Roman"/>
          <w:color w:val="000000" w:themeColor="text1"/>
          <w:sz w:val="24"/>
          <w:szCs w:val="24"/>
        </w:rPr>
        <w:tab/>
        <w:t>Population of the Study</w:t>
      </w:r>
      <w:r w:rsidR="00DD6BF6">
        <w:rPr>
          <w:rFonts w:ascii="Times New Roman" w:hAnsi="Times New Roman" w:cs="Times New Roman"/>
          <w:color w:val="000000" w:themeColor="text1"/>
          <w:sz w:val="24"/>
          <w:szCs w:val="24"/>
        </w:rPr>
        <w:tab/>
      </w:r>
      <w:r w:rsidR="00DD6BF6">
        <w:rPr>
          <w:rFonts w:ascii="Times New Roman" w:hAnsi="Times New Roman" w:cs="Times New Roman"/>
          <w:color w:val="000000" w:themeColor="text1"/>
          <w:sz w:val="24"/>
          <w:szCs w:val="24"/>
        </w:rPr>
        <w:tab/>
      </w:r>
      <w:r w:rsidR="00DD6BF6">
        <w:rPr>
          <w:rFonts w:ascii="Times New Roman" w:hAnsi="Times New Roman" w:cs="Times New Roman"/>
          <w:color w:val="000000" w:themeColor="text1"/>
          <w:sz w:val="24"/>
          <w:szCs w:val="24"/>
        </w:rPr>
        <w:tab/>
      </w:r>
      <w:r w:rsidR="00DD6BF6">
        <w:rPr>
          <w:rFonts w:ascii="Times New Roman" w:hAnsi="Times New Roman" w:cs="Times New Roman"/>
          <w:color w:val="000000" w:themeColor="text1"/>
          <w:sz w:val="24"/>
          <w:szCs w:val="24"/>
        </w:rPr>
        <w:tab/>
      </w:r>
      <w:r w:rsidR="00DD6BF6">
        <w:rPr>
          <w:rFonts w:ascii="Times New Roman" w:hAnsi="Times New Roman" w:cs="Times New Roman"/>
          <w:color w:val="000000" w:themeColor="text1"/>
          <w:sz w:val="24"/>
          <w:szCs w:val="24"/>
        </w:rPr>
        <w:tab/>
      </w:r>
      <w:r w:rsidR="00DD6BF6">
        <w:rPr>
          <w:rFonts w:ascii="Times New Roman" w:hAnsi="Times New Roman" w:cs="Times New Roman"/>
          <w:color w:val="000000" w:themeColor="text1"/>
          <w:sz w:val="24"/>
          <w:szCs w:val="24"/>
        </w:rPr>
        <w:tab/>
        <w:t>25</w:t>
      </w:r>
    </w:p>
    <w:p w:rsidR="00F93A1C" w:rsidRPr="00F54599" w:rsidRDefault="00F93A1C" w:rsidP="00F93A1C">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3.4</w:t>
      </w:r>
      <w:r w:rsidRPr="00F54599">
        <w:rPr>
          <w:rFonts w:ascii="Times New Roman" w:hAnsi="Times New Roman" w:cs="Times New Roman"/>
          <w:color w:val="000000" w:themeColor="text1"/>
          <w:sz w:val="24"/>
          <w:szCs w:val="24"/>
        </w:rPr>
        <w:tab/>
        <w:t xml:space="preserve">Sample Size </w:t>
      </w:r>
      <w:r w:rsidR="00546BB7">
        <w:rPr>
          <w:rFonts w:ascii="Times New Roman" w:hAnsi="Times New Roman" w:cs="Times New Roman"/>
          <w:color w:val="000000" w:themeColor="text1"/>
          <w:sz w:val="24"/>
          <w:szCs w:val="24"/>
        </w:rPr>
        <w:t>and Sampling Techniques</w:t>
      </w:r>
      <w:r w:rsidR="00546BB7">
        <w:rPr>
          <w:rFonts w:ascii="Times New Roman" w:hAnsi="Times New Roman" w:cs="Times New Roman"/>
          <w:color w:val="000000" w:themeColor="text1"/>
          <w:sz w:val="24"/>
          <w:szCs w:val="24"/>
        </w:rPr>
        <w:tab/>
      </w:r>
      <w:r w:rsidR="00546BB7">
        <w:rPr>
          <w:rFonts w:ascii="Times New Roman" w:hAnsi="Times New Roman" w:cs="Times New Roman"/>
          <w:color w:val="000000" w:themeColor="text1"/>
          <w:sz w:val="24"/>
          <w:szCs w:val="24"/>
        </w:rPr>
        <w:tab/>
      </w:r>
      <w:r w:rsidR="00546BB7">
        <w:rPr>
          <w:rFonts w:ascii="Times New Roman" w:hAnsi="Times New Roman" w:cs="Times New Roman"/>
          <w:color w:val="000000" w:themeColor="text1"/>
          <w:sz w:val="24"/>
          <w:szCs w:val="24"/>
        </w:rPr>
        <w:tab/>
      </w:r>
      <w:r w:rsidR="00546BB7">
        <w:rPr>
          <w:rFonts w:ascii="Times New Roman" w:hAnsi="Times New Roman" w:cs="Times New Roman"/>
          <w:color w:val="000000" w:themeColor="text1"/>
          <w:sz w:val="24"/>
          <w:szCs w:val="24"/>
        </w:rPr>
        <w:tab/>
        <w:t>26</w:t>
      </w:r>
    </w:p>
    <w:p w:rsidR="00F93A1C" w:rsidRDefault="00546BB7" w:rsidP="00F93A1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 xml:space="preserve">Research </w:t>
      </w:r>
      <w:r w:rsidR="00F93A1C" w:rsidRPr="00F54599">
        <w:rPr>
          <w:rFonts w:ascii="Times New Roman" w:hAnsi="Times New Roman" w:cs="Times New Roman"/>
          <w:color w:val="000000" w:themeColor="text1"/>
          <w:sz w:val="24"/>
          <w:szCs w:val="24"/>
        </w:rPr>
        <w:t>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546BB7" w:rsidRDefault="00546BB7" w:rsidP="00F93A1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3.6</w:t>
      </w:r>
      <w:r>
        <w:rPr>
          <w:rFonts w:ascii="Times New Roman" w:hAnsi="Times New Roman" w:cs="Times New Roman"/>
          <w:color w:val="000000" w:themeColor="text1"/>
          <w:sz w:val="24"/>
          <w:szCs w:val="24"/>
        </w:rPr>
        <w:tab/>
        <w:t>Validity and Reliability of Research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546BB7" w:rsidRPr="00F54599" w:rsidRDefault="00546BB7" w:rsidP="00F93A1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Source of Data Collection</w:t>
      </w:r>
      <w:r w:rsidR="00C63249">
        <w:rPr>
          <w:rFonts w:ascii="Times New Roman" w:hAnsi="Times New Roman" w:cs="Times New Roman"/>
          <w:color w:val="000000" w:themeColor="text1"/>
          <w:sz w:val="24"/>
          <w:szCs w:val="24"/>
        </w:rPr>
        <w:tab/>
      </w:r>
      <w:r w:rsidR="00C63249">
        <w:rPr>
          <w:rFonts w:ascii="Times New Roman" w:hAnsi="Times New Roman" w:cs="Times New Roman"/>
          <w:color w:val="000000" w:themeColor="text1"/>
          <w:sz w:val="24"/>
          <w:szCs w:val="24"/>
        </w:rPr>
        <w:tab/>
      </w:r>
      <w:r w:rsidR="00C63249">
        <w:rPr>
          <w:rFonts w:ascii="Times New Roman" w:hAnsi="Times New Roman" w:cs="Times New Roman"/>
          <w:color w:val="000000" w:themeColor="text1"/>
          <w:sz w:val="24"/>
          <w:szCs w:val="24"/>
        </w:rPr>
        <w:tab/>
      </w:r>
      <w:r w:rsidR="00C63249">
        <w:rPr>
          <w:rFonts w:ascii="Times New Roman" w:hAnsi="Times New Roman" w:cs="Times New Roman"/>
          <w:color w:val="000000" w:themeColor="text1"/>
          <w:sz w:val="24"/>
          <w:szCs w:val="24"/>
        </w:rPr>
        <w:tab/>
      </w:r>
      <w:r w:rsidR="00C63249">
        <w:rPr>
          <w:rFonts w:ascii="Times New Roman" w:hAnsi="Times New Roman" w:cs="Times New Roman"/>
          <w:color w:val="000000" w:themeColor="text1"/>
          <w:sz w:val="24"/>
          <w:szCs w:val="24"/>
        </w:rPr>
        <w:tab/>
      </w:r>
      <w:r w:rsidR="00C63249">
        <w:rPr>
          <w:rFonts w:ascii="Times New Roman" w:hAnsi="Times New Roman" w:cs="Times New Roman"/>
          <w:color w:val="000000" w:themeColor="text1"/>
          <w:sz w:val="24"/>
          <w:szCs w:val="24"/>
        </w:rPr>
        <w:tab/>
        <w:t>27</w:t>
      </w:r>
    </w:p>
    <w:p w:rsidR="00F93A1C" w:rsidRPr="00F54599" w:rsidRDefault="00C63249" w:rsidP="00F93A1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F93A1C" w:rsidRPr="00F54599">
        <w:rPr>
          <w:rFonts w:ascii="Times New Roman" w:hAnsi="Times New Roman" w:cs="Times New Roman"/>
          <w:color w:val="000000" w:themeColor="text1"/>
          <w:sz w:val="24"/>
          <w:szCs w:val="24"/>
        </w:rPr>
        <w:tab/>
        <w:t xml:space="preserve">Method of Data 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F93A1C" w:rsidRPr="00F54599" w:rsidRDefault="00F93A1C" w:rsidP="00F93A1C">
      <w:pPr>
        <w:spacing w:after="0" w:line="360" w:lineRule="auto"/>
        <w:rPr>
          <w:rFonts w:ascii="Times New Roman" w:hAnsi="Times New Roman" w:cs="Times New Roman"/>
          <w:b/>
          <w:color w:val="000000" w:themeColor="text1"/>
          <w:sz w:val="24"/>
          <w:szCs w:val="24"/>
        </w:rPr>
      </w:pPr>
      <w:r w:rsidRPr="00F54599">
        <w:rPr>
          <w:rFonts w:ascii="Times New Roman" w:hAnsi="Times New Roman" w:cs="Times New Roman"/>
          <w:b/>
          <w:color w:val="000000" w:themeColor="text1"/>
          <w:sz w:val="24"/>
          <w:szCs w:val="24"/>
        </w:rPr>
        <w:t xml:space="preserve">CHAPTER FOUR: </w:t>
      </w:r>
      <w:r w:rsidR="00C63249">
        <w:rPr>
          <w:rFonts w:ascii="Times New Roman" w:hAnsi="Times New Roman" w:cs="Times New Roman"/>
          <w:b/>
          <w:color w:val="000000" w:themeColor="text1"/>
          <w:sz w:val="24"/>
          <w:szCs w:val="24"/>
        </w:rPr>
        <w:t>DATA ANALYSIS AND INTERPRETATIONS</w:t>
      </w:r>
      <w:r w:rsidRPr="00F54599">
        <w:rPr>
          <w:rFonts w:ascii="Times New Roman" w:hAnsi="Times New Roman" w:cs="Times New Roman"/>
          <w:b/>
          <w:color w:val="000000" w:themeColor="text1"/>
          <w:sz w:val="24"/>
          <w:szCs w:val="24"/>
        </w:rPr>
        <w:t xml:space="preserve"> </w:t>
      </w:r>
    </w:p>
    <w:p w:rsidR="00F93A1C" w:rsidRPr="00F54599" w:rsidRDefault="00F93A1C" w:rsidP="00F93A1C">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4.1</w:t>
      </w:r>
      <w:r w:rsidRPr="00F54599">
        <w:rPr>
          <w:rFonts w:ascii="Times New Roman" w:hAnsi="Times New Roman" w:cs="Times New Roman"/>
          <w:color w:val="000000" w:themeColor="text1"/>
          <w:sz w:val="24"/>
          <w:szCs w:val="24"/>
        </w:rPr>
        <w:tab/>
        <w:t xml:space="preserve">Data Presentation </w:t>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t>29</w:t>
      </w:r>
    </w:p>
    <w:p w:rsidR="00F93A1C" w:rsidRPr="00F54599" w:rsidRDefault="00F93A1C" w:rsidP="00F93A1C">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 xml:space="preserve">4.2 </w:t>
      </w:r>
      <w:r w:rsidRPr="00F54599">
        <w:rPr>
          <w:rFonts w:ascii="Times New Roman" w:hAnsi="Times New Roman" w:cs="Times New Roman"/>
          <w:color w:val="000000" w:themeColor="text1"/>
          <w:sz w:val="24"/>
          <w:szCs w:val="24"/>
        </w:rPr>
        <w:tab/>
        <w:t>Data Analysis</w:t>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r>
      <w:r w:rsidR="00355CA2">
        <w:rPr>
          <w:rFonts w:ascii="Times New Roman" w:hAnsi="Times New Roman" w:cs="Times New Roman"/>
          <w:color w:val="000000" w:themeColor="text1"/>
          <w:sz w:val="24"/>
          <w:szCs w:val="24"/>
        </w:rPr>
        <w:tab/>
        <w:t>29</w:t>
      </w:r>
    </w:p>
    <w:p w:rsidR="00F93A1C" w:rsidRPr="00F54599" w:rsidRDefault="00355CA2" w:rsidP="00F93A1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t xml:space="preserve">Discussion </w:t>
      </w:r>
      <w:r w:rsidR="00F93A1C" w:rsidRPr="00F54599">
        <w:rPr>
          <w:rFonts w:ascii="Times New Roman" w:hAnsi="Times New Roman" w:cs="Times New Roman"/>
          <w:color w:val="000000" w:themeColor="text1"/>
          <w:sz w:val="24"/>
          <w:szCs w:val="24"/>
        </w:rPr>
        <w:t>of</w:t>
      </w:r>
      <w:r w:rsidR="00F93A1C" w:rsidRPr="00F54599">
        <w:rPr>
          <w:rFonts w:ascii="Times New Roman" w:hAnsi="Times New Roman" w:cs="Times New Roman"/>
          <w:color w:val="000000" w:themeColor="text1"/>
          <w:spacing w:val="-1"/>
          <w:sz w:val="24"/>
          <w:szCs w:val="24"/>
        </w:rPr>
        <w:t xml:space="preserve"> </w:t>
      </w:r>
      <w:r w:rsidR="00F93A1C" w:rsidRPr="00F54599">
        <w:rPr>
          <w:rFonts w:ascii="Times New Roman" w:hAnsi="Times New Roman" w:cs="Times New Roman"/>
          <w:color w:val="000000" w:themeColor="text1"/>
          <w:sz w:val="24"/>
          <w:szCs w:val="24"/>
        </w:rPr>
        <w:t>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261A2">
        <w:rPr>
          <w:rFonts w:ascii="Times New Roman" w:hAnsi="Times New Roman" w:cs="Times New Roman"/>
          <w:color w:val="000000" w:themeColor="text1"/>
          <w:sz w:val="24"/>
          <w:szCs w:val="24"/>
        </w:rPr>
        <w:t>50</w:t>
      </w:r>
    </w:p>
    <w:p w:rsidR="00F93A1C" w:rsidRPr="00F54599" w:rsidRDefault="00F93A1C" w:rsidP="00F93A1C">
      <w:pPr>
        <w:spacing w:after="0" w:line="360" w:lineRule="auto"/>
        <w:rPr>
          <w:rFonts w:ascii="Times New Roman" w:hAnsi="Times New Roman" w:cs="Times New Roman"/>
          <w:sz w:val="24"/>
          <w:szCs w:val="24"/>
        </w:rPr>
      </w:pPr>
      <w:r w:rsidRPr="00F54599">
        <w:rPr>
          <w:rFonts w:ascii="Times New Roman" w:hAnsi="Times New Roman" w:cs="Times New Roman"/>
          <w:b/>
          <w:sz w:val="24"/>
          <w:szCs w:val="24"/>
        </w:rPr>
        <w:t>CHAPTER FIVE: SUMMARY, CONCLUSION AND RECOMMENDATIONS</w:t>
      </w:r>
    </w:p>
    <w:p w:rsidR="00F93A1C" w:rsidRPr="00F54599" w:rsidRDefault="00F93A1C" w:rsidP="00F93A1C">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5.1 </w:t>
      </w:r>
      <w:r w:rsidRPr="00F54599">
        <w:rPr>
          <w:rFonts w:ascii="Times New Roman" w:hAnsi="Times New Roman" w:cs="Times New Roman"/>
          <w:sz w:val="24"/>
          <w:szCs w:val="24"/>
        </w:rPr>
        <w:tab/>
        <w:t>Summary</w:t>
      </w:r>
      <w:r w:rsidRPr="00F54599">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Pr="00F54599">
        <w:rPr>
          <w:rFonts w:ascii="Times New Roman" w:hAnsi="Times New Roman" w:cs="Times New Roman"/>
          <w:sz w:val="24"/>
          <w:szCs w:val="24"/>
        </w:rPr>
        <w:tab/>
      </w:r>
      <w:r w:rsidR="00F261A2">
        <w:rPr>
          <w:rFonts w:ascii="Times New Roman" w:hAnsi="Times New Roman" w:cs="Times New Roman"/>
          <w:sz w:val="24"/>
          <w:szCs w:val="24"/>
        </w:rPr>
        <w:t>52</w:t>
      </w:r>
    </w:p>
    <w:p w:rsidR="00F93A1C" w:rsidRPr="00F54599" w:rsidRDefault="00F93A1C" w:rsidP="00F93A1C">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5.2 </w:t>
      </w:r>
      <w:r w:rsidRPr="00F54599">
        <w:rPr>
          <w:rFonts w:ascii="Times New Roman" w:hAnsi="Times New Roman" w:cs="Times New Roman"/>
          <w:sz w:val="24"/>
          <w:szCs w:val="24"/>
        </w:rPr>
        <w:tab/>
        <w:t xml:space="preserve">Conclusion </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00F261A2">
        <w:rPr>
          <w:rFonts w:ascii="Times New Roman" w:hAnsi="Times New Roman" w:cs="Times New Roman"/>
          <w:sz w:val="24"/>
          <w:szCs w:val="24"/>
        </w:rPr>
        <w:t>53</w:t>
      </w:r>
    </w:p>
    <w:p w:rsidR="00F93A1C" w:rsidRPr="00F54599" w:rsidRDefault="00F93A1C" w:rsidP="00F93A1C">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5.3 </w:t>
      </w:r>
      <w:r w:rsidRPr="00F54599">
        <w:rPr>
          <w:rFonts w:ascii="Times New Roman" w:hAnsi="Times New Roman" w:cs="Times New Roman"/>
          <w:sz w:val="24"/>
          <w:szCs w:val="24"/>
        </w:rPr>
        <w:tab/>
        <w:t>Recommendations</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00F261A2">
        <w:rPr>
          <w:rFonts w:ascii="Times New Roman" w:hAnsi="Times New Roman" w:cs="Times New Roman"/>
          <w:sz w:val="24"/>
          <w:szCs w:val="24"/>
        </w:rPr>
        <w:t>54</w:t>
      </w:r>
    </w:p>
    <w:p w:rsidR="00F93A1C" w:rsidRDefault="00F93A1C" w:rsidP="00F93A1C">
      <w:pPr>
        <w:spacing w:after="0" w:line="360" w:lineRule="auto"/>
        <w:ind w:firstLine="720"/>
        <w:rPr>
          <w:rFonts w:ascii="Times New Roman" w:hAnsi="Times New Roman" w:cs="Times New Roman"/>
          <w:sz w:val="24"/>
          <w:szCs w:val="24"/>
        </w:rPr>
      </w:pPr>
      <w:r w:rsidRPr="00F54599">
        <w:rPr>
          <w:rFonts w:ascii="Times New Roman" w:hAnsi="Times New Roman" w:cs="Times New Roman"/>
          <w:sz w:val="24"/>
          <w:szCs w:val="24"/>
        </w:rPr>
        <w:t xml:space="preserve">References   </w:t>
      </w:r>
      <w:r w:rsidRPr="00F54599">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r>
      <w:r w:rsidR="00F261A2">
        <w:rPr>
          <w:rFonts w:ascii="Times New Roman" w:hAnsi="Times New Roman" w:cs="Times New Roman"/>
          <w:sz w:val="24"/>
          <w:szCs w:val="24"/>
        </w:rPr>
        <w:tab/>
        <w:t>56</w:t>
      </w:r>
    </w:p>
    <w:p w:rsidR="00F93A1C" w:rsidRDefault="00F93A1C" w:rsidP="005F6C37">
      <w:pPr>
        <w:spacing w:line="360" w:lineRule="auto"/>
        <w:jc w:val="center"/>
        <w:rPr>
          <w:rFonts w:ascii="Times New Roman" w:hAnsi="Times New Roman" w:cs="Times New Roman"/>
          <w:b/>
          <w:sz w:val="24"/>
          <w:szCs w:val="24"/>
        </w:rPr>
      </w:pPr>
    </w:p>
    <w:p w:rsidR="00A409A7" w:rsidRDefault="00A409A7" w:rsidP="005F6C37">
      <w:pPr>
        <w:spacing w:line="360" w:lineRule="auto"/>
        <w:jc w:val="center"/>
        <w:rPr>
          <w:rFonts w:ascii="Times New Roman" w:hAnsi="Times New Roman" w:cs="Times New Roman"/>
          <w:b/>
          <w:bCs/>
          <w:sz w:val="24"/>
          <w:szCs w:val="24"/>
        </w:rPr>
      </w:pPr>
    </w:p>
    <w:p w:rsidR="00A409A7" w:rsidRDefault="00A409A7" w:rsidP="005F6C37">
      <w:pPr>
        <w:spacing w:line="360" w:lineRule="auto"/>
        <w:jc w:val="center"/>
        <w:rPr>
          <w:rFonts w:ascii="Times New Roman" w:hAnsi="Times New Roman" w:cs="Times New Roman"/>
          <w:b/>
          <w:bCs/>
          <w:sz w:val="24"/>
          <w:szCs w:val="24"/>
        </w:rPr>
      </w:pPr>
    </w:p>
    <w:p w:rsidR="00A409A7" w:rsidRDefault="00A409A7" w:rsidP="005F6C37">
      <w:pPr>
        <w:spacing w:line="360" w:lineRule="auto"/>
        <w:jc w:val="center"/>
        <w:rPr>
          <w:rFonts w:ascii="Times New Roman" w:hAnsi="Times New Roman" w:cs="Times New Roman"/>
          <w:b/>
          <w:bCs/>
          <w:sz w:val="24"/>
          <w:szCs w:val="24"/>
        </w:rPr>
      </w:pPr>
    </w:p>
    <w:p w:rsidR="00A409A7" w:rsidRDefault="00A409A7" w:rsidP="005F6C37">
      <w:pPr>
        <w:spacing w:line="360" w:lineRule="auto"/>
        <w:jc w:val="center"/>
        <w:rPr>
          <w:rFonts w:ascii="Times New Roman" w:hAnsi="Times New Roman" w:cs="Times New Roman"/>
          <w:b/>
          <w:bCs/>
          <w:sz w:val="24"/>
          <w:szCs w:val="24"/>
        </w:rPr>
      </w:pPr>
    </w:p>
    <w:p w:rsidR="00A409A7" w:rsidRDefault="00A409A7" w:rsidP="005F6C37">
      <w:pPr>
        <w:spacing w:line="360" w:lineRule="auto"/>
        <w:jc w:val="center"/>
        <w:rPr>
          <w:rFonts w:ascii="Times New Roman" w:hAnsi="Times New Roman" w:cs="Times New Roman"/>
          <w:b/>
          <w:bCs/>
          <w:sz w:val="24"/>
          <w:szCs w:val="24"/>
        </w:rPr>
      </w:pPr>
    </w:p>
    <w:p w:rsidR="00A409A7" w:rsidRDefault="00A409A7" w:rsidP="005F6C37">
      <w:pPr>
        <w:spacing w:line="360" w:lineRule="auto"/>
        <w:jc w:val="center"/>
        <w:rPr>
          <w:rFonts w:ascii="Times New Roman" w:hAnsi="Times New Roman" w:cs="Times New Roman"/>
          <w:b/>
          <w:bCs/>
          <w:sz w:val="24"/>
          <w:szCs w:val="24"/>
        </w:rPr>
      </w:pPr>
    </w:p>
    <w:p w:rsidR="00A409A7" w:rsidRDefault="00A409A7" w:rsidP="005F6C37">
      <w:pPr>
        <w:spacing w:line="360" w:lineRule="auto"/>
        <w:jc w:val="center"/>
        <w:rPr>
          <w:rFonts w:ascii="Times New Roman" w:hAnsi="Times New Roman" w:cs="Times New Roman"/>
          <w:b/>
          <w:bCs/>
          <w:sz w:val="24"/>
          <w:szCs w:val="24"/>
        </w:rPr>
      </w:pPr>
    </w:p>
    <w:p w:rsidR="00A409A7" w:rsidRDefault="00A409A7" w:rsidP="005F6C37">
      <w:pPr>
        <w:spacing w:line="360" w:lineRule="auto"/>
        <w:jc w:val="center"/>
        <w:rPr>
          <w:rFonts w:ascii="Times New Roman" w:hAnsi="Times New Roman" w:cs="Times New Roman"/>
          <w:b/>
          <w:bCs/>
          <w:sz w:val="24"/>
          <w:szCs w:val="24"/>
        </w:rPr>
      </w:pPr>
    </w:p>
    <w:p w:rsidR="00A409A7" w:rsidRDefault="00A409A7" w:rsidP="005F6C37">
      <w:pPr>
        <w:spacing w:line="360" w:lineRule="auto"/>
        <w:jc w:val="center"/>
        <w:rPr>
          <w:rFonts w:ascii="Times New Roman" w:hAnsi="Times New Roman" w:cs="Times New Roman"/>
          <w:b/>
          <w:bCs/>
          <w:sz w:val="24"/>
          <w:szCs w:val="24"/>
        </w:rPr>
      </w:pPr>
    </w:p>
    <w:p w:rsidR="00A409A7" w:rsidRDefault="00A409A7" w:rsidP="005F6C37">
      <w:pPr>
        <w:spacing w:line="360" w:lineRule="auto"/>
        <w:jc w:val="center"/>
        <w:rPr>
          <w:rFonts w:ascii="Times New Roman" w:hAnsi="Times New Roman" w:cs="Times New Roman"/>
          <w:b/>
          <w:bCs/>
          <w:sz w:val="24"/>
          <w:szCs w:val="24"/>
        </w:rPr>
      </w:pPr>
    </w:p>
    <w:p w:rsidR="00EF56BA" w:rsidRPr="005F6C37" w:rsidRDefault="00697512" w:rsidP="005F6C37">
      <w:pPr>
        <w:spacing w:line="360" w:lineRule="auto"/>
        <w:jc w:val="center"/>
        <w:rPr>
          <w:rFonts w:ascii="Times New Roman" w:hAnsi="Times New Roman" w:cs="Times New Roman"/>
          <w:b/>
          <w:bCs/>
          <w:sz w:val="24"/>
          <w:szCs w:val="24"/>
        </w:rPr>
      </w:pPr>
      <w:r w:rsidRPr="005F6C37">
        <w:rPr>
          <w:rFonts w:ascii="Times New Roman" w:hAnsi="Times New Roman" w:cs="Times New Roman"/>
          <w:b/>
          <w:bCs/>
          <w:sz w:val="24"/>
          <w:szCs w:val="24"/>
        </w:rPr>
        <w:lastRenderedPageBreak/>
        <w:t>ABSTRACT:</w:t>
      </w:r>
    </w:p>
    <w:p w:rsidR="006C5CD2" w:rsidRPr="005F6C37" w:rsidRDefault="006C5CD2" w:rsidP="00A409A7">
      <w:pPr>
        <w:spacing w:line="240" w:lineRule="auto"/>
        <w:jc w:val="both"/>
        <w:rPr>
          <w:rFonts w:ascii="Times New Roman" w:hAnsi="Times New Roman" w:cs="Times New Roman"/>
          <w:bCs/>
          <w:i/>
          <w:sz w:val="24"/>
          <w:szCs w:val="24"/>
        </w:rPr>
      </w:pPr>
      <w:r w:rsidRPr="005F6C37">
        <w:rPr>
          <w:rFonts w:ascii="Times New Roman" w:hAnsi="Times New Roman" w:cs="Times New Roman"/>
          <w:bCs/>
          <w:i/>
          <w:sz w:val="24"/>
          <w:szCs w:val="24"/>
        </w:rPr>
        <w:t xml:space="preserve">This study investigates the influence of green human resource management (GHRM) practices on organizational performance, specifically focusing on Guaranty Trust Bank in Ilorin, </w:t>
      </w:r>
      <w:proofErr w:type="spellStart"/>
      <w:r w:rsidRPr="005F6C37">
        <w:rPr>
          <w:rFonts w:ascii="Times New Roman" w:hAnsi="Times New Roman" w:cs="Times New Roman"/>
          <w:bCs/>
          <w:i/>
          <w:sz w:val="24"/>
          <w:szCs w:val="24"/>
        </w:rPr>
        <w:t>Kwara</w:t>
      </w:r>
      <w:proofErr w:type="spellEnd"/>
      <w:r w:rsidRPr="005F6C37">
        <w:rPr>
          <w:rFonts w:ascii="Times New Roman" w:hAnsi="Times New Roman" w:cs="Times New Roman"/>
          <w:bCs/>
          <w:i/>
          <w:sz w:val="24"/>
          <w:szCs w:val="24"/>
        </w:rPr>
        <w:t xml:space="preserve"> State. As organizations increasingly prioritize sustainability and environmental issues, integrating GHRM practices has become a strategic approach to improve performance while promoting environmental stewardship. Employing a mixed-methods approach, the research combines quantitative data analysis with qualitative interviews. The quantitative component involves surveying employees to assess their perceptions of GHRM practices and their effects on key performance indicators such as financial outcomes, customer satisfaction, and employee productivity. Meanwhile, qualitative interviews offer insights into the implementation of GHRM practices and the challenges encountered in adopting sustainable HR strategies. Preliminary findings indicate that GHRM practices significantly enhance organizational performance. For instance, green recruitment and selection processes attract environmentally-conscious candidates who align with the organization's sustainability objectives, leading to greater job satisfaction. Green training and development initiatives equip employees with the skills and knowledge to integrate sustainable practices into their daily tasks, improving operational efficiency and minimizing environmental impact. Additionally, the study shows that implementing green performance management systems—such as incorporating environmental performance metrics and recognizing sustainability achievements—boosts employee motivation, commitment, and overall performance. The findings also emphasize the importance of effective communication and employee engagement in nurturing a culture of environmental responsibility, further contributing to enhanced organizational performance.</w:t>
      </w:r>
    </w:p>
    <w:p w:rsidR="006C5CD2" w:rsidRPr="005F6C37" w:rsidRDefault="006C5CD2" w:rsidP="005F6C37">
      <w:pPr>
        <w:spacing w:line="360" w:lineRule="auto"/>
        <w:rPr>
          <w:rFonts w:ascii="Times New Roman" w:hAnsi="Times New Roman" w:cs="Times New Roman"/>
          <w:bCs/>
          <w:sz w:val="24"/>
          <w:szCs w:val="24"/>
        </w:rPr>
      </w:pPr>
    </w:p>
    <w:p w:rsidR="005F6C37" w:rsidRDefault="006C5CD2" w:rsidP="005F6C37">
      <w:pPr>
        <w:spacing w:line="360" w:lineRule="auto"/>
        <w:rPr>
          <w:rFonts w:ascii="Times New Roman" w:hAnsi="Times New Roman" w:cs="Times New Roman"/>
          <w:sz w:val="24"/>
          <w:szCs w:val="24"/>
        </w:rPr>
      </w:pPr>
      <w:r w:rsidRPr="005F6C37">
        <w:rPr>
          <w:rFonts w:ascii="Times New Roman" w:hAnsi="Times New Roman" w:cs="Times New Roman"/>
          <w:sz w:val="24"/>
          <w:szCs w:val="24"/>
        </w:rPr>
        <w:tab/>
      </w:r>
      <w:r w:rsidRPr="005F6C37">
        <w:rPr>
          <w:rFonts w:ascii="Times New Roman" w:hAnsi="Times New Roman" w:cs="Times New Roman"/>
          <w:sz w:val="24"/>
          <w:szCs w:val="24"/>
        </w:rPr>
        <w:tab/>
      </w:r>
      <w:r w:rsidRPr="005F6C37">
        <w:rPr>
          <w:rFonts w:ascii="Times New Roman" w:hAnsi="Times New Roman" w:cs="Times New Roman"/>
          <w:sz w:val="24"/>
          <w:szCs w:val="24"/>
        </w:rPr>
        <w:tab/>
      </w:r>
      <w:r w:rsidRPr="005F6C37">
        <w:rPr>
          <w:rFonts w:ascii="Times New Roman" w:hAnsi="Times New Roman" w:cs="Times New Roman"/>
          <w:sz w:val="24"/>
          <w:szCs w:val="24"/>
        </w:rPr>
        <w:tab/>
      </w:r>
      <w:r w:rsidRPr="005F6C37">
        <w:rPr>
          <w:rFonts w:ascii="Times New Roman" w:hAnsi="Times New Roman" w:cs="Times New Roman"/>
          <w:sz w:val="24"/>
          <w:szCs w:val="24"/>
        </w:rPr>
        <w:tab/>
      </w:r>
    </w:p>
    <w:p w:rsidR="00A409A7" w:rsidRDefault="00A409A7" w:rsidP="005F6C37">
      <w:pPr>
        <w:spacing w:line="360" w:lineRule="auto"/>
        <w:rPr>
          <w:rFonts w:ascii="Times New Roman" w:hAnsi="Times New Roman" w:cs="Times New Roman"/>
          <w:sz w:val="24"/>
          <w:szCs w:val="24"/>
        </w:rPr>
      </w:pPr>
    </w:p>
    <w:p w:rsidR="00A409A7" w:rsidRDefault="00A409A7" w:rsidP="005F6C37">
      <w:pPr>
        <w:spacing w:line="360" w:lineRule="auto"/>
        <w:rPr>
          <w:rFonts w:ascii="Times New Roman" w:hAnsi="Times New Roman" w:cs="Times New Roman"/>
          <w:sz w:val="24"/>
          <w:szCs w:val="24"/>
        </w:rPr>
      </w:pPr>
    </w:p>
    <w:p w:rsidR="005F6C37" w:rsidRDefault="005F6C37" w:rsidP="005F6C37">
      <w:pPr>
        <w:spacing w:line="360" w:lineRule="auto"/>
        <w:rPr>
          <w:rFonts w:ascii="Times New Roman" w:hAnsi="Times New Roman" w:cs="Times New Roman"/>
          <w:sz w:val="24"/>
          <w:szCs w:val="24"/>
        </w:rPr>
      </w:pPr>
    </w:p>
    <w:p w:rsidR="00072DB9" w:rsidRDefault="00072DB9" w:rsidP="005F6C37">
      <w:pPr>
        <w:spacing w:line="360" w:lineRule="auto"/>
        <w:rPr>
          <w:rFonts w:ascii="Times New Roman" w:hAnsi="Times New Roman" w:cs="Times New Roman"/>
          <w:sz w:val="24"/>
          <w:szCs w:val="24"/>
        </w:rPr>
        <w:sectPr w:rsidR="00072DB9" w:rsidSect="00072DB9">
          <w:footerReference w:type="default" r:id="rId8"/>
          <w:pgSz w:w="11520" w:h="14400" w:code="1"/>
          <w:pgMar w:top="1440" w:right="1728" w:bottom="1440" w:left="2016" w:header="706" w:footer="706" w:gutter="0"/>
          <w:pgNumType w:fmt="lowerRoman" w:start="1"/>
          <w:cols w:space="708"/>
          <w:titlePg/>
          <w:docGrid w:linePitch="360"/>
        </w:sectPr>
      </w:pPr>
    </w:p>
    <w:p w:rsidR="002E671C" w:rsidRPr="005F6C37" w:rsidRDefault="002C5934" w:rsidP="00A409A7">
      <w:pPr>
        <w:spacing w:after="0" w:line="360" w:lineRule="auto"/>
        <w:jc w:val="center"/>
        <w:rPr>
          <w:rFonts w:ascii="Times New Roman" w:hAnsi="Times New Roman" w:cs="Times New Roman"/>
          <w:b/>
          <w:sz w:val="24"/>
          <w:szCs w:val="24"/>
        </w:rPr>
      </w:pPr>
      <w:r w:rsidRPr="005F6C37">
        <w:rPr>
          <w:rFonts w:ascii="Times New Roman" w:hAnsi="Times New Roman" w:cs="Times New Roman"/>
          <w:sz w:val="24"/>
          <w:szCs w:val="24"/>
        </w:rPr>
        <w:lastRenderedPageBreak/>
        <w:t>C</w:t>
      </w:r>
      <w:r w:rsidRPr="005F6C37">
        <w:rPr>
          <w:rFonts w:ascii="Times New Roman" w:hAnsi="Times New Roman" w:cs="Times New Roman"/>
          <w:b/>
          <w:sz w:val="24"/>
          <w:szCs w:val="24"/>
        </w:rPr>
        <w:t>HAPTER ONE</w:t>
      </w:r>
    </w:p>
    <w:p w:rsidR="002E671C" w:rsidRPr="005F6C37" w:rsidRDefault="002C5934" w:rsidP="00A409A7">
      <w:pPr>
        <w:spacing w:after="0" w:line="360" w:lineRule="auto"/>
        <w:jc w:val="center"/>
        <w:rPr>
          <w:rFonts w:ascii="Times New Roman" w:hAnsi="Times New Roman" w:cs="Times New Roman"/>
          <w:b/>
          <w:sz w:val="24"/>
          <w:szCs w:val="24"/>
        </w:rPr>
      </w:pPr>
      <w:r w:rsidRPr="005F6C37">
        <w:rPr>
          <w:rFonts w:ascii="Times New Roman" w:hAnsi="Times New Roman" w:cs="Times New Roman"/>
          <w:b/>
          <w:sz w:val="24"/>
          <w:szCs w:val="24"/>
        </w:rPr>
        <w:t>INTRODUCTION</w:t>
      </w:r>
    </w:p>
    <w:p w:rsidR="002E671C" w:rsidRPr="005F6C37" w:rsidRDefault="009F6A86" w:rsidP="00A409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w:t>
      </w:r>
      <w:r w:rsidR="002C5934" w:rsidRPr="005F6C37">
        <w:rPr>
          <w:rFonts w:ascii="Times New Roman" w:hAnsi="Times New Roman" w:cs="Times New Roman"/>
          <w:b/>
          <w:sz w:val="24"/>
          <w:szCs w:val="24"/>
        </w:rPr>
        <w:t xml:space="preserve"> the Study</w:t>
      </w:r>
    </w:p>
    <w:p w:rsidR="006C5CD2" w:rsidRPr="005F6C37" w:rsidRDefault="006C5CD2"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With the globalization of economic growth and ongoing advancements in science and technology, the focus of firm management is increasingly shifting from managing technology and equipment to managing people. As a result, human resource management (HRM) has become a primary area of interest for organizations aiming to retain top talent and enhance business value (Amin &amp; Wan, 2023). Many businesses, particularly startups, are prioritizing HRM to ensure that their workforce effectively contributes to organizational success.</w:t>
      </w:r>
    </w:p>
    <w:p w:rsidR="006C5CD2" w:rsidRPr="005F6C37" w:rsidRDefault="006C5CD2"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Globally, a significant number of companies are adopting Green Human Resource Management (G-HRM) practices. Exploring and integrating these G-HRM methods can provide substantial academic and practical contributions to the HRM field. Since the 1990s, G-HRM has emerged as a developing area within organizational studies, leading this paper to focus on examining G-HRM practices through existing theoretical and empirical research.</w:t>
      </w:r>
    </w:p>
    <w:p w:rsidR="006C5CD2" w:rsidRPr="005F6C37" w:rsidRDefault="006C5CD2"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review begins by defining and discussing the application of G-HRM. Renwick (2008) describes G-HRM as the integration of corporate environmental management within HRM. He emphasizes that G-HRM practices consist of actual HR programs, procedures, and strategies implemented within organizations. These practices aim to reduce negative environmental impacts and enhance positive contributions to sustainability, with the ultimate goal of improving an organization’s sustainable environmental performance.</w:t>
      </w:r>
    </w:p>
    <w:p w:rsidR="006C5CD2" w:rsidRPr="005F6C37" w:rsidRDefault="006C5CD2"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Following the introduction, the paper outlines the review methodology and presents a comprehensive literature review of G-HRM practices. Effective HRM is crucial for organizations seeking a competitive edge and high performance (Schuler &amp; Jackson, 2023; Wei &amp; Lau, 2023). As the most valuable asset of a firm, its people are central to HRM, which increasingly incorporates </w:t>
      </w:r>
      <w:r w:rsidRPr="005F6C37">
        <w:rPr>
          <w:rFonts w:ascii="Times New Roman" w:hAnsi="Times New Roman" w:cs="Times New Roman"/>
          <w:sz w:val="24"/>
          <w:szCs w:val="24"/>
        </w:rPr>
        <w:lastRenderedPageBreak/>
        <w:t>sustainability principles. Green HRM is recognized as a vital element of sustainability, aligning HR practices with environmental objectives (</w:t>
      </w:r>
      <w:proofErr w:type="spellStart"/>
      <w:r w:rsidRPr="005F6C37">
        <w:rPr>
          <w:rFonts w:ascii="Times New Roman" w:hAnsi="Times New Roman" w:cs="Times New Roman"/>
          <w:sz w:val="24"/>
          <w:szCs w:val="24"/>
        </w:rPr>
        <w:t>Gerhart</w:t>
      </w:r>
      <w:proofErr w:type="spellEnd"/>
      <w:r w:rsidRPr="005F6C37">
        <w:rPr>
          <w:rFonts w:ascii="Times New Roman" w:hAnsi="Times New Roman" w:cs="Times New Roman"/>
          <w:sz w:val="24"/>
          <w:szCs w:val="24"/>
        </w:rPr>
        <w:t xml:space="preserve">, 2023; </w:t>
      </w:r>
      <w:proofErr w:type="spellStart"/>
      <w:r w:rsidRPr="005F6C37">
        <w:rPr>
          <w:rFonts w:ascii="Times New Roman" w:hAnsi="Times New Roman" w:cs="Times New Roman"/>
          <w:sz w:val="24"/>
          <w:szCs w:val="24"/>
        </w:rPr>
        <w:t>Huselid</w:t>
      </w:r>
      <w:proofErr w:type="spellEnd"/>
      <w:r w:rsidRPr="005F6C37">
        <w:rPr>
          <w:rFonts w:ascii="Times New Roman" w:hAnsi="Times New Roman" w:cs="Times New Roman"/>
          <w:sz w:val="24"/>
          <w:szCs w:val="24"/>
        </w:rPr>
        <w:t xml:space="preserve"> &amp; Becker, 2023).</w:t>
      </w:r>
    </w:p>
    <w:p w:rsidR="00AA2000" w:rsidRPr="005F6C37" w:rsidRDefault="006C5CD2"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rising focus on green HRM reflects increased awareness of environmental management and sustainable development. This evolution encompasses not only environmental concerns, such as waste reduction, but also enhances the economic and social well-being of individuals and organizations, resulting in improved profits and work-life balance. Green HRM supports the "triple-bottom-line" concept, integrating economic, social, and environmental sustainability (Muster &amp; Schrader, 2023). Despite its significance, research on G-HRM remains relatively new, particularly in the context of Asia, where literature is often western-centric. This gap highlights the potential for further exploration in the field of Green HRM, as research in this area continues to lag behind the growing interest from both academics and practitioners.</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1.2</w:t>
      </w:r>
      <w:r w:rsidRPr="005F6C37">
        <w:rPr>
          <w:rFonts w:ascii="Times New Roman" w:hAnsi="Times New Roman" w:cs="Times New Roman"/>
          <w:b/>
          <w:sz w:val="24"/>
          <w:szCs w:val="24"/>
        </w:rPr>
        <w:tab/>
        <w:t>Statement of Research Problem</w:t>
      </w:r>
    </w:p>
    <w:p w:rsidR="009E4992" w:rsidRPr="005F6C37" w:rsidRDefault="009E4992" w:rsidP="00A409A7">
      <w:pPr>
        <w:spacing w:after="0" w:line="360" w:lineRule="auto"/>
        <w:jc w:val="both"/>
        <w:rPr>
          <w:rFonts w:ascii="Times New Roman" w:hAnsi="Times New Roman" w:cs="Times New Roman"/>
          <w:sz w:val="24"/>
          <w:szCs w:val="24"/>
          <w:lang w:val="en-GB"/>
        </w:rPr>
      </w:pPr>
      <w:r w:rsidRPr="005F6C37">
        <w:rPr>
          <w:rFonts w:ascii="Times New Roman" w:hAnsi="Times New Roman" w:cs="Times New Roman"/>
          <w:sz w:val="24"/>
          <w:szCs w:val="24"/>
          <w:lang w:val="en-GB"/>
        </w:rPr>
        <w:t>The primary aim of adopting green practices is to mitigate the adverse effects of pollution and energy consumption on the environment. Organizations can significantly reduce their employees' carbon footprints by implementing eco-friendly human resource (HR) practices. These practices include electronic filing, carpooling, job sharing, teleconferencing, virtual interviews, recycling, telecommuting, online hiring and training, and designing energy-efficient office spaces.</w:t>
      </w:r>
    </w:p>
    <w:p w:rsidR="009E4992" w:rsidRPr="005F6C37" w:rsidRDefault="009E4992" w:rsidP="00A409A7">
      <w:pPr>
        <w:spacing w:after="0" w:line="360" w:lineRule="auto"/>
        <w:jc w:val="both"/>
        <w:rPr>
          <w:rFonts w:ascii="Times New Roman" w:hAnsi="Times New Roman" w:cs="Times New Roman"/>
          <w:sz w:val="24"/>
          <w:szCs w:val="24"/>
          <w:lang w:val="en-GB"/>
        </w:rPr>
      </w:pPr>
      <w:r w:rsidRPr="005F6C37">
        <w:rPr>
          <w:rFonts w:ascii="Times New Roman" w:hAnsi="Times New Roman" w:cs="Times New Roman"/>
          <w:sz w:val="24"/>
          <w:szCs w:val="24"/>
          <w:lang w:val="en-GB"/>
        </w:rPr>
        <w:t xml:space="preserve">Green human resource management (GHRM) plays a crucial role in promoting environmental sustainability within industries. To effectively implement GHRM, organizations must develop comprehensive HR policies that prioritize ecological concerns, educate employees about environmental issues, and enforce regulations aimed at environmental protection. By adopting GHRM practices, employers can enhance their brand reputation and demonstrate their </w:t>
      </w:r>
      <w:r w:rsidRPr="005F6C37">
        <w:rPr>
          <w:rFonts w:ascii="Times New Roman" w:hAnsi="Times New Roman" w:cs="Times New Roman"/>
          <w:sz w:val="24"/>
          <w:szCs w:val="24"/>
          <w:lang w:val="en-GB"/>
        </w:rPr>
        <w:lastRenderedPageBreak/>
        <w:t>commitment to sustainability. Conducting environmental audits is essential for organizations seeking to transform their culture, improve waste management, reduce pollution, and support communities affected by environmental degradation. Furthermore, these practices can promote eco-friendly products and raise awareness among employees and the public about the importance of conserving natural resources.</w:t>
      </w:r>
    </w:p>
    <w:p w:rsidR="00856048" w:rsidRPr="005F6C37" w:rsidRDefault="009E4992" w:rsidP="00A409A7">
      <w:pPr>
        <w:spacing w:after="0" w:line="360" w:lineRule="auto"/>
        <w:jc w:val="both"/>
        <w:rPr>
          <w:rFonts w:ascii="Times New Roman" w:hAnsi="Times New Roman" w:cs="Times New Roman"/>
          <w:sz w:val="24"/>
          <w:szCs w:val="24"/>
          <w:lang w:val="en-GB"/>
        </w:rPr>
      </w:pPr>
      <w:r w:rsidRPr="005F6C37">
        <w:rPr>
          <w:rFonts w:ascii="Times New Roman" w:hAnsi="Times New Roman" w:cs="Times New Roman"/>
          <w:sz w:val="24"/>
          <w:szCs w:val="24"/>
          <w:lang w:val="en-GB"/>
        </w:rPr>
        <w:t>Failure to adopt green practices can lead to several challenges for businesses. These include decreased employee job satisfaction, which negatively impacts sustainability and productivity, low employee morale, reduced competitiveness, and a decline in overall performance. Companies may also face increased utility costs and diminished business opportunities. Notably, some government agencies, for-profit companies, and non-profit organizations restrict operations to businesses that comply with stringent environmental standards [3]. Therefore, this study aims to investigate the impact of GHRM practices on employee performance, specifically within GTB Ilorin.</w:t>
      </w:r>
    </w:p>
    <w:p w:rsidR="009E4992" w:rsidRPr="005F6C37" w:rsidRDefault="002C5934" w:rsidP="00A409A7">
      <w:pPr>
        <w:spacing w:after="0" w:line="360" w:lineRule="auto"/>
        <w:jc w:val="both"/>
        <w:rPr>
          <w:rFonts w:ascii="Times New Roman" w:hAnsi="Times New Roman" w:cs="Times New Roman"/>
          <w:sz w:val="24"/>
          <w:szCs w:val="24"/>
          <w:lang w:val="en-GB"/>
        </w:rPr>
      </w:pPr>
      <w:r w:rsidRPr="005F6C37">
        <w:rPr>
          <w:rFonts w:ascii="Times New Roman" w:hAnsi="Times New Roman" w:cs="Times New Roman"/>
          <w:b/>
          <w:sz w:val="24"/>
          <w:szCs w:val="24"/>
        </w:rPr>
        <w:t>1.3</w:t>
      </w:r>
      <w:r w:rsidRPr="005F6C37">
        <w:rPr>
          <w:rFonts w:ascii="Times New Roman" w:hAnsi="Times New Roman" w:cs="Times New Roman"/>
          <w:b/>
          <w:sz w:val="24"/>
          <w:szCs w:val="24"/>
        </w:rPr>
        <w:tab/>
        <w:t>Research Questions</w:t>
      </w:r>
    </w:p>
    <w:p w:rsidR="00856048" w:rsidRPr="005F1F14" w:rsidRDefault="009E4992" w:rsidP="005F1F14">
      <w:pPr>
        <w:pStyle w:val="ListParagraph"/>
        <w:numPr>
          <w:ilvl w:val="0"/>
          <w:numId w:val="12"/>
        </w:numPr>
        <w:spacing w:after="0" w:line="360" w:lineRule="auto"/>
        <w:jc w:val="both"/>
        <w:rPr>
          <w:rFonts w:ascii="Times New Roman" w:hAnsi="Times New Roman" w:cs="Times New Roman"/>
          <w:sz w:val="24"/>
          <w:szCs w:val="24"/>
        </w:rPr>
      </w:pPr>
      <w:r w:rsidRPr="005F1F14">
        <w:rPr>
          <w:rFonts w:ascii="Times New Roman" w:hAnsi="Times New Roman" w:cs="Times New Roman"/>
          <w:bCs/>
          <w:sz w:val="24"/>
          <w:szCs w:val="24"/>
        </w:rPr>
        <w:t>To what extent does GHRM practices at GTB influence organizational effectiveness?</w:t>
      </w:r>
    </w:p>
    <w:p w:rsidR="00856048" w:rsidRPr="005F1F14" w:rsidRDefault="00856048" w:rsidP="005F1F14">
      <w:pPr>
        <w:pStyle w:val="ListParagraph"/>
        <w:numPr>
          <w:ilvl w:val="0"/>
          <w:numId w:val="12"/>
        </w:numPr>
        <w:spacing w:after="0" w:line="360" w:lineRule="auto"/>
        <w:jc w:val="both"/>
        <w:rPr>
          <w:rFonts w:ascii="Times New Roman" w:hAnsi="Times New Roman" w:cs="Times New Roman"/>
          <w:sz w:val="24"/>
          <w:szCs w:val="24"/>
        </w:rPr>
      </w:pPr>
      <w:r w:rsidRPr="005F1F14">
        <w:rPr>
          <w:rFonts w:ascii="Times New Roman" w:hAnsi="Times New Roman" w:cs="Times New Roman"/>
          <w:bCs/>
          <w:sz w:val="24"/>
          <w:szCs w:val="24"/>
        </w:rPr>
        <w:t>How do GHRM Practices Relate to Organizational Competitiveness?</w:t>
      </w:r>
    </w:p>
    <w:p w:rsidR="00856048" w:rsidRPr="005F1F14" w:rsidRDefault="00856048" w:rsidP="005F1F14">
      <w:pPr>
        <w:pStyle w:val="ListParagraph"/>
        <w:numPr>
          <w:ilvl w:val="0"/>
          <w:numId w:val="11"/>
        </w:numPr>
        <w:spacing w:after="0" w:line="360" w:lineRule="auto"/>
        <w:ind w:left="1080" w:hanging="720"/>
        <w:jc w:val="both"/>
        <w:rPr>
          <w:rFonts w:ascii="Times New Roman" w:hAnsi="Times New Roman" w:cs="Times New Roman"/>
          <w:bCs/>
          <w:sz w:val="24"/>
          <w:szCs w:val="24"/>
        </w:rPr>
      </w:pPr>
      <w:r w:rsidRPr="005F1F14">
        <w:rPr>
          <w:rFonts w:ascii="Times New Roman" w:hAnsi="Times New Roman" w:cs="Times New Roman"/>
          <w:bCs/>
          <w:sz w:val="24"/>
          <w:szCs w:val="24"/>
        </w:rPr>
        <w:t>Share</w:t>
      </w:r>
    </w:p>
    <w:p w:rsidR="00856048" w:rsidRPr="005F1F14" w:rsidRDefault="00856048" w:rsidP="005F1F14">
      <w:pPr>
        <w:pStyle w:val="ListParagraph"/>
        <w:numPr>
          <w:ilvl w:val="0"/>
          <w:numId w:val="12"/>
        </w:numPr>
        <w:spacing w:after="0" w:line="360" w:lineRule="auto"/>
        <w:jc w:val="both"/>
        <w:rPr>
          <w:rFonts w:ascii="Times New Roman" w:hAnsi="Times New Roman" w:cs="Times New Roman"/>
          <w:b/>
          <w:bCs/>
          <w:sz w:val="24"/>
          <w:szCs w:val="24"/>
        </w:rPr>
      </w:pPr>
      <w:r w:rsidRPr="005F1F14">
        <w:rPr>
          <w:rFonts w:ascii="Times New Roman" w:hAnsi="Times New Roman" w:cs="Times New Roman"/>
          <w:bCs/>
          <w:sz w:val="24"/>
          <w:szCs w:val="24"/>
        </w:rPr>
        <w:t>What Role Does GHRM Practices Play in Enhancing Organizational Resilience at GTB?</w:t>
      </w:r>
    </w:p>
    <w:p w:rsidR="009E4992" w:rsidRPr="005F6C37" w:rsidRDefault="00F261A2" w:rsidP="00A409A7">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9E4992" w:rsidRPr="005F6C37">
        <w:rPr>
          <w:rFonts w:ascii="Times New Roman" w:hAnsi="Times New Roman" w:cs="Times New Roman"/>
          <w:b/>
          <w:bCs/>
          <w:sz w:val="24"/>
          <w:szCs w:val="24"/>
        </w:rPr>
        <w:t>Research Objectives</w:t>
      </w:r>
    </w:p>
    <w:p w:rsidR="009E4992" w:rsidRPr="005F6C37" w:rsidRDefault="009E4992" w:rsidP="00A409A7">
      <w:pPr>
        <w:pStyle w:val="ListParagraph"/>
        <w:numPr>
          <w:ilvl w:val="0"/>
          <w:numId w:val="9"/>
        </w:num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t>To examine the impact of GHRM practices on the organizational effectiveness of GTB.</w:t>
      </w:r>
    </w:p>
    <w:p w:rsidR="009E4992" w:rsidRPr="005F6C37" w:rsidRDefault="009E4992" w:rsidP="00A409A7">
      <w:pPr>
        <w:pStyle w:val="ListParagraph"/>
        <w:numPr>
          <w:ilvl w:val="0"/>
          <w:numId w:val="9"/>
        </w:num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t>To assess the relationship between GHRM practices and organizational competitiveness.</w:t>
      </w:r>
    </w:p>
    <w:p w:rsidR="009E4992" w:rsidRPr="005F6C37" w:rsidRDefault="009E4992" w:rsidP="00A409A7">
      <w:pPr>
        <w:pStyle w:val="ListParagraph"/>
        <w:numPr>
          <w:ilvl w:val="0"/>
          <w:numId w:val="9"/>
        </w:num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lastRenderedPageBreak/>
        <w:t>To evaluate the role of GHRM practices in enhancing organizational resilience at GTB.</w:t>
      </w:r>
    </w:p>
    <w:p w:rsidR="009E4992" w:rsidRPr="005F6C37" w:rsidRDefault="00F261A2" w:rsidP="00A409A7">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9E4992" w:rsidRPr="005F6C37">
        <w:rPr>
          <w:rFonts w:ascii="Times New Roman" w:hAnsi="Times New Roman" w:cs="Times New Roman"/>
          <w:b/>
          <w:bCs/>
          <w:sz w:val="24"/>
          <w:szCs w:val="24"/>
        </w:rPr>
        <w:t>Research Hypotheses</w:t>
      </w:r>
    </w:p>
    <w:p w:rsidR="009E4992" w:rsidRPr="005F6C37" w:rsidRDefault="009E4992" w:rsidP="00A409A7">
      <w:pPr>
        <w:spacing w:after="0" w:line="360" w:lineRule="auto"/>
        <w:ind w:left="720" w:hanging="720"/>
        <w:jc w:val="both"/>
        <w:rPr>
          <w:rFonts w:ascii="Times New Roman" w:hAnsi="Times New Roman" w:cs="Times New Roman"/>
          <w:bCs/>
          <w:sz w:val="24"/>
          <w:szCs w:val="24"/>
        </w:rPr>
      </w:pPr>
      <w:r w:rsidRPr="005F6C37">
        <w:rPr>
          <w:rFonts w:ascii="Times New Roman" w:hAnsi="Times New Roman" w:cs="Times New Roman"/>
          <w:bCs/>
          <w:sz w:val="24"/>
          <w:szCs w:val="24"/>
        </w:rPr>
        <w:t xml:space="preserve">The following hypotheses have been formulated based on </w:t>
      </w:r>
      <w:r w:rsidR="00856048" w:rsidRPr="005F6C37">
        <w:rPr>
          <w:rFonts w:ascii="Times New Roman" w:hAnsi="Times New Roman" w:cs="Times New Roman"/>
          <w:bCs/>
          <w:sz w:val="24"/>
          <w:szCs w:val="24"/>
        </w:rPr>
        <w:t>the stated research objectives:</w:t>
      </w:r>
    </w:p>
    <w:p w:rsidR="00856048" w:rsidRPr="005F6C37" w:rsidRDefault="009E4992" w:rsidP="00A409A7">
      <w:pPr>
        <w:pStyle w:val="ListParagraph"/>
        <w:numPr>
          <w:ilvl w:val="0"/>
          <w:numId w:val="10"/>
        </w:num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t>H₀: GHRM practices do not influence the organizational effectiveness of GTB</w:t>
      </w:r>
      <w:proofErr w:type="gramStart"/>
      <w:r w:rsidRPr="005F6C37">
        <w:rPr>
          <w:rFonts w:ascii="Times New Roman" w:hAnsi="Times New Roman" w:cs="Times New Roman"/>
          <w:bCs/>
          <w:sz w:val="24"/>
          <w:szCs w:val="24"/>
        </w:rPr>
        <w:t>.</w:t>
      </w:r>
      <w:r w:rsidR="00856048" w:rsidRPr="005F6C37">
        <w:rPr>
          <w:rFonts w:ascii="Times New Roman" w:hAnsi="Times New Roman" w:cs="Times New Roman"/>
          <w:bCs/>
          <w:sz w:val="24"/>
          <w:szCs w:val="24"/>
        </w:rPr>
        <w:t>.</w:t>
      </w:r>
      <w:proofErr w:type="gramEnd"/>
    </w:p>
    <w:p w:rsidR="00856048" w:rsidRPr="005F6C37" w:rsidRDefault="009E4992" w:rsidP="00A409A7">
      <w:pPr>
        <w:pStyle w:val="ListParagraph"/>
        <w:numPr>
          <w:ilvl w:val="0"/>
          <w:numId w:val="10"/>
        </w:num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t>H₀: There is no relationship between GHRM practices and organizational competitiveness.</w:t>
      </w:r>
    </w:p>
    <w:p w:rsidR="009E4992" w:rsidRPr="005F6C37" w:rsidRDefault="009E4992" w:rsidP="00A409A7">
      <w:pPr>
        <w:pStyle w:val="ListParagraph"/>
        <w:numPr>
          <w:ilvl w:val="0"/>
          <w:numId w:val="10"/>
        </w:num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t>H₀: GHRM practices do not play a role in organizational resilience at GTB.</w:t>
      </w:r>
    </w:p>
    <w:p w:rsidR="002E671C" w:rsidRPr="005F6C37" w:rsidRDefault="002C5934" w:rsidP="00A409A7">
      <w:pPr>
        <w:spacing w:after="0" w:line="360" w:lineRule="auto"/>
        <w:ind w:left="720" w:hanging="720"/>
        <w:jc w:val="both"/>
        <w:rPr>
          <w:rFonts w:ascii="Times New Roman" w:hAnsi="Times New Roman" w:cs="Times New Roman"/>
          <w:sz w:val="24"/>
          <w:szCs w:val="24"/>
        </w:rPr>
      </w:pPr>
      <w:r w:rsidRPr="005F6C37">
        <w:rPr>
          <w:rFonts w:ascii="Times New Roman" w:hAnsi="Times New Roman" w:cs="Times New Roman"/>
          <w:b/>
          <w:sz w:val="24"/>
          <w:szCs w:val="24"/>
        </w:rPr>
        <w:t xml:space="preserve">1.6 </w:t>
      </w:r>
      <w:r w:rsidRPr="005F6C37">
        <w:rPr>
          <w:rFonts w:ascii="Times New Roman" w:hAnsi="Times New Roman" w:cs="Times New Roman"/>
          <w:b/>
          <w:sz w:val="24"/>
          <w:szCs w:val="24"/>
        </w:rPr>
        <w:tab/>
        <w:t xml:space="preserve">Significance of the Study </w:t>
      </w:r>
    </w:p>
    <w:p w:rsidR="00856048" w:rsidRPr="005F6C37" w:rsidRDefault="00856048"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This study aims to enhance our understanding of Green Human Resource Management (G-HRM), particularly in the context of Nigeria. Given the limited information available on G-HRM and its impact on productivity, along with the lack of up-to-date resources, this research will provide essential current insights.</w:t>
      </w:r>
    </w:p>
    <w:p w:rsidR="00856048" w:rsidRPr="005F6C37" w:rsidRDefault="00856048"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findings will offer valuable information to line managers and human resource managers at Guaranty Trust Bank, enabling them to implement strategies that enhance employee performance within the organization.</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t>1.7</w:t>
      </w:r>
      <w:r w:rsidRPr="005F6C37">
        <w:rPr>
          <w:rFonts w:ascii="Times New Roman" w:hAnsi="Times New Roman" w:cs="Times New Roman"/>
          <w:b/>
          <w:sz w:val="24"/>
          <w:szCs w:val="24"/>
        </w:rPr>
        <w:tab/>
        <w:t>Scope of the Study</w:t>
      </w:r>
    </w:p>
    <w:p w:rsidR="00856048" w:rsidRPr="005F6C37" w:rsidRDefault="00856048" w:rsidP="00A409A7">
      <w:pPr>
        <w:pStyle w:val="Default"/>
        <w:spacing w:line="360" w:lineRule="auto"/>
        <w:jc w:val="both"/>
        <w:rPr>
          <w:color w:val="auto"/>
        </w:rPr>
      </w:pPr>
      <w:r w:rsidRPr="005F6C37">
        <w:rPr>
          <w:color w:val="auto"/>
        </w:rPr>
        <w:t>The study's findings will equip line managers and human resource managers at Guaranty Trust Bank with essential insights on enhancing employee performance levels within the organization.</w:t>
      </w:r>
    </w:p>
    <w:p w:rsidR="002E671C" w:rsidRPr="005F6C37" w:rsidRDefault="00B33E36" w:rsidP="00A409A7">
      <w:pPr>
        <w:pStyle w:val="Default"/>
        <w:spacing w:line="360" w:lineRule="auto"/>
        <w:jc w:val="both"/>
      </w:pPr>
      <w:r w:rsidRPr="005F6C37">
        <w:rPr>
          <w:color w:val="auto"/>
        </w:rPr>
        <w:t>1.8</w:t>
      </w:r>
      <w:r w:rsidR="002C5934" w:rsidRPr="005F6C37">
        <w:rPr>
          <w:b/>
          <w:bCs/>
        </w:rPr>
        <w:tab/>
        <w:t xml:space="preserve">Definition of Terms </w:t>
      </w:r>
    </w:p>
    <w:p w:rsidR="00856048" w:rsidRPr="005F6C37" w:rsidRDefault="002C5934" w:rsidP="00A409A7">
      <w:pPr>
        <w:pStyle w:val="Default"/>
        <w:spacing w:line="360" w:lineRule="auto"/>
        <w:jc w:val="both"/>
        <w:rPr>
          <w:b/>
          <w:bCs/>
        </w:rPr>
      </w:pPr>
      <w:r w:rsidRPr="005F6C37">
        <w:rPr>
          <w:b/>
          <w:bCs/>
        </w:rPr>
        <w:t>1.8.1</w:t>
      </w:r>
      <w:r w:rsidRPr="005F6C37">
        <w:rPr>
          <w:b/>
          <w:bCs/>
        </w:rPr>
        <w:tab/>
      </w:r>
    </w:p>
    <w:p w:rsidR="00B33E36" w:rsidRPr="005F6C37" w:rsidRDefault="002C5934" w:rsidP="00A409A7">
      <w:pPr>
        <w:pStyle w:val="Default"/>
        <w:spacing w:line="360" w:lineRule="auto"/>
        <w:jc w:val="both"/>
        <w:rPr>
          <w:b/>
          <w:bCs/>
        </w:rPr>
      </w:pPr>
      <w:r w:rsidRPr="005F6C37">
        <w:rPr>
          <w:b/>
          <w:bCs/>
        </w:rPr>
        <w:t>Human Resource Management</w:t>
      </w:r>
      <w:r w:rsidR="00856048" w:rsidRPr="005F6C37">
        <w:rPr>
          <w:b/>
          <w:bCs/>
        </w:rPr>
        <w:t xml:space="preserve">. </w:t>
      </w:r>
      <w:r w:rsidRPr="005F6C37">
        <w:t xml:space="preserve">Human Resource Management (HRM) is a significant area of management that focuses on the most vital asset of the organization i.e. human resources. Sustainability is the focus of almost all areas </w:t>
      </w:r>
      <w:r w:rsidRPr="005F6C37">
        <w:lastRenderedPageBreak/>
        <w:t>of study and same is the case with HRM and it is contended that Green Human Resource Management is the vit</w:t>
      </w:r>
      <w:r w:rsidR="00B33E36" w:rsidRPr="005F6C37">
        <w:t>al component of sustainability.</w:t>
      </w:r>
    </w:p>
    <w:p w:rsidR="002E671C" w:rsidRPr="005F6C37" w:rsidRDefault="002C5934" w:rsidP="00A409A7">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t>Green Human Resource Management (G-HRM)</w:t>
      </w:r>
      <w:r w:rsidR="00856048" w:rsidRPr="005F6C37">
        <w:rPr>
          <w:rFonts w:ascii="Times New Roman" w:hAnsi="Times New Roman" w:cs="Times New Roman"/>
          <w:sz w:val="24"/>
          <w:szCs w:val="24"/>
        </w:rPr>
        <w:t xml:space="preserve">. </w:t>
      </w:r>
      <w:r w:rsidR="00B33E36" w:rsidRPr="005F6C37">
        <w:rPr>
          <w:rFonts w:ascii="Times New Roman" w:hAnsi="Times New Roman" w:cs="Times New Roman"/>
          <w:sz w:val="24"/>
          <w:szCs w:val="24"/>
        </w:rPr>
        <w:t>G-HRM, or "green human resource management," is the term used to describe the HRM facets of environmental management (EM), Human resource specialists feel that building and maintaining a pro-environment organization requires hiring staff who are eager to carry out EM activities. The managerial staff's GHRM training includes environmental knowledge base, leadership development, and education; it is crucial to educate staff members about the risks that climate change may pose to their firm. Corporate environmental management's integration with human resource management is known as (G-HRM).</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Organizational Effectiveness</w:t>
      </w:r>
      <w:r w:rsidR="00856048" w:rsidRPr="005F6C37">
        <w:rPr>
          <w:rFonts w:ascii="Times New Roman" w:hAnsi="Times New Roman" w:cs="Times New Roman"/>
          <w:b/>
          <w:sz w:val="24"/>
          <w:szCs w:val="24"/>
        </w:rPr>
        <w:t xml:space="preserve">. </w:t>
      </w:r>
      <w:r w:rsidR="00B33E36" w:rsidRPr="005F6C37">
        <w:rPr>
          <w:rFonts w:ascii="Times New Roman" w:hAnsi="Times New Roman" w:cs="Times New Roman"/>
          <w:sz w:val="24"/>
          <w:szCs w:val="24"/>
        </w:rPr>
        <w:t>The idea of organizational effectiveness refers to how successfully an organization achieves the results it intends to accomplish. An organization's ability to achieve its objectives is referred to as organizational effectiveness.</w:t>
      </w:r>
      <w:r w:rsidRPr="005F6C37">
        <w:rPr>
          <w:rFonts w:ascii="Times New Roman" w:hAnsi="Times New Roman" w:cs="Times New Roman"/>
          <w:sz w:val="24"/>
          <w:szCs w:val="24"/>
        </w:rPr>
        <w:t xml:space="preserve"> </w:t>
      </w: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F71980" w:rsidRDefault="00F71980" w:rsidP="00A409A7">
      <w:pPr>
        <w:autoSpaceDE w:val="0"/>
        <w:autoSpaceDN w:val="0"/>
        <w:adjustRightInd w:val="0"/>
        <w:spacing w:after="0" w:line="360" w:lineRule="auto"/>
        <w:jc w:val="center"/>
        <w:rPr>
          <w:rFonts w:ascii="Times New Roman" w:hAnsi="Times New Roman" w:cs="Times New Roman"/>
          <w:b/>
          <w:bCs/>
          <w:sz w:val="24"/>
          <w:szCs w:val="24"/>
        </w:rPr>
      </w:pPr>
    </w:p>
    <w:p w:rsidR="002E671C" w:rsidRPr="005F6C37" w:rsidRDefault="002C5934" w:rsidP="00A409A7">
      <w:pPr>
        <w:autoSpaceDE w:val="0"/>
        <w:autoSpaceDN w:val="0"/>
        <w:adjustRightInd w:val="0"/>
        <w:spacing w:after="0" w:line="360" w:lineRule="auto"/>
        <w:jc w:val="center"/>
        <w:rPr>
          <w:rFonts w:ascii="Times New Roman" w:hAnsi="Times New Roman" w:cs="Times New Roman"/>
          <w:b/>
          <w:bCs/>
          <w:sz w:val="24"/>
          <w:szCs w:val="24"/>
        </w:rPr>
      </w:pPr>
      <w:r w:rsidRPr="005F6C37">
        <w:rPr>
          <w:rFonts w:ascii="Times New Roman" w:hAnsi="Times New Roman" w:cs="Times New Roman"/>
          <w:b/>
          <w:bCs/>
          <w:sz w:val="24"/>
          <w:szCs w:val="24"/>
        </w:rPr>
        <w:lastRenderedPageBreak/>
        <w:t>CHAPTER TWO</w:t>
      </w:r>
    </w:p>
    <w:p w:rsidR="002E671C" w:rsidRPr="005F6C37" w:rsidRDefault="002C5934" w:rsidP="00A409A7">
      <w:pPr>
        <w:autoSpaceDE w:val="0"/>
        <w:autoSpaceDN w:val="0"/>
        <w:adjustRightInd w:val="0"/>
        <w:spacing w:after="0" w:line="360" w:lineRule="auto"/>
        <w:jc w:val="center"/>
        <w:rPr>
          <w:rFonts w:ascii="Times New Roman" w:hAnsi="Times New Roman" w:cs="Times New Roman"/>
          <w:b/>
          <w:bCs/>
          <w:sz w:val="24"/>
          <w:szCs w:val="24"/>
        </w:rPr>
      </w:pPr>
      <w:r w:rsidRPr="005F6C37">
        <w:rPr>
          <w:rFonts w:ascii="Times New Roman" w:hAnsi="Times New Roman" w:cs="Times New Roman"/>
          <w:b/>
          <w:bCs/>
          <w:sz w:val="24"/>
          <w:szCs w:val="24"/>
        </w:rPr>
        <w:t>LITERATURE REVIEW</w:t>
      </w:r>
    </w:p>
    <w:p w:rsidR="002E671C" w:rsidRPr="005F6C37" w:rsidRDefault="00F261A2" w:rsidP="00A409A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2C5934" w:rsidRPr="005F6C37">
        <w:rPr>
          <w:rFonts w:ascii="Times New Roman" w:hAnsi="Times New Roman" w:cs="Times New Roman"/>
          <w:b/>
          <w:sz w:val="24"/>
          <w:szCs w:val="24"/>
        </w:rPr>
        <w:t xml:space="preserve">     Introduction </w:t>
      </w:r>
    </w:p>
    <w:p w:rsidR="00B33E36" w:rsidRPr="005F6C37" w:rsidRDefault="00856048" w:rsidP="00A409A7">
      <w:pPr>
        <w:tabs>
          <w:tab w:val="left" w:pos="3555"/>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This chapter highlights the theoretical, methodological, and empirical contributions to the field, providing an overview of existing research. It also offers a critical examination of various authors' and scholars' perspectives on this compelling topic. A summary of the effects of Green Human Resource Management practices on organizational effectiveness follows</w:t>
      </w:r>
      <w:proofErr w:type="gramStart"/>
      <w:r w:rsidRPr="005F6C37">
        <w:rPr>
          <w:rFonts w:ascii="Times New Roman" w:hAnsi="Times New Roman" w:cs="Times New Roman"/>
          <w:sz w:val="24"/>
          <w:szCs w:val="24"/>
        </w:rPr>
        <w:t>.</w:t>
      </w:r>
      <w:r w:rsidR="00B33E36" w:rsidRPr="005F6C37">
        <w:rPr>
          <w:rFonts w:ascii="Times New Roman" w:hAnsi="Times New Roman" w:cs="Times New Roman"/>
          <w:sz w:val="24"/>
          <w:szCs w:val="24"/>
        </w:rPr>
        <w:t>.</w:t>
      </w:r>
      <w:proofErr w:type="gramEnd"/>
    </w:p>
    <w:p w:rsidR="002E671C" w:rsidRPr="005F6C37" w:rsidRDefault="00F261A2" w:rsidP="00A409A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C5934" w:rsidRPr="005F6C37">
        <w:rPr>
          <w:rFonts w:ascii="Times New Roman" w:hAnsi="Times New Roman" w:cs="Times New Roman"/>
          <w:b/>
          <w:sz w:val="24"/>
          <w:szCs w:val="24"/>
        </w:rPr>
        <w:t xml:space="preserve">     Conceptual Review</w:t>
      </w:r>
    </w:p>
    <w:p w:rsidR="002E671C" w:rsidRPr="005F6C37" w:rsidRDefault="00F261A2" w:rsidP="00A409A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sidR="002C5934" w:rsidRPr="005F6C37">
        <w:rPr>
          <w:rFonts w:ascii="Times New Roman" w:hAnsi="Times New Roman" w:cs="Times New Roman"/>
          <w:b/>
          <w:sz w:val="24"/>
          <w:szCs w:val="24"/>
        </w:rPr>
        <w:t xml:space="preserve">     Concept of Green Human Resource Management (G-HRM)</w:t>
      </w:r>
    </w:p>
    <w:p w:rsidR="00266629" w:rsidRPr="005F6C37" w:rsidRDefault="00541105"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A pertinent topic in the management field is environmental management. In response to critical environmental challenges such as climate change, pollution, overconsumption of natural resources, and deforestation, companies are increasingly incorporating environmental considerations into their corporate and competitive strategies (Bansal &amp; </w:t>
      </w:r>
      <w:proofErr w:type="spellStart"/>
      <w:r w:rsidRPr="005F6C37">
        <w:rPr>
          <w:rFonts w:ascii="Times New Roman" w:hAnsi="Times New Roman" w:cs="Times New Roman"/>
          <w:sz w:val="24"/>
          <w:szCs w:val="24"/>
        </w:rPr>
        <w:t>Gao</w:t>
      </w:r>
      <w:proofErr w:type="spellEnd"/>
      <w:r w:rsidRPr="005F6C37">
        <w:rPr>
          <w:rFonts w:ascii="Times New Roman" w:hAnsi="Times New Roman" w:cs="Times New Roman"/>
          <w:sz w:val="24"/>
          <w:szCs w:val="24"/>
        </w:rPr>
        <w:t xml:space="preserve">, 2023; Hoffman &amp; Bansal, 2022). Additionally, the interplay between voluntary environmental practices, such as environmental management systems, competitive advantage, and financial performance has gained significant attention from both academics and practitioners, sparking a vital discussion on environmental management and firm competitiveness (Dwyer et al., 2022; </w:t>
      </w:r>
      <w:proofErr w:type="spellStart"/>
      <w:r w:rsidRPr="005F6C37">
        <w:rPr>
          <w:rFonts w:ascii="Times New Roman" w:hAnsi="Times New Roman" w:cs="Times New Roman"/>
          <w:sz w:val="24"/>
          <w:szCs w:val="24"/>
        </w:rPr>
        <w:t>Albertini</w:t>
      </w:r>
      <w:proofErr w:type="spellEnd"/>
      <w:r w:rsidRPr="005F6C37">
        <w:rPr>
          <w:rFonts w:ascii="Times New Roman" w:hAnsi="Times New Roman" w:cs="Times New Roman"/>
          <w:sz w:val="24"/>
          <w:szCs w:val="24"/>
        </w:rPr>
        <w:t>, 2021; Martín-de-Castro et al., 2023).</w:t>
      </w:r>
    </w:p>
    <w:p w:rsidR="00541105" w:rsidRPr="005F6C37" w:rsidRDefault="00541105"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progressive degradation of the natural environment due to human exploitation has necessitated the introduction of sustainable development. This paradigm not only promotes a new quality of management (</w:t>
      </w:r>
      <w:proofErr w:type="spellStart"/>
      <w:r w:rsidRPr="005F6C37">
        <w:rPr>
          <w:rFonts w:ascii="Times New Roman" w:hAnsi="Times New Roman" w:cs="Times New Roman"/>
          <w:sz w:val="24"/>
          <w:szCs w:val="24"/>
        </w:rPr>
        <w:t>Skowroński</w:t>
      </w:r>
      <w:proofErr w:type="spellEnd"/>
      <w:r w:rsidRPr="005F6C37">
        <w:rPr>
          <w:rFonts w:ascii="Times New Roman" w:hAnsi="Times New Roman" w:cs="Times New Roman"/>
          <w:sz w:val="24"/>
          <w:szCs w:val="24"/>
        </w:rPr>
        <w:t xml:space="preserve">, 2022) but also demands the pursuit of novel sources of competitive advantage to align corporate economic goals with broader social and environmental interests (Hart &amp; Milstein, 2021; </w:t>
      </w:r>
      <w:proofErr w:type="spellStart"/>
      <w:r w:rsidRPr="005F6C37">
        <w:rPr>
          <w:rFonts w:ascii="Times New Roman" w:hAnsi="Times New Roman" w:cs="Times New Roman"/>
          <w:sz w:val="24"/>
          <w:szCs w:val="24"/>
        </w:rPr>
        <w:t>Abidin</w:t>
      </w:r>
      <w:proofErr w:type="spellEnd"/>
      <w:r w:rsidRPr="005F6C37">
        <w:rPr>
          <w:rFonts w:ascii="Times New Roman" w:hAnsi="Times New Roman" w:cs="Times New Roman"/>
          <w:sz w:val="24"/>
          <w:szCs w:val="24"/>
        </w:rPr>
        <w:t xml:space="preserve"> &amp; </w:t>
      </w:r>
      <w:proofErr w:type="spellStart"/>
      <w:r w:rsidRPr="005F6C37">
        <w:rPr>
          <w:rFonts w:ascii="Times New Roman" w:hAnsi="Times New Roman" w:cs="Times New Roman"/>
          <w:sz w:val="24"/>
          <w:szCs w:val="24"/>
        </w:rPr>
        <w:t>Pasquire</w:t>
      </w:r>
      <w:proofErr w:type="spellEnd"/>
      <w:r w:rsidRPr="005F6C37">
        <w:rPr>
          <w:rFonts w:ascii="Times New Roman" w:hAnsi="Times New Roman" w:cs="Times New Roman"/>
          <w:sz w:val="24"/>
          <w:szCs w:val="24"/>
        </w:rPr>
        <w:t xml:space="preserve">, 2022; </w:t>
      </w:r>
      <w:proofErr w:type="spellStart"/>
      <w:r w:rsidRPr="005F6C37">
        <w:rPr>
          <w:rFonts w:ascii="Times New Roman" w:hAnsi="Times New Roman" w:cs="Times New Roman"/>
          <w:sz w:val="24"/>
          <w:szCs w:val="24"/>
        </w:rPr>
        <w:t>Joonhyun</w:t>
      </w:r>
      <w:proofErr w:type="spellEnd"/>
      <w:r w:rsidRPr="005F6C37">
        <w:rPr>
          <w:rFonts w:ascii="Times New Roman" w:hAnsi="Times New Roman" w:cs="Times New Roman"/>
          <w:sz w:val="24"/>
          <w:szCs w:val="24"/>
        </w:rPr>
        <w:t xml:space="preserve"> &amp; </w:t>
      </w:r>
      <w:proofErr w:type="spellStart"/>
      <w:r w:rsidRPr="005F6C37">
        <w:rPr>
          <w:rFonts w:ascii="Times New Roman" w:hAnsi="Times New Roman" w:cs="Times New Roman"/>
          <w:sz w:val="24"/>
          <w:szCs w:val="24"/>
        </w:rPr>
        <w:t>Jinsoo</w:t>
      </w:r>
      <w:proofErr w:type="spellEnd"/>
      <w:r w:rsidRPr="005F6C37">
        <w:rPr>
          <w:rFonts w:ascii="Times New Roman" w:hAnsi="Times New Roman" w:cs="Times New Roman"/>
          <w:sz w:val="24"/>
          <w:szCs w:val="24"/>
        </w:rPr>
        <w:t xml:space="preserve">, 2023; </w:t>
      </w:r>
      <w:proofErr w:type="spellStart"/>
      <w:r w:rsidRPr="005F6C37">
        <w:rPr>
          <w:rFonts w:ascii="Times New Roman" w:hAnsi="Times New Roman" w:cs="Times New Roman"/>
          <w:sz w:val="24"/>
          <w:szCs w:val="24"/>
        </w:rPr>
        <w:t>Jabłoński</w:t>
      </w:r>
      <w:proofErr w:type="spellEnd"/>
      <w:r w:rsidRPr="005F6C37">
        <w:rPr>
          <w:rFonts w:ascii="Times New Roman" w:hAnsi="Times New Roman" w:cs="Times New Roman"/>
          <w:sz w:val="24"/>
          <w:szCs w:val="24"/>
        </w:rPr>
        <w:t xml:space="preserve">, 2023). Despite being explored for over a decade, the connections </w:t>
      </w:r>
      <w:r w:rsidRPr="005F6C37">
        <w:rPr>
          <w:rFonts w:ascii="Times New Roman" w:hAnsi="Times New Roman" w:cs="Times New Roman"/>
          <w:sz w:val="24"/>
          <w:szCs w:val="24"/>
        </w:rPr>
        <w:lastRenderedPageBreak/>
        <w:t>between sustainable development and human resources in organizations have only recently gained recognition. The human factor is crucial in driving practices that enhance organizations' environmental effectiveness. Eco-oriented management relies on individuals who possess a positive environmental attitude, ecological competence, and a sense of responsibility for the environmental consequences of their actions (</w:t>
      </w:r>
      <w:proofErr w:type="spellStart"/>
      <w:r w:rsidRPr="005F6C37">
        <w:rPr>
          <w:rFonts w:ascii="Times New Roman" w:hAnsi="Times New Roman" w:cs="Times New Roman"/>
          <w:sz w:val="24"/>
          <w:szCs w:val="24"/>
        </w:rPr>
        <w:t>Bombiak</w:t>
      </w:r>
      <w:proofErr w:type="spellEnd"/>
      <w:r w:rsidRPr="005F6C37">
        <w:rPr>
          <w:rFonts w:ascii="Times New Roman" w:hAnsi="Times New Roman" w:cs="Times New Roman"/>
          <w:sz w:val="24"/>
          <w:szCs w:val="24"/>
        </w:rPr>
        <w:t xml:space="preserve"> &amp; </w:t>
      </w:r>
      <w:proofErr w:type="spellStart"/>
      <w:r w:rsidRPr="005F6C37">
        <w:rPr>
          <w:rFonts w:ascii="Times New Roman" w:hAnsi="Times New Roman" w:cs="Times New Roman"/>
          <w:sz w:val="24"/>
          <w:szCs w:val="24"/>
        </w:rPr>
        <w:t>Marciniuk-Kluska</w:t>
      </w:r>
      <w:proofErr w:type="spellEnd"/>
      <w:r w:rsidRPr="005F6C37">
        <w:rPr>
          <w:rFonts w:ascii="Times New Roman" w:hAnsi="Times New Roman" w:cs="Times New Roman"/>
          <w:sz w:val="24"/>
          <w:szCs w:val="24"/>
        </w:rPr>
        <w:t xml:space="preserve">, 2023; </w:t>
      </w:r>
      <w:proofErr w:type="spellStart"/>
      <w:r w:rsidRPr="005F6C37">
        <w:rPr>
          <w:rFonts w:ascii="Times New Roman" w:hAnsi="Times New Roman" w:cs="Times New Roman"/>
          <w:sz w:val="24"/>
          <w:szCs w:val="24"/>
        </w:rPr>
        <w:t>Smaliukienė</w:t>
      </w:r>
      <w:proofErr w:type="spellEnd"/>
      <w:r w:rsidRPr="005F6C37">
        <w:rPr>
          <w:rFonts w:ascii="Times New Roman" w:hAnsi="Times New Roman" w:cs="Times New Roman"/>
          <w:sz w:val="24"/>
          <w:szCs w:val="24"/>
        </w:rPr>
        <w:t xml:space="preserve"> &amp; </w:t>
      </w:r>
      <w:proofErr w:type="spellStart"/>
      <w:r w:rsidRPr="005F6C37">
        <w:rPr>
          <w:rFonts w:ascii="Times New Roman" w:hAnsi="Times New Roman" w:cs="Times New Roman"/>
          <w:sz w:val="24"/>
          <w:szCs w:val="24"/>
        </w:rPr>
        <w:t>Monn</w:t>
      </w:r>
      <w:proofErr w:type="spellEnd"/>
      <w:r w:rsidRPr="005F6C37">
        <w:rPr>
          <w:rFonts w:ascii="Times New Roman" w:hAnsi="Times New Roman" w:cs="Times New Roman"/>
          <w:sz w:val="24"/>
          <w:szCs w:val="24"/>
        </w:rPr>
        <w:t>, 2022). Green Human Resource Management (GHRM) plays a vital role in fostering environmentally friendly practices within organizations.</w:t>
      </w:r>
    </w:p>
    <w:p w:rsidR="00541105" w:rsidRPr="005F6C37" w:rsidRDefault="00541105"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GHRM refers to the application of Human Resources Management (HRM) practices that reinforce environmentally sustainable initiatives and enhance employee commitment to environmental sustainability. This involves integrating Environmental Management (EM) concerns and values into HR initiatives to achieve greater efficiencies and improved Environmental Performance (EP), ultimately reducing employees' carbon footprints.</w:t>
      </w:r>
    </w:p>
    <w:p w:rsidR="00541105" w:rsidRPr="005F6C37" w:rsidRDefault="00541105"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According to Renwick (2023), GHRM is defined as the extent to which human resource management practices are "greened." </w:t>
      </w:r>
      <w:proofErr w:type="spellStart"/>
      <w:r w:rsidRPr="005F6C37">
        <w:rPr>
          <w:rFonts w:ascii="Times New Roman" w:hAnsi="Times New Roman" w:cs="Times New Roman"/>
          <w:sz w:val="24"/>
          <w:szCs w:val="24"/>
        </w:rPr>
        <w:t>Jabbour</w:t>
      </w:r>
      <w:proofErr w:type="spellEnd"/>
      <w:r w:rsidRPr="005F6C37">
        <w:rPr>
          <w:rFonts w:ascii="Times New Roman" w:hAnsi="Times New Roman" w:cs="Times New Roman"/>
          <w:sz w:val="24"/>
          <w:szCs w:val="24"/>
        </w:rPr>
        <w:t xml:space="preserve"> (2022) describes GHRM practices as the actual HR programs, processes, and techniques implemented in organizations. GHRM represents a blend of HRM and environmental stewardship, as noted by Renwick (2023). The HRM aspect of corporate environmental responsibility is termed GHRM (</w:t>
      </w:r>
      <w:proofErr w:type="spellStart"/>
      <w:r w:rsidRPr="005F6C37">
        <w:rPr>
          <w:rFonts w:ascii="Times New Roman" w:hAnsi="Times New Roman" w:cs="Times New Roman"/>
          <w:sz w:val="24"/>
          <w:szCs w:val="24"/>
        </w:rPr>
        <w:t>Mandip</w:t>
      </w:r>
      <w:proofErr w:type="spellEnd"/>
      <w:r w:rsidRPr="005F6C37">
        <w:rPr>
          <w:rFonts w:ascii="Times New Roman" w:hAnsi="Times New Roman" w:cs="Times New Roman"/>
          <w:sz w:val="24"/>
          <w:szCs w:val="24"/>
        </w:rPr>
        <w:t>, 2022). A critical factor influencing job seekers' perceptions of organizations is their commitment to sustainability (</w:t>
      </w:r>
      <w:proofErr w:type="spellStart"/>
      <w:r w:rsidRPr="005F6C37">
        <w:rPr>
          <w:rFonts w:ascii="Times New Roman" w:hAnsi="Times New Roman" w:cs="Times New Roman"/>
          <w:sz w:val="24"/>
          <w:szCs w:val="24"/>
        </w:rPr>
        <w:t>Behrend</w:t>
      </w:r>
      <w:proofErr w:type="spellEnd"/>
      <w:r w:rsidRPr="005F6C37">
        <w:rPr>
          <w:rFonts w:ascii="Times New Roman" w:hAnsi="Times New Roman" w:cs="Times New Roman"/>
          <w:sz w:val="24"/>
          <w:szCs w:val="24"/>
        </w:rPr>
        <w:t>, 2022; Williamson, 2021). The reputation of a company is significantly shaped by its environmental actions (</w:t>
      </w:r>
      <w:proofErr w:type="spellStart"/>
      <w:r w:rsidRPr="005F6C37">
        <w:rPr>
          <w:rFonts w:ascii="Times New Roman" w:hAnsi="Times New Roman" w:cs="Times New Roman"/>
          <w:sz w:val="24"/>
          <w:szCs w:val="24"/>
        </w:rPr>
        <w:t>Lii</w:t>
      </w:r>
      <w:proofErr w:type="spellEnd"/>
      <w:r w:rsidRPr="005F6C37">
        <w:rPr>
          <w:rFonts w:ascii="Times New Roman" w:hAnsi="Times New Roman" w:cs="Times New Roman"/>
          <w:sz w:val="24"/>
          <w:szCs w:val="24"/>
        </w:rPr>
        <w:t xml:space="preserve"> &amp; Lee, 2023). Prior studies indicate that potential employees should consider corporate social responsibility when evaluating employers (Backhaus, 2022). Thus, to establish and maintain an organization's green status, GHRM requires the involvement of all organizational members.</w:t>
      </w:r>
    </w:p>
    <w:p w:rsidR="00541105" w:rsidRPr="005F6C37" w:rsidRDefault="00541105" w:rsidP="00A409A7">
      <w:pPr>
        <w:spacing w:after="0" w:line="360" w:lineRule="auto"/>
        <w:jc w:val="both"/>
        <w:rPr>
          <w:rFonts w:ascii="Times New Roman" w:hAnsi="Times New Roman" w:cs="Times New Roman"/>
          <w:sz w:val="24"/>
          <w:szCs w:val="24"/>
        </w:rPr>
      </w:pPr>
      <w:proofErr w:type="spellStart"/>
      <w:r w:rsidRPr="005F6C37">
        <w:rPr>
          <w:rFonts w:ascii="Times New Roman" w:hAnsi="Times New Roman" w:cs="Times New Roman"/>
          <w:sz w:val="24"/>
          <w:szCs w:val="24"/>
        </w:rPr>
        <w:lastRenderedPageBreak/>
        <w:t>Jabbour</w:t>
      </w:r>
      <w:proofErr w:type="spellEnd"/>
      <w:r w:rsidRPr="005F6C37">
        <w:rPr>
          <w:rFonts w:ascii="Times New Roman" w:hAnsi="Times New Roman" w:cs="Times New Roman"/>
          <w:sz w:val="24"/>
          <w:szCs w:val="24"/>
        </w:rPr>
        <w:t xml:space="preserve">, Santos, and </w:t>
      </w:r>
      <w:proofErr w:type="spellStart"/>
      <w:r w:rsidRPr="005F6C37">
        <w:rPr>
          <w:rFonts w:ascii="Times New Roman" w:hAnsi="Times New Roman" w:cs="Times New Roman"/>
          <w:sz w:val="24"/>
          <w:szCs w:val="24"/>
        </w:rPr>
        <w:t>Naganos</w:t>
      </w:r>
      <w:proofErr w:type="spellEnd"/>
      <w:r w:rsidRPr="005F6C37">
        <w:rPr>
          <w:rFonts w:ascii="Times New Roman" w:hAnsi="Times New Roman" w:cs="Times New Roman"/>
          <w:sz w:val="24"/>
          <w:szCs w:val="24"/>
        </w:rPr>
        <w:t xml:space="preserve"> (2023) define "green human resource management" as the greening of functional aspects of HRM, including job analysis, hiring, </w:t>
      </w:r>
      <w:proofErr w:type="gramStart"/>
      <w:r w:rsidRPr="005F6C37">
        <w:rPr>
          <w:rFonts w:ascii="Times New Roman" w:hAnsi="Times New Roman" w:cs="Times New Roman"/>
          <w:sz w:val="24"/>
          <w:szCs w:val="24"/>
        </w:rPr>
        <w:t>selection</w:t>
      </w:r>
      <w:proofErr w:type="gramEnd"/>
      <w:r w:rsidRPr="005F6C37">
        <w:rPr>
          <w:rFonts w:ascii="Times New Roman" w:hAnsi="Times New Roman" w:cs="Times New Roman"/>
          <w:sz w:val="24"/>
          <w:szCs w:val="24"/>
        </w:rPr>
        <w:t>, training, and employee rewards. Ramachandran posits that green HRM involves incorporating environmental management into HRM practices, contributing to the overall environmental goals of the company. This entails engaging each employee in sustainable practices and enhancing their commitment to sustainability challenges.</w:t>
      </w:r>
    </w:p>
    <w:p w:rsidR="002E671C" w:rsidRPr="005F6C37" w:rsidRDefault="00F261A2" w:rsidP="00A409A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w:t>
      </w:r>
      <w:r w:rsidR="002C5934" w:rsidRPr="005F6C37">
        <w:rPr>
          <w:rFonts w:ascii="Times New Roman" w:hAnsi="Times New Roman" w:cs="Times New Roman"/>
          <w:b/>
          <w:sz w:val="24"/>
          <w:szCs w:val="24"/>
        </w:rPr>
        <w:t xml:space="preserve">.2     Green Human Resource Management (G-HRM) Processes </w:t>
      </w:r>
    </w:p>
    <w:p w:rsidR="00266629" w:rsidRPr="005F6C37" w:rsidRDefault="00266629" w:rsidP="00A409A7">
      <w:pPr>
        <w:autoSpaceDE w:val="0"/>
        <w:autoSpaceDN w:val="0"/>
        <w:adjustRightInd w:val="0"/>
        <w:spacing w:after="0" w:line="360" w:lineRule="auto"/>
        <w:jc w:val="both"/>
        <w:rPr>
          <w:rFonts w:ascii="Times New Roman" w:hAnsi="Times New Roman" w:cs="Times New Roman"/>
          <w:sz w:val="24"/>
          <w:szCs w:val="24"/>
        </w:rPr>
      </w:pPr>
      <w:proofErr w:type="spellStart"/>
      <w:r w:rsidRPr="005F6C37">
        <w:rPr>
          <w:rFonts w:ascii="Times New Roman" w:hAnsi="Times New Roman" w:cs="Times New Roman"/>
          <w:sz w:val="24"/>
          <w:szCs w:val="24"/>
        </w:rPr>
        <w:t>Mandip</w:t>
      </w:r>
      <w:proofErr w:type="spellEnd"/>
      <w:r w:rsidRPr="005F6C37">
        <w:rPr>
          <w:rFonts w:ascii="Times New Roman" w:hAnsi="Times New Roman" w:cs="Times New Roman"/>
          <w:sz w:val="24"/>
          <w:szCs w:val="24"/>
        </w:rPr>
        <w:t xml:space="preserve"> emphasizes that green HR practices should be integrated into various HR procedures, including recruitment and selection, training and development, compensation and rewards administration, as well as performance management.</w:t>
      </w:r>
    </w:p>
    <w:p w:rsidR="002E671C" w:rsidRPr="005F6C37" w:rsidRDefault="002C5934" w:rsidP="00A409A7">
      <w:pPr>
        <w:autoSpaceDE w:val="0"/>
        <w:autoSpaceDN w:val="0"/>
        <w:adjustRightInd w:val="0"/>
        <w:spacing w:after="0" w:line="360" w:lineRule="auto"/>
        <w:jc w:val="both"/>
        <w:rPr>
          <w:rFonts w:ascii="Times New Roman" w:hAnsi="Times New Roman" w:cs="Times New Roman"/>
          <w:b/>
          <w:bCs/>
          <w:sz w:val="24"/>
          <w:szCs w:val="24"/>
        </w:rPr>
      </w:pPr>
      <w:r w:rsidRPr="005F6C37">
        <w:rPr>
          <w:rFonts w:ascii="Times New Roman" w:hAnsi="Times New Roman" w:cs="Times New Roman"/>
          <w:b/>
          <w:bCs/>
          <w:sz w:val="24"/>
          <w:szCs w:val="24"/>
        </w:rPr>
        <w:t>Green Recruitment and Selection</w:t>
      </w:r>
    </w:p>
    <w:p w:rsidR="002E671C" w:rsidRPr="005F6C37" w:rsidRDefault="005F592B" w:rsidP="00A409A7">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process of recruiting and selection is foremost in some crucial areas. It focuses on potential areas for improvement in the interaction between staff and management. Its significance is clear from the fact that whether or not a person is hired strengthens the entire field of personnel management. In situations where someone is being excluded from the organization, fairness, professionalism, and ethical conduct are necessary. Employee performance is therefore quite important in this aspect (</w:t>
      </w:r>
      <w:proofErr w:type="spellStart"/>
      <w:r w:rsidRPr="005F6C37">
        <w:rPr>
          <w:rFonts w:ascii="Times New Roman" w:hAnsi="Times New Roman" w:cs="Times New Roman"/>
          <w:sz w:val="24"/>
          <w:szCs w:val="24"/>
        </w:rPr>
        <w:t>Holtom</w:t>
      </w:r>
      <w:proofErr w:type="spellEnd"/>
      <w:r w:rsidRPr="005F6C37">
        <w:rPr>
          <w:rFonts w:ascii="Times New Roman" w:hAnsi="Times New Roman" w:cs="Times New Roman"/>
          <w:sz w:val="24"/>
          <w:szCs w:val="24"/>
        </w:rPr>
        <w:t xml:space="preserve">, 2008). It focuses on identifying high performing employees and the potential areas of strength for them. Organizations are becoming cognizant of the fact that using green practices as an employer is a successful strategy for luring new employees (Phillips, 2007; Stringer, 2009). Green recruitment is the process of bringing on board new employees who exhibit the attitudes, expertise, and behaviors necessary for the organization's environment management systems. According to </w:t>
      </w:r>
      <w:proofErr w:type="spellStart"/>
      <w:r w:rsidRPr="005F6C37">
        <w:rPr>
          <w:rFonts w:ascii="Times New Roman" w:hAnsi="Times New Roman" w:cs="Times New Roman"/>
          <w:sz w:val="24"/>
          <w:szCs w:val="24"/>
        </w:rPr>
        <w:t>Wehrmeyer</w:t>
      </w:r>
      <w:proofErr w:type="spellEnd"/>
      <w:r w:rsidRPr="005F6C37">
        <w:rPr>
          <w:rFonts w:ascii="Times New Roman" w:hAnsi="Times New Roman" w:cs="Times New Roman"/>
          <w:sz w:val="24"/>
          <w:szCs w:val="24"/>
        </w:rPr>
        <w:t xml:space="preserve"> (1996), the recruitment process can help businesses produce effective performance, including performance related to the environment by ensuring that </w:t>
      </w:r>
      <w:r w:rsidRPr="005F6C37">
        <w:rPr>
          <w:rFonts w:ascii="Times New Roman" w:hAnsi="Times New Roman" w:cs="Times New Roman"/>
          <w:sz w:val="24"/>
          <w:szCs w:val="24"/>
        </w:rPr>
        <w:lastRenderedPageBreak/>
        <w:t>newly hired staff members are aware of the organization's environmental culture and can uphold the environmental values the organization upholds.</w:t>
      </w:r>
    </w:p>
    <w:p w:rsidR="002E671C" w:rsidRPr="005F6C37" w:rsidRDefault="002C5934" w:rsidP="00A409A7">
      <w:pPr>
        <w:autoSpaceDE w:val="0"/>
        <w:autoSpaceDN w:val="0"/>
        <w:adjustRightInd w:val="0"/>
        <w:spacing w:after="0" w:line="360" w:lineRule="auto"/>
        <w:jc w:val="both"/>
        <w:rPr>
          <w:rFonts w:ascii="Times New Roman" w:hAnsi="Times New Roman" w:cs="Times New Roman"/>
          <w:b/>
          <w:bCs/>
          <w:sz w:val="24"/>
          <w:szCs w:val="24"/>
        </w:rPr>
      </w:pPr>
      <w:r w:rsidRPr="005F6C37">
        <w:rPr>
          <w:rFonts w:ascii="Times New Roman" w:hAnsi="Times New Roman" w:cs="Times New Roman"/>
          <w:b/>
          <w:bCs/>
          <w:sz w:val="24"/>
          <w:szCs w:val="24"/>
        </w:rPr>
        <w:t xml:space="preserve">Green Training </w:t>
      </w:r>
    </w:p>
    <w:p w:rsidR="00266629" w:rsidRPr="005F6C37" w:rsidRDefault="00266629" w:rsidP="00A409A7">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Training and development involve enhancing employees' attitudes, behaviors, knowledge, and skills, particularly in relation to environmental competencies (Smith &amp; Jones, 2023). Training is viewed as a means of cultivating versatile workers and focuses on fostering the knowledge and skills essential for innovation (Brown, 2022). The enhancement of employees' skills and knowledge is directly linked to organizational performance, as effective training equips staff with the capabilities needed to achieve the company's goals and objectives. To operate efficiently in the workplace, employees must receive appropriate training. This process empowers them to acquire new skills, which can be leveraged to drive innovation, improve performance, and enhance the organization's competitiveness. A strong connection exists between exploratory learning and training within organizations, suggesting that skill development and exploratory learning are key strategies for promoting innovation (Garcia, 2023). Moreover, the employee orientation program should be tailored to facilitate the integration of new hires into a green workplace culture. During this orientation, employers should emphasize their commitment to addressing employees' environmental concerns, including health, safety, and working conditions.</w:t>
      </w:r>
    </w:p>
    <w:p w:rsidR="002E671C" w:rsidRPr="005F6C37" w:rsidRDefault="002C5934" w:rsidP="00A409A7">
      <w:pPr>
        <w:autoSpaceDE w:val="0"/>
        <w:autoSpaceDN w:val="0"/>
        <w:adjustRightInd w:val="0"/>
        <w:spacing w:after="0" w:line="360" w:lineRule="auto"/>
        <w:jc w:val="both"/>
        <w:rPr>
          <w:rFonts w:ascii="Times New Roman" w:hAnsi="Times New Roman" w:cs="Times New Roman"/>
          <w:b/>
          <w:bCs/>
          <w:sz w:val="24"/>
          <w:szCs w:val="24"/>
        </w:rPr>
      </w:pPr>
      <w:r w:rsidRPr="005F6C37">
        <w:rPr>
          <w:rFonts w:ascii="Times New Roman" w:hAnsi="Times New Roman" w:cs="Times New Roman"/>
          <w:b/>
          <w:bCs/>
          <w:sz w:val="24"/>
          <w:szCs w:val="24"/>
        </w:rPr>
        <w:t>Green Learning and Development</w:t>
      </w:r>
    </w:p>
    <w:p w:rsidR="002E671C" w:rsidRDefault="002C5934" w:rsidP="00A409A7">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There is a dire need of research focusing the barriers and obstacles to effective environmental training. Insufficient need analysis, poor training provided for the job, poor trainee readiness, lack of perceived or actual commitment in leaders, top management and employees and other related problems are some of the reasons of the need of the initiative of the environmental training (</w:t>
      </w:r>
      <w:proofErr w:type="spellStart"/>
      <w:r w:rsidRPr="005F6C37">
        <w:rPr>
          <w:rFonts w:ascii="Times New Roman" w:hAnsi="Times New Roman" w:cs="Times New Roman"/>
          <w:sz w:val="24"/>
          <w:szCs w:val="24"/>
        </w:rPr>
        <w:t>Wehrmeyer</w:t>
      </w:r>
      <w:proofErr w:type="spellEnd"/>
      <w:r w:rsidRPr="005F6C37">
        <w:rPr>
          <w:rFonts w:ascii="Times New Roman" w:hAnsi="Times New Roman" w:cs="Times New Roman"/>
          <w:sz w:val="24"/>
          <w:szCs w:val="24"/>
        </w:rPr>
        <w:t xml:space="preserve"> &amp; </w:t>
      </w:r>
      <w:proofErr w:type="spellStart"/>
      <w:r w:rsidRPr="005F6C37">
        <w:rPr>
          <w:rFonts w:ascii="Times New Roman" w:hAnsi="Times New Roman" w:cs="Times New Roman"/>
          <w:sz w:val="24"/>
          <w:szCs w:val="24"/>
        </w:rPr>
        <w:t>Vickerstaff</w:t>
      </w:r>
      <w:proofErr w:type="spellEnd"/>
      <w:r w:rsidRPr="005F6C37">
        <w:rPr>
          <w:rFonts w:ascii="Times New Roman" w:hAnsi="Times New Roman" w:cs="Times New Roman"/>
          <w:sz w:val="24"/>
          <w:szCs w:val="24"/>
        </w:rPr>
        <w:t xml:space="preserve">, 1996). For example, research studies related to the training readiness revealed that learning opportunities exposure is more effective in case </w:t>
      </w:r>
      <w:r w:rsidRPr="005F6C37">
        <w:rPr>
          <w:rFonts w:ascii="Times New Roman" w:hAnsi="Times New Roman" w:cs="Times New Roman"/>
          <w:sz w:val="24"/>
          <w:szCs w:val="24"/>
        </w:rPr>
        <w:lastRenderedPageBreak/>
        <w:t xml:space="preserve">of highly motivated employees who are psychologically ready for </w:t>
      </w:r>
      <w:proofErr w:type="gramStart"/>
      <w:r w:rsidRPr="005F6C37">
        <w:rPr>
          <w:rFonts w:ascii="Times New Roman" w:hAnsi="Times New Roman" w:cs="Times New Roman"/>
          <w:sz w:val="24"/>
          <w:szCs w:val="24"/>
        </w:rPr>
        <w:t>learning</w:t>
      </w:r>
      <w:proofErr w:type="gramEnd"/>
      <w:r w:rsidRPr="005F6C37">
        <w:rPr>
          <w:rFonts w:ascii="Times New Roman" w:hAnsi="Times New Roman" w:cs="Times New Roman"/>
          <w:sz w:val="24"/>
          <w:szCs w:val="24"/>
        </w:rPr>
        <w:t xml:space="preserve"> (Goldstein &amp; Ford, 2001). Hence, the efficacy of the initiative of environmental training could be improved if the assessment of environmental learning readiness is included. There is also a need of research on the assessment of individual readiness for environmental learning and the ways for enhancing learning readiness of employees.</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Green Compensation and Reward Management</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t>Green</w:t>
      </w:r>
      <w:r w:rsidRPr="005F6C37">
        <w:rPr>
          <w:rFonts w:ascii="Times New Roman" w:hAnsi="Times New Roman" w:cs="Times New Roman"/>
          <w:b/>
          <w:bCs/>
          <w:sz w:val="24"/>
          <w:szCs w:val="24"/>
        </w:rPr>
        <w:t xml:space="preserve"> Performance Management</w:t>
      </w:r>
    </w:p>
    <w:p w:rsidR="00B22816" w:rsidRPr="005F6C37" w:rsidRDefault="00B22816" w:rsidP="00A409A7">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According to the resource-based view (RBV), companies set strategies that add value to the company and make the organization's resources work together more effectively in order to increase productivity and gain a competitive edge over their rivals (</w:t>
      </w:r>
      <w:proofErr w:type="spellStart"/>
      <w:r w:rsidRPr="005F6C37">
        <w:rPr>
          <w:rFonts w:ascii="Times New Roman" w:hAnsi="Times New Roman" w:cs="Times New Roman"/>
          <w:sz w:val="24"/>
          <w:szCs w:val="24"/>
        </w:rPr>
        <w:t>Ployhart</w:t>
      </w:r>
      <w:proofErr w:type="spellEnd"/>
      <w:r w:rsidRPr="005F6C37">
        <w:rPr>
          <w:rFonts w:ascii="Times New Roman" w:hAnsi="Times New Roman" w:cs="Times New Roman"/>
          <w:sz w:val="24"/>
          <w:szCs w:val="24"/>
        </w:rPr>
        <w:t>, 2012). Environmental performance can be defined as a measure of an organization's level of effectiveness in implementing environmental initiatives to minimize the harmful effects of its industrial processes and waste on the environment (Wong, 2013).</w:t>
      </w:r>
    </w:p>
    <w:p w:rsidR="00B22816" w:rsidRPr="005F6C37" w:rsidRDefault="00B22816" w:rsidP="00A409A7">
      <w:pPr>
        <w:tabs>
          <w:tab w:val="left" w:pos="3555"/>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HRM practices are sometimes referred to as the specific human resource processes, initiatives, and systems that are actually put into place in commercial firms or organizations (</w:t>
      </w:r>
      <w:proofErr w:type="spellStart"/>
      <w:r w:rsidRPr="005F6C37">
        <w:rPr>
          <w:rFonts w:ascii="Times New Roman" w:hAnsi="Times New Roman" w:cs="Times New Roman"/>
          <w:sz w:val="24"/>
          <w:szCs w:val="24"/>
        </w:rPr>
        <w:t>Gerhart</w:t>
      </w:r>
      <w:proofErr w:type="spellEnd"/>
      <w:r w:rsidRPr="005F6C37">
        <w:rPr>
          <w:rFonts w:ascii="Times New Roman" w:hAnsi="Times New Roman" w:cs="Times New Roman"/>
          <w:sz w:val="24"/>
          <w:szCs w:val="24"/>
        </w:rPr>
        <w:t xml:space="preserve">, 2000; </w:t>
      </w:r>
      <w:proofErr w:type="spellStart"/>
      <w:r w:rsidRPr="005F6C37">
        <w:rPr>
          <w:rFonts w:ascii="Times New Roman" w:hAnsi="Times New Roman" w:cs="Times New Roman"/>
          <w:sz w:val="24"/>
          <w:szCs w:val="24"/>
        </w:rPr>
        <w:t>Huselid</w:t>
      </w:r>
      <w:proofErr w:type="spellEnd"/>
      <w:r w:rsidRPr="005F6C37">
        <w:rPr>
          <w:rFonts w:ascii="Times New Roman" w:hAnsi="Times New Roman" w:cs="Times New Roman"/>
          <w:sz w:val="24"/>
          <w:szCs w:val="24"/>
        </w:rPr>
        <w:t xml:space="preserve"> &amp; Becker 2000). Similar to this, green HRM practices relate to specific green HRM procedures, programs, and systems that are actually used in businesses or organizations to reduce adverse environmental consequences and enhance beneficial environmental effects on the part of the companies. Enhancing the organization's performance in terms of sustainability and the environment is the ultimate goal of green HRM practices.</w:t>
      </w:r>
    </w:p>
    <w:p w:rsidR="002E671C" w:rsidRPr="005F6C37" w:rsidRDefault="00F261A2" w:rsidP="00A409A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C5934" w:rsidRPr="005F6C37">
        <w:rPr>
          <w:rFonts w:ascii="Times New Roman" w:hAnsi="Times New Roman" w:cs="Times New Roman"/>
          <w:b/>
          <w:sz w:val="24"/>
          <w:szCs w:val="24"/>
        </w:rPr>
        <w:t>.3     Green Human Resource Management (G-HRM) Practices</w:t>
      </w:r>
    </w:p>
    <w:p w:rsidR="00B22816" w:rsidRPr="005F6C37" w:rsidRDefault="00B22816"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Researchers Cohen and Taylor (2010), </w:t>
      </w:r>
      <w:proofErr w:type="spellStart"/>
      <w:r w:rsidRPr="005F6C37">
        <w:rPr>
          <w:rFonts w:ascii="Times New Roman" w:hAnsi="Times New Roman" w:cs="Times New Roman"/>
          <w:sz w:val="24"/>
          <w:szCs w:val="24"/>
        </w:rPr>
        <w:t>Ehner</w:t>
      </w:r>
      <w:proofErr w:type="spellEnd"/>
      <w:r w:rsidRPr="005F6C37">
        <w:rPr>
          <w:rFonts w:ascii="Times New Roman" w:hAnsi="Times New Roman" w:cs="Times New Roman"/>
          <w:sz w:val="24"/>
          <w:szCs w:val="24"/>
        </w:rPr>
        <w:t xml:space="preserve"> (2009), </w:t>
      </w:r>
      <w:proofErr w:type="spellStart"/>
      <w:r w:rsidRPr="005F6C37">
        <w:rPr>
          <w:rFonts w:ascii="Times New Roman" w:hAnsi="Times New Roman" w:cs="Times New Roman"/>
          <w:sz w:val="24"/>
          <w:szCs w:val="24"/>
        </w:rPr>
        <w:t>Behrend</w:t>
      </w:r>
      <w:proofErr w:type="spellEnd"/>
      <w:r w:rsidRPr="005F6C37">
        <w:rPr>
          <w:rFonts w:ascii="Times New Roman" w:hAnsi="Times New Roman" w:cs="Times New Roman"/>
          <w:sz w:val="24"/>
          <w:szCs w:val="24"/>
        </w:rPr>
        <w:t xml:space="preserve"> (2009), and Philips (2007) advocate the following Green HRM best practices:</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Encouraging employees, through training and compensation is to find ways to reduce the use of environmentally damaging chemicals in their products.</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lastRenderedPageBreak/>
        <w:t>Assisting employees in identifying ways to recycle products that can be used for playgrounds for children who don’t have access to healthy places to play.</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Designing a company’s HRM system is to reflect equity, development, and well­being, thus contributing to the long-term health and sustainability of both internal (employees) and external communities.</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Emphasizing long-term employment security is to avoid disruption for employees, their families, and communities.</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Use of job portals of companies for recruitment and custom of telephone, internet and video interviews which can lessen the travel requirements of the candidate and affecting the reduction in paperwork.</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Green rewards to employees can be provided by companies in the arrangement of the nature-friendly workplace and lifestyle benefits through providing carbon credit equalizers, free bicycles and pollution-free vehicles for transportation to the workplace to engage employees in green agenda.</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Encourage the employee to turn off lights; computers and printers after work hours and on weekends for further energy reductions.</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Inspire employees to place computers and printers in energy-saving settings when they will be away for a while.</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Arrange green-themed games to promote environmentally friendly behavior and staff togetherness.</w:t>
      </w:r>
    </w:p>
    <w:p w:rsidR="002E671C" w:rsidRPr="005F1F14" w:rsidRDefault="002C5934" w:rsidP="005F1F14">
      <w:pPr>
        <w:pStyle w:val="ListParagraph"/>
        <w:numPr>
          <w:ilvl w:val="1"/>
          <w:numId w:val="12"/>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Provide green promotion which includes loan discounts on fuel-efficient cars and energy-saving home improvements, discounts at local green merchants.</w:t>
      </w:r>
    </w:p>
    <w:p w:rsidR="002E671C" w:rsidRPr="005F6C37" w:rsidRDefault="00F261A2" w:rsidP="00A409A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C5934" w:rsidRPr="005F6C37">
        <w:rPr>
          <w:rFonts w:ascii="Times New Roman" w:hAnsi="Times New Roman" w:cs="Times New Roman"/>
          <w:b/>
          <w:sz w:val="24"/>
          <w:szCs w:val="24"/>
        </w:rPr>
        <w:t>.4     How to Implement Green Human Resource Management (G-HRM)</w:t>
      </w:r>
    </w:p>
    <w:p w:rsidR="002E671C" w:rsidRPr="005F6C37" w:rsidRDefault="002C5934" w:rsidP="00A409A7">
      <w:pPr>
        <w:spacing w:after="0" w:line="360" w:lineRule="auto"/>
        <w:jc w:val="both"/>
        <w:rPr>
          <w:rFonts w:ascii="Times New Roman" w:hAnsi="Times New Roman" w:cs="Times New Roman"/>
          <w:sz w:val="24"/>
          <w:szCs w:val="24"/>
        </w:rPr>
      </w:pPr>
      <w:proofErr w:type="spellStart"/>
      <w:r w:rsidRPr="005F6C37">
        <w:rPr>
          <w:rFonts w:ascii="Times New Roman" w:hAnsi="Times New Roman" w:cs="Times New Roman"/>
          <w:sz w:val="24"/>
          <w:szCs w:val="24"/>
        </w:rPr>
        <w:t>Jabbour</w:t>
      </w:r>
      <w:proofErr w:type="spellEnd"/>
      <w:r w:rsidRPr="005F6C37">
        <w:rPr>
          <w:rFonts w:ascii="Times New Roman" w:hAnsi="Times New Roman" w:cs="Times New Roman"/>
          <w:sz w:val="24"/>
          <w:szCs w:val="24"/>
        </w:rPr>
        <w:t xml:space="preserve"> and Santos (2008), consider HRM may contribute to environmental management in companies if they:</w:t>
      </w:r>
    </w:p>
    <w:p w:rsidR="002E671C" w:rsidRPr="005F1F14" w:rsidRDefault="002C5934" w:rsidP="005F1F14">
      <w:pPr>
        <w:pStyle w:val="ListParagraph"/>
        <w:numPr>
          <w:ilvl w:val="1"/>
          <w:numId w:val="11"/>
        </w:numPr>
        <w:spacing w:after="0" w:line="360" w:lineRule="auto"/>
        <w:ind w:left="540"/>
        <w:jc w:val="both"/>
        <w:rPr>
          <w:rFonts w:ascii="Times New Roman" w:hAnsi="Times New Roman" w:cs="Times New Roman"/>
          <w:sz w:val="24"/>
          <w:szCs w:val="24"/>
        </w:rPr>
      </w:pPr>
      <w:r w:rsidRPr="005F1F14">
        <w:rPr>
          <w:rFonts w:ascii="Times New Roman" w:hAnsi="Times New Roman" w:cs="Times New Roman"/>
          <w:sz w:val="24"/>
          <w:szCs w:val="24"/>
        </w:rPr>
        <w:t>Recruit and select people committed to the environment;</w:t>
      </w:r>
    </w:p>
    <w:p w:rsidR="002E671C" w:rsidRPr="005F1F14" w:rsidRDefault="002C5934" w:rsidP="005F1F14">
      <w:pPr>
        <w:pStyle w:val="ListParagraph"/>
        <w:numPr>
          <w:ilvl w:val="1"/>
          <w:numId w:val="11"/>
        </w:numPr>
        <w:spacing w:after="0" w:line="360" w:lineRule="auto"/>
        <w:ind w:left="540"/>
        <w:jc w:val="both"/>
        <w:rPr>
          <w:rFonts w:ascii="Times New Roman" w:hAnsi="Times New Roman" w:cs="Times New Roman"/>
          <w:sz w:val="24"/>
          <w:szCs w:val="24"/>
        </w:rPr>
      </w:pPr>
      <w:r w:rsidRPr="005F1F14">
        <w:rPr>
          <w:rFonts w:ascii="Times New Roman" w:hAnsi="Times New Roman" w:cs="Times New Roman"/>
          <w:sz w:val="24"/>
          <w:szCs w:val="24"/>
        </w:rPr>
        <w:t>Train and evaluate employees’ performance based on environmental criteria;</w:t>
      </w:r>
    </w:p>
    <w:p w:rsidR="002E671C" w:rsidRPr="005F1F14" w:rsidRDefault="002C5934" w:rsidP="005F1F14">
      <w:pPr>
        <w:pStyle w:val="ListParagraph"/>
        <w:numPr>
          <w:ilvl w:val="1"/>
          <w:numId w:val="11"/>
        </w:numPr>
        <w:spacing w:after="0" w:line="360" w:lineRule="auto"/>
        <w:ind w:left="540"/>
        <w:jc w:val="both"/>
        <w:rPr>
          <w:rFonts w:ascii="Times New Roman" w:hAnsi="Times New Roman" w:cs="Times New Roman"/>
          <w:sz w:val="24"/>
          <w:szCs w:val="24"/>
        </w:rPr>
      </w:pPr>
      <w:r w:rsidRPr="005F1F14">
        <w:rPr>
          <w:rFonts w:ascii="Times New Roman" w:hAnsi="Times New Roman" w:cs="Times New Roman"/>
          <w:sz w:val="24"/>
          <w:szCs w:val="24"/>
        </w:rPr>
        <w:lastRenderedPageBreak/>
        <w:t>Implement ways of rewarding individual and collective environmental performance is remunerated and non-remunerated ways;</w:t>
      </w:r>
    </w:p>
    <w:p w:rsidR="002E671C" w:rsidRPr="005F1F14" w:rsidRDefault="002C5934" w:rsidP="005F1F14">
      <w:pPr>
        <w:pStyle w:val="ListParagraph"/>
        <w:numPr>
          <w:ilvl w:val="1"/>
          <w:numId w:val="11"/>
        </w:numPr>
        <w:spacing w:after="0" w:line="360" w:lineRule="auto"/>
        <w:ind w:left="540"/>
        <w:jc w:val="both"/>
        <w:rPr>
          <w:rFonts w:ascii="Times New Roman" w:hAnsi="Times New Roman" w:cs="Times New Roman"/>
          <w:sz w:val="24"/>
          <w:szCs w:val="24"/>
        </w:rPr>
      </w:pPr>
      <w:r w:rsidRPr="005F1F14">
        <w:rPr>
          <w:rFonts w:ascii="Times New Roman" w:hAnsi="Times New Roman" w:cs="Times New Roman"/>
          <w:sz w:val="24"/>
          <w:szCs w:val="24"/>
        </w:rPr>
        <w:t>Stimulate continuous education in environmental management;</w:t>
      </w:r>
    </w:p>
    <w:p w:rsidR="002E671C" w:rsidRPr="005F1F14" w:rsidRDefault="002C5934" w:rsidP="005F1F14">
      <w:pPr>
        <w:pStyle w:val="ListParagraph"/>
        <w:numPr>
          <w:ilvl w:val="1"/>
          <w:numId w:val="11"/>
        </w:numPr>
        <w:spacing w:after="0" w:line="360" w:lineRule="auto"/>
        <w:ind w:left="540"/>
        <w:jc w:val="both"/>
        <w:rPr>
          <w:rFonts w:ascii="Times New Roman" w:hAnsi="Times New Roman" w:cs="Times New Roman"/>
          <w:sz w:val="24"/>
          <w:szCs w:val="24"/>
        </w:rPr>
      </w:pPr>
      <w:r w:rsidRPr="005F1F14">
        <w:rPr>
          <w:rFonts w:ascii="Times New Roman" w:hAnsi="Times New Roman" w:cs="Times New Roman"/>
          <w:sz w:val="24"/>
          <w:szCs w:val="24"/>
        </w:rPr>
        <w:t>Treat environmental aspects as values of corporate culture and</w:t>
      </w:r>
    </w:p>
    <w:p w:rsidR="002E671C" w:rsidRPr="005F1F14" w:rsidRDefault="002C5934" w:rsidP="005F1F14">
      <w:pPr>
        <w:pStyle w:val="ListParagraph"/>
        <w:numPr>
          <w:ilvl w:val="1"/>
          <w:numId w:val="11"/>
        </w:numPr>
        <w:spacing w:after="0" w:line="360" w:lineRule="auto"/>
        <w:ind w:left="540"/>
        <w:jc w:val="both"/>
        <w:rPr>
          <w:rFonts w:ascii="Times New Roman" w:hAnsi="Times New Roman" w:cs="Times New Roman"/>
          <w:sz w:val="24"/>
          <w:szCs w:val="24"/>
        </w:rPr>
      </w:pPr>
      <w:r w:rsidRPr="005F1F14">
        <w:rPr>
          <w:rFonts w:ascii="Times New Roman" w:hAnsi="Times New Roman" w:cs="Times New Roman"/>
          <w:sz w:val="24"/>
          <w:szCs w:val="24"/>
        </w:rPr>
        <w:t>Promote interaction between teams to deal with environmental problems and strive for continuous improvement of environmental management activities.</w:t>
      </w:r>
    </w:p>
    <w:p w:rsidR="00B63660" w:rsidRPr="005F6C37" w:rsidRDefault="00B22816"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Furthermore, organizational learning, environmental management program effectiveness, and environmental training and communication have all been emphasized by other scholars. According to Dutta, GHRM is directly accountable for developing a green workforce that comprehends, values, and adheres to green practices. During the HRM process of recruiting, hiring, training, compensating, developing, and promoting the company's human capital, a business can retain its green objectives. Implementing stringent hiring and selection procedures, performance-based pay systems, and training activities for green management are fundamental to promoting environmental advances.</w:t>
      </w:r>
      <w:r w:rsidR="00B63660" w:rsidRPr="005F6C37">
        <w:rPr>
          <w:rFonts w:ascii="Times New Roman" w:hAnsi="Times New Roman" w:cs="Times New Roman"/>
          <w:sz w:val="24"/>
          <w:szCs w:val="24"/>
        </w:rPr>
        <w:t xml:space="preserve"> </w:t>
      </w:r>
    </w:p>
    <w:p w:rsidR="00B63660" w:rsidRPr="005F6C37" w:rsidRDefault="00B63660" w:rsidP="00A409A7">
      <w:pPr>
        <w:tabs>
          <w:tab w:val="left" w:pos="3555"/>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Employers who care about the environment can leverage their green commitments to draw in talent that supports and helps them reach their environmental objectives.</w:t>
      </w:r>
    </w:p>
    <w:p w:rsidR="002E671C" w:rsidRPr="005F6C37" w:rsidRDefault="00F261A2" w:rsidP="00A409A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C5934" w:rsidRPr="005F6C37">
        <w:rPr>
          <w:rFonts w:ascii="Times New Roman" w:hAnsi="Times New Roman" w:cs="Times New Roman"/>
          <w:b/>
          <w:sz w:val="24"/>
          <w:szCs w:val="24"/>
        </w:rPr>
        <w:t>.5     Strategic Aspect of Green Human Resource Management (G-HRM)</w:t>
      </w:r>
    </w:p>
    <w:p w:rsidR="00B63660" w:rsidRPr="005F6C37" w:rsidRDefault="00B63660"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HR department is crucial in ensuring that the organization's environmental responsibility is reflected in its corporate mission statement. It is the duty of HR managers to educate young people and the workforce about Green HRM, the Green movement, and resource utilization in order to support the business effort to preserve the environment and preserve natural resources for future generations. A green job is one that directly contributes to reducing environmental damage and calls for specific knowledge, skills, training, or experience in these fields. Green jobs are those that fit this description.</w:t>
      </w:r>
    </w:p>
    <w:p w:rsidR="00B63660" w:rsidRPr="005F6C37" w:rsidRDefault="00B63660"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lastRenderedPageBreak/>
        <w:t xml:space="preserve">The following are five key areas where sustainability principles can be used to transform an organization into a fully sustainable enterprise, according to </w:t>
      </w:r>
      <w:proofErr w:type="spellStart"/>
      <w:r w:rsidRPr="005F6C37">
        <w:rPr>
          <w:rFonts w:ascii="Times New Roman" w:hAnsi="Times New Roman" w:cs="Times New Roman"/>
          <w:sz w:val="24"/>
          <w:szCs w:val="24"/>
        </w:rPr>
        <w:t>Zoogah</w:t>
      </w:r>
      <w:proofErr w:type="spellEnd"/>
      <w:r w:rsidRPr="005F6C37">
        <w:rPr>
          <w:rFonts w:ascii="Times New Roman" w:hAnsi="Times New Roman" w:cs="Times New Roman"/>
          <w:sz w:val="24"/>
          <w:szCs w:val="24"/>
        </w:rPr>
        <w:t xml:space="preserve"> (2010):</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a</w:t>
      </w:r>
      <w:r w:rsidRPr="005F6C37">
        <w:rPr>
          <w:rFonts w:ascii="Times New Roman" w:hAnsi="Times New Roman" w:cs="Times New Roman"/>
          <w:b/>
          <w:sz w:val="24"/>
          <w:szCs w:val="24"/>
        </w:rPr>
        <w:t>. “The Green products/services Portfolio”</w:t>
      </w:r>
      <w:r w:rsidRPr="005F6C37">
        <w:rPr>
          <w:rFonts w:ascii="Times New Roman" w:hAnsi="Times New Roman" w:cs="Times New Roman"/>
          <w:sz w:val="24"/>
          <w:szCs w:val="24"/>
        </w:rPr>
        <w:t xml:space="preserve"> including waste and pollution management, resource replacement, sustainable design, and adaptive reuse.</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b. </w:t>
      </w:r>
      <w:r w:rsidRPr="005F6C37">
        <w:rPr>
          <w:rFonts w:ascii="Times New Roman" w:hAnsi="Times New Roman" w:cs="Times New Roman"/>
          <w:b/>
          <w:sz w:val="24"/>
          <w:szCs w:val="24"/>
        </w:rPr>
        <w:t>“The Green Workforce”</w:t>
      </w:r>
      <w:r w:rsidRPr="005F6C37">
        <w:rPr>
          <w:rFonts w:ascii="Times New Roman" w:hAnsi="Times New Roman" w:cs="Times New Roman"/>
          <w:sz w:val="24"/>
          <w:szCs w:val="24"/>
        </w:rPr>
        <w:t xml:space="preserve"> including Human Resource strategies, culture, recruiting and retention, training, career path development, and diversity.</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c. </w:t>
      </w:r>
      <w:r w:rsidRPr="005F6C37">
        <w:rPr>
          <w:rFonts w:ascii="Times New Roman" w:hAnsi="Times New Roman" w:cs="Times New Roman"/>
          <w:b/>
          <w:sz w:val="24"/>
          <w:szCs w:val="24"/>
        </w:rPr>
        <w:t>“The Green Workplace”</w:t>
      </w:r>
      <w:r w:rsidRPr="005F6C37">
        <w:rPr>
          <w:rFonts w:ascii="Times New Roman" w:hAnsi="Times New Roman" w:cs="Times New Roman"/>
          <w:sz w:val="24"/>
          <w:szCs w:val="24"/>
        </w:rPr>
        <w:t xml:space="preserve"> including global locations, physical plants, ergonomics, virtual workplaces, green buildings, environmental discharge, waste and energy, use and source.</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d</w:t>
      </w:r>
      <w:r w:rsidRPr="005F6C37">
        <w:rPr>
          <w:rFonts w:ascii="Times New Roman" w:hAnsi="Times New Roman" w:cs="Times New Roman"/>
          <w:b/>
          <w:sz w:val="24"/>
          <w:szCs w:val="24"/>
        </w:rPr>
        <w:t>. “The Green Function/Process Model”</w:t>
      </w:r>
      <w:r w:rsidRPr="005F6C37">
        <w:rPr>
          <w:rFonts w:ascii="Times New Roman" w:hAnsi="Times New Roman" w:cs="Times New Roman"/>
          <w:sz w:val="24"/>
          <w:szCs w:val="24"/>
        </w:rPr>
        <w:t xml:space="preserve"> including sustainability applied to traditional functions, enterprise-wide green process modeling to incorporate green practices and sustainable-management.</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e</w:t>
      </w:r>
      <w:r w:rsidRPr="005F6C37">
        <w:rPr>
          <w:rFonts w:ascii="Times New Roman" w:hAnsi="Times New Roman" w:cs="Times New Roman"/>
          <w:b/>
          <w:sz w:val="24"/>
          <w:szCs w:val="24"/>
        </w:rPr>
        <w:t>. “The Green Management and Governance Principles”</w:t>
      </w:r>
      <w:r w:rsidRPr="005F6C37">
        <w:rPr>
          <w:rFonts w:ascii="Times New Roman" w:hAnsi="Times New Roman" w:cs="Times New Roman"/>
          <w:sz w:val="24"/>
          <w:szCs w:val="24"/>
        </w:rPr>
        <w:t xml:space="preserve"> including board and management accountability, sustainability test, compliance, incentives, ethics, reporting, and assurance.</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Green HR polices emphasis on group and individual capabilities to convey green behavior. The goal or objective of such policies is to create an environmental corporate culture. The focus of Green HRM concentrates on employee’s environmental behavior in the working place which in turn employees can practice such kind of behavior in their private life.</w:t>
      </w:r>
    </w:p>
    <w:p w:rsidR="002E671C" w:rsidRPr="005F6C37" w:rsidRDefault="00F261A2" w:rsidP="00A409A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C5934" w:rsidRPr="005F6C37">
        <w:rPr>
          <w:rFonts w:ascii="Times New Roman" w:hAnsi="Times New Roman" w:cs="Times New Roman"/>
          <w:b/>
          <w:sz w:val="24"/>
          <w:szCs w:val="24"/>
        </w:rPr>
        <w:t xml:space="preserve">.6  </w:t>
      </w:r>
      <w:r w:rsidR="00B63660" w:rsidRPr="005F6C37">
        <w:rPr>
          <w:rFonts w:ascii="Times New Roman" w:hAnsi="Times New Roman" w:cs="Times New Roman"/>
          <w:b/>
          <w:sz w:val="24"/>
          <w:szCs w:val="24"/>
        </w:rPr>
        <w:t xml:space="preserve">  Benefits accrues to</w:t>
      </w:r>
      <w:r w:rsidR="002C5934" w:rsidRPr="005F6C37">
        <w:rPr>
          <w:rFonts w:ascii="Times New Roman" w:hAnsi="Times New Roman" w:cs="Times New Roman"/>
          <w:b/>
          <w:sz w:val="24"/>
          <w:szCs w:val="24"/>
        </w:rPr>
        <w:t xml:space="preserve"> Green Human Resource Management (G-HRM)</w:t>
      </w:r>
    </w:p>
    <w:p w:rsidR="00B63660" w:rsidRPr="005F6C37" w:rsidRDefault="00B63660"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Green HRM entails implementing eco-friendly HR initiatives that increase productivity, decrease costs, and improve employee engagement and retention. These initiatives include electronic filing, car and job sharing, teleconferencing and virtual interviews, recycling, telecommuting, online hiring and training, energy-efficient office design, and others.</w:t>
      </w:r>
    </w:p>
    <w:p w:rsidR="00B63660" w:rsidRPr="005F6C37" w:rsidRDefault="00B63660"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lastRenderedPageBreak/>
        <w:t>The industry relies heavily on green human resource management to advance environmental concerns. Organizations must create HR policies and procedures, educate employees about the environment, and put environmental protection regulations into effect.</w:t>
      </w:r>
    </w:p>
    <w:p w:rsidR="00B63660" w:rsidRPr="005F6C37" w:rsidRDefault="00B63660"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Employers and manufacturers may benefit from the Green HRM when establishing their reputations and brand images. Organizations must carry out an environmental audit in order to alter their organizational culture, think differently about waste disposal and pollution, and assist the society and the individuals who are most negatively impacted by pollution. Additionally, it will promote environmentally friendly products and make workers and society members more conscious of the need to use natural resources sparingly.</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Experts have identified the benefits/advantages of G-HRM, which are mentioned below:</w:t>
      </w:r>
    </w:p>
    <w:p w:rsidR="00B63660" w:rsidRPr="005F1F14" w:rsidRDefault="00B63660" w:rsidP="005F1F14">
      <w:pPr>
        <w:pStyle w:val="ListParagraph"/>
        <w:numPr>
          <w:ilvl w:val="0"/>
          <w:numId w:val="14"/>
        </w:numPr>
        <w:spacing w:after="0" w:line="360" w:lineRule="auto"/>
        <w:ind w:left="360"/>
        <w:jc w:val="both"/>
        <w:rPr>
          <w:rFonts w:ascii="Times New Roman" w:hAnsi="Times New Roman" w:cs="Times New Roman"/>
          <w:sz w:val="24"/>
          <w:szCs w:val="24"/>
        </w:rPr>
      </w:pPr>
      <w:proofErr w:type="gramStart"/>
      <w:r w:rsidRPr="005F1F14">
        <w:rPr>
          <w:rFonts w:ascii="Times New Roman" w:hAnsi="Times New Roman" w:cs="Times New Roman"/>
          <w:sz w:val="24"/>
          <w:szCs w:val="24"/>
        </w:rPr>
        <w:t>assisting</w:t>
      </w:r>
      <w:proofErr w:type="gramEnd"/>
      <w:r w:rsidRPr="005F1F14">
        <w:rPr>
          <w:rFonts w:ascii="Times New Roman" w:hAnsi="Times New Roman" w:cs="Times New Roman"/>
          <w:sz w:val="24"/>
          <w:szCs w:val="24"/>
        </w:rPr>
        <w:t xml:space="preserve"> businesses in cutting costs without sacrificing talent.</w:t>
      </w:r>
    </w:p>
    <w:p w:rsidR="00B63660" w:rsidRPr="005F1F14" w:rsidRDefault="00B63660" w:rsidP="005F1F14">
      <w:pPr>
        <w:pStyle w:val="ListParagraph"/>
        <w:numPr>
          <w:ilvl w:val="0"/>
          <w:numId w:val="14"/>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By going green and creating a fresh, welcoming environment, businesses have immense development potential and can make significant operational savings by lowering their carbon footprint.</w:t>
      </w:r>
    </w:p>
    <w:p w:rsidR="00B63660" w:rsidRPr="005F1F14" w:rsidRDefault="00B63660" w:rsidP="005F1F14">
      <w:pPr>
        <w:pStyle w:val="ListParagraph"/>
        <w:numPr>
          <w:ilvl w:val="0"/>
          <w:numId w:val="14"/>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It facilitates a rise in staff dedication and job satisfaction, which boosts output and sustainability.</w:t>
      </w:r>
    </w:p>
    <w:p w:rsidR="00B63660" w:rsidRPr="005F1F14" w:rsidRDefault="00B63660" w:rsidP="005F1F14">
      <w:pPr>
        <w:pStyle w:val="ListParagraph"/>
        <w:numPr>
          <w:ilvl w:val="0"/>
          <w:numId w:val="14"/>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Foster a culture of caring about the safety and health of coworkers.</w:t>
      </w:r>
    </w:p>
    <w:p w:rsidR="002E671C" w:rsidRPr="005F1F14" w:rsidRDefault="00B63660" w:rsidP="005F1F14">
      <w:pPr>
        <w:pStyle w:val="ListParagraph"/>
        <w:numPr>
          <w:ilvl w:val="0"/>
          <w:numId w:val="14"/>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An increase in the employee retention rate.</w:t>
      </w:r>
    </w:p>
    <w:p w:rsidR="005F1F14" w:rsidRDefault="002C5934" w:rsidP="00A409A7">
      <w:pPr>
        <w:pStyle w:val="ListParagraph"/>
        <w:numPr>
          <w:ilvl w:val="0"/>
          <w:numId w:val="14"/>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Improved public image. Any time a firm adds a green initiative to its workplace, it can use the event to generate positive public relations. Organizations can promote environmental contributions to the media through press releases to earn the attention of potential customers and possible new sales.</w:t>
      </w:r>
    </w:p>
    <w:p w:rsidR="005F1F14" w:rsidRDefault="002C5934" w:rsidP="00A409A7">
      <w:pPr>
        <w:pStyle w:val="ListParagraph"/>
        <w:numPr>
          <w:ilvl w:val="0"/>
          <w:numId w:val="14"/>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lastRenderedPageBreak/>
        <w:t>Rebates and Tax Benefits. Going green is easier with the assistance of governments, local municipalities, Water supply authority, and electric companies that offer tax incentives and rebates.</w:t>
      </w:r>
    </w:p>
    <w:p w:rsidR="005F1F14" w:rsidRDefault="005F1F14" w:rsidP="00A409A7">
      <w:pPr>
        <w:pStyle w:val="ListParagraph"/>
        <w:numPr>
          <w:ilvl w:val="0"/>
          <w:numId w:val="14"/>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 xml:space="preserve">Increased </w:t>
      </w:r>
      <w:r w:rsidR="00B63660" w:rsidRPr="005F1F14">
        <w:rPr>
          <w:rFonts w:ascii="Times New Roman" w:hAnsi="Times New Roman" w:cs="Times New Roman"/>
          <w:sz w:val="24"/>
          <w:szCs w:val="24"/>
        </w:rPr>
        <w:t xml:space="preserve">commercial opportunities </w:t>
      </w:r>
      <w:proofErr w:type="gramStart"/>
      <w:r w:rsidR="00B63660" w:rsidRPr="005F1F14">
        <w:rPr>
          <w:rFonts w:ascii="Times New Roman" w:hAnsi="Times New Roman" w:cs="Times New Roman"/>
          <w:sz w:val="24"/>
          <w:szCs w:val="24"/>
        </w:rPr>
        <w:t>Only</w:t>
      </w:r>
      <w:proofErr w:type="gramEnd"/>
      <w:r w:rsidR="00B63660" w:rsidRPr="005F1F14">
        <w:rPr>
          <w:rFonts w:ascii="Times New Roman" w:hAnsi="Times New Roman" w:cs="Times New Roman"/>
          <w:sz w:val="24"/>
          <w:szCs w:val="24"/>
        </w:rPr>
        <w:t xml:space="preserve"> firms that satisfy certain green requirements are allowed to submit bids for contracts with some government organizations, commercial enterprises, and nonprofit organizations. Others require that only green products be purchased by their purchasing departments or that they only use goods and services from suppliers who adhere to specific environmental criteria.</w:t>
      </w:r>
    </w:p>
    <w:p w:rsidR="002E671C" w:rsidRDefault="00B63660" w:rsidP="00A409A7">
      <w:pPr>
        <w:pStyle w:val="ListParagraph"/>
        <w:numPr>
          <w:ilvl w:val="0"/>
          <w:numId w:val="14"/>
        </w:numPr>
        <w:spacing w:after="0" w:line="360" w:lineRule="auto"/>
        <w:ind w:left="360"/>
        <w:jc w:val="both"/>
        <w:rPr>
          <w:rFonts w:ascii="Times New Roman" w:hAnsi="Times New Roman" w:cs="Times New Roman"/>
          <w:sz w:val="24"/>
          <w:szCs w:val="24"/>
        </w:rPr>
      </w:pPr>
      <w:r w:rsidRPr="005F1F14">
        <w:rPr>
          <w:rFonts w:ascii="Times New Roman" w:hAnsi="Times New Roman" w:cs="Times New Roman"/>
          <w:sz w:val="24"/>
          <w:szCs w:val="24"/>
        </w:rPr>
        <w:t xml:space="preserve">Lessening of environmental harm. </w:t>
      </w:r>
      <w:r w:rsidR="005F1F14" w:rsidRPr="005F1F14">
        <w:rPr>
          <w:rFonts w:ascii="Times New Roman" w:hAnsi="Times New Roman" w:cs="Times New Roman"/>
          <w:sz w:val="24"/>
          <w:szCs w:val="24"/>
        </w:rPr>
        <w:t>Encouraging</w:t>
      </w:r>
      <w:r w:rsidRPr="005F1F14">
        <w:rPr>
          <w:rFonts w:ascii="Times New Roman" w:hAnsi="Times New Roman" w:cs="Times New Roman"/>
          <w:sz w:val="24"/>
          <w:szCs w:val="24"/>
        </w:rPr>
        <w:t xml:space="preserve"> workers to develop ways to use less resources that are harmful to the environment through training and compensation.</w:t>
      </w:r>
      <w:r w:rsidR="005F1F14">
        <w:rPr>
          <w:rFonts w:ascii="Times New Roman" w:hAnsi="Times New Roman" w:cs="Times New Roman"/>
          <w:sz w:val="24"/>
          <w:szCs w:val="24"/>
        </w:rPr>
        <w:t xml:space="preserve"> </w:t>
      </w:r>
      <w:r w:rsidR="002C5934" w:rsidRPr="005F1F14">
        <w:rPr>
          <w:rFonts w:ascii="Times New Roman" w:hAnsi="Times New Roman" w:cs="Times New Roman"/>
          <w:sz w:val="24"/>
          <w:szCs w:val="24"/>
        </w:rPr>
        <w:t>Today, most educated and affluent consumers look for companies that adopt environmental standards. Organizations pursuing environment-friendly human resource policies are also immensely benefitted. This may help in arriving at greener products and green savings from waste elimination. The promotion of such values may also indirectly improve consumer satisfaction.</w:t>
      </w:r>
    </w:p>
    <w:p w:rsidR="002E671C" w:rsidRPr="005F6C37" w:rsidRDefault="002C5934" w:rsidP="00A409A7">
      <w:pPr>
        <w:tabs>
          <w:tab w:val="left" w:pos="3555"/>
        </w:tabs>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2</w:t>
      </w:r>
      <w:r w:rsidR="00F261A2">
        <w:rPr>
          <w:rFonts w:ascii="Times New Roman" w:hAnsi="Times New Roman" w:cs="Times New Roman"/>
          <w:b/>
          <w:sz w:val="24"/>
          <w:szCs w:val="24"/>
        </w:rPr>
        <w:t>.1</w:t>
      </w:r>
      <w:r w:rsidR="00B63660" w:rsidRPr="005F6C37">
        <w:rPr>
          <w:rFonts w:ascii="Times New Roman" w:hAnsi="Times New Roman" w:cs="Times New Roman"/>
          <w:b/>
          <w:sz w:val="24"/>
          <w:szCs w:val="24"/>
        </w:rPr>
        <w:t xml:space="preserve">.7     </w:t>
      </w:r>
      <w:r w:rsidR="005F1F14" w:rsidRPr="005F6C37">
        <w:rPr>
          <w:rFonts w:ascii="Times New Roman" w:hAnsi="Times New Roman" w:cs="Times New Roman"/>
          <w:b/>
          <w:sz w:val="24"/>
          <w:szCs w:val="24"/>
        </w:rPr>
        <w:t>Dysfunctional of</w:t>
      </w:r>
      <w:r w:rsidRPr="005F6C37">
        <w:rPr>
          <w:rFonts w:ascii="Times New Roman" w:hAnsi="Times New Roman" w:cs="Times New Roman"/>
          <w:b/>
          <w:sz w:val="24"/>
          <w:szCs w:val="24"/>
        </w:rPr>
        <w:t xml:space="preserve"> Green Human Resource Management (G-HRM)</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While environmentally friendly living is a positive ideal, there are several possible disadvantages of going green. Gregory Hamel has made a review of the disadvantages if an organization is going green. The major disadvantages are listed below;</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Initial costs</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Perhaps the greatest disadvantage of going green is that it often requires a large initial cost.</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For example, installing a new roof or new insulation to keep heat from escaping our home would be considered a green home improvement, but it would cost a large sum of money to get the work done.</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lastRenderedPageBreak/>
        <w:t>Inadequate savings</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aim of going green in many cases, such as building an energy-efficient home or purchasing a hybrid vehicle is to reduce environmental impact while saving money in the long term.</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Green buildings and vehicles tend to use less energy, so initial costs can often be recouped over time through energy savings. The problem is that the savings generated by going green are often less than expected; they do not make up for the initial cost quickly enough to make them economically viable.</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t>Increased capital outlays</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Some green conversions require an initial cash outlay that decreases the firm’s bottom-line performance while the investment is paying for itself. This can decrease the earnings or annual profits of a firm.</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Uneven competition</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sz w:val="24"/>
          <w:szCs w:val="24"/>
        </w:rPr>
        <w:t>In the business world, going green can be an attractive goal to gain goodwill and consumer support, but unless green improvements are economically viable, it can put a business at a competitive disadvantage.</w:t>
      </w:r>
      <w:r w:rsidRPr="005F6C37">
        <w:rPr>
          <w:rFonts w:ascii="Times New Roman" w:hAnsi="Times New Roman" w:cs="Times New Roman"/>
          <w:b/>
          <w:sz w:val="24"/>
          <w:szCs w:val="24"/>
        </w:rPr>
        <w:t xml:space="preserve"> </w:t>
      </w:r>
      <w:r w:rsidRPr="005F6C37">
        <w:rPr>
          <w:rFonts w:ascii="Times New Roman" w:hAnsi="Times New Roman" w:cs="Times New Roman"/>
          <w:sz w:val="24"/>
          <w:szCs w:val="24"/>
        </w:rPr>
        <w:t>For instance, if one company decides to adhere to strict, self-imposed pollution standards which require the installation of new technology and workers, while another sets loose standards, the second company will be at an advantage since they will have lower production costs.</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Marginal impact</w:t>
      </w:r>
    </w:p>
    <w:p w:rsidR="002E671C"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While going green is focused on reducing harm to the environment, the impact that any specific individual can have on the environment by going green is often negligible. The theory is that if everyone were to go green, it would have a significant and noticeable impact, but not everyone can be convinced to go green and many believe that doing so has no real impact outside of the economics. This makes going green a personal choice for many.</w:t>
      </w:r>
    </w:p>
    <w:p w:rsidR="00883E8E" w:rsidRDefault="00883E8E" w:rsidP="00A409A7">
      <w:pPr>
        <w:spacing w:after="0" w:line="360" w:lineRule="auto"/>
        <w:jc w:val="both"/>
        <w:rPr>
          <w:rFonts w:ascii="Times New Roman" w:hAnsi="Times New Roman" w:cs="Times New Roman"/>
          <w:sz w:val="24"/>
          <w:szCs w:val="24"/>
        </w:rPr>
      </w:pP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lastRenderedPageBreak/>
        <w:t>Employee apathy and reluctance</w:t>
      </w:r>
    </w:p>
    <w:p w:rsidR="002E671C"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Many employees feel that it is not their responsibility to protect the environment while they are at work but the newly educated workforce is emphasizing on environmental management consciousness when they choose them.</w:t>
      </w:r>
    </w:p>
    <w:p w:rsidR="002E671C" w:rsidRPr="005F6C37" w:rsidRDefault="002C5934" w:rsidP="00A409A7">
      <w:pPr>
        <w:tabs>
          <w:tab w:val="left" w:pos="3555"/>
        </w:tabs>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2</w:t>
      </w:r>
      <w:r w:rsidR="00F261A2">
        <w:rPr>
          <w:rFonts w:ascii="Times New Roman" w:hAnsi="Times New Roman" w:cs="Times New Roman"/>
          <w:b/>
          <w:sz w:val="24"/>
          <w:szCs w:val="24"/>
        </w:rPr>
        <w:t>.1.8</w:t>
      </w:r>
      <w:r w:rsidRPr="005F6C37">
        <w:rPr>
          <w:rFonts w:ascii="Times New Roman" w:hAnsi="Times New Roman" w:cs="Times New Roman"/>
          <w:b/>
          <w:sz w:val="24"/>
          <w:szCs w:val="24"/>
        </w:rPr>
        <w:t xml:space="preserve">     Concept of Organizational Effectiveness</w:t>
      </w:r>
    </w:p>
    <w:p w:rsidR="006356DD" w:rsidRPr="005F6C37" w:rsidRDefault="006356DD" w:rsidP="00A409A7">
      <w:pPr>
        <w:pStyle w:val="Default"/>
        <w:spacing w:line="360" w:lineRule="auto"/>
        <w:jc w:val="both"/>
        <w:rPr>
          <w:color w:val="auto"/>
        </w:rPr>
      </w:pPr>
      <w:r w:rsidRPr="005F6C37">
        <w:rPr>
          <w:color w:val="auto"/>
        </w:rPr>
        <w:t>The degree to which an organization accomplishes its intended goals using the available resources and tools without putting an unnecessary burden on its members is referred to as organizational effectiveness.</w:t>
      </w:r>
    </w:p>
    <w:p w:rsidR="00F07985" w:rsidRPr="005F6C37" w:rsidRDefault="00F07985"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color w:val="000000"/>
          <w:sz w:val="24"/>
          <w:szCs w:val="24"/>
        </w:rPr>
        <w:t xml:space="preserve">The idea of organizational effectiveness refers to how well a company performs in producing the results it sets out achieve. The ability of a group or firm to achieve its goals is known as organizational effectiveness. </w:t>
      </w:r>
      <w:r w:rsidR="002C5934" w:rsidRPr="005F6C37">
        <w:rPr>
          <w:rFonts w:ascii="Times New Roman" w:hAnsi="Times New Roman" w:cs="Times New Roman"/>
          <w:sz w:val="24"/>
          <w:szCs w:val="24"/>
        </w:rPr>
        <w:t xml:space="preserve">Sometimes efficiency and effectiveness are used as synonyms. </w:t>
      </w:r>
      <w:r w:rsidRPr="005F6C37">
        <w:rPr>
          <w:rFonts w:ascii="Times New Roman" w:hAnsi="Times New Roman" w:cs="Times New Roman"/>
          <w:sz w:val="24"/>
          <w:szCs w:val="24"/>
        </w:rPr>
        <w:t>There is, however, a distinction between the two ideas. To understand why organizations may be effective but not efficient or efficient but not effective, it is crucial to clarify the differences between the ideas of effectiveness and efficiency. Effectiveness is a broad notion that considers a variety of internal and external aspects. It is frequently referred to as the extent to which set goals are fulfilled. On the other hand, efficiency is a constrained concept that only applies to an organization's internal operations; it describes the quantity of resources utilized to produce a specific unit of output. The ratio of inputs to outputs is the most common way to measure it. Additionally, efficiency focuses more on the technology aspect of an organization, whereas effectiveness focuses more on the human side of organizational ideals and activities.</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t>Approaches to Organizational Effectiveness</w:t>
      </w:r>
    </w:p>
    <w:p w:rsidR="00F07985" w:rsidRDefault="00F07985"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However, there are various ways to conceptualize organizational performance, therefore it is not a straightforward idea. These methods can be divided into the following three categories:</w:t>
      </w:r>
    </w:p>
    <w:p w:rsidR="00883E8E" w:rsidRDefault="00883E8E" w:rsidP="00A409A7">
      <w:pPr>
        <w:spacing w:after="0" w:line="360" w:lineRule="auto"/>
        <w:jc w:val="both"/>
        <w:rPr>
          <w:rFonts w:ascii="Times New Roman" w:hAnsi="Times New Roman" w:cs="Times New Roman"/>
          <w:sz w:val="24"/>
          <w:szCs w:val="24"/>
        </w:rPr>
      </w:pP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lastRenderedPageBreak/>
        <w:t>Goal Approach</w:t>
      </w:r>
    </w:p>
    <w:p w:rsidR="00F07985" w:rsidRPr="005F6C37" w:rsidRDefault="00F07985"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most used metric for measuring organizational success is goal achievement. In a goal-oriented approach, effectiveness refers to maximizing profits through the delivery of an effective service that boosts employee morale and productivity. The efficacy of an organization is measured by a number of factors, including quality, productivity, efficiency, profit, turnover, accidents, morale, motivation, and satisfaction. None of the single variables, however, has proven to be completely effective. The fundamental drawback of this strategy is that it concentrates on establishing ideal goals rather than practical ones.</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Functional Approach</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This approach solves the problem of identification of organizational goals. Parson states that since it has been assumed that an organization is identified in terms of its goal, focus towards attainment of these goals should also aim at serving the society. Thus, the vital question in determining effectiveness is how well an organization is doing for the super-ordinate system.</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limitation of this approach is that when organizations have autonomy to follow its independent courses of action, it is difficult to accept that ultimate goal of organization will be to serve society. As such, it cannot be applied for measuring organizational effectiveness in terms of its contributions to social system. Both the goal and functional approach do not give adequate consideration to the conceptual problem of the relations between the organization and its environment.</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System Resource Approach</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System-resource approach of organizational effectiveness emphasizes on inter-dependency of processes that relate the organization to its environment. The interdependence takes the form of input-output transactions and includes scarce and valued resources such as physical, economic and human for which every organization competes. The limitation of this model is that an acquisition of </w:t>
      </w:r>
      <w:r w:rsidRPr="005F6C37">
        <w:rPr>
          <w:rFonts w:ascii="Times New Roman" w:hAnsi="Times New Roman" w:cs="Times New Roman"/>
          <w:sz w:val="24"/>
          <w:szCs w:val="24"/>
        </w:rPr>
        <w:lastRenderedPageBreak/>
        <w:t>resources from environment is again related to the goal of an organization. Therefore, this model is not different from the goal model.</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Thus, discussion of organizational effectiveness leads to the conclusion that there is no single indicator of effectiveness. Instead, the approach should focus on operative goals that would serve as a basis for assessment of effectiveness. Managerial effectiveness is a causal variable in organizational effectiveness. It has been defined in terms of organizational goal-achieving behavior, i.e., the manager’s own behavior contributes to achievement of organizational goals.</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Factors Affecting Organizational Effectiveness</w:t>
      </w:r>
    </w:p>
    <w:p w:rsidR="002E671C" w:rsidRPr="005F6C37" w:rsidRDefault="002C5934" w:rsidP="00A409A7">
      <w:pPr>
        <w:spacing w:after="0" w:line="360" w:lineRule="auto"/>
        <w:jc w:val="both"/>
        <w:rPr>
          <w:rFonts w:ascii="Times New Roman" w:hAnsi="Times New Roman" w:cs="Times New Roman"/>
          <w:sz w:val="24"/>
          <w:szCs w:val="24"/>
        </w:rPr>
      </w:pPr>
      <w:proofErr w:type="spellStart"/>
      <w:r w:rsidRPr="005F6C37">
        <w:rPr>
          <w:rFonts w:ascii="Times New Roman" w:hAnsi="Times New Roman" w:cs="Times New Roman"/>
          <w:sz w:val="24"/>
          <w:szCs w:val="24"/>
        </w:rPr>
        <w:t>Likert</w:t>
      </w:r>
      <w:proofErr w:type="spellEnd"/>
      <w:r w:rsidRPr="005F6C37">
        <w:rPr>
          <w:rFonts w:ascii="Times New Roman" w:hAnsi="Times New Roman" w:cs="Times New Roman"/>
          <w:sz w:val="24"/>
          <w:szCs w:val="24"/>
        </w:rPr>
        <w:t xml:space="preserve"> has classified the factors affecting organizational effectiveness into following three variables:</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t>Causal Variables:</w:t>
      </w:r>
      <w:r w:rsidRPr="005F6C37">
        <w:rPr>
          <w:rFonts w:ascii="Times New Roman" w:hAnsi="Times New Roman" w:cs="Times New Roman"/>
          <w:sz w:val="24"/>
          <w:szCs w:val="24"/>
        </w:rPr>
        <w:t xml:space="preserve"> Causal variables are those independent variables that determine the course of developments within an organization and the objectives achieved by an organization. These causal variables include only those independent variables, which can be altered by organization and its management. Causal variables include organization and management’s policies, decisions, business and leadership strategies, skills and behavior.</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t xml:space="preserve"> Intervening Variables:</w:t>
      </w:r>
      <w:r w:rsidRPr="005F6C37">
        <w:rPr>
          <w:rFonts w:ascii="Times New Roman" w:hAnsi="Times New Roman" w:cs="Times New Roman"/>
          <w:sz w:val="24"/>
          <w:szCs w:val="24"/>
        </w:rPr>
        <w:t xml:space="preserve"> Intervening variables according to </w:t>
      </w:r>
      <w:proofErr w:type="spellStart"/>
      <w:r w:rsidRPr="005F6C37">
        <w:rPr>
          <w:rFonts w:ascii="Times New Roman" w:hAnsi="Times New Roman" w:cs="Times New Roman"/>
          <w:sz w:val="24"/>
          <w:szCs w:val="24"/>
        </w:rPr>
        <w:t>Likert</w:t>
      </w:r>
      <w:proofErr w:type="spellEnd"/>
      <w:r w:rsidRPr="005F6C37">
        <w:rPr>
          <w:rFonts w:ascii="Times New Roman" w:hAnsi="Times New Roman" w:cs="Times New Roman"/>
          <w:sz w:val="24"/>
          <w:szCs w:val="24"/>
        </w:rPr>
        <w:t xml:space="preserve"> are those variables that reflect the internal state and health of an organization. For example, loyalties, attitudes, motivations, performance goals and perceptions of all the members and their collective capacity for effective interaction, communication and decision-making.</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t>End-Result Variables:</w:t>
      </w:r>
      <w:r w:rsidRPr="005F6C37">
        <w:rPr>
          <w:rFonts w:ascii="Times New Roman" w:hAnsi="Times New Roman" w:cs="Times New Roman"/>
          <w:sz w:val="24"/>
          <w:szCs w:val="24"/>
        </w:rPr>
        <w:t xml:space="preserve"> End-Result variables are the dependent variables that reflect achievements of an organization such as its productivity, costs, loss and earnings.</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Inter-Relationship of Variables</w:t>
      </w:r>
    </w:p>
    <w:p w:rsidR="00F07985"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The three variables such as causal, intervening and end-result are interrelated. The inter-relationship may be visualized as psychological process where stimuli </w:t>
      </w:r>
      <w:r w:rsidRPr="005F6C37">
        <w:rPr>
          <w:rFonts w:ascii="Times New Roman" w:hAnsi="Times New Roman" w:cs="Times New Roman"/>
          <w:sz w:val="24"/>
          <w:szCs w:val="24"/>
        </w:rPr>
        <w:lastRenderedPageBreak/>
        <w:t>or causal variables acting upon the organism or intervening variables and creating certain responses or end-result variables. The causal, intervening and end-result variables comprise a complex network with many interdependent relationships. The causal variables are the key to organizational effectiveness. Hence, to make organization effective, attempt should be made to improve the causal variables, while other variables will be corrected or improved automatically because of causal variables.</w:t>
      </w:r>
    </w:p>
    <w:p w:rsidR="00FB14DF" w:rsidRPr="005F6C37" w:rsidRDefault="00F261A2" w:rsidP="00A409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2C5934" w:rsidRPr="005F6C37">
        <w:rPr>
          <w:rFonts w:ascii="Times New Roman" w:hAnsi="Times New Roman" w:cs="Times New Roman"/>
          <w:b/>
          <w:sz w:val="24"/>
          <w:szCs w:val="24"/>
        </w:rPr>
        <w:tab/>
        <w:t>Theoretical Review</w:t>
      </w:r>
    </w:p>
    <w:p w:rsidR="00EE6BB2" w:rsidRPr="005F6C37" w:rsidRDefault="00F07985" w:rsidP="00A409A7">
      <w:p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t>The explored themes of green HRM are influenced by a number of theories that have arisen in the organizational management and human relations fields (meaning of green HRM, process model of green HRM, outcomes of green HRM, and stakeholder and performance of green HRM). They are ability-motivation-opportunity (AMO) theory, resource-based theory, stakeholder theory, system theory, and process theory. The researchers believe that by examining the key themes (concepts) associated with green HRM in the context of current as well as chosen (relevant) theories, more awareness and comprehension will be added to the field of green HRM.</w:t>
      </w:r>
    </w:p>
    <w:p w:rsidR="002E671C" w:rsidRPr="005F6C37" w:rsidRDefault="002C5934" w:rsidP="00A409A7">
      <w:p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t>This section of this paper investigates and reviews theories which are underpinning the concept of green HRM related phenomena such as meaning of green HRM, Process Model of green HRM, Outcomes of green HRM, and Stakeholders and Performance of green HRM. For this purpose, this review process has selected highly relevant and applicable organizational theories such as system theory (open system model) (</w:t>
      </w:r>
      <w:proofErr w:type="spellStart"/>
      <w:r w:rsidRPr="005F6C37">
        <w:rPr>
          <w:rFonts w:ascii="Times New Roman" w:hAnsi="Times New Roman" w:cs="Times New Roman"/>
          <w:bCs/>
          <w:sz w:val="24"/>
          <w:szCs w:val="24"/>
        </w:rPr>
        <w:t>Bertalanffy</w:t>
      </w:r>
      <w:proofErr w:type="spellEnd"/>
      <w:r w:rsidRPr="005F6C37">
        <w:rPr>
          <w:rFonts w:ascii="Times New Roman" w:hAnsi="Times New Roman" w:cs="Times New Roman"/>
          <w:bCs/>
          <w:sz w:val="24"/>
          <w:szCs w:val="24"/>
        </w:rPr>
        <w:t>, 1950), institutional theory (DiMaggio &amp; Powell, 1983; Scott, 1987 ), stakeholder theory (Freeman, 1984), resource based theory (</w:t>
      </w:r>
      <w:proofErr w:type="spellStart"/>
      <w:r w:rsidRPr="005F6C37">
        <w:rPr>
          <w:rFonts w:ascii="Times New Roman" w:hAnsi="Times New Roman" w:cs="Times New Roman"/>
          <w:bCs/>
          <w:sz w:val="24"/>
          <w:szCs w:val="24"/>
        </w:rPr>
        <w:t>Wernerfelt</w:t>
      </w:r>
      <w:proofErr w:type="spellEnd"/>
      <w:r w:rsidRPr="005F6C37">
        <w:rPr>
          <w:rFonts w:ascii="Times New Roman" w:hAnsi="Times New Roman" w:cs="Times New Roman"/>
          <w:bCs/>
          <w:sz w:val="24"/>
          <w:szCs w:val="24"/>
        </w:rPr>
        <w:t>, 1984; Barney, 1991), process theory (Whitehead, 1933; Russell, 1961; Mohr, 1982) and ability-motivation-opportunity (AMO) theory (</w:t>
      </w:r>
      <w:proofErr w:type="spellStart"/>
      <w:r w:rsidRPr="005F6C37">
        <w:rPr>
          <w:rFonts w:ascii="Times New Roman" w:hAnsi="Times New Roman" w:cs="Times New Roman"/>
          <w:bCs/>
          <w:sz w:val="24"/>
          <w:szCs w:val="24"/>
        </w:rPr>
        <w:t>Appelbaum</w:t>
      </w:r>
      <w:proofErr w:type="spellEnd"/>
      <w:r w:rsidRPr="005F6C37">
        <w:rPr>
          <w:rFonts w:ascii="Times New Roman" w:hAnsi="Times New Roman" w:cs="Times New Roman"/>
          <w:bCs/>
          <w:sz w:val="24"/>
          <w:szCs w:val="24"/>
        </w:rPr>
        <w:t xml:space="preserve">, 2000) from the perspective of analytical HRM. </w:t>
      </w:r>
      <w:proofErr w:type="spellStart"/>
      <w:r w:rsidRPr="005F6C37">
        <w:rPr>
          <w:rFonts w:ascii="Times New Roman" w:hAnsi="Times New Roman" w:cs="Times New Roman"/>
          <w:bCs/>
          <w:sz w:val="24"/>
          <w:szCs w:val="24"/>
        </w:rPr>
        <w:t>Boxall</w:t>
      </w:r>
      <w:proofErr w:type="spellEnd"/>
      <w:r w:rsidRPr="005F6C37">
        <w:rPr>
          <w:rFonts w:ascii="Times New Roman" w:hAnsi="Times New Roman" w:cs="Times New Roman"/>
          <w:bCs/>
          <w:sz w:val="24"/>
          <w:szCs w:val="24"/>
        </w:rPr>
        <w:t xml:space="preserve">, (2007) consider the notion of ‘analytical HRM’ as an </w:t>
      </w:r>
      <w:r w:rsidRPr="005F6C37">
        <w:rPr>
          <w:rFonts w:ascii="Times New Roman" w:hAnsi="Times New Roman" w:cs="Times New Roman"/>
          <w:bCs/>
          <w:sz w:val="24"/>
          <w:szCs w:val="24"/>
        </w:rPr>
        <w:lastRenderedPageBreak/>
        <w:t>activity which has as its primary task the building of theory and the gathering of empirical data to support it. They identify three characteristics of this analytical approach to HRM.</w:t>
      </w:r>
    </w:p>
    <w:p w:rsidR="002E671C" w:rsidRPr="005F6C37" w:rsidRDefault="002C5934" w:rsidP="00A409A7">
      <w:p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t xml:space="preserve">First is concerned with the </w:t>
      </w:r>
      <w:r w:rsidRPr="005F6C37">
        <w:rPr>
          <w:rFonts w:ascii="Times New Roman" w:hAnsi="Times New Roman" w:cs="Times New Roman"/>
          <w:bCs/>
          <w:iCs/>
          <w:sz w:val="24"/>
          <w:szCs w:val="24"/>
        </w:rPr>
        <w:t xml:space="preserve">‘what and why' of HRM (‘what and why' of green HRM); </w:t>
      </w:r>
      <w:r w:rsidRPr="005F6C37">
        <w:rPr>
          <w:rFonts w:ascii="Times New Roman" w:hAnsi="Times New Roman" w:cs="Times New Roman"/>
          <w:bCs/>
          <w:sz w:val="24"/>
          <w:szCs w:val="24"/>
        </w:rPr>
        <w:t>it is about the understanding of what management tries to do with work and people in different contexts and with explaining why. For this purpose, this review goes on applying institutional</w:t>
      </w:r>
      <w:r w:rsidRPr="005F6C37">
        <w:rPr>
          <w:rFonts w:ascii="Times New Roman" w:hAnsi="Times New Roman" w:cs="Times New Roman"/>
          <w:b/>
          <w:bCs/>
          <w:sz w:val="24"/>
          <w:szCs w:val="24"/>
        </w:rPr>
        <w:t xml:space="preserve"> theory, resource-based theory,</w:t>
      </w:r>
      <w:r w:rsidRPr="005F6C37">
        <w:rPr>
          <w:rFonts w:ascii="Times New Roman" w:hAnsi="Times New Roman" w:cs="Times New Roman"/>
          <w:bCs/>
          <w:sz w:val="24"/>
          <w:szCs w:val="24"/>
        </w:rPr>
        <w:t xml:space="preserve"> and system theory.</w:t>
      </w:r>
    </w:p>
    <w:p w:rsidR="00FB14DF" w:rsidRPr="005F6C37" w:rsidRDefault="00467FC5"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bCs/>
          <w:sz w:val="24"/>
          <w:szCs w:val="24"/>
        </w:rPr>
        <w:t>Institutional Theory</w:t>
      </w:r>
      <w:r w:rsidR="00FB14DF" w:rsidRPr="005F6C37">
        <w:rPr>
          <w:rFonts w:ascii="Times New Roman" w:hAnsi="Times New Roman" w:cs="Times New Roman"/>
          <w:b/>
          <w:bCs/>
          <w:sz w:val="24"/>
          <w:szCs w:val="24"/>
        </w:rPr>
        <w:t>:</w:t>
      </w:r>
      <w:r w:rsidRPr="005F6C37">
        <w:rPr>
          <w:rFonts w:ascii="Times New Roman" w:hAnsi="Times New Roman" w:cs="Times New Roman"/>
          <w:bCs/>
          <w:sz w:val="24"/>
          <w:szCs w:val="24"/>
        </w:rPr>
        <w:t xml:space="preserve"> </w:t>
      </w:r>
      <w:r w:rsidR="00FB14DF" w:rsidRPr="005F6C37">
        <w:rPr>
          <w:rFonts w:ascii="Times New Roman" w:hAnsi="Times New Roman" w:cs="Times New Roman"/>
          <w:bCs/>
          <w:sz w:val="24"/>
          <w:szCs w:val="24"/>
        </w:rPr>
        <w:t xml:space="preserve">Posits </w:t>
      </w:r>
      <w:r w:rsidRPr="005F6C37">
        <w:rPr>
          <w:rFonts w:ascii="Times New Roman" w:hAnsi="Times New Roman" w:cs="Times New Roman"/>
          <w:bCs/>
          <w:sz w:val="24"/>
          <w:szCs w:val="24"/>
        </w:rPr>
        <w:t xml:space="preserve">that external pressures shape organizational actions. In the context of environmental concerns, many studies emphasize the impact of regulatory and social pressures, which often lead to homogeneous outcomes (e.g., </w:t>
      </w:r>
      <w:proofErr w:type="spellStart"/>
      <w:r w:rsidRPr="005F6C37">
        <w:rPr>
          <w:rFonts w:ascii="Times New Roman" w:hAnsi="Times New Roman" w:cs="Times New Roman"/>
          <w:bCs/>
          <w:sz w:val="24"/>
          <w:szCs w:val="24"/>
        </w:rPr>
        <w:t>Ubeda</w:t>
      </w:r>
      <w:proofErr w:type="spellEnd"/>
      <w:r w:rsidRPr="005F6C37">
        <w:rPr>
          <w:rFonts w:ascii="Times New Roman" w:hAnsi="Times New Roman" w:cs="Times New Roman"/>
          <w:bCs/>
          <w:sz w:val="24"/>
          <w:szCs w:val="24"/>
        </w:rPr>
        <w:t>-Garcia et al., 2021). Critics argue that institutional theory tends to portray organizations as passive actors responding to institutional expectations (Oliver, 1997). Nonetheless, this theory lays the groundwork for understanding the importance of GHRM in contemporary organizations.</w:t>
      </w:r>
    </w:p>
    <w:p w:rsidR="00FB14DF" w:rsidRPr="005F6C37" w:rsidRDefault="00467FC5"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Cs/>
          <w:sz w:val="24"/>
          <w:szCs w:val="24"/>
        </w:rPr>
        <w:t>Institutionalization aligns well with the ecosystem perspective, emphasizing the significance of perceptions within controlled environments. This alignment introduces the concept of goodness-of-fit, which refers to the compatibility between individuals' needs and their environment (</w:t>
      </w:r>
      <w:proofErr w:type="spellStart"/>
      <w:r w:rsidRPr="005F6C37">
        <w:rPr>
          <w:rFonts w:ascii="Times New Roman" w:hAnsi="Times New Roman" w:cs="Times New Roman"/>
          <w:bCs/>
          <w:sz w:val="24"/>
          <w:szCs w:val="24"/>
        </w:rPr>
        <w:t>Germain</w:t>
      </w:r>
      <w:proofErr w:type="spellEnd"/>
      <w:r w:rsidRPr="005F6C37">
        <w:rPr>
          <w:rFonts w:ascii="Times New Roman" w:hAnsi="Times New Roman" w:cs="Times New Roman"/>
          <w:bCs/>
          <w:sz w:val="24"/>
          <w:szCs w:val="24"/>
        </w:rPr>
        <w:t xml:space="preserve"> &amp; </w:t>
      </w:r>
      <w:proofErr w:type="spellStart"/>
      <w:r w:rsidRPr="005F6C37">
        <w:rPr>
          <w:rFonts w:ascii="Times New Roman" w:hAnsi="Times New Roman" w:cs="Times New Roman"/>
          <w:bCs/>
          <w:sz w:val="24"/>
          <w:szCs w:val="24"/>
        </w:rPr>
        <w:t>Gitterman</w:t>
      </w:r>
      <w:proofErr w:type="spellEnd"/>
      <w:r w:rsidRPr="005F6C37">
        <w:rPr>
          <w:rFonts w:ascii="Times New Roman" w:hAnsi="Times New Roman" w:cs="Times New Roman"/>
          <w:bCs/>
          <w:sz w:val="24"/>
          <w:szCs w:val="24"/>
        </w:rPr>
        <w:t>, 1995). If there is a lack of fit, initiatives like GHRM become essential. Institutional theory suggests that mismatches between residents and their institutional environments are primary drivers of institutionalism. Thus, according to this theory, GHRM is increasingly necessary due to external pressures.</w:t>
      </w:r>
    </w:p>
    <w:p w:rsidR="00FB14DF" w:rsidRPr="005F6C37" w:rsidRDefault="00467FC5"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bCs/>
          <w:sz w:val="24"/>
          <w:szCs w:val="24"/>
        </w:rPr>
        <w:t xml:space="preserve"> Resource-Based Theory </w:t>
      </w:r>
      <w:r w:rsidRPr="005F6C37">
        <w:rPr>
          <w:rFonts w:ascii="Times New Roman" w:hAnsi="Times New Roman" w:cs="Times New Roman"/>
          <w:bCs/>
          <w:sz w:val="24"/>
          <w:szCs w:val="24"/>
        </w:rPr>
        <w:t xml:space="preserve">(RBV) asserts that specialized and non-replicable resources create opportunities for competitive advantage (Barney, 1991). Environmental strategies depend on organizational competencies and the ability to utilize and sustain them effectively (Hart, 1995). In the context of GHRM, fostering internal environmental competencies such as pollution prevention is </w:t>
      </w:r>
      <w:r w:rsidRPr="005F6C37">
        <w:rPr>
          <w:rFonts w:ascii="Times New Roman" w:hAnsi="Times New Roman" w:cs="Times New Roman"/>
          <w:bCs/>
          <w:sz w:val="24"/>
          <w:szCs w:val="24"/>
        </w:rPr>
        <w:lastRenderedPageBreak/>
        <w:t>crucial. Organizations lacking foundational competencies are less likely to achieve their strategic environmental goals (</w:t>
      </w:r>
      <w:proofErr w:type="spellStart"/>
      <w:r w:rsidRPr="005F6C37">
        <w:rPr>
          <w:rFonts w:ascii="Times New Roman" w:hAnsi="Times New Roman" w:cs="Times New Roman"/>
          <w:bCs/>
          <w:sz w:val="24"/>
          <w:szCs w:val="24"/>
        </w:rPr>
        <w:t>Christmann</w:t>
      </w:r>
      <w:proofErr w:type="spellEnd"/>
      <w:r w:rsidRPr="005F6C37">
        <w:rPr>
          <w:rFonts w:ascii="Times New Roman" w:hAnsi="Times New Roman" w:cs="Times New Roman"/>
          <w:bCs/>
          <w:sz w:val="24"/>
          <w:szCs w:val="24"/>
        </w:rPr>
        <w:t>, 2000). This review emphasizes the outcomes of GHRM at the employee level (e.g., employee green attitudes and behaviors) to enhance overall organizational performance.</w:t>
      </w:r>
    </w:p>
    <w:p w:rsidR="00FB14DF" w:rsidRPr="005F6C37" w:rsidRDefault="00467FC5" w:rsidP="00A409A7">
      <w:pPr>
        <w:spacing w:after="0" w:line="360" w:lineRule="auto"/>
        <w:jc w:val="both"/>
        <w:rPr>
          <w:rFonts w:ascii="Times New Roman" w:hAnsi="Times New Roman" w:cs="Times New Roman"/>
          <w:bCs/>
          <w:sz w:val="24"/>
          <w:szCs w:val="24"/>
        </w:rPr>
      </w:pPr>
      <w:r w:rsidRPr="005F6C37">
        <w:rPr>
          <w:rFonts w:ascii="Times New Roman" w:hAnsi="Times New Roman" w:cs="Times New Roman"/>
          <w:bCs/>
          <w:sz w:val="24"/>
          <w:szCs w:val="24"/>
        </w:rPr>
        <w:t>The RBV highlights that valuable, rare, inimitable, and imperfectly substitutable resources are pivotal for competitive advantage (Barney, 1991; Lockett et al., 2009). While previous authors have explored the RBV in strategic HRM, its application to GHRM remains less developed. We argue that employee green attitudes, knowledge, skills, and behaviors are core resources contributing to organizational environmental performance.</w:t>
      </w:r>
    </w:p>
    <w:p w:rsidR="00927619" w:rsidRPr="005F6C37" w:rsidRDefault="00F261A2" w:rsidP="00A409A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927619" w:rsidRPr="005F6C37">
        <w:rPr>
          <w:rFonts w:ascii="Times New Roman" w:hAnsi="Times New Roman" w:cs="Times New Roman"/>
          <w:b/>
          <w:bCs/>
          <w:sz w:val="24"/>
          <w:szCs w:val="24"/>
        </w:rPr>
        <w:t xml:space="preserve">Empirical review </w:t>
      </w:r>
    </w:p>
    <w:p w:rsidR="004F119F" w:rsidRPr="005F6C37" w:rsidRDefault="004F119F"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A survey was conducted in healthcare services and manufacturing organizations in Saudi Arabia, with findings that also apply to hotels. Non-probability chain sampling was used, resulting in 136 completed questionnaires for analysis. Descriptive and inferential statistics, including mean, standard deviation, </w:t>
      </w:r>
      <w:proofErr w:type="spellStart"/>
      <w:r w:rsidRPr="005F6C37">
        <w:rPr>
          <w:rFonts w:ascii="Times New Roman" w:hAnsi="Times New Roman" w:cs="Times New Roman"/>
          <w:sz w:val="24"/>
          <w:szCs w:val="24"/>
        </w:rPr>
        <w:t>Cronbach's</w:t>
      </w:r>
      <w:proofErr w:type="spellEnd"/>
      <w:r w:rsidRPr="005F6C37">
        <w:rPr>
          <w:rFonts w:ascii="Times New Roman" w:hAnsi="Times New Roman" w:cs="Times New Roman"/>
          <w:sz w:val="24"/>
          <w:szCs w:val="24"/>
        </w:rPr>
        <w:t xml:space="preserve"> alpha, confirmatory factor analysis (CFA), and both measurement and structural models, were employed. SPSS 25 and AMOS-SEM 18 were utilized for the statistical analysis. The model indicates that Green Human Resources Management (GHRM) practices have a positive and significant impact on sustainability. This suggests that GHRM practices offer organizations an opportunity to gain a competitive advantage in today’s highly competitive global environment. This research has implications for Saudi organizations aiming to enhance their competitiveness by implementing GHRM practices.</w:t>
      </w:r>
    </w:p>
    <w:p w:rsidR="004F119F" w:rsidRPr="005F6C37" w:rsidRDefault="004F119F"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Another survey investigated the impact of GHRM practices on environmental performance within Jordanian health service organizations. Through extensive literature reviews and field data collected from hospital managers, three key GHRM practices were identified: Green recruitment and selection, Green training and development, and Green rewards. The findings revealed that the </w:t>
      </w:r>
      <w:r w:rsidRPr="005F6C37">
        <w:rPr>
          <w:rFonts w:ascii="Times New Roman" w:hAnsi="Times New Roman" w:cs="Times New Roman"/>
          <w:sz w:val="24"/>
          <w:szCs w:val="24"/>
        </w:rPr>
        <w:lastRenderedPageBreak/>
        <w:t>implementation level of these practices was moderate, with a statistically significant positive correlation between individual GHRM practices and environmental performance. The strongest correlation was noted with Green recruitment and selection, while the weakest was associated with training and development. This indicates that hospitals in Jordan are not investing sufficiently in green training and development programs, largely due to cost-reduction strategies stemming from the country’s economic crisis. Hospital management is encouraged to invest more in these programs to enhance GHRM implementation and achieve better environmental performance in the long term. Green recruitment and selection emerged as the most frequently used practice, reflecting the management's recognition of environmental performance as a priority.</w:t>
      </w:r>
    </w:p>
    <w:p w:rsidR="004F119F" w:rsidRPr="005F6C37" w:rsidRDefault="004F119F"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A separate study assessed the engagement level with GHRM practices among a sample of 30 commercial banks operating in Bangladesh. Recognizing the strong connection between HRM—as a strategic partner—and organizational environmental performance, this study aimed to clarify how traditional HRM practices incorporate green initiatives across various functions, including job analysis, recruitment, selection, induction, performance appraisal, and reward management. The findings indicated that while most sampled companies were familiar with GHRM, the practices were not fully implemented. The study found a positive relationship between the adoption of green practices and increased organizational performance, which also enhances the organization’s image. It is anticipated that this research will guide industries in transforming traditional HRM practices into green ones to leverage the benefits of GHRM in the 21st century.</w:t>
      </w:r>
    </w:p>
    <w:p w:rsidR="004F119F" w:rsidRPr="005F6C37" w:rsidRDefault="004F119F"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Another investigation focused on the effects of selected GHRM practices on overall organizational environmental sustainability, using Kenyatta University as a case study. Employing a descriptive research design, the target population </w:t>
      </w:r>
      <w:r w:rsidRPr="005F6C37">
        <w:rPr>
          <w:rFonts w:ascii="Times New Roman" w:hAnsi="Times New Roman" w:cs="Times New Roman"/>
          <w:sz w:val="24"/>
          <w:szCs w:val="24"/>
        </w:rPr>
        <w:lastRenderedPageBreak/>
        <w:t>included 2,400 employees, from which a sample of 96 was selected. Data were collected via a questionnaire and analyzed using both descriptive and inferential statistics, presented in frequency distribution tables and figures. Males constituted 64% of the participants, while females made up 36%. The results indicated that employment applications at Kenyatta University were not primarily based on green issues (mean 2.31, with 52.5% disagreement). Additionally, Green/environmental performance indicators were inadequately integrated into performance management systems (mean 3.31). However, there were perceived benefits for compliance with green management goals (mean 3.93). The university encouraged employee input on environmental improvements (46.3%). While many respondents were aware of environmental sustainability regulations, knowledge of GHRM was less prevalent. Further research is needed, as the relatively small sample size may have influenced the findings. Comprehensive environmental training and the development of pro-environmental managers are recommended to foster long-term sustainability.</w:t>
      </w:r>
    </w:p>
    <w:p w:rsidR="004F119F" w:rsidRPr="005F6C37" w:rsidRDefault="004F119F"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Agarwal, </w:t>
      </w:r>
      <w:proofErr w:type="spellStart"/>
      <w:r w:rsidRPr="005F6C37">
        <w:rPr>
          <w:rFonts w:ascii="Times New Roman" w:hAnsi="Times New Roman" w:cs="Times New Roman"/>
          <w:sz w:val="24"/>
          <w:szCs w:val="24"/>
        </w:rPr>
        <w:t>Tyagi</w:t>
      </w:r>
      <w:proofErr w:type="spellEnd"/>
      <w:r w:rsidRPr="005F6C37">
        <w:rPr>
          <w:rFonts w:ascii="Times New Roman" w:hAnsi="Times New Roman" w:cs="Times New Roman"/>
          <w:sz w:val="24"/>
          <w:szCs w:val="24"/>
        </w:rPr>
        <w:t xml:space="preserve">, and </w:t>
      </w:r>
      <w:proofErr w:type="spellStart"/>
      <w:r w:rsidRPr="005F6C37">
        <w:rPr>
          <w:rFonts w:ascii="Times New Roman" w:hAnsi="Times New Roman" w:cs="Times New Roman"/>
          <w:sz w:val="24"/>
          <w:szCs w:val="24"/>
        </w:rPr>
        <w:t>Garg</w:t>
      </w:r>
      <w:proofErr w:type="spellEnd"/>
      <w:r w:rsidRPr="005F6C37">
        <w:rPr>
          <w:rFonts w:ascii="Times New Roman" w:hAnsi="Times New Roman" w:cs="Times New Roman"/>
          <w:sz w:val="24"/>
          <w:szCs w:val="24"/>
        </w:rPr>
        <w:t xml:space="preserve"> (2021) explored the barriers to implementing green supply chain management (GSCM) within the Indian rubber industry. Despite the potential benefits of GSCM, numerous obstacles hinder its adoption. This research aimed to identify and mitigate these barriers through Interpretive Structural Modeling (ISM). A literature review and expert consultations identified 25 significant barriers. Data collected via a survey were analyzed using ISM, leading to the development of a structural model to aid the implementation of GSCM in Indian rubber industries. Understanding these barriers enables businesses to prioritize effectively and manage their resources more efficiently, with strategies proposed for overcoming challenges in GSCM adoption.</w:t>
      </w:r>
    </w:p>
    <w:p w:rsidR="00927619" w:rsidRPr="005F6C37" w:rsidRDefault="00927619" w:rsidP="00A409A7">
      <w:pPr>
        <w:spacing w:after="0" w:line="360" w:lineRule="auto"/>
        <w:jc w:val="both"/>
        <w:rPr>
          <w:rFonts w:ascii="Times New Roman" w:hAnsi="Times New Roman" w:cs="Times New Roman"/>
          <w:b/>
          <w:sz w:val="24"/>
          <w:szCs w:val="24"/>
        </w:rPr>
      </w:pPr>
    </w:p>
    <w:p w:rsidR="00883E8E" w:rsidRDefault="00883E8E" w:rsidP="00A409A7">
      <w:pPr>
        <w:spacing w:after="0" w:line="360" w:lineRule="auto"/>
        <w:jc w:val="center"/>
        <w:rPr>
          <w:rFonts w:ascii="Times New Roman" w:hAnsi="Times New Roman" w:cs="Times New Roman"/>
          <w:b/>
          <w:sz w:val="24"/>
          <w:szCs w:val="24"/>
        </w:rPr>
      </w:pPr>
    </w:p>
    <w:p w:rsidR="002E671C" w:rsidRPr="005F6C37" w:rsidRDefault="002C5934" w:rsidP="00A409A7">
      <w:pPr>
        <w:spacing w:after="0" w:line="360" w:lineRule="auto"/>
        <w:jc w:val="center"/>
        <w:rPr>
          <w:rFonts w:ascii="Times New Roman" w:hAnsi="Times New Roman" w:cs="Times New Roman"/>
          <w:sz w:val="24"/>
          <w:szCs w:val="24"/>
        </w:rPr>
      </w:pPr>
      <w:r w:rsidRPr="005F6C37">
        <w:rPr>
          <w:rFonts w:ascii="Times New Roman" w:hAnsi="Times New Roman" w:cs="Times New Roman"/>
          <w:b/>
          <w:sz w:val="24"/>
          <w:szCs w:val="24"/>
        </w:rPr>
        <w:lastRenderedPageBreak/>
        <w:t>CHAPTER THREE</w:t>
      </w:r>
    </w:p>
    <w:p w:rsidR="002E671C" w:rsidRPr="005F6C37" w:rsidRDefault="002C5934" w:rsidP="00A409A7">
      <w:pPr>
        <w:spacing w:after="0" w:line="360" w:lineRule="auto"/>
        <w:jc w:val="center"/>
        <w:rPr>
          <w:rFonts w:ascii="Times New Roman" w:hAnsi="Times New Roman" w:cs="Times New Roman"/>
          <w:b/>
          <w:sz w:val="24"/>
          <w:szCs w:val="24"/>
        </w:rPr>
      </w:pPr>
      <w:r w:rsidRPr="005F6C37">
        <w:rPr>
          <w:rFonts w:ascii="Times New Roman" w:hAnsi="Times New Roman" w:cs="Times New Roman"/>
          <w:b/>
          <w:sz w:val="24"/>
          <w:szCs w:val="24"/>
        </w:rPr>
        <w:t>METHODOLOGY</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3.1</w:t>
      </w:r>
      <w:r w:rsidRPr="005F6C37">
        <w:rPr>
          <w:rFonts w:ascii="Times New Roman" w:hAnsi="Times New Roman" w:cs="Times New Roman"/>
          <w:b/>
          <w:sz w:val="24"/>
          <w:szCs w:val="24"/>
        </w:rPr>
        <w:tab/>
        <w:t xml:space="preserve">Introduction </w:t>
      </w:r>
    </w:p>
    <w:p w:rsidR="00FD3608" w:rsidRPr="005F6C37" w:rsidRDefault="00FD3608"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The exact steps or methods used to locate, pick, process, and analyze data pertaining to a topic are known as research methodologies. The research design, population of the study, sampling technique, sample size, research instruments, validity and reliability of research instruments, sources of data collection, method of data analysis, statistical tools, ethical consideration, and anticipated outcome are also covered in this section.</w:t>
      </w:r>
    </w:p>
    <w:p w:rsidR="00FD3608"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 xml:space="preserve"> 3.2</w:t>
      </w:r>
      <w:r w:rsidRPr="005F6C37">
        <w:rPr>
          <w:rFonts w:ascii="Times New Roman" w:hAnsi="Times New Roman" w:cs="Times New Roman"/>
          <w:b/>
          <w:sz w:val="24"/>
          <w:szCs w:val="24"/>
        </w:rPr>
        <w:tab/>
        <w:t>Research Design</w:t>
      </w:r>
    </w:p>
    <w:p w:rsidR="00DD6A33" w:rsidRPr="005F6C37" w:rsidRDefault="00DD6A33" w:rsidP="00A409A7">
      <w:pPr>
        <w:tabs>
          <w:tab w:val="left" w:pos="236"/>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A research design serves as a strategy for a research project, providing recommendations on how to conduct the study. The sensitive nature of the subject matter informed the design of the research. Specifically, this study employs a descriptive survey research design.</w:t>
      </w:r>
    </w:p>
    <w:p w:rsidR="00DD6A33" w:rsidRPr="005F6C37" w:rsidRDefault="00DD6A33" w:rsidP="00A409A7">
      <w:pPr>
        <w:tabs>
          <w:tab w:val="left" w:pos="236"/>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A descriptive design is useful for detailing the characteristics of both the dependent and independent variables and for explaining the causal relationships between them. In this study, Green Human Resource Management (G-HRM) is identified as the independent variable, while Organizational Effectiveness is the dependent variable that is influenced by G-HRM. The primary focus of this research is to examine the extent to which the independent variable (G-HRM) impacts the dependent variable (Organizational Effectiveness).</w:t>
      </w:r>
    </w:p>
    <w:p w:rsidR="002E671C" w:rsidRPr="005F6C37" w:rsidRDefault="002C5934" w:rsidP="00A409A7">
      <w:pPr>
        <w:tabs>
          <w:tab w:val="left" w:pos="236"/>
        </w:tabs>
        <w:spacing w:after="0" w:line="360" w:lineRule="auto"/>
        <w:jc w:val="both"/>
        <w:rPr>
          <w:rFonts w:ascii="Times New Roman" w:hAnsi="Times New Roman" w:cs="Times New Roman"/>
          <w:sz w:val="24"/>
          <w:szCs w:val="24"/>
          <w:lang w:val="en-GB"/>
        </w:rPr>
      </w:pPr>
      <w:r w:rsidRPr="005F6C37">
        <w:rPr>
          <w:rFonts w:ascii="Times New Roman" w:eastAsia="Calibri" w:hAnsi="Times New Roman" w:cs="Times New Roman"/>
          <w:b/>
          <w:sz w:val="24"/>
          <w:szCs w:val="24"/>
        </w:rPr>
        <w:t>3.3</w:t>
      </w:r>
      <w:r w:rsidRPr="005F6C37">
        <w:rPr>
          <w:rFonts w:ascii="Times New Roman" w:eastAsia="Calibri" w:hAnsi="Times New Roman" w:cs="Times New Roman"/>
          <w:b/>
          <w:sz w:val="24"/>
          <w:szCs w:val="24"/>
        </w:rPr>
        <w:tab/>
        <w:t>Population of the study</w:t>
      </w:r>
    </w:p>
    <w:p w:rsidR="00DD6A33" w:rsidRDefault="00DD6A33" w:rsidP="00A409A7">
      <w:pPr>
        <w:tabs>
          <w:tab w:val="left" w:pos="236"/>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To ensure that the selected sample accurately represents the community, it is essential to clearly define the study's population, as noted by </w:t>
      </w:r>
      <w:proofErr w:type="spellStart"/>
      <w:r w:rsidRPr="005F6C37">
        <w:rPr>
          <w:rFonts w:ascii="Times New Roman" w:hAnsi="Times New Roman" w:cs="Times New Roman"/>
          <w:sz w:val="24"/>
          <w:szCs w:val="24"/>
        </w:rPr>
        <w:t>Ankrah</w:t>
      </w:r>
      <w:proofErr w:type="spellEnd"/>
      <w:r w:rsidRPr="005F6C37">
        <w:rPr>
          <w:rFonts w:ascii="Times New Roman" w:hAnsi="Times New Roman" w:cs="Times New Roman"/>
          <w:sz w:val="24"/>
          <w:szCs w:val="24"/>
        </w:rPr>
        <w:t xml:space="preserve"> (2014). This study will comprise 50 members from both management and non-management staff across all Guaranty Trust Bank branches in Ilorin, </w:t>
      </w:r>
      <w:proofErr w:type="spellStart"/>
      <w:r w:rsidRPr="005F6C37">
        <w:rPr>
          <w:rFonts w:ascii="Times New Roman" w:hAnsi="Times New Roman" w:cs="Times New Roman"/>
          <w:sz w:val="24"/>
          <w:szCs w:val="24"/>
        </w:rPr>
        <w:t>Kwara</w:t>
      </w:r>
      <w:proofErr w:type="spellEnd"/>
      <w:r w:rsidRPr="005F6C37">
        <w:rPr>
          <w:rFonts w:ascii="Times New Roman" w:hAnsi="Times New Roman" w:cs="Times New Roman"/>
          <w:sz w:val="24"/>
          <w:szCs w:val="24"/>
        </w:rPr>
        <w:t xml:space="preserve"> State.</w:t>
      </w:r>
    </w:p>
    <w:p w:rsidR="005F1F14" w:rsidRPr="005F6C37" w:rsidRDefault="005F1F14" w:rsidP="00A409A7">
      <w:pPr>
        <w:tabs>
          <w:tab w:val="left" w:pos="236"/>
        </w:tabs>
        <w:spacing w:after="0" w:line="360" w:lineRule="auto"/>
        <w:jc w:val="both"/>
        <w:rPr>
          <w:rFonts w:ascii="Times New Roman" w:hAnsi="Times New Roman" w:cs="Times New Roman"/>
          <w:sz w:val="24"/>
          <w:szCs w:val="24"/>
        </w:rPr>
      </w:pPr>
    </w:p>
    <w:p w:rsidR="002E671C" w:rsidRPr="005F6C37" w:rsidRDefault="002C5934" w:rsidP="00A409A7">
      <w:pPr>
        <w:tabs>
          <w:tab w:val="left" w:pos="236"/>
        </w:tabs>
        <w:spacing w:after="0" w:line="360" w:lineRule="auto"/>
        <w:jc w:val="both"/>
        <w:rPr>
          <w:rFonts w:ascii="Times New Roman" w:eastAsia="Calibri" w:hAnsi="Times New Roman" w:cs="Times New Roman"/>
          <w:b/>
          <w:sz w:val="24"/>
          <w:szCs w:val="24"/>
        </w:rPr>
      </w:pPr>
      <w:r w:rsidRPr="005F6C37">
        <w:rPr>
          <w:rFonts w:ascii="Times New Roman" w:eastAsia="Calibri" w:hAnsi="Times New Roman" w:cs="Times New Roman"/>
          <w:b/>
          <w:sz w:val="24"/>
          <w:szCs w:val="24"/>
        </w:rPr>
        <w:lastRenderedPageBreak/>
        <w:t>3.4</w:t>
      </w:r>
      <w:r w:rsidRPr="005F6C37">
        <w:rPr>
          <w:rFonts w:ascii="Times New Roman" w:eastAsia="Calibri" w:hAnsi="Times New Roman" w:cs="Times New Roman"/>
          <w:b/>
          <w:sz w:val="24"/>
          <w:szCs w:val="24"/>
        </w:rPr>
        <w:tab/>
        <w:t>Sampling Techniques and Sample size</w:t>
      </w:r>
    </w:p>
    <w:p w:rsidR="007927B6" w:rsidRPr="005F6C37" w:rsidRDefault="007927B6" w:rsidP="00A409A7">
      <w:pPr>
        <w:tabs>
          <w:tab w:val="left" w:pos="236"/>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Sampling techniques, according to </w:t>
      </w:r>
      <w:proofErr w:type="spellStart"/>
      <w:r w:rsidRPr="005F6C37">
        <w:rPr>
          <w:rFonts w:ascii="Times New Roman" w:hAnsi="Times New Roman" w:cs="Times New Roman"/>
          <w:sz w:val="24"/>
          <w:szCs w:val="24"/>
        </w:rPr>
        <w:t>Nwana</w:t>
      </w:r>
      <w:proofErr w:type="spellEnd"/>
      <w:r w:rsidRPr="005F6C37">
        <w:rPr>
          <w:rFonts w:ascii="Times New Roman" w:hAnsi="Times New Roman" w:cs="Times New Roman"/>
          <w:sz w:val="24"/>
          <w:szCs w:val="24"/>
        </w:rPr>
        <w:t xml:space="preserve"> (2005), are methods used to systematically choose the desired sample in a given fashion while under controls. In order to pick respondents from the entire population for this study, convenience sampling was used.</w:t>
      </w:r>
    </w:p>
    <w:p w:rsidR="009E1D18" w:rsidRDefault="007927B6" w:rsidP="00A409A7">
      <w:pPr>
        <w:tabs>
          <w:tab w:val="left" w:pos="236"/>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A straightforward random sample technique was used for the study in order to guarantee that staff members from both management and non-management categories were included in the sampling procedure. The study was thought to be a good fit for this method since it deals with the financial system, a unit whose members have a variety of independent viewpoints on the variables under investigation. </w:t>
      </w:r>
    </w:p>
    <w:p w:rsidR="002E671C" w:rsidRPr="005F6C37" w:rsidRDefault="002C5934" w:rsidP="00A409A7">
      <w:pPr>
        <w:tabs>
          <w:tab w:val="left" w:pos="236"/>
        </w:tabs>
        <w:spacing w:after="0" w:line="360" w:lineRule="auto"/>
        <w:jc w:val="both"/>
        <w:rPr>
          <w:rFonts w:ascii="Times New Roman" w:eastAsia="Calibri" w:hAnsi="Times New Roman" w:cs="Times New Roman"/>
          <w:sz w:val="24"/>
          <w:szCs w:val="24"/>
        </w:rPr>
      </w:pPr>
      <w:r w:rsidRPr="005F6C37">
        <w:rPr>
          <w:rFonts w:ascii="Times New Roman" w:eastAsia="Calibri" w:hAnsi="Times New Roman" w:cs="Times New Roman"/>
          <w:b/>
          <w:sz w:val="24"/>
          <w:szCs w:val="24"/>
        </w:rPr>
        <w:t>3.5</w:t>
      </w:r>
      <w:r w:rsidRPr="005F6C37">
        <w:rPr>
          <w:rFonts w:ascii="Times New Roman" w:eastAsia="Calibri" w:hAnsi="Times New Roman" w:cs="Times New Roman"/>
          <w:b/>
          <w:sz w:val="24"/>
          <w:szCs w:val="24"/>
        </w:rPr>
        <w:tab/>
        <w:t xml:space="preserve">Research instrument </w:t>
      </w:r>
    </w:p>
    <w:p w:rsidR="002E671C" w:rsidRPr="005F6C37" w:rsidRDefault="007927B6" w:rsidP="00A409A7">
      <w:pPr>
        <w:spacing w:after="0" w:line="360" w:lineRule="auto"/>
        <w:jc w:val="both"/>
        <w:rPr>
          <w:rFonts w:ascii="Times New Roman" w:hAnsi="Times New Roman" w:cs="Times New Roman"/>
          <w:b/>
          <w:sz w:val="24"/>
          <w:szCs w:val="24"/>
        </w:rPr>
      </w:pPr>
      <w:r w:rsidRPr="005F6C37">
        <w:rPr>
          <w:rFonts w:ascii="Times New Roman" w:eastAsia="Calibri" w:hAnsi="Times New Roman" w:cs="Times New Roman"/>
          <w:sz w:val="24"/>
          <w:szCs w:val="24"/>
        </w:rPr>
        <w:t xml:space="preserve">This study </w:t>
      </w:r>
      <w:r w:rsidR="00997AEC">
        <w:rPr>
          <w:rFonts w:ascii="Times New Roman" w:eastAsia="Calibri" w:hAnsi="Times New Roman" w:cs="Times New Roman"/>
          <w:sz w:val="24"/>
          <w:szCs w:val="24"/>
        </w:rPr>
        <w:t>was</w:t>
      </w:r>
      <w:r w:rsidRPr="005F6C37">
        <w:rPr>
          <w:rFonts w:ascii="Times New Roman" w:eastAsia="Calibri" w:hAnsi="Times New Roman" w:cs="Times New Roman"/>
          <w:sz w:val="24"/>
          <w:szCs w:val="24"/>
        </w:rPr>
        <w:t xml:space="preserve"> a quantitative research instrument and be based on a quantitative technique. The chosen samples will get a structured questionnaire. A questionnaire is a research tool made up of a printed list of questions with a range of potential responses developed by surveying respondents. It is a series of queries used to gather private or statistically significant information from respondents. </w:t>
      </w:r>
      <w:r w:rsidR="002C5934" w:rsidRPr="005F6C37">
        <w:rPr>
          <w:rFonts w:ascii="Times New Roman" w:eastAsia="Calibri" w:hAnsi="Times New Roman" w:cs="Times New Roman"/>
          <w:sz w:val="24"/>
          <w:szCs w:val="24"/>
        </w:rPr>
        <w:t xml:space="preserve"> </w:t>
      </w:r>
      <w:r w:rsidR="002C5934" w:rsidRPr="005F6C37">
        <w:rPr>
          <w:rFonts w:ascii="Times New Roman" w:hAnsi="Times New Roman" w:cs="Times New Roman"/>
          <w:sz w:val="24"/>
          <w:szCs w:val="24"/>
        </w:rPr>
        <w:t xml:space="preserve">The questionnaire will be divided into three (3) parts. Part A, comprises of respondent’s personal data. Part B contains many research assertions which helped elicit the Impact of Green Human Resource Management Practices over Organizational Effectiveness. Part C consists of hypothetical questions.  More so, the research instrument used for this study was a five (5) </w:t>
      </w:r>
      <w:proofErr w:type="spellStart"/>
      <w:r w:rsidR="002C5934" w:rsidRPr="005F6C37">
        <w:rPr>
          <w:rFonts w:ascii="Times New Roman" w:hAnsi="Times New Roman" w:cs="Times New Roman"/>
          <w:sz w:val="24"/>
          <w:szCs w:val="24"/>
        </w:rPr>
        <w:t>Likert</w:t>
      </w:r>
      <w:proofErr w:type="spellEnd"/>
      <w:r w:rsidR="002C5934" w:rsidRPr="005F6C37">
        <w:rPr>
          <w:rFonts w:ascii="Times New Roman" w:hAnsi="Times New Roman" w:cs="Times New Roman"/>
          <w:sz w:val="24"/>
          <w:szCs w:val="24"/>
        </w:rPr>
        <w:t xml:space="preserve"> scale as described below:</w:t>
      </w:r>
    </w:p>
    <w:tbl>
      <w:tblPr>
        <w:tblW w:w="5000" w:type="pct"/>
        <w:tblLook w:val="04A0" w:firstRow="1" w:lastRow="0" w:firstColumn="1" w:lastColumn="0" w:noHBand="0" w:noVBand="1"/>
      </w:tblPr>
      <w:tblGrid>
        <w:gridCol w:w="4001"/>
        <w:gridCol w:w="3991"/>
      </w:tblGrid>
      <w:tr w:rsidR="002E671C" w:rsidRPr="005F6C37" w:rsidTr="00F71980">
        <w:tc>
          <w:tcPr>
            <w:tcW w:w="2503"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Option</w:t>
            </w:r>
          </w:p>
        </w:tc>
        <w:tc>
          <w:tcPr>
            <w:tcW w:w="2497"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Weight</w:t>
            </w:r>
          </w:p>
        </w:tc>
      </w:tr>
      <w:tr w:rsidR="002E671C" w:rsidRPr="005F6C37" w:rsidTr="00F71980">
        <w:tc>
          <w:tcPr>
            <w:tcW w:w="2503"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Strongly Agree</w:t>
            </w:r>
          </w:p>
        </w:tc>
        <w:tc>
          <w:tcPr>
            <w:tcW w:w="2497"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5</w:t>
            </w:r>
          </w:p>
        </w:tc>
      </w:tr>
      <w:tr w:rsidR="002E671C" w:rsidRPr="005F6C37" w:rsidTr="00F71980">
        <w:tc>
          <w:tcPr>
            <w:tcW w:w="2503"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Agree</w:t>
            </w:r>
          </w:p>
        </w:tc>
        <w:tc>
          <w:tcPr>
            <w:tcW w:w="2497"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4</w:t>
            </w:r>
          </w:p>
        </w:tc>
      </w:tr>
      <w:tr w:rsidR="002E671C" w:rsidRPr="005F6C37" w:rsidTr="00F71980">
        <w:tc>
          <w:tcPr>
            <w:tcW w:w="2503"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Undecided</w:t>
            </w:r>
          </w:p>
        </w:tc>
        <w:tc>
          <w:tcPr>
            <w:tcW w:w="2497"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3</w:t>
            </w:r>
          </w:p>
        </w:tc>
      </w:tr>
      <w:tr w:rsidR="002E671C" w:rsidRPr="005F6C37" w:rsidTr="00F71980">
        <w:tc>
          <w:tcPr>
            <w:tcW w:w="2503"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Disagree</w:t>
            </w:r>
          </w:p>
        </w:tc>
        <w:tc>
          <w:tcPr>
            <w:tcW w:w="2497"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2</w:t>
            </w:r>
          </w:p>
        </w:tc>
      </w:tr>
      <w:tr w:rsidR="002E671C" w:rsidRPr="005F6C37" w:rsidTr="00F71980">
        <w:tc>
          <w:tcPr>
            <w:tcW w:w="2503"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Strongly Disagree</w:t>
            </w:r>
          </w:p>
        </w:tc>
        <w:tc>
          <w:tcPr>
            <w:tcW w:w="2497" w:type="pct"/>
            <w:tcBorders>
              <w:top w:val="single" w:sz="4" w:space="0" w:color="000000"/>
              <w:left w:val="single" w:sz="4" w:space="0" w:color="000000"/>
              <w:bottom w:val="single" w:sz="4" w:space="0" w:color="000000"/>
              <w:right w:val="single" w:sz="4" w:space="0" w:color="000000"/>
            </w:tcBorders>
          </w:tcPr>
          <w:p w:rsidR="002E671C" w:rsidRPr="005F6C37" w:rsidRDefault="002C5934" w:rsidP="00F71980">
            <w:pPr>
              <w:tabs>
                <w:tab w:val="left" w:pos="900"/>
              </w:tabs>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1</w:t>
            </w:r>
          </w:p>
        </w:tc>
      </w:tr>
    </w:tbl>
    <w:p w:rsidR="002E671C" w:rsidRPr="005F6C37" w:rsidRDefault="002C5934" w:rsidP="00A409A7">
      <w:pPr>
        <w:pStyle w:val="ListParagraph1"/>
        <w:numPr>
          <w:ilvl w:val="0"/>
          <w:numId w:val="1"/>
        </w:numPr>
        <w:spacing w:after="0" w:line="360" w:lineRule="auto"/>
        <w:ind w:hanging="1080"/>
        <w:jc w:val="both"/>
        <w:rPr>
          <w:rFonts w:ascii="Times New Roman" w:hAnsi="Times New Roman" w:cs="Times New Roman"/>
          <w:b/>
          <w:sz w:val="24"/>
          <w:szCs w:val="24"/>
        </w:rPr>
      </w:pPr>
      <w:r w:rsidRPr="005F6C37">
        <w:rPr>
          <w:rFonts w:ascii="Times New Roman" w:hAnsi="Times New Roman" w:cs="Times New Roman"/>
          <w:b/>
          <w:sz w:val="24"/>
          <w:szCs w:val="24"/>
        </w:rPr>
        <w:lastRenderedPageBreak/>
        <w:t>Validity and Reliability of Research Instruments</w:t>
      </w:r>
    </w:p>
    <w:p w:rsidR="00E367C0" w:rsidRPr="005F6C37" w:rsidRDefault="00E367C0"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Validity and reliability are essential factors in selecting a survey instrument. Reliability refers to the consistency of results an instrument produces over multiple trials, while validity indicates how well an instrument measures what it is intended to measure. According to Kothari (2004), validity reflects the extent to which a research instrument meets its intended purpose.</w:t>
      </w:r>
    </w:p>
    <w:p w:rsidR="00E367C0" w:rsidRPr="005F6C37" w:rsidRDefault="00E367C0"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In this study, validity was assessed to ensure that the content of the questionnaire or interview guide was relevant and appropriate. Before data collection, the questionnaire was validated by submitting it to the project supervisor for review and approval. The researcher employed a pilot testing method, anticipating that some items might yield multiple responses. To establish the reliability of the questionnaires, the researcher calculated the alpha coefficient for the items included in the questionnaire.</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3.7</w:t>
      </w:r>
      <w:r w:rsidRPr="005F6C37">
        <w:rPr>
          <w:rFonts w:ascii="Times New Roman" w:hAnsi="Times New Roman" w:cs="Times New Roman"/>
          <w:b/>
          <w:sz w:val="24"/>
          <w:szCs w:val="24"/>
        </w:rPr>
        <w:tab/>
        <w:t>Sources of Data Collection</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sz w:val="24"/>
          <w:szCs w:val="24"/>
        </w:rPr>
        <w:t xml:space="preserve">Data was collected from the management and non-management staffs using self-administered questionnaires on drop and pick from the sampled respondents in the organization. The drop and pick method of questionnaire selection was adopted for the study as the union served a great importance for the easier access to the respondents. </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3.8</w:t>
      </w:r>
      <w:r w:rsidRPr="005F6C37">
        <w:rPr>
          <w:rFonts w:ascii="Times New Roman" w:hAnsi="Times New Roman" w:cs="Times New Roman"/>
          <w:b/>
          <w:sz w:val="24"/>
          <w:szCs w:val="24"/>
        </w:rPr>
        <w:tab/>
        <w:t>Method of Data Analysis and Statistical Tool</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w:t>
      </w:r>
      <w:bookmarkStart w:id="1" w:name="_Hlk68900630"/>
      <w:r w:rsidRPr="005F6C37">
        <w:rPr>
          <w:rFonts w:ascii="Times New Roman" w:hAnsi="Times New Roman" w:cs="Times New Roman"/>
          <w:sz w:val="24"/>
          <w:szCs w:val="24"/>
        </w:rPr>
        <w:t>Multiple Linear Regressions.</w:t>
      </w:r>
      <w:bookmarkEnd w:id="1"/>
      <w:r w:rsidRPr="005F6C37">
        <w:rPr>
          <w:rFonts w:ascii="Times New Roman" w:hAnsi="Times New Roman" w:cs="Times New Roman"/>
          <w:sz w:val="24"/>
          <w:szCs w:val="24"/>
        </w:rPr>
        <w:t xml:space="preserve"> However, to ease the overall process to be undertaken in the analysis of the data, the Statistical Package for Social Sciences (SPSS) shall be employed for executing the various analyses and statistical tests. The regression models for analyses of data are presented below:</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lastRenderedPageBreak/>
        <w:t>Hypothesis I</w:t>
      </w:r>
    </w:p>
    <w:p w:rsidR="002E671C" w:rsidRPr="005F6C37" w:rsidRDefault="002C5934" w:rsidP="00883E8E">
      <w:pPr>
        <w:spacing w:after="0" w:line="240" w:lineRule="auto"/>
        <w:jc w:val="both"/>
        <w:rPr>
          <w:rFonts w:ascii="Times New Roman" w:hAnsi="Times New Roman" w:cs="Times New Roman"/>
          <w:sz w:val="24"/>
          <w:szCs w:val="24"/>
        </w:rPr>
      </w:pPr>
      <w:r w:rsidRPr="005F6C37">
        <w:rPr>
          <w:rFonts w:ascii="Times New Roman" w:hAnsi="Times New Roman" w:cs="Times New Roman"/>
          <w:sz w:val="24"/>
          <w:szCs w:val="24"/>
        </w:rPr>
        <w:t>Ho</w:t>
      </w:r>
      <w:r w:rsidRPr="005F6C37">
        <w:rPr>
          <w:rFonts w:ascii="Times New Roman" w:hAnsi="Times New Roman" w:cs="Times New Roman"/>
          <w:sz w:val="24"/>
          <w:szCs w:val="24"/>
          <w:vertAlign w:val="subscript"/>
        </w:rPr>
        <w:t>1</w:t>
      </w:r>
      <w:r w:rsidRPr="005F6C37">
        <w:rPr>
          <w:rFonts w:ascii="Times New Roman" w:hAnsi="Times New Roman" w:cs="Times New Roman"/>
          <w:sz w:val="24"/>
          <w:szCs w:val="24"/>
        </w:rPr>
        <w:t>: Green Human Resource Management practices does not have any influence on the organizational effectiveness of Guaranty Trust Bank</w:t>
      </w:r>
    </w:p>
    <w:p w:rsidR="002E671C" w:rsidRPr="005F6C37" w:rsidRDefault="002C5934" w:rsidP="00883E8E">
      <w:pPr>
        <w:spacing w:after="0" w:line="240" w:lineRule="auto"/>
        <w:ind w:left="720"/>
        <w:jc w:val="both"/>
        <w:rPr>
          <w:rFonts w:ascii="Times New Roman" w:hAnsi="Times New Roman" w:cs="Times New Roman"/>
          <w:sz w:val="24"/>
          <w:szCs w:val="24"/>
        </w:rPr>
      </w:pPr>
      <w:r w:rsidRPr="005F6C37">
        <w:rPr>
          <w:rFonts w:ascii="Times New Roman" w:hAnsi="Times New Roman" w:cs="Times New Roman"/>
          <w:sz w:val="24"/>
          <w:szCs w:val="24"/>
        </w:rPr>
        <w:t xml:space="preserve">Y </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vertAlign w:val="subscript"/>
        </w:rPr>
        <w:t xml:space="preserve">1 </w:t>
      </w:r>
      <w:r w:rsidRPr="005F6C37">
        <w:rPr>
          <w:rFonts w:ascii="Times New Roman" w:hAnsi="Times New Roman" w:cs="Times New Roman"/>
          <w:sz w:val="24"/>
          <w:szCs w:val="24"/>
        </w:rPr>
        <w:t>X</w:t>
      </w:r>
      <w:r w:rsidRPr="005F6C37">
        <w:rPr>
          <w:rFonts w:ascii="Times New Roman" w:hAnsi="Times New Roman" w:cs="Times New Roman"/>
          <w:sz w:val="24"/>
          <w:szCs w:val="24"/>
          <w:vertAlign w:val="subscript"/>
        </w:rPr>
        <w:t>1</w:t>
      </w:r>
      <w:r w:rsidRPr="005F6C37">
        <w:rPr>
          <w:rFonts w:ascii="Times New Roman" w:hAnsi="Times New Roman" w:cs="Times New Roman"/>
          <w:sz w:val="24"/>
          <w:szCs w:val="24"/>
        </w:rPr>
        <w:t xml:space="preserve"> + </w:t>
      </w:r>
      <w:r w:rsidRPr="005F6C37">
        <w:rPr>
          <w:rFonts w:ascii="Times New Roman" w:hAnsi="Times New Roman" w:cs="Times New Roman"/>
          <w:sz w:val="24"/>
          <w:szCs w:val="24"/>
          <w:vertAlign w:val="subscript"/>
        </w:rPr>
        <w:t xml:space="preserve">2 </w:t>
      </w:r>
      <w:r w:rsidRPr="005F6C37">
        <w:rPr>
          <w:rFonts w:ascii="Times New Roman" w:hAnsi="Times New Roman" w:cs="Times New Roman"/>
          <w:sz w:val="24"/>
          <w:szCs w:val="24"/>
        </w:rPr>
        <w:t>X</w:t>
      </w:r>
      <w:r w:rsidRPr="005F6C37">
        <w:rPr>
          <w:rFonts w:ascii="Times New Roman" w:hAnsi="Times New Roman" w:cs="Times New Roman"/>
          <w:sz w:val="24"/>
          <w:szCs w:val="24"/>
          <w:vertAlign w:val="subscript"/>
        </w:rPr>
        <w:t>2</w:t>
      </w:r>
      <w:r w:rsidRPr="005F6C37">
        <w:rPr>
          <w:rFonts w:ascii="Times New Roman" w:hAnsi="Times New Roman" w:cs="Times New Roman"/>
          <w:sz w:val="24"/>
          <w:szCs w:val="24"/>
        </w:rPr>
        <w:t xml:space="preserve"> + </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p>
    <w:p w:rsidR="002E671C" w:rsidRPr="005F6C37" w:rsidRDefault="002C5934" w:rsidP="00883E8E">
      <w:pPr>
        <w:spacing w:after="0" w:line="240" w:lineRule="auto"/>
        <w:ind w:firstLine="720"/>
        <w:jc w:val="both"/>
        <w:rPr>
          <w:rFonts w:ascii="Times New Roman" w:hAnsi="Times New Roman" w:cs="Times New Roman"/>
          <w:sz w:val="24"/>
          <w:szCs w:val="24"/>
        </w:rPr>
      </w:pPr>
      <w:r w:rsidRPr="005F6C37">
        <w:rPr>
          <w:rFonts w:ascii="Times New Roman" w:hAnsi="Times New Roman" w:cs="Times New Roman"/>
          <w:sz w:val="24"/>
          <w:szCs w:val="24"/>
        </w:rPr>
        <w:t xml:space="preserve">OE = </w:t>
      </w:r>
      <w:proofErr w:type="gramStart"/>
      <w:r w:rsidRPr="005F6C37">
        <w:rPr>
          <w:rFonts w:ascii="Times New Roman" w:hAnsi="Times New Roman" w:cs="Times New Roman"/>
          <w:i/>
          <w:sz w:val="24"/>
          <w:szCs w:val="24"/>
        </w:rPr>
        <w:t>f</w:t>
      </w:r>
      <w:r w:rsidRPr="005F6C37">
        <w:rPr>
          <w:rFonts w:ascii="Times New Roman" w:hAnsi="Times New Roman" w:cs="Times New Roman"/>
          <w:sz w:val="24"/>
          <w:szCs w:val="24"/>
        </w:rPr>
        <w:t>(</w:t>
      </w:r>
      <w:proofErr w:type="gramEnd"/>
      <w:r w:rsidRPr="005F6C37">
        <w:rPr>
          <w:rFonts w:ascii="Times New Roman" w:hAnsi="Times New Roman" w:cs="Times New Roman"/>
          <w:sz w:val="24"/>
          <w:szCs w:val="24"/>
        </w:rPr>
        <w:t>P)</w:t>
      </w:r>
    </w:p>
    <w:p w:rsidR="002E671C" w:rsidRPr="005F6C37" w:rsidRDefault="002C5934" w:rsidP="00883E8E">
      <w:pPr>
        <w:spacing w:after="0" w:line="240" w:lineRule="auto"/>
        <w:ind w:firstLine="720"/>
        <w:jc w:val="both"/>
        <w:rPr>
          <w:rFonts w:ascii="Times New Roman" w:hAnsi="Times New Roman" w:cs="Times New Roman"/>
          <w:sz w:val="24"/>
          <w:szCs w:val="24"/>
        </w:rPr>
      </w:pPr>
      <w:r w:rsidRPr="005F6C37">
        <w:rPr>
          <w:rFonts w:ascii="Times New Roman" w:hAnsi="Times New Roman" w:cs="Times New Roman"/>
          <w:sz w:val="24"/>
          <w:szCs w:val="24"/>
        </w:rPr>
        <w:t>Where:</w:t>
      </w:r>
    </w:p>
    <w:p w:rsidR="002E671C" w:rsidRPr="005F6C37" w:rsidRDefault="002C5934" w:rsidP="00883E8E">
      <w:pPr>
        <w:spacing w:after="0" w:line="240" w:lineRule="auto"/>
        <w:ind w:firstLine="720"/>
        <w:jc w:val="both"/>
        <w:rPr>
          <w:rFonts w:ascii="Times New Roman" w:hAnsi="Times New Roman" w:cs="Times New Roman"/>
          <w:bCs/>
          <w:sz w:val="24"/>
          <w:szCs w:val="24"/>
        </w:rPr>
      </w:pPr>
      <w:r w:rsidRPr="005F6C37">
        <w:rPr>
          <w:rFonts w:ascii="Times New Roman" w:hAnsi="Times New Roman" w:cs="Times New Roman"/>
          <w:sz w:val="24"/>
          <w:szCs w:val="24"/>
        </w:rPr>
        <w:t xml:space="preserve">Y </w:t>
      </w:r>
      <w:r w:rsidRPr="005F6C37">
        <w:rPr>
          <w:rFonts w:ascii="Times New Roman" w:hAnsi="Times New Roman" w:cs="Times New Roman"/>
          <w:sz w:val="24"/>
          <w:szCs w:val="24"/>
        </w:rPr>
        <w:tab/>
        <w:t>= Organizational Effectiveness (OE) – Dependent Variable</w:t>
      </w:r>
    </w:p>
    <w:p w:rsidR="002E671C" w:rsidRPr="005F6C37" w:rsidRDefault="002C5934" w:rsidP="00883E8E">
      <w:pPr>
        <w:spacing w:after="0" w:line="240" w:lineRule="auto"/>
        <w:ind w:firstLine="720"/>
        <w:jc w:val="both"/>
        <w:rPr>
          <w:rFonts w:ascii="Times New Roman" w:hAnsi="Times New Roman" w:cs="Times New Roman"/>
          <w:sz w:val="24"/>
          <w:szCs w:val="24"/>
        </w:rPr>
      </w:pPr>
      <w:r w:rsidRPr="005F6C37">
        <w:rPr>
          <w:rFonts w:ascii="Times New Roman" w:hAnsi="Times New Roman" w:cs="Times New Roman"/>
          <w:sz w:val="24"/>
          <w:szCs w:val="24"/>
        </w:rPr>
        <w:t>X</w:t>
      </w:r>
      <w:r w:rsidRPr="005F6C37">
        <w:rPr>
          <w:rFonts w:ascii="Times New Roman" w:hAnsi="Times New Roman" w:cs="Times New Roman"/>
          <w:sz w:val="24"/>
          <w:szCs w:val="24"/>
          <w:vertAlign w:val="subscript"/>
        </w:rPr>
        <w:t>1</w:t>
      </w:r>
      <w:r w:rsidRPr="005F6C37">
        <w:rPr>
          <w:rFonts w:ascii="Times New Roman" w:hAnsi="Times New Roman" w:cs="Times New Roman"/>
          <w:sz w:val="24"/>
          <w:szCs w:val="24"/>
        </w:rPr>
        <w:t xml:space="preserve"> </w:t>
      </w:r>
      <w:r w:rsidRPr="005F6C37">
        <w:rPr>
          <w:rFonts w:ascii="Times New Roman" w:hAnsi="Times New Roman" w:cs="Times New Roman"/>
          <w:sz w:val="24"/>
          <w:szCs w:val="24"/>
        </w:rPr>
        <w:tab/>
        <w:t xml:space="preserve">= Green Human Resource Management Practices (GHRM) – Independent Variable </w:t>
      </w:r>
    </w:p>
    <w:p w:rsidR="002E671C" w:rsidRPr="005F6C37" w:rsidRDefault="002C5934" w:rsidP="00883E8E">
      <w:pPr>
        <w:spacing w:after="0" w:line="240" w:lineRule="auto"/>
        <w:ind w:firstLine="720"/>
        <w:jc w:val="both"/>
        <w:rPr>
          <w:rFonts w:ascii="Times New Roman" w:hAnsi="Times New Roman" w:cs="Times New Roman"/>
          <w:sz w:val="24"/>
          <w:szCs w:val="24"/>
        </w:rPr>
      </w:pPr>
      <w:r w:rsidRPr="005F6C37">
        <w:rPr>
          <w:rFonts w:ascii="Times New Roman" w:hAnsi="Times New Roman" w:cs="Times New Roman"/>
          <w:sz w:val="24"/>
          <w:szCs w:val="24"/>
        </w:rPr>
        <w:t xml:space="preserve"> = Error Terms</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Hypothesis II</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Ho</w:t>
      </w:r>
      <w:r w:rsidRPr="005F6C37">
        <w:rPr>
          <w:rFonts w:ascii="Times New Roman" w:hAnsi="Times New Roman" w:cs="Times New Roman"/>
          <w:sz w:val="24"/>
          <w:szCs w:val="24"/>
          <w:vertAlign w:val="subscript"/>
        </w:rPr>
        <w:t>2</w:t>
      </w:r>
      <w:r w:rsidRPr="005F6C37">
        <w:rPr>
          <w:rFonts w:ascii="Times New Roman" w:hAnsi="Times New Roman" w:cs="Times New Roman"/>
          <w:sz w:val="24"/>
          <w:szCs w:val="24"/>
        </w:rPr>
        <w:t>: There is no relationship between Green Human Resource Management practices and organizational competitiveness of Guaranty Trust Bank;</w:t>
      </w:r>
    </w:p>
    <w:p w:rsidR="002E671C" w:rsidRPr="005F6C37" w:rsidRDefault="002C5934" w:rsidP="00883E8E">
      <w:pPr>
        <w:spacing w:after="0" w:line="240" w:lineRule="auto"/>
        <w:ind w:left="720"/>
        <w:jc w:val="both"/>
        <w:rPr>
          <w:rFonts w:ascii="Times New Roman" w:hAnsi="Times New Roman" w:cs="Times New Roman"/>
          <w:sz w:val="24"/>
          <w:szCs w:val="24"/>
        </w:rPr>
      </w:pPr>
      <w:r w:rsidRPr="005F6C37">
        <w:rPr>
          <w:rFonts w:ascii="Times New Roman" w:hAnsi="Times New Roman" w:cs="Times New Roman"/>
          <w:sz w:val="24"/>
          <w:szCs w:val="24"/>
        </w:rPr>
        <w:t xml:space="preserve">Y </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vertAlign w:val="subscript"/>
        </w:rPr>
        <w:t xml:space="preserve">1 </w:t>
      </w:r>
      <w:r w:rsidRPr="005F6C37">
        <w:rPr>
          <w:rFonts w:ascii="Times New Roman" w:hAnsi="Times New Roman" w:cs="Times New Roman"/>
          <w:sz w:val="24"/>
          <w:szCs w:val="24"/>
        </w:rPr>
        <w:t>X</w:t>
      </w:r>
      <w:r w:rsidRPr="005F6C37">
        <w:rPr>
          <w:rFonts w:ascii="Times New Roman" w:hAnsi="Times New Roman" w:cs="Times New Roman"/>
          <w:sz w:val="24"/>
          <w:szCs w:val="24"/>
          <w:vertAlign w:val="subscript"/>
        </w:rPr>
        <w:t>1</w:t>
      </w:r>
      <w:r w:rsidRPr="005F6C37">
        <w:rPr>
          <w:rFonts w:ascii="Times New Roman" w:hAnsi="Times New Roman" w:cs="Times New Roman"/>
          <w:sz w:val="24"/>
          <w:szCs w:val="24"/>
        </w:rPr>
        <w:t xml:space="preserve"> + </w:t>
      </w:r>
      <w:r w:rsidRPr="005F6C37">
        <w:rPr>
          <w:rFonts w:ascii="Times New Roman" w:hAnsi="Times New Roman" w:cs="Times New Roman"/>
          <w:sz w:val="24"/>
          <w:szCs w:val="24"/>
          <w:vertAlign w:val="subscript"/>
        </w:rPr>
        <w:t xml:space="preserve">2 </w:t>
      </w:r>
      <w:r w:rsidRPr="005F6C37">
        <w:rPr>
          <w:rFonts w:ascii="Times New Roman" w:hAnsi="Times New Roman" w:cs="Times New Roman"/>
          <w:sz w:val="24"/>
          <w:szCs w:val="24"/>
        </w:rPr>
        <w:t>X</w:t>
      </w:r>
      <w:r w:rsidRPr="005F6C37">
        <w:rPr>
          <w:rFonts w:ascii="Times New Roman" w:hAnsi="Times New Roman" w:cs="Times New Roman"/>
          <w:sz w:val="24"/>
          <w:szCs w:val="24"/>
          <w:vertAlign w:val="subscript"/>
        </w:rPr>
        <w:t>2</w:t>
      </w:r>
      <w:r w:rsidRPr="005F6C37">
        <w:rPr>
          <w:rFonts w:ascii="Times New Roman" w:hAnsi="Times New Roman" w:cs="Times New Roman"/>
          <w:sz w:val="24"/>
          <w:szCs w:val="24"/>
        </w:rPr>
        <w:t xml:space="preserve"> + </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p>
    <w:p w:rsidR="002E671C" w:rsidRPr="005F6C37" w:rsidRDefault="002C5934" w:rsidP="00883E8E">
      <w:pPr>
        <w:spacing w:after="0" w:line="240" w:lineRule="auto"/>
        <w:ind w:left="720"/>
        <w:jc w:val="both"/>
        <w:rPr>
          <w:rFonts w:ascii="Times New Roman" w:hAnsi="Times New Roman" w:cs="Times New Roman"/>
          <w:sz w:val="24"/>
          <w:szCs w:val="24"/>
        </w:rPr>
      </w:pPr>
      <w:r w:rsidRPr="005F6C37">
        <w:rPr>
          <w:rFonts w:ascii="Times New Roman" w:hAnsi="Times New Roman" w:cs="Times New Roman"/>
          <w:sz w:val="24"/>
          <w:szCs w:val="24"/>
        </w:rPr>
        <w:t xml:space="preserve">OC = </w:t>
      </w:r>
      <w:proofErr w:type="gramStart"/>
      <w:r w:rsidRPr="005F6C37">
        <w:rPr>
          <w:rFonts w:ascii="Times New Roman" w:hAnsi="Times New Roman" w:cs="Times New Roman"/>
          <w:i/>
          <w:sz w:val="24"/>
          <w:szCs w:val="24"/>
        </w:rPr>
        <w:t>f</w:t>
      </w:r>
      <w:r w:rsidRPr="005F6C37">
        <w:rPr>
          <w:rFonts w:ascii="Times New Roman" w:hAnsi="Times New Roman" w:cs="Times New Roman"/>
          <w:sz w:val="24"/>
          <w:szCs w:val="24"/>
        </w:rPr>
        <w:t>(</w:t>
      </w:r>
      <w:proofErr w:type="gramEnd"/>
      <w:r w:rsidRPr="005F6C37">
        <w:rPr>
          <w:rFonts w:ascii="Times New Roman" w:hAnsi="Times New Roman" w:cs="Times New Roman"/>
          <w:sz w:val="24"/>
          <w:szCs w:val="24"/>
        </w:rPr>
        <w:t>P)</w:t>
      </w:r>
    </w:p>
    <w:p w:rsidR="002E671C" w:rsidRPr="005F6C37" w:rsidRDefault="002C5934" w:rsidP="00883E8E">
      <w:pPr>
        <w:spacing w:after="0" w:line="240" w:lineRule="auto"/>
        <w:ind w:left="720"/>
        <w:jc w:val="both"/>
        <w:rPr>
          <w:rFonts w:ascii="Times New Roman" w:hAnsi="Times New Roman" w:cs="Times New Roman"/>
          <w:sz w:val="24"/>
          <w:szCs w:val="24"/>
        </w:rPr>
      </w:pPr>
      <w:r w:rsidRPr="005F6C37">
        <w:rPr>
          <w:rFonts w:ascii="Times New Roman" w:hAnsi="Times New Roman" w:cs="Times New Roman"/>
          <w:sz w:val="24"/>
          <w:szCs w:val="24"/>
        </w:rPr>
        <w:t>Where:</w:t>
      </w:r>
    </w:p>
    <w:p w:rsidR="002E671C" w:rsidRPr="005F6C37" w:rsidRDefault="002C5934" w:rsidP="00883E8E">
      <w:pPr>
        <w:spacing w:after="0" w:line="240" w:lineRule="auto"/>
        <w:ind w:left="720"/>
        <w:jc w:val="both"/>
        <w:rPr>
          <w:rFonts w:ascii="Times New Roman" w:hAnsi="Times New Roman" w:cs="Times New Roman"/>
          <w:bCs/>
          <w:sz w:val="24"/>
          <w:szCs w:val="24"/>
        </w:rPr>
      </w:pPr>
      <w:r w:rsidRPr="005F6C37">
        <w:rPr>
          <w:rFonts w:ascii="Times New Roman" w:hAnsi="Times New Roman" w:cs="Times New Roman"/>
          <w:sz w:val="24"/>
          <w:szCs w:val="24"/>
        </w:rPr>
        <w:t>Y</w:t>
      </w:r>
      <w:r w:rsidRPr="005F6C37">
        <w:rPr>
          <w:rFonts w:ascii="Times New Roman" w:hAnsi="Times New Roman" w:cs="Times New Roman"/>
          <w:sz w:val="24"/>
          <w:szCs w:val="24"/>
        </w:rPr>
        <w:tab/>
        <w:t>= Organizational Competitiveness (OC) – Dependent Variable</w:t>
      </w:r>
    </w:p>
    <w:p w:rsidR="002E671C" w:rsidRPr="005F6C37" w:rsidRDefault="002C5934" w:rsidP="00883E8E">
      <w:pPr>
        <w:spacing w:after="0" w:line="240" w:lineRule="auto"/>
        <w:ind w:left="720"/>
        <w:jc w:val="both"/>
        <w:rPr>
          <w:rFonts w:ascii="Times New Roman" w:hAnsi="Times New Roman" w:cs="Times New Roman"/>
          <w:sz w:val="24"/>
          <w:szCs w:val="24"/>
        </w:rPr>
      </w:pPr>
      <w:r w:rsidRPr="005F6C37">
        <w:rPr>
          <w:rFonts w:ascii="Times New Roman" w:hAnsi="Times New Roman" w:cs="Times New Roman"/>
          <w:sz w:val="24"/>
          <w:szCs w:val="24"/>
        </w:rPr>
        <w:t>X</w:t>
      </w:r>
      <w:r w:rsidRPr="005F6C37">
        <w:rPr>
          <w:rFonts w:ascii="Times New Roman" w:hAnsi="Times New Roman" w:cs="Times New Roman"/>
          <w:sz w:val="24"/>
          <w:szCs w:val="24"/>
          <w:vertAlign w:val="subscript"/>
        </w:rPr>
        <w:t>1</w:t>
      </w:r>
      <w:r w:rsidRPr="005F6C37">
        <w:rPr>
          <w:rFonts w:ascii="Times New Roman" w:hAnsi="Times New Roman" w:cs="Times New Roman"/>
          <w:sz w:val="24"/>
          <w:szCs w:val="24"/>
        </w:rPr>
        <w:tab/>
        <w:t xml:space="preserve">= Green Human Resource Management Practices (GHRM) – Independent </w:t>
      </w:r>
      <w:proofErr w:type="gramStart"/>
      <w:r w:rsidRPr="005F6C37">
        <w:rPr>
          <w:rFonts w:ascii="Times New Roman" w:hAnsi="Times New Roman" w:cs="Times New Roman"/>
          <w:sz w:val="24"/>
          <w:szCs w:val="24"/>
        </w:rPr>
        <w:t>Variable  =</w:t>
      </w:r>
      <w:proofErr w:type="gramEnd"/>
      <w:r w:rsidRPr="005F6C37">
        <w:rPr>
          <w:rFonts w:ascii="Times New Roman" w:hAnsi="Times New Roman" w:cs="Times New Roman"/>
          <w:sz w:val="24"/>
          <w:szCs w:val="24"/>
        </w:rPr>
        <w:t xml:space="preserve"> Error Terms</w:t>
      </w:r>
    </w:p>
    <w:p w:rsidR="002E671C" w:rsidRPr="005F6C37" w:rsidRDefault="002C5934" w:rsidP="00883E8E">
      <w:pPr>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Hypothesis III</w:t>
      </w:r>
    </w:p>
    <w:p w:rsidR="002E671C" w:rsidRPr="005F6C37" w:rsidRDefault="002C5934" w:rsidP="00883E8E">
      <w:pPr>
        <w:spacing w:after="0" w:line="240" w:lineRule="auto"/>
        <w:ind w:left="720" w:hanging="720"/>
        <w:jc w:val="both"/>
        <w:rPr>
          <w:rFonts w:ascii="Times New Roman" w:hAnsi="Times New Roman" w:cs="Times New Roman"/>
          <w:sz w:val="24"/>
          <w:szCs w:val="24"/>
        </w:rPr>
      </w:pPr>
      <w:r w:rsidRPr="005F6C37">
        <w:rPr>
          <w:rFonts w:ascii="Times New Roman" w:hAnsi="Times New Roman" w:cs="Times New Roman"/>
          <w:sz w:val="24"/>
          <w:szCs w:val="24"/>
        </w:rPr>
        <w:t>Ho</w:t>
      </w:r>
      <w:r w:rsidRPr="005F6C37">
        <w:rPr>
          <w:rFonts w:ascii="Times New Roman" w:hAnsi="Times New Roman" w:cs="Times New Roman"/>
          <w:sz w:val="24"/>
          <w:szCs w:val="24"/>
          <w:vertAlign w:val="subscript"/>
        </w:rPr>
        <w:t>3</w:t>
      </w:r>
      <w:r w:rsidRPr="005F6C37">
        <w:rPr>
          <w:rFonts w:ascii="Times New Roman" w:hAnsi="Times New Roman" w:cs="Times New Roman"/>
          <w:sz w:val="24"/>
          <w:szCs w:val="24"/>
        </w:rPr>
        <w:t>:</w:t>
      </w:r>
      <w:r w:rsidRPr="005F6C37">
        <w:rPr>
          <w:rFonts w:ascii="Times New Roman" w:hAnsi="Times New Roman" w:cs="Times New Roman"/>
          <w:sz w:val="24"/>
          <w:szCs w:val="24"/>
        </w:rPr>
        <w:tab/>
        <w:t>Green Human Resource Management practices has no role on organizational resilience of GTB</w:t>
      </w:r>
    </w:p>
    <w:p w:rsidR="002E671C" w:rsidRPr="005F6C37" w:rsidRDefault="002C5934" w:rsidP="00883E8E">
      <w:pPr>
        <w:spacing w:after="0" w:line="240" w:lineRule="auto"/>
        <w:ind w:left="720"/>
        <w:jc w:val="both"/>
        <w:rPr>
          <w:rFonts w:ascii="Times New Roman" w:hAnsi="Times New Roman" w:cs="Times New Roman"/>
          <w:sz w:val="24"/>
          <w:szCs w:val="24"/>
        </w:rPr>
      </w:pPr>
      <w:r w:rsidRPr="005F6C37">
        <w:rPr>
          <w:rFonts w:ascii="Times New Roman" w:hAnsi="Times New Roman" w:cs="Times New Roman"/>
          <w:sz w:val="24"/>
          <w:szCs w:val="24"/>
        </w:rPr>
        <w:t xml:space="preserve">Y </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vertAlign w:val="subscript"/>
        </w:rPr>
        <w:t xml:space="preserve">1 </w:t>
      </w:r>
      <w:r w:rsidRPr="005F6C37">
        <w:rPr>
          <w:rFonts w:ascii="Times New Roman" w:hAnsi="Times New Roman" w:cs="Times New Roman"/>
          <w:sz w:val="24"/>
          <w:szCs w:val="24"/>
        </w:rPr>
        <w:t>X</w:t>
      </w:r>
      <w:r w:rsidRPr="005F6C37">
        <w:rPr>
          <w:rFonts w:ascii="Times New Roman" w:hAnsi="Times New Roman" w:cs="Times New Roman"/>
          <w:sz w:val="24"/>
          <w:szCs w:val="24"/>
          <w:vertAlign w:val="subscript"/>
        </w:rPr>
        <w:t>1</w:t>
      </w:r>
      <w:r w:rsidRPr="005F6C37">
        <w:rPr>
          <w:rFonts w:ascii="Times New Roman" w:hAnsi="Times New Roman" w:cs="Times New Roman"/>
          <w:sz w:val="24"/>
          <w:szCs w:val="24"/>
        </w:rPr>
        <w:t xml:space="preserve"> + </w:t>
      </w:r>
      <w:r w:rsidRPr="005F6C37">
        <w:rPr>
          <w:rFonts w:ascii="Times New Roman" w:hAnsi="Times New Roman" w:cs="Times New Roman"/>
          <w:sz w:val="24"/>
          <w:szCs w:val="24"/>
          <w:vertAlign w:val="subscript"/>
        </w:rPr>
        <w:t xml:space="preserve">2 </w:t>
      </w:r>
      <w:r w:rsidRPr="005F6C37">
        <w:rPr>
          <w:rFonts w:ascii="Times New Roman" w:hAnsi="Times New Roman" w:cs="Times New Roman"/>
          <w:sz w:val="24"/>
          <w:szCs w:val="24"/>
        </w:rPr>
        <w:t>X</w:t>
      </w:r>
      <w:r w:rsidRPr="005F6C37">
        <w:rPr>
          <w:rFonts w:ascii="Times New Roman" w:hAnsi="Times New Roman" w:cs="Times New Roman"/>
          <w:sz w:val="24"/>
          <w:szCs w:val="24"/>
          <w:vertAlign w:val="subscript"/>
        </w:rPr>
        <w:t>2</w:t>
      </w:r>
      <w:r w:rsidRPr="005F6C37">
        <w:rPr>
          <w:rFonts w:ascii="Times New Roman" w:hAnsi="Times New Roman" w:cs="Times New Roman"/>
          <w:sz w:val="24"/>
          <w:szCs w:val="24"/>
        </w:rPr>
        <w:t xml:space="preserve"> + </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r w:rsidRPr="005F6C37">
        <w:rPr>
          <w:rFonts w:ascii="Times New Roman" w:hAnsi="Times New Roman" w:cs="Times New Roman"/>
          <w:sz w:val="24"/>
          <w:szCs w:val="24"/>
        </w:rPr>
        <w:t></w:t>
      </w:r>
    </w:p>
    <w:p w:rsidR="002E671C" w:rsidRPr="005F6C37" w:rsidRDefault="002C5934" w:rsidP="00883E8E">
      <w:pPr>
        <w:spacing w:after="0" w:line="240" w:lineRule="auto"/>
        <w:ind w:left="720"/>
        <w:jc w:val="both"/>
        <w:rPr>
          <w:rFonts w:ascii="Times New Roman" w:hAnsi="Times New Roman" w:cs="Times New Roman"/>
          <w:sz w:val="24"/>
          <w:szCs w:val="24"/>
        </w:rPr>
      </w:pPr>
      <w:r w:rsidRPr="005F6C37">
        <w:rPr>
          <w:rFonts w:ascii="Times New Roman" w:hAnsi="Times New Roman" w:cs="Times New Roman"/>
          <w:sz w:val="24"/>
          <w:szCs w:val="24"/>
        </w:rPr>
        <w:t xml:space="preserve">OR = </w:t>
      </w:r>
      <w:proofErr w:type="gramStart"/>
      <w:r w:rsidRPr="005F6C37">
        <w:rPr>
          <w:rFonts w:ascii="Times New Roman" w:hAnsi="Times New Roman" w:cs="Times New Roman"/>
          <w:i/>
          <w:sz w:val="24"/>
          <w:szCs w:val="24"/>
        </w:rPr>
        <w:t>f</w:t>
      </w:r>
      <w:r w:rsidRPr="005F6C37">
        <w:rPr>
          <w:rFonts w:ascii="Times New Roman" w:hAnsi="Times New Roman" w:cs="Times New Roman"/>
          <w:sz w:val="24"/>
          <w:szCs w:val="24"/>
        </w:rPr>
        <w:t>(</w:t>
      </w:r>
      <w:proofErr w:type="gramEnd"/>
      <w:r w:rsidRPr="005F6C37">
        <w:rPr>
          <w:rFonts w:ascii="Times New Roman" w:hAnsi="Times New Roman" w:cs="Times New Roman"/>
          <w:sz w:val="24"/>
          <w:szCs w:val="24"/>
        </w:rPr>
        <w:t>P)</w:t>
      </w:r>
    </w:p>
    <w:p w:rsidR="002E671C" w:rsidRPr="005F6C37" w:rsidRDefault="002C5934" w:rsidP="00883E8E">
      <w:pPr>
        <w:spacing w:after="0" w:line="240" w:lineRule="auto"/>
        <w:ind w:left="720"/>
        <w:jc w:val="both"/>
        <w:rPr>
          <w:rFonts w:ascii="Times New Roman" w:hAnsi="Times New Roman" w:cs="Times New Roman"/>
          <w:sz w:val="24"/>
          <w:szCs w:val="24"/>
        </w:rPr>
      </w:pPr>
      <w:r w:rsidRPr="005F6C37">
        <w:rPr>
          <w:rFonts w:ascii="Times New Roman" w:hAnsi="Times New Roman" w:cs="Times New Roman"/>
          <w:sz w:val="24"/>
          <w:szCs w:val="24"/>
        </w:rPr>
        <w:t>Where:</w:t>
      </w:r>
    </w:p>
    <w:p w:rsidR="002E671C" w:rsidRPr="005F6C37" w:rsidRDefault="002C5934" w:rsidP="00883E8E">
      <w:pPr>
        <w:spacing w:after="0" w:line="240" w:lineRule="auto"/>
        <w:ind w:left="720"/>
        <w:jc w:val="both"/>
        <w:rPr>
          <w:rFonts w:ascii="Times New Roman" w:hAnsi="Times New Roman" w:cs="Times New Roman"/>
          <w:bCs/>
          <w:sz w:val="24"/>
          <w:szCs w:val="24"/>
        </w:rPr>
      </w:pPr>
      <w:r w:rsidRPr="005F6C37">
        <w:rPr>
          <w:rFonts w:ascii="Times New Roman" w:hAnsi="Times New Roman" w:cs="Times New Roman"/>
          <w:sz w:val="24"/>
          <w:szCs w:val="24"/>
        </w:rPr>
        <w:t xml:space="preserve">Y </w:t>
      </w:r>
      <w:r w:rsidRPr="005F6C37">
        <w:rPr>
          <w:rFonts w:ascii="Times New Roman" w:hAnsi="Times New Roman" w:cs="Times New Roman"/>
          <w:sz w:val="24"/>
          <w:szCs w:val="24"/>
        </w:rPr>
        <w:tab/>
        <w:t>= Organizational Resilience (OR) – Dependent Variable</w:t>
      </w:r>
    </w:p>
    <w:p w:rsidR="002E671C" w:rsidRPr="005F6C37" w:rsidRDefault="002C5934" w:rsidP="00883E8E">
      <w:pPr>
        <w:spacing w:after="0" w:line="240" w:lineRule="auto"/>
        <w:ind w:left="720"/>
        <w:jc w:val="both"/>
        <w:rPr>
          <w:rFonts w:ascii="Times New Roman" w:hAnsi="Times New Roman" w:cs="Times New Roman"/>
          <w:sz w:val="24"/>
          <w:szCs w:val="24"/>
        </w:rPr>
      </w:pPr>
      <w:r w:rsidRPr="005F6C37">
        <w:rPr>
          <w:rFonts w:ascii="Times New Roman" w:hAnsi="Times New Roman" w:cs="Times New Roman"/>
          <w:sz w:val="24"/>
          <w:szCs w:val="24"/>
        </w:rPr>
        <w:t>X</w:t>
      </w:r>
      <w:r w:rsidRPr="005F6C37">
        <w:rPr>
          <w:rFonts w:ascii="Times New Roman" w:hAnsi="Times New Roman" w:cs="Times New Roman"/>
          <w:sz w:val="24"/>
          <w:szCs w:val="24"/>
          <w:vertAlign w:val="subscript"/>
        </w:rPr>
        <w:t>1</w:t>
      </w:r>
      <w:r w:rsidRPr="005F6C37">
        <w:rPr>
          <w:rFonts w:ascii="Times New Roman" w:hAnsi="Times New Roman" w:cs="Times New Roman"/>
          <w:sz w:val="24"/>
          <w:szCs w:val="24"/>
        </w:rPr>
        <w:t xml:space="preserve"> </w:t>
      </w:r>
      <w:r w:rsidRPr="005F6C37">
        <w:rPr>
          <w:rFonts w:ascii="Times New Roman" w:hAnsi="Times New Roman" w:cs="Times New Roman"/>
          <w:sz w:val="24"/>
          <w:szCs w:val="24"/>
        </w:rPr>
        <w:tab/>
        <w:t>= Green Human Resource Management Practices (GHRM) – Independent Variable</w:t>
      </w:r>
    </w:p>
    <w:p w:rsidR="002E671C" w:rsidRPr="005F6C37" w:rsidRDefault="002C5934" w:rsidP="00883E8E">
      <w:pPr>
        <w:spacing w:after="0" w:line="240" w:lineRule="auto"/>
        <w:ind w:left="1440" w:hanging="720"/>
        <w:jc w:val="both"/>
        <w:rPr>
          <w:rFonts w:ascii="Times New Roman" w:hAnsi="Times New Roman" w:cs="Times New Roman"/>
          <w:sz w:val="24"/>
          <w:szCs w:val="24"/>
        </w:rPr>
      </w:pPr>
      <w:r w:rsidRPr="005F6C37">
        <w:rPr>
          <w:rFonts w:ascii="Times New Roman" w:hAnsi="Times New Roman" w:cs="Times New Roman"/>
          <w:sz w:val="24"/>
          <w:szCs w:val="24"/>
        </w:rPr>
        <w:t xml:space="preserve"> = Error Terms </w:t>
      </w:r>
    </w:p>
    <w:p w:rsidR="002E671C" w:rsidRPr="005F6C37" w:rsidRDefault="007927B6" w:rsidP="00A409A7">
      <w:pPr>
        <w:tabs>
          <w:tab w:val="left" w:pos="236"/>
          <w:tab w:val="left" w:pos="3240"/>
        </w:tabs>
        <w:spacing w:after="0" w:line="360" w:lineRule="auto"/>
        <w:jc w:val="both"/>
        <w:rPr>
          <w:rFonts w:ascii="Times New Roman" w:eastAsia="Calibri" w:hAnsi="Times New Roman" w:cs="Times New Roman"/>
          <w:b/>
          <w:sz w:val="24"/>
          <w:szCs w:val="24"/>
        </w:rPr>
      </w:pPr>
      <w:r w:rsidRPr="005F6C37">
        <w:rPr>
          <w:rFonts w:ascii="Times New Roman" w:eastAsia="Calibri" w:hAnsi="Times New Roman" w:cs="Times New Roman"/>
          <w:b/>
          <w:sz w:val="24"/>
          <w:szCs w:val="24"/>
        </w:rPr>
        <w:t xml:space="preserve">3.8   </w:t>
      </w:r>
      <w:r w:rsidR="002C5934" w:rsidRPr="005F6C37">
        <w:rPr>
          <w:rFonts w:ascii="Times New Roman" w:eastAsia="Calibri" w:hAnsi="Times New Roman" w:cs="Times New Roman"/>
          <w:b/>
          <w:sz w:val="24"/>
          <w:szCs w:val="24"/>
        </w:rPr>
        <w:t>Ethical consideration</w:t>
      </w:r>
    </w:p>
    <w:p w:rsidR="002E671C" w:rsidRPr="005F6C37" w:rsidRDefault="007927B6" w:rsidP="00A409A7">
      <w:pPr>
        <w:spacing w:after="0" w:line="360" w:lineRule="auto"/>
        <w:rPr>
          <w:rFonts w:ascii="Times New Roman" w:hAnsi="Times New Roman" w:cs="Times New Roman"/>
          <w:sz w:val="24"/>
          <w:szCs w:val="24"/>
        </w:rPr>
      </w:pPr>
      <w:r w:rsidRPr="005F6C37">
        <w:rPr>
          <w:rFonts w:ascii="Times New Roman" w:eastAsia="Calibri" w:hAnsi="Times New Roman" w:cs="Times New Roman"/>
          <w:sz w:val="24"/>
          <w:szCs w:val="24"/>
        </w:rPr>
        <w:t>The research participants in this study will maintain their identities both during and after the study. Throughout the research process, the respondents' rights and integrity will be treated with the utmost care. To prevent unauthorized use by third parties, the data collected will be properly safeguarded. Additionally, none of the respondents will be coerced into providing information important to this study.</w:t>
      </w:r>
    </w:p>
    <w:p w:rsidR="002E671C" w:rsidRPr="005F6C37" w:rsidRDefault="002C5934" w:rsidP="00A409A7">
      <w:pPr>
        <w:spacing w:after="0" w:line="360" w:lineRule="auto"/>
        <w:jc w:val="center"/>
        <w:rPr>
          <w:rFonts w:ascii="Times New Roman" w:hAnsi="Times New Roman" w:cs="Times New Roman"/>
          <w:b/>
          <w:sz w:val="24"/>
          <w:szCs w:val="24"/>
        </w:rPr>
      </w:pPr>
      <w:r w:rsidRPr="005F6C37">
        <w:rPr>
          <w:rFonts w:ascii="Times New Roman" w:hAnsi="Times New Roman" w:cs="Times New Roman"/>
          <w:sz w:val="24"/>
          <w:szCs w:val="24"/>
        </w:rPr>
        <w:lastRenderedPageBreak/>
        <w:t xml:space="preserve">        </w:t>
      </w:r>
      <w:r w:rsidRPr="005F6C37">
        <w:rPr>
          <w:rFonts w:ascii="Times New Roman" w:hAnsi="Times New Roman" w:cs="Times New Roman"/>
          <w:b/>
          <w:sz w:val="24"/>
          <w:szCs w:val="24"/>
        </w:rPr>
        <w:t>CHAPTER FOUR</w:t>
      </w:r>
    </w:p>
    <w:p w:rsidR="002E671C" w:rsidRPr="005F6C37" w:rsidRDefault="004A39C8" w:rsidP="00A409A7">
      <w:pPr>
        <w:autoSpaceDE w:val="0"/>
        <w:autoSpaceDN w:val="0"/>
        <w:adjustRightInd w:val="0"/>
        <w:spacing w:after="0" w:line="360" w:lineRule="auto"/>
        <w:jc w:val="center"/>
        <w:rPr>
          <w:rFonts w:ascii="Times New Roman" w:hAnsi="Times New Roman" w:cs="Times New Roman"/>
          <w:b/>
          <w:sz w:val="24"/>
          <w:szCs w:val="24"/>
        </w:rPr>
      </w:pPr>
      <w:r w:rsidRPr="005F6C37">
        <w:rPr>
          <w:rFonts w:ascii="Times New Roman" w:hAnsi="Times New Roman" w:cs="Times New Roman"/>
          <w:b/>
          <w:sz w:val="24"/>
          <w:szCs w:val="24"/>
        </w:rPr>
        <w:t>DATA ANALYSIS AND INTERPRETATION</w:t>
      </w:r>
    </w:p>
    <w:p w:rsidR="002E671C" w:rsidRPr="005F6C37" w:rsidRDefault="002C5934" w:rsidP="00A409A7">
      <w:pPr>
        <w:spacing w:after="0" w:line="360" w:lineRule="auto"/>
        <w:rPr>
          <w:rFonts w:ascii="Times New Roman" w:hAnsi="Times New Roman" w:cs="Times New Roman"/>
          <w:b/>
          <w:sz w:val="24"/>
          <w:szCs w:val="24"/>
        </w:rPr>
      </w:pPr>
      <w:r w:rsidRPr="005F6C37">
        <w:rPr>
          <w:rFonts w:ascii="Times New Roman" w:hAnsi="Times New Roman" w:cs="Times New Roman"/>
          <w:b/>
          <w:sz w:val="24"/>
          <w:szCs w:val="24"/>
        </w:rPr>
        <w:t>4.1</w:t>
      </w:r>
      <w:r w:rsidRPr="005F6C37">
        <w:rPr>
          <w:rFonts w:ascii="Times New Roman" w:hAnsi="Times New Roman" w:cs="Times New Roman"/>
          <w:b/>
          <w:sz w:val="24"/>
          <w:szCs w:val="24"/>
        </w:rPr>
        <w:tab/>
        <w:t>Introduction</w:t>
      </w:r>
    </w:p>
    <w:p w:rsidR="00E367C0" w:rsidRPr="005F6C37" w:rsidRDefault="00080EF4" w:rsidP="004A39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focuses</w:t>
      </w:r>
      <w:r w:rsidR="00E367C0" w:rsidRPr="005F6C37">
        <w:rPr>
          <w:rFonts w:ascii="Times New Roman" w:hAnsi="Times New Roman" w:cs="Times New Roman"/>
          <w:sz w:val="24"/>
          <w:szCs w:val="24"/>
        </w:rPr>
        <w:t xml:space="preserve"> on the staff of Guaranty Trust Bank in Ilorin, </w:t>
      </w:r>
      <w:proofErr w:type="spellStart"/>
      <w:r w:rsidR="00E367C0" w:rsidRPr="005F6C37">
        <w:rPr>
          <w:rFonts w:ascii="Times New Roman" w:hAnsi="Times New Roman" w:cs="Times New Roman"/>
          <w:sz w:val="24"/>
          <w:szCs w:val="24"/>
        </w:rPr>
        <w:t>Kwara</w:t>
      </w:r>
      <w:proofErr w:type="spellEnd"/>
      <w:r w:rsidR="00E367C0" w:rsidRPr="005F6C37">
        <w:rPr>
          <w:rFonts w:ascii="Times New Roman" w:hAnsi="Times New Roman" w:cs="Times New Roman"/>
          <w:sz w:val="24"/>
          <w:szCs w:val="24"/>
        </w:rPr>
        <w:t xml:space="preserve"> State, examining the impact of green human resource management practices on organizational effectiveness. In this chapter, statistical methods outlined in Chapter Three will be used to analyze data collected from completed questionnaires. A total of 50 questionnaires were distributed, and only those that were fully and accurately filled out were included in the analysis. Additionally, all hypothesis tests will be conducted with a significance level of 0.05 (5%).</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4.2: Sample Size Returned</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9"/>
        <w:gridCol w:w="1162"/>
        <w:gridCol w:w="994"/>
        <w:gridCol w:w="1392"/>
        <w:gridCol w:w="1469"/>
      </w:tblGrid>
      <w:tr w:rsidR="002E671C" w:rsidRPr="005F6C37" w:rsidTr="004A39C8">
        <w:trPr>
          <w:cantSplit/>
        </w:trPr>
        <w:tc>
          <w:tcPr>
            <w:tcW w:w="6990" w:type="dxa"/>
            <w:gridSpan w:val="6"/>
            <w:tcBorders>
              <w:top w:val="nil"/>
              <w:left w:val="nil"/>
              <w:bottom w:val="nil"/>
              <w:right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Table 4.2.1: Sample Size Returned and Unreturned</w:t>
            </w:r>
          </w:p>
        </w:tc>
      </w:tr>
      <w:tr w:rsidR="002E671C" w:rsidRPr="005F6C37" w:rsidTr="004A39C8">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rsidTr="004A39C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1239" w:type="dxa"/>
            <w:tcBorders>
              <w:top w:val="single" w:sz="16" w:space="0" w:color="000000"/>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994"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2"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4A39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239" w:type="dxa"/>
            <w:tcBorders>
              <w:top w:val="nil"/>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Unreturned</w:t>
            </w:r>
          </w:p>
        </w:tc>
        <w:tc>
          <w:tcPr>
            <w:tcW w:w="1162" w:type="dxa"/>
            <w:tcBorders>
              <w:top w:val="nil"/>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994"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w:t>
            </w:r>
          </w:p>
        </w:tc>
        <w:tc>
          <w:tcPr>
            <w:tcW w:w="1392"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w:t>
            </w:r>
          </w:p>
        </w:tc>
        <w:tc>
          <w:tcPr>
            <w:tcW w:w="1469" w:type="dxa"/>
            <w:tcBorders>
              <w:top w:val="nil"/>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4A39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239" w:type="dxa"/>
            <w:tcBorders>
              <w:top w:val="nil"/>
              <w:left w:val="nil"/>
              <w:bottom w:val="single" w:sz="16" w:space="0" w:color="000000"/>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994"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E367C0" w:rsidRPr="005F6C37" w:rsidRDefault="00E367C0" w:rsidP="00A409A7">
      <w:pPr>
        <w:pStyle w:val="ListParagraph1"/>
        <w:numPr>
          <w:ilvl w:val="1"/>
          <w:numId w:val="2"/>
        </w:numPr>
        <w:spacing w:after="0" w:line="360" w:lineRule="auto"/>
        <w:jc w:val="both"/>
        <w:rPr>
          <w:rFonts w:ascii="Times New Roman" w:hAnsi="Times New Roman" w:cs="Times New Roman"/>
          <w:b/>
          <w:sz w:val="24"/>
          <w:szCs w:val="24"/>
        </w:rPr>
      </w:pPr>
      <w:r w:rsidRPr="005F6C37">
        <w:rPr>
          <w:rFonts w:ascii="Times New Roman" w:hAnsi="Times New Roman" w:cs="Times New Roman"/>
          <w:sz w:val="24"/>
          <w:szCs w:val="24"/>
        </w:rPr>
        <w:t>Table 4.2.1 shows that all 50 questionnaires distributed to selected employees of GTB Ilorin were returned fully completed and utilized for further statistical analysis. This high response rate enhances the validity of the study's findings.</w:t>
      </w:r>
    </w:p>
    <w:p w:rsidR="002E671C" w:rsidRPr="005F6C37" w:rsidRDefault="002C5934" w:rsidP="00A409A7">
      <w:pPr>
        <w:pStyle w:val="ListParagraph1"/>
        <w:numPr>
          <w:ilvl w:val="1"/>
          <w:numId w:val="2"/>
        </w:num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DEMOGRAPHIC CHARACTERISTICS</w:t>
      </w:r>
    </w:p>
    <w:p w:rsidR="002E671C" w:rsidRPr="005F6C37" w:rsidRDefault="00E367C0"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This section presents the respondents' socio demographic data using frequency tables and percentages. Collecting this information was deemed essential, as the respondents' backgrounds can often indicate factors influencing the effectiveness of green human resource management practices on organizational effectiveness. The study highlighted the importance of providing demographic data to support </w:t>
      </w:r>
      <w:r w:rsidRPr="005F6C37">
        <w:rPr>
          <w:rFonts w:ascii="Times New Roman" w:hAnsi="Times New Roman" w:cs="Times New Roman"/>
          <w:sz w:val="24"/>
          <w:szCs w:val="24"/>
        </w:rPr>
        <w:lastRenderedPageBreak/>
        <w:t xml:space="preserve">its findings. The analysis utilized the respondents' profiles to assess the relevance of their socioeconomic backgrounds to the study's objectives. </w:t>
      </w:r>
    </w:p>
    <w:tbl>
      <w:tblPr>
        <w:tblW w:w="677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2E671C" w:rsidRPr="005F6C37" w:rsidTr="004A39C8">
        <w:trPr>
          <w:cantSplit/>
        </w:trPr>
        <w:tc>
          <w:tcPr>
            <w:tcW w:w="6776" w:type="dxa"/>
            <w:gridSpan w:val="6"/>
            <w:tcBorders>
              <w:top w:val="nil"/>
              <w:left w:val="nil"/>
              <w:bottom w:val="nil"/>
              <w:right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Table 4.3.1GEDER</w:t>
            </w:r>
          </w:p>
        </w:tc>
      </w:tr>
      <w:tr w:rsidR="002E671C" w:rsidRPr="005F6C37" w:rsidTr="004A39C8">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rsidTr="004A39C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18</w:t>
            </w:r>
          </w:p>
        </w:tc>
        <w:tc>
          <w:tcPr>
            <w:tcW w:w="1024"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36.0</w:t>
            </w:r>
          </w:p>
        </w:tc>
        <w:tc>
          <w:tcPr>
            <w:tcW w:w="1392"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36.0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36.0</w:t>
            </w:r>
          </w:p>
        </w:tc>
      </w:tr>
      <w:tr w:rsidR="002E671C" w:rsidRPr="005F6C37" w:rsidTr="004A39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w:t>
            </w:r>
          </w:p>
        </w:tc>
        <w:tc>
          <w:tcPr>
            <w:tcW w:w="1024"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64.0</w:t>
            </w:r>
          </w:p>
        </w:tc>
        <w:tc>
          <w:tcPr>
            <w:tcW w:w="1392"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64.0</w:t>
            </w:r>
          </w:p>
        </w:tc>
        <w:tc>
          <w:tcPr>
            <w:tcW w:w="1469" w:type="dxa"/>
            <w:tcBorders>
              <w:top w:val="nil"/>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4A39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w:t>
      </w:r>
      <w:r w:rsidR="00E757AC" w:rsidRPr="005F6C37">
        <w:rPr>
          <w:rFonts w:ascii="Times New Roman" w:hAnsi="Times New Roman" w:cs="Times New Roman"/>
          <w:b/>
          <w:sz w:val="24"/>
          <w:szCs w:val="24"/>
        </w:rPr>
        <w:t>25</w:t>
      </w:r>
    </w:p>
    <w:p w:rsidR="002E671C" w:rsidRPr="005F6C37" w:rsidRDefault="00E367C0" w:rsidP="00A409A7">
      <w:pPr>
        <w:autoSpaceDE w:val="0"/>
        <w:autoSpaceDN w:val="0"/>
        <w:adjustRightInd w:val="0"/>
        <w:spacing w:after="0" w:line="360" w:lineRule="auto"/>
        <w:rPr>
          <w:rFonts w:ascii="Times New Roman" w:hAnsi="Times New Roman" w:cs="Times New Roman"/>
          <w:sz w:val="24"/>
          <w:szCs w:val="24"/>
        </w:rPr>
      </w:pPr>
      <w:r w:rsidRPr="005F6C37">
        <w:rPr>
          <w:rFonts w:ascii="Times New Roman" w:hAnsi="Times New Roman" w:cs="Times New Roman"/>
          <w:sz w:val="24"/>
          <w:szCs w:val="24"/>
        </w:rPr>
        <w:t>There were 18 female respondents (36%) and 32 male respondents (64%). This suggests that the study garnered more responses from females, indicating that women may be predominantly employed in the banking sector due to their strong performance in prudence and accountability within the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5F6C37">
        <w:trPr>
          <w:cantSplit/>
        </w:trPr>
        <w:tc>
          <w:tcPr>
            <w:tcW w:w="7358" w:type="dxa"/>
            <w:gridSpan w:val="6"/>
            <w:tcBorders>
              <w:top w:val="nil"/>
              <w:left w:val="nil"/>
              <w:bottom w:val="nil"/>
              <w:right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Table 4.3.2 AGE</w:t>
            </w:r>
          </w:p>
        </w:tc>
      </w:tr>
      <w:tr w:rsidR="002E671C" w:rsidRPr="005F6C3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4A39C8">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21-30 years</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w:t>
            </w:r>
          </w:p>
        </w:tc>
        <w:tc>
          <w:tcPr>
            <w:tcW w:w="1024" w:type="dxa"/>
            <w:tcBorders>
              <w:top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393" w:type="dxa"/>
            <w:tcBorders>
              <w:top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4A39C8">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31-40 years</w:t>
            </w:r>
          </w:p>
        </w:tc>
        <w:tc>
          <w:tcPr>
            <w:tcW w:w="1162" w:type="dxa"/>
            <w:tcBorders>
              <w:top w:val="nil"/>
              <w:left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29</w:t>
            </w:r>
          </w:p>
        </w:tc>
        <w:tc>
          <w:tcPr>
            <w:tcW w:w="1024" w:type="dxa"/>
            <w:tcBorders>
              <w:top w:val="nil"/>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58.0</w:t>
            </w:r>
          </w:p>
        </w:tc>
        <w:tc>
          <w:tcPr>
            <w:tcW w:w="1393" w:type="dxa"/>
            <w:tcBorders>
              <w:top w:val="nil"/>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58.0</w:t>
            </w:r>
          </w:p>
        </w:tc>
        <w:tc>
          <w:tcPr>
            <w:tcW w:w="1469" w:type="dxa"/>
            <w:tcBorders>
              <w:top w:val="nil"/>
              <w:bottom w:val="nil"/>
              <w:right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4A39C8">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41-50 years</w:t>
            </w:r>
          </w:p>
        </w:tc>
        <w:tc>
          <w:tcPr>
            <w:tcW w:w="1162" w:type="dxa"/>
            <w:tcBorders>
              <w:top w:val="nil"/>
              <w:left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98.0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4A39C8">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51-60 years</w:t>
            </w:r>
          </w:p>
        </w:tc>
        <w:tc>
          <w:tcPr>
            <w:tcW w:w="1162" w:type="dxa"/>
            <w:tcBorders>
              <w:top w:val="nil"/>
              <w:left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4A39C8">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4A39C8">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Default="00E367C0" w:rsidP="00A409A7">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Sixteen respondents (32%) reported their age as between 21 and 30 years, while 29 respondents (58%) were in the 31 to 40 age range. Four respondents (8%) were aged between 41 and 50, and one respondent (2%) was over 51. This data indicates that the majority of respondents are mature adults over 30, which likely enhanced their capacity to provide informed and unbiased responses regarding GHRM practices at GTB.</w:t>
      </w:r>
    </w:p>
    <w:p w:rsidR="004A39C8" w:rsidRPr="005F6C37" w:rsidRDefault="004A39C8" w:rsidP="00A409A7">
      <w:pPr>
        <w:autoSpaceDE w:val="0"/>
        <w:autoSpaceDN w:val="0"/>
        <w:adjustRightInd w:val="0"/>
        <w:spacing w:after="0" w:line="360" w:lineRule="auto"/>
        <w:jc w:val="both"/>
        <w:rPr>
          <w:rFonts w:ascii="Times New Roman" w:hAnsi="Times New Roman" w:cs="Times New Roman"/>
          <w:sz w:val="24"/>
          <w:szCs w:val="24"/>
        </w:rPr>
      </w:pPr>
    </w:p>
    <w:p w:rsidR="00E367C0" w:rsidRDefault="00E367C0" w:rsidP="00A409A7">
      <w:pPr>
        <w:autoSpaceDE w:val="0"/>
        <w:autoSpaceDN w:val="0"/>
        <w:adjustRightInd w:val="0"/>
        <w:spacing w:after="0" w:line="360" w:lineRule="auto"/>
        <w:jc w:val="both"/>
        <w:rPr>
          <w:rFonts w:ascii="Times New Roman" w:hAnsi="Times New Roman" w:cs="Times New Roman"/>
          <w:sz w:val="24"/>
          <w:szCs w:val="24"/>
        </w:rPr>
      </w:pPr>
    </w:p>
    <w:p w:rsidR="005F1F14" w:rsidRPr="005F6C37" w:rsidRDefault="005F1F14" w:rsidP="00A409A7">
      <w:pPr>
        <w:autoSpaceDE w:val="0"/>
        <w:autoSpaceDN w:val="0"/>
        <w:adjustRightInd w:val="0"/>
        <w:spacing w:after="0" w:line="360" w:lineRule="auto"/>
        <w:jc w:val="both"/>
        <w:rPr>
          <w:rFonts w:ascii="Times New Roman" w:hAnsi="Times New Roman" w:cs="Times New Roman"/>
          <w:sz w:val="24"/>
          <w:szCs w:val="24"/>
        </w:rPr>
      </w:pPr>
    </w:p>
    <w:tbl>
      <w:tblPr>
        <w:tblW w:w="683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70"/>
        <w:gridCol w:w="1370"/>
        <w:gridCol w:w="909"/>
        <w:gridCol w:w="1024"/>
        <w:gridCol w:w="1393"/>
        <w:gridCol w:w="1469"/>
      </w:tblGrid>
      <w:tr w:rsidR="002E671C" w:rsidRPr="005F6C37" w:rsidTr="00DD1A12">
        <w:trPr>
          <w:cantSplit/>
        </w:trPr>
        <w:tc>
          <w:tcPr>
            <w:tcW w:w="6835" w:type="dxa"/>
            <w:gridSpan w:val="6"/>
            <w:tcBorders>
              <w:top w:val="nil"/>
              <w:left w:val="nil"/>
              <w:bottom w:val="nil"/>
              <w:right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lastRenderedPageBreak/>
              <w:t>Table 4.3.3: Religion Background</w:t>
            </w:r>
          </w:p>
        </w:tc>
      </w:tr>
      <w:tr w:rsidR="002E671C" w:rsidRPr="005F6C37" w:rsidTr="00DD1A12">
        <w:trPr>
          <w:cantSplit/>
        </w:trPr>
        <w:tc>
          <w:tcPr>
            <w:tcW w:w="204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c>
          <w:tcPr>
            <w:tcW w:w="909"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rsidTr="00DD1A12">
        <w:trPr>
          <w:cantSplit/>
        </w:trPr>
        <w:tc>
          <w:tcPr>
            <w:tcW w:w="670"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1370" w:type="dxa"/>
            <w:tcBorders>
              <w:top w:val="single" w:sz="16" w:space="0" w:color="000000"/>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Islam</w:t>
            </w:r>
          </w:p>
        </w:tc>
        <w:tc>
          <w:tcPr>
            <w:tcW w:w="909" w:type="dxa"/>
            <w:tcBorders>
              <w:top w:val="single" w:sz="16" w:space="0" w:color="000000"/>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30</w:t>
            </w:r>
          </w:p>
        </w:tc>
        <w:tc>
          <w:tcPr>
            <w:tcW w:w="1024"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60.0</w:t>
            </w:r>
          </w:p>
        </w:tc>
        <w:tc>
          <w:tcPr>
            <w:tcW w:w="1393"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80.0</w:t>
            </w:r>
          </w:p>
        </w:tc>
      </w:tr>
      <w:tr w:rsidR="002E671C" w:rsidRPr="005F6C37" w:rsidTr="00DD1A12">
        <w:trPr>
          <w:cantSplit/>
        </w:trPr>
        <w:tc>
          <w:tcPr>
            <w:tcW w:w="670"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370" w:type="dxa"/>
            <w:tcBorders>
              <w:top w:val="nil"/>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Christianity</w:t>
            </w:r>
          </w:p>
        </w:tc>
        <w:tc>
          <w:tcPr>
            <w:tcW w:w="909" w:type="dxa"/>
            <w:tcBorders>
              <w:top w:val="nil"/>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92.0</w:t>
            </w:r>
          </w:p>
        </w:tc>
      </w:tr>
      <w:tr w:rsidR="002E671C" w:rsidRPr="005F6C37" w:rsidTr="00DD1A12">
        <w:trPr>
          <w:cantSplit/>
        </w:trPr>
        <w:tc>
          <w:tcPr>
            <w:tcW w:w="670"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370" w:type="dxa"/>
            <w:tcBorders>
              <w:top w:val="nil"/>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Traditional</w:t>
            </w:r>
          </w:p>
        </w:tc>
        <w:tc>
          <w:tcPr>
            <w:tcW w:w="909" w:type="dxa"/>
            <w:tcBorders>
              <w:top w:val="nil"/>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DD1A12">
        <w:trPr>
          <w:cantSplit/>
        </w:trPr>
        <w:tc>
          <w:tcPr>
            <w:tcW w:w="670"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370" w:type="dxa"/>
            <w:tcBorders>
              <w:top w:val="nil"/>
              <w:left w:val="nil"/>
              <w:bottom w:val="single" w:sz="16" w:space="0" w:color="000000"/>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909" w:type="dxa"/>
            <w:tcBorders>
              <w:top w:val="nil"/>
              <w:left w:val="single" w:sz="16" w:space="0" w:color="000000"/>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FF159D" w:rsidRPr="005F6C37" w:rsidRDefault="00E367C0" w:rsidP="00A409A7">
      <w:pPr>
        <w:autoSpaceDE w:val="0"/>
        <w:autoSpaceDN w:val="0"/>
        <w:adjustRightInd w:val="0"/>
        <w:spacing w:after="0" w:line="360" w:lineRule="auto"/>
        <w:rPr>
          <w:rFonts w:ascii="Times New Roman" w:hAnsi="Times New Roman" w:cs="Times New Roman"/>
          <w:sz w:val="24"/>
          <w:szCs w:val="24"/>
        </w:rPr>
      </w:pPr>
      <w:r w:rsidRPr="005F6C37">
        <w:rPr>
          <w:rFonts w:ascii="Times New Roman" w:hAnsi="Times New Roman" w:cs="Times New Roman"/>
          <w:sz w:val="24"/>
          <w:szCs w:val="24"/>
        </w:rPr>
        <w:t>Table 4.3.3 indicates that 30 respondents, or 60% of the sample, identify as Muslims, while 16 respondents (32%) identify as Christians. Four respondents practice traditional religion. This suggests that the majority of respondents (60%) are Muslims, reflecting the predominant religious affiliation in the selected area.</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5F6C37">
        <w:trPr>
          <w:cantSplit/>
        </w:trPr>
        <w:tc>
          <w:tcPr>
            <w:tcW w:w="6899" w:type="dxa"/>
            <w:gridSpan w:val="6"/>
            <w:tcBorders>
              <w:top w:val="nil"/>
              <w:left w:val="nil"/>
              <w:bottom w:val="nil"/>
              <w:right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Table 4.3.4: MARITAL_STATUS</w:t>
            </w:r>
          </w:p>
        </w:tc>
      </w:tr>
      <w:tr w:rsidR="002E671C" w:rsidRPr="005F6C37">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4A39C8">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4A39C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SINGLE</w:t>
            </w:r>
          </w:p>
        </w:tc>
        <w:tc>
          <w:tcPr>
            <w:tcW w:w="1163" w:type="dxa"/>
            <w:tcBorders>
              <w:top w:val="single" w:sz="16" w:space="0" w:color="000000"/>
              <w:left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70.0</w:t>
            </w:r>
          </w:p>
        </w:tc>
        <w:tc>
          <w:tcPr>
            <w:tcW w:w="1393" w:type="dxa"/>
            <w:tcBorders>
              <w:top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70.0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4A39C8">
            <w:pPr>
              <w:autoSpaceDE w:val="0"/>
              <w:autoSpaceDN w:val="0"/>
              <w:adjustRightInd w:val="0"/>
              <w:spacing w:after="0" w:line="240" w:lineRule="auto"/>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WIDOW</w:t>
            </w:r>
          </w:p>
        </w:tc>
        <w:tc>
          <w:tcPr>
            <w:tcW w:w="1163" w:type="dxa"/>
            <w:tcBorders>
              <w:top w:val="nil"/>
              <w:left w:val="single" w:sz="16" w:space="0" w:color="000000"/>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30.0</w:t>
            </w:r>
          </w:p>
        </w:tc>
        <w:tc>
          <w:tcPr>
            <w:tcW w:w="1393" w:type="dxa"/>
            <w:tcBorders>
              <w:top w:val="nil"/>
              <w:bottom w:val="nil"/>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30.0</w:t>
            </w:r>
          </w:p>
        </w:tc>
        <w:tc>
          <w:tcPr>
            <w:tcW w:w="1469" w:type="dxa"/>
            <w:tcBorders>
              <w:top w:val="nil"/>
              <w:bottom w:val="nil"/>
              <w:right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4A39C8">
            <w:pPr>
              <w:autoSpaceDE w:val="0"/>
              <w:autoSpaceDN w:val="0"/>
              <w:adjustRightInd w:val="0"/>
              <w:spacing w:after="0" w:line="240" w:lineRule="auto"/>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rsidR="002E671C" w:rsidRPr="005F6C37" w:rsidRDefault="002C5934" w:rsidP="004A39C8">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4A39C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4A39C8">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FF159D" w:rsidRPr="005F6C37" w:rsidRDefault="00E367C0" w:rsidP="00A409A7">
      <w:pPr>
        <w:autoSpaceDE w:val="0"/>
        <w:autoSpaceDN w:val="0"/>
        <w:adjustRightInd w:val="0"/>
        <w:spacing w:after="0" w:line="360" w:lineRule="auto"/>
        <w:rPr>
          <w:rFonts w:ascii="Times New Roman" w:hAnsi="Times New Roman" w:cs="Times New Roman"/>
          <w:sz w:val="24"/>
          <w:szCs w:val="24"/>
        </w:rPr>
      </w:pPr>
      <w:r w:rsidRPr="005F6C37">
        <w:rPr>
          <w:rFonts w:ascii="Times New Roman" w:hAnsi="Times New Roman" w:cs="Times New Roman"/>
          <w:sz w:val="24"/>
          <w:szCs w:val="24"/>
        </w:rPr>
        <w:t>Table 4.3.4 shows that 35 respondents, or 70% of the sample, are single, while 15 respondents (30%) are married. This indicates that the majority of respondents (70%) may have fewer family responsibilities, potentially enhancing their focus on work and improving organizational efficiency.</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5F6C37">
        <w:trPr>
          <w:cantSplit/>
        </w:trPr>
        <w:tc>
          <w:tcPr>
            <w:tcW w:w="7797" w:type="dxa"/>
            <w:gridSpan w:val="6"/>
            <w:tcBorders>
              <w:top w:val="nil"/>
              <w:left w:val="nil"/>
              <w:bottom w:val="nil"/>
              <w:right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Table 4.3.5: EDUCATIONAL_QUALIFICATION</w:t>
            </w:r>
          </w:p>
        </w:tc>
      </w:tr>
      <w:tr w:rsidR="002E671C" w:rsidRPr="005F6C37">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Education Diploma</w:t>
            </w:r>
          </w:p>
        </w:tc>
        <w:tc>
          <w:tcPr>
            <w:tcW w:w="1276" w:type="dxa"/>
            <w:tcBorders>
              <w:top w:val="single" w:sz="16" w:space="0" w:color="000000"/>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275"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18"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276" w:type="dxa"/>
            <w:tcBorders>
              <w:top w:val="single" w:sz="16" w:space="0" w:color="000000"/>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Bachelor’s Degree</w:t>
            </w:r>
          </w:p>
        </w:tc>
        <w:tc>
          <w:tcPr>
            <w:tcW w:w="1276" w:type="dxa"/>
            <w:tcBorders>
              <w:top w:val="nil"/>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w:t>
            </w:r>
          </w:p>
        </w:tc>
        <w:tc>
          <w:tcPr>
            <w:tcW w:w="1275"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24.0</w:t>
            </w:r>
          </w:p>
        </w:tc>
        <w:tc>
          <w:tcPr>
            <w:tcW w:w="1418"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24.0</w:t>
            </w:r>
          </w:p>
        </w:tc>
        <w:tc>
          <w:tcPr>
            <w:tcW w:w="1276" w:type="dxa"/>
            <w:tcBorders>
              <w:top w:val="nil"/>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28.0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Master Degree</w:t>
            </w:r>
          </w:p>
        </w:tc>
        <w:tc>
          <w:tcPr>
            <w:tcW w:w="1276" w:type="dxa"/>
            <w:tcBorders>
              <w:top w:val="nil"/>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lastRenderedPageBreak/>
        <w:t>Source: SPSS Computation, 2025</w:t>
      </w:r>
    </w:p>
    <w:p w:rsidR="002E671C" w:rsidRPr="005F6C37" w:rsidRDefault="004A2A25" w:rsidP="00A409A7">
      <w:pPr>
        <w:autoSpaceDE w:val="0"/>
        <w:autoSpaceDN w:val="0"/>
        <w:adjustRightInd w:val="0"/>
        <w:spacing w:after="0" w:line="360" w:lineRule="auto"/>
        <w:rPr>
          <w:rFonts w:ascii="Times New Roman" w:hAnsi="Times New Roman" w:cs="Times New Roman"/>
          <w:sz w:val="24"/>
          <w:szCs w:val="24"/>
        </w:rPr>
      </w:pPr>
      <w:r w:rsidRPr="005F6C37">
        <w:rPr>
          <w:rFonts w:ascii="Times New Roman" w:hAnsi="Times New Roman" w:cs="Times New Roman"/>
          <w:sz w:val="24"/>
          <w:szCs w:val="24"/>
        </w:rPr>
        <w:t>Table 4.3.5 shows that 2 respondents (4%) held a high school diploma and an education degree, 12 respondents (24%) had a bachelor's degree, and 36 respondents (72%) possessed a master's degree. This data indicates that all participants in the chosen bank have a high level of education and are well-informed about the study's objectives.</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5F6C37">
        <w:trPr>
          <w:cantSplit/>
        </w:trPr>
        <w:tc>
          <w:tcPr>
            <w:tcW w:w="7797" w:type="dxa"/>
            <w:gridSpan w:val="6"/>
            <w:tcBorders>
              <w:top w:val="nil"/>
              <w:left w:val="nil"/>
              <w:bottom w:val="nil"/>
              <w:right w:val="nil"/>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Table 4.3.6: CURRENT JOB ROLE</w:t>
            </w:r>
          </w:p>
        </w:tc>
      </w:tr>
      <w:tr w:rsidR="002E671C" w:rsidRPr="005F6C37">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DD1A12">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DD1A1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rsidR="002E671C" w:rsidRPr="005F6C37" w:rsidRDefault="002C5934" w:rsidP="00DD1A1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rsidR="002E671C" w:rsidRPr="005F6C37" w:rsidRDefault="002C5934" w:rsidP="00DD1A1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DD1A1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DD1A1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2E671C" w:rsidRPr="005F6C37" w:rsidRDefault="002C5934" w:rsidP="00DD1A1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Managerial</w:t>
            </w:r>
          </w:p>
        </w:tc>
        <w:tc>
          <w:tcPr>
            <w:tcW w:w="1276" w:type="dxa"/>
            <w:tcBorders>
              <w:top w:val="single" w:sz="16" w:space="0" w:color="000000"/>
              <w:left w:val="single" w:sz="16" w:space="0" w:color="000000"/>
              <w:bottom w:val="nil"/>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w:t>
            </w:r>
          </w:p>
        </w:tc>
        <w:tc>
          <w:tcPr>
            <w:tcW w:w="1275" w:type="dxa"/>
            <w:tcBorders>
              <w:top w:val="single" w:sz="16" w:space="0" w:color="000000"/>
              <w:bottom w:val="nil"/>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28.0</w:t>
            </w:r>
          </w:p>
        </w:tc>
        <w:tc>
          <w:tcPr>
            <w:tcW w:w="1418" w:type="dxa"/>
            <w:tcBorders>
              <w:top w:val="single" w:sz="16" w:space="0" w:color="000000"/>
              <w:bottom w:val="nil"/>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28.0</w:t>
            </w:r>
          </w:p>
        </w:tc>
        <w:tc>
          <w:tcPr>
            <w:tcW w:w="1276" w:type="dxa"/>
            <w:tcBorders>
              <w:top w:val="single" w:sz="16" w:space="0" w:color="000000"/>
              <w:bottom w:val="nil"/>
              <w:right w:val="single" w:sz="16" w:space="0" w:color="000000"/>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28.0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DD1A12">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2E671C" w:rsidRPr="005F6C37" w:rsidRDefault="002C5934" w:rsidP="00DD1A1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Non-managerial</w:t>
            </w:r>
          </w:p>
        </w:tc>
        <w:tc>
          <w:tcPr>
            <w:tcW w:w="1276" w:type="dxa"/>
            <w:tcBorders>
              <w:top w:val="nil"/>
              <w:left w:val="single" w:sz="16" w:space="0" w:color="000000"/>
              <w:bottom w:val="nil"/>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DD1A12">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2E671C" w:rsidRPr="005F6C37" w:rsidRDefault="002C5934" w:rsidP="00DD1A1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rsidR="002E671C" w:rsidRPr="005F6C37" w:rsidRDefault="002C5934" w:rsidP="00DD1A1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rsidR="002E671C" w:rsidRPr="005F6C37" w:rsidRDefault="002E671C" w:rsidP="00DD1A12">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4A2A25" w:rsidP="00A409A7">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Table 4.3.6 indicates that 36 respondents (72%) are not in managerial roles, while 14 respondents (28%) hold management positions. This suggests that a higher proportion of non-managerial employees participated in the survey compared to their managerial counterparts.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5F6C37">
        <w:trPr>
          <w:cantSplit/>
        </w:trPr>
        <w:tc>
          <w:tcPr>
            <w:tcW w:w="7358" w:type="dxa"/>
            <w:gridSpan w:val="6"/>
            <w:tcBorders>
              <w:top w:val="nil"/>
              <w:left w:val="nil"/>
              <w:bottom w:val="nil"/>
              <w:right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Table 4.3.7 Length of Service</w:t>
            </w:r>
          </w:p>
        </w:tc>
      </w:tr>
      <w:tr w:rsidR="002E671C" w:rsidRPr="005F6C3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5F1F1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3-5 years</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29</w:t>
            </w:r>
          </w:p>
        </w:tc>
        <w:tc>
          <w:tcPr>
            <w:tcW w:w="1024"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58.0</w:t>
            </w:r>
          </w:p>
        </w:tc>
        <w:tc>
          <w:tcPr>
            <w:tcW w:w="1393" w:type="dxa"/>
            <w:tcBorders>
              <w:top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58.0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58.0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6-8 years</w:t>
            </w:r>
          </w:p>
        </w:tc>
        <w:tc>
          <w:tcPr>
            <w:tcW w:w="1162" w:type="dxa"/>
            <w:tcBorders>
              <w:top w:val="nil"/>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9-10 years</w:t>
            </w:r>
          </w:p>
        </w:tc>
        <w:tc>
          <w:tcPr>
            <w:tcW w:w="1162" w:type="dxa"/>
            <w:tcBorders>
              <w:top w:val="nil"/>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98.0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10 years above</w:t>
            </w:r>
          </w:p>
        </w:tc>
        <w:tc>
          <w:tcPr>
            <w:tcW w:w="1162" w:type="dxa"/>
            <w:tcBorders>
              <w:top w:val="nil"/>
              <w:left w:val="single" w:sz="16" w:space="0" w:color="000000"/>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5F1F14">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2E671C" w:rsidRPr="005F6C37" w:rsidRDefault="002C5934" w:rsidP="005F1F14">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5F1F1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5F1F14">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2E671C" w:rsidP="00A409A7">
      <w:pPr>
        <w:spacing w:after="0" w:line="360" w:lineRule="auto"/>
        <w:jc w:val="both"/>
        <w:rPr>
          <w:rFonts w:ascii="Times New Roman" w:hAnsi="Times New Roman" w:cs="Times New Roman"/>
          <w:b/>
          <w:sz w:val="24"/>
          <w:szCs w:val="24"/>
        </w:rPr>
      </w:pPr>
    </w:p>
    <w:p w:rsidR="004A2A25" w:rsidRPr="005F6C37" w:rsidRDefault="004A2A25" w:rsidP="00A409A7">
      <w:pPr>
        <w:pStyle w:val="ListParagraph1"/>
        <w:numPr>
          <w:ilvl w:val="1"/>
          <w:numId w:val="2"/>
        </w:numPr>
        <w:spacing w:after="0" w:line="360" w:lineRule="auto"/>
        <w:jc w:val="both"/>
        <w:rPr>
          <w:rFonts w:ascii="Times New Roman" w:hAnsi="Times New Roman" w:cs="Times New Roman"/>
          <w:b/>
          <w:sz w:val="24"/>
          <w:szCs w:val="24"/>
        </w:rPr>
      </w:pPr>
      <w:r w:rsidRPr="005F6C37">
        <w:rPr>
          <w:rFonts w:ascii="Times New Roman" w:hAnsi="Times New Roman" w:cs="Times New Roman"/>
          <w:sz w:val="24"/>
          <w:szCs w:val="24"/>
        </w:rPr>
        <w:t xml:space="preserve">Table 4.3.7 shows that 29 respondents (58%) had between three and five years of work experience, 16 respondents (32%) had between six and eight years, 4 respondents (8%) had between nine and ten years, and 1 respondent (2%) had over ten years of service. This indicates that the participants </w:t>
      </w:r>
      <w:r w:rsidRPr="005F6C37">
        <w:rPr>
          <w:rFonts w:ascii="Times New Roman" w:hAnsi="Times New Roman" w:cs="Times New Roman"/>
          <w:sz w:val="24"/>
          <w:szCs w:val="24"/>
        </w:rPr>
        <w:lastRenderedPageBreak/>
        <w:t>possess considerable practical knowledge of GHRM and its significance in the banking sector.</w:t>
      </w:r>
    </w:p>
    <w:p w:rsidR="002E671C" w:rsidRPr="005F6C37" w:rsidRDefault="002C5934" w:rsidP="00283EA2">
      <w:pPr>
        <w:pStyle w:val="ListParagraph1"/>
        <w:numPr>
          <w:ilvl w:val="1"/>
          <w:numId w:val="2"/>
        </w:numPr>
        <w:spacing w:after="0" w:line="240" w:lineRule="auto"/>
        <w:jc w:val="both"/>
        <w:rPr>
          <w:rFonts w:ascii="Times New Roman" w:hAnsi="Times New Roman" w:cs="Times New Roman"/>
          <w:b/>
          <w:sz w:val="24"/>
          <w:szCs w:val="24"/>
        </w:rPr>
      </w:pPr>
      <w:r w:rsidRPr="005F6C37">
        <w:rPr>
          <w:rFonts w:ascii="Times New Roman" w:hAnsi="Times New Roman" w:cs="Times New Roman"/>
          <w:b/>
          <w:sz w:val="24"/>
          <w:szCs w:val="24"/>
        </w:rPr>
        <w:t>Presentation and Analysis According to Key Questions</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Research Question 1: to what extent does GTB GHRM practices affect its organizational effectiveness?</w:t>
      </w:r>
    </w:p>
    <w:tbl>
      <w:tblPr>
        <w:tblW w:w="5000" w:type="pct"/>
        <w:tblCellMar>
          <w:left w:w="0" w:type="dxa"/>
          <w:right w:w="0" w:type="dxa"/>
        </w:tblCellMar>
        <w:tblLook w:val="04A0" w:firstRow="1" w:lastRow="0" w:firstColumn="1" w:lastColumn="0" w:noHBand="0" w:noVBand="1"/>
      </w:tblPr>
      <w:tblGrid>
        <w:gridCol w:w="2037"/>
        <w:gridCol w:w="1194"/>
        <w:gridCol w:w="930"/>
        <w:gridCol w:w="810"/>
        <w:gridCol w:w="879"/>
        <w:gridCol w:w="960"/>
        <w:gridCol w:w="966"/>
      </w:tblGrid>
      <w:tr w:rsidR="002E671C" w:rsidRPr="005F6C37" w:rsidTr="00283EA2">
        <w:trPr>
          <w:cantSplit/>
        </w:trPr>
        <w:tc>
          <w:tcPr>
            <w:tcW w:w="5000" w:type="pct"/>
            <w:gridSpan w:val="7"/>
            <w:shd w:val="clear" w:color="auto" w:fill="FFFFFF"/>
            <w:vAlign w:val="center"/>
          </w:tcPr>
          <w:p w:rsidR="002E671C" w:rsidRPr="005F6C37" w:rsidRDefault="002C5934" w:rsidP="005F1F14">
            <w:pPr>
              <w:spacing w:after="0" w:line="240" w:lineRule="auto"/>
              <w:ind w:right="60"/>
              <w:jc w:val="center"/>
              <w:rPr>
                <w:rFonts w:ascii="Times New Roman" w:hAnsi="Times New Roman" w:cs="Times New Roman"/>
                <w:b/>
                <w:bCs/>
                <w:sz w:val="24"/>
                <w:szCs w:val="24"/>
              </w:rPr>
            </w:pPr>
            <w:r w:rsidRPr="005F6C37">
              <w:rPr>
                <w:rFonts w:ascii="Times New Roman" w:hAnsi="Times New Roman" w:cs="Times New Roman"/>
                <w:b/>
                <w:bCs/>
                <w:color w:val="000000"/>
                <w:sz w:val="24"/>
                <w:szCs w:val="24"/>
              </w:rPr>
              <w:t xml:space="preserve">Table 4.4.1 Perceptions of Respondents in </w:t>
            </w:r>
            <w:r w:rsidRPr="005F6C37">
              <w:rPr>
                <w:rFonts w:ascii="Times New Roman" w:hAnsi="Times New Roman" w:cs="Times New Roman"/>
                <w:b/>
                <w:bCs/>
                <w:sz w:val="24"/>
                <w:szCs w:val="24"/>
              </w:rPr>
              <w:t xml:space="preserve">the influence of GHRM practices on the Organizational Effectiveness of </w:t>
            </w:r>
            <w:proofErr w:type="spellStart"/>
            <w:r w:rsidRPr="005F6C37">
              <w:rPr>
                <w:rFonts w:ascii="Times New Roman" w:hAnsi="Times New Roman" w:cs="Times New Roman"/>
                <w:b/>
                <w:bCs/>
                <w:sz w:val="24"/>
                <w:szCs w:val="24"/>
              </w:rPr>
              <w:t>GTBank</w:t>
            </w:r>
            <w:proofErr w:type="spellEnd"/>
          </w:p>
        </w:tc>
      </w:tr>
      <w:tr w:rsidR="002E671C" w:rsidRPr="005F6C37" w:rsidTr="00283EA2">
        <w:trPr>
          <w:cantSplit/>
        </w:trPr>
        <w:tc>
          <w:tcPr>
            <w:tcW w:w="2101" w:type="pct"/>
            <w:gridSpan w:val="2"/>
            <w:vMerge w:val="restart"/>
            <w:tcBorders>
              <w:top w:val="single" w:sz="16" w:space="0" w:color="000000"/>
              <w:left w:val="single" w:sz="16" w:space="0" w:color="000000"/>
            </w:tcBorders>
            <w:shd w:val="clear" w:color="auto" w:fill="FFFFFF"/>
            <w:vAlign w:val="bottom"/>
          </w:tcPr>
          <w:p w:rsidR="002E671C" w:rsidRPr="005F6C37" w:rsidRDefault="002E671C" w:rsidP="005F1F14">
            <w:pPr>
              <w:spacing w:after="0" w:line="240" w:lineRule="auto"/>
              <w:rPr>
                <w:rFonts w:ascii="Times New Roman" w:hAnsi="Times New Roman" w:cs="Times New Roman"/>
                <w:sz w:val="24"/>
                <w:szCs w:val="24"/>
              </w:rPr>
            </w:pPr>
          </w:p>
        </w:tc>
        <w:tc>
          <w:tcPr>
            <w:tcW w:w="528" w:type="pct"/>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5F6C37" w:rsidRDefault="002C5934" w:rsidP="005F1F14">
            <w:pPr>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Statistic</w:t>
            </w:r>
          </w:p>
        </w:tc>
        <w:tc>
          <w:tcPr>
            <w:tcW w:w="2370" w:type="pct"/>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E671C" w:rsidRPr="005F6C37" w:rsidRDefault="002C5934" w:rsidP="005F1F14">
            <w:pPr>
              <w:spacing w:after="0" w:line="240" w:lineRule="auto"/>
              <w:ind w:left="60" w:right="60"/>
              <w:jc w:val="center"/>
              <w:rPr>
                <w:rFonts w:ascii="Times New Roman" w:hAnsi="Times New Roman" w:cs="Times New Roman"/>
                <w:color w:val="000000"/>
                <w:sz w:val="24"/>
                <w:szCs w:val="24"/>
              </w:rPr>
            </w:pPr>
            <w:proofErr w:type="spellStart"/>
            <w:r w:rsidRPr="005F6C37">
              <w:rPr>
                <w:rFonts w:ascii="Times New Roman" w:hAnsi="Times New Roman" w:cs="Times New Roman"/>
                <w:color w:val="000000"/>
                <w:sz w:val="24"/>
                <w:szCs w:val="24"/>
              </w:rPr>
              <w:t>Bootstrap</w:t>
            </w:r>
            <w:r w:rsidRPr="005F6C37">
              <w:rPr>
                <w:rFonts w:ascii="Times New Roman" w:hAnsi="Times New Roman" w:cs="Times New Roman"/>
                <w:color w:val="000000"/>
                <w:sz w:val="24"/>
                <w:szCs w:val="24"/>
                <w:vertAlign w:val="superscript"/>
              </w:rPr>
              <w:t>a</w:t>
            </w:r>
            <w:proofErr w:type="spellEnd"/>
          </w:p>
        </w:tc>
      </w:tr>
      <w:tr w:rsidR="002E671C" w:rsidRPr="005F6C37" w:rsidTr="00283EA2">
        <w:trPr>
          <w:cantSplit/>
        </w:trPr>
        <w:tc>
          <w:tcPr>
            <w:tcW w:w="2101" w:type="pct"/>
            <w:gridSpan w:val="2"/>
            <w:vMerge/>
            <w:tcBorders>
              <w:top w:val="single" w:sz="16" w:space="0" w:color="000000"/>
              <w:left w:val="single" w:sz="16" w:space="0" w:color="000000"/>
            </w:tcBorders>
            <w:shd w:val="clear" w:color="auto" w:fill="FFFFFF"/>
            <w:vAlign w:val="bottom"/>
          </w:tcPr>
          <w:p w:rsidR="002E671C" w:rsidRPr="005F6C37" w:rsidRDefault="002E671C" w:rsidP="005F1F14">
            <w:pPr>
              <w:spacing w:after="0" w:line="240" w:lineRule="auto"/>
              <w:rPr>
                <w:rFonts w:ascii="Times New Roman" w:hAnsi="Times New Roman" w:cs="Times New Roman"/>
                <w:color w:val="000000"/>
                <w:sz w:val="24"/>
                <w:szCs w:val="24"/>
              </w:rPr>
            </w:pPr>
          </w:p>
        </w:tc>
        <w:tc>
          <w:tcPr>
            <w:tcW w:w="528" w:type="pct"/>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5F6C37" w:rsidRDefault="002E671C" w:rsidP="005F1F14">
            <w:pPr>
              <w:spacing w:after="0" w:line="240" w:lineRule="auto"/>
              <w:rPr>
                <w:rFonts w:ascii="Times New Roman" w:hAnsi="Times New Roman" w:cs="Times New Roman"/>
                <w:color w:val="000000"/>
                <w:sz w:val="24"/>
                <w:szCs w:val="24"/>
              </w:rPr>
            </w:pPr>
          </w:p>
        </w:tc>
        <w:tc>
          <w:tcPr>
            <w:tcW w:w="529" w:type="pct"/>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5F6C37" w:rsidRDefault="002C5934" w:rsidP="005F1F14">
            <w:pPr>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Bias</w:t>
            </w:r>
          </w:p>
        </w:tc>
        <w:tc>
          <w:tcPr>
            <w:tcW w:w="580" w:type="pct"/>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5F6C37" w:rsidRDefault="002C5934" w:rsidP="005F1F14">
            <w:pPr>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Std. Error</w:t>
            </w:r>
          </w:p>
        </w:tc>
        <w:tc>
          <w:tcPr>
            <w:tcW w:w="1262" w:type="pct"/>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E671C" w:rsidRPr="005F6C37" w:rsidRDefault="002C5934" w:rsidP="005F1F14">
            <w:pPr>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95% Confidence Interval</w:t>
            </w:r>
          </w:p>
        </w:tc>
      </w:tr>
      <w:tr w:rsidR="002E671C" w:rsidRPr="005F6C37" w:rsidTr="00283EA2">
        <w:trPr>
          <w:cantSplit/>
        </w:trPr>
        <w:tc>
          <w:tcPr>
            <w:tcW w:w="2101" w:type="pct"/>
            <w:gridSpan w:val="2"/>
            <w:vMerge/>
            <w:tcBorders>
              <w:top w:val="single" w:sz="16" w:space="0" w:color="000000"/>
              <w:left w:val="single" w:sz="16" w:space="0" w:color="000000"/>
              <w:bottom w:val="single" w:sz="18" w:space="0" w:color="000000"/>
            </w:tcBorders>
            <w:shd w:val="clear" w:color="auto" w:fill="FFFFFF"/>
            <w:vAlign w:val="bottom"/>
          </w:tcPr>
          <w:p w:rsidR="002E671C" w:rsidRPr="005F6C37" w:rsidRDefault="002E671C" w:rsidP="005F1F14">
            <w:pPr>
              <w:spacing w:after="0" w:line="240" w:lineRule="auto"/>
              <w:rPr>
                <w:rFonts w:ascii="Times New Roman" w:hAnsi="Times New Roman" w:cs="Times New Roman"/>
                <w:color w:val="000000"/>
                <w:sz w:val="24"/>
                <w:szCs w:val="24"/>
              </w:rPr>
            </w:pPr>
          </w:p>
        </w:tc>
        <w:tc>
          <w:tcPr>
            <w:tcW w:w="528" w:type="pct"/>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5F6C37" w:rsidRDefault="002E671C" w:rsidP="005F1F14">
            <w:pPr>
              <w:spacing w:after="0" w:line="240" w:lineRule="auto"/>
              <w:rPr>
                <w:rFonts w:ascii="Times New Roman" w:hAnsi="Times New Roman" w:cs="Times New Roman"/>
                <w:color w:val="000000"/>
                <w:sz w:val="24"/>
                <w:szCs w:val="24"/>
              </w:rPr>
            </w:pPr>
          </w:p>
        </w:tc>
        <w:tc>
          <w:tcPr>
            <w:tcW w:w="529" w:type="pct"/>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5F6C37" w:rsidRDefault="002E671C" w:rsidP="005F1F14">
            <w:pPr>
              <w:spacing w:after="0" w:line="240" w:lineRule="auto"/>
              <w:rPr>
                <w:rFonts w:ascii="Times New Roman" w:hAnsi="Times New Roman" w:cs="Times New Roman"/>
                <w:color w:val="000000"/>
                <w:sz w:val="24"/>
                <w:szCs w:val="24"/>
              </w:rPr>
            </w:pPr>
          </w:p>
        </w:tc>
        <w:tc>
          <w:tcPr>
            <w:tcW w:w="580" w:type="pct"/>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5F6C37" w:rsidRDefault="002E671C" w:rsidP="005F1F14">
            <w:pPr>
              <w:spacing w:after="0" w:line="240" w:lineRule="auto"/>
              <w:rPr>
                <w:rFonts w:ascii="Times New Roman" w:hAnsi="Times New Roman" w:cs="Times New Roman"/>
                <w:color w:val="000000"/>
                <w:sz w:val="24"/>
                <w:szCs w:val="24"/>
              </w:rPr>
            </w:pPr>
          </w:p>
        </w:tc>
        <w:tc>
          <w:tcPr>
            <w:tcW w:w="629" w:type="pct"/>
            <w:tcBorders>
              <w:top w:val="single" w:sz="8" w:space="0" w:color="000000"/>
              <w:left w:val="single" w:sz="8" w:space="0" w:color="000000"/>
              <w:bottom w:val="single" w:sz="16" w:space="0" w:color="000000"/>
              <w:right w:val="single" w:sz="8" w:space="0" w:color="000000"/>
            </w:tcBorders>
            <w:shd w:val="clear" w:color="auto" w:fill="FFFFFF"/>
            <w:vAlign w:val="bottom"/>
          </w:tcPr>
          <w:p w:rsidR="002E671C" w:rsidRPr="005F6C37" w:rsidRDefault="002C5934" w:rsidP="005F1F14">
            <w:pPr>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Lower</w:t>
            </w:r>
          </w:p>
        </w:tc>
        <w:tc>
          <w:tcPr>
            <w:tcW w:w="633" w:type="pct"/>
            <w:tcBorders>
              <w:top w:val="single" w:sz="8" w:space="0" w:color="000000"/>
              <w:left w:val="single" w:sz="8" w:space="0" w:color="000000"/>
              <w:bottom w:val="single" w:sz="16" w:space="0" w:color="000000"/>
              <w:right w:val="single" w:sz="16" w:space="0" w:color="000000"/>
            </w:tcBorders>
            <w:shd w:val="clear" w:color="auto" w:fill="FFFFFF"/>
            <w:vAlign w:val="bottom"/>
          </w:tcPr>
          <w:p w:rsidR="002E671C" w:rsidRPr="005F6C37" w:rsidRDefault="002C5934" w:rsidP="005F1F14">
            <w:pPr>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Upper</w:t>
            </w:r>
          </w:p>
        </w:tc>
      </w:tr>
      <w:tr w:rsidR="002E671C" w:rsidRPr="005F6C37" w:rsidTr="00283EA2">
        <w:trPr>
          <w:cantSplit/>
        </w:trPr>
        <w:tc>
          <w:tcPr>
            <w:tcW w:w="1322" w:type="pct"/>
            <w:vMerge w:val="restart"/>
            <w:tcBorders>
              <w:top w:val="single" w:sz="18" w:space="0" w:color="000000"/>
              <w:left w:val="single" w:sz="16" w:space="0" w:color="000000"/>
              <w:bottom w:val="single" w:sz="8" w:space="0" w:color="000000"/>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sz w:val="24"/>
                <w:szCs w:val="24"/>
              </w:rPr>
              <w:t>Green recruitment and selection</w:t>
            </w:r>
          </w:p>
        </w:tc>
        <w:tc>
          <w:tcPr>
            <w:tcW w:w="779" w:type="pct"/>
            <w:tcBorders>
              <w:top w:val="single" w:sz="18" w:space="0" w:color="000000"/>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N</w:t>
            </w:r>
          </w:p>
        </w:tc>
        <w:tc>
          <w:tcPr>
            <w:tcW w:w="528" w:type="pct"/>
            <w:tcBorders>
              <w:top w:val="single" w:sz="16" w:space="0" w:color="000000"/>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529" w:type="pct"/>
            <w:tcBorders>
              <w:top w:val="single" w:sz="16" w:space="0" w:color="000000"/>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580" w:type="pct"/>
            <w:tcBorders>
              <w:top w:val="single" w:sz="16" w:space="0" w:color="000000"/>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629" w:type="pct"/>
            <w:tcBorders>
              <w:top w:val="single" w:sz="16" w:space="0" w:color="000000"/>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633" w:type="pct"/>
            <w:tcBorders>
              <w:top w:val="single" w:sz="16" w:space="0" w:color="000000"/>
              <w:left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r>
      <w:tr w:rsidR="002E671C" w:rsidRPr="005F6C37" w:rsidTr="00283EA2">
        <w:trPr>
          <w:cantSplit/>
        </w:trPr>
        <w:tc>
          <w:tcPr>
            <w:tcW w:w="1322" w:type="pct"/>
            <w:vMerge/>
            <w:tcBorders>
              <w:top w:val="single" w:sz="16" w:space="0" w:color="000000"/>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color w:val="000000"/>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Minimum</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5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580"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33" w:type="pct"/>
            <w:tcBorders>
              <w:left w:val="single" w:sz="8" w:space="0" w:color="000000"/>
              <w:right w:val="single" w:sz="16"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r>
      <w:tr w:rsidR="002E671C" w:rsidRPr="005F6C37" w:rsidTr="00283EA2">
        <w:trPr>
          <w:cantSplit/>
        </w:trPr>
        <w:tc>
          <w:tcPr>
            <w:tcW w:w="1322" w:type="pct"/>
            <w:vMerge/>
            <w:tcBorders>
              <w:top w:val="single" w:sz="16" w:space="0" w:color="000000"/>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Maximum</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5.00</w:t>
            </w:r>
          </w:p>
        </w:tc>
        <w:tc>
          <w:tcPr>
            <w:tcW w:w="5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580"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33" w:type="pct"/>
            <w:tcBorders>
              <w:left w:val="single" w:sz="8" w:space="0" w:color="000000"/>
              <w:right w:val="single" w:sz="16"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r>
      <w:tr w:rsidR="002E671C" w:rsidRPr="005F6C37" w:rsidTr="00283EA2">
        <w:trPr>
          <w:cantSplit/>
        </w:trPr>
        <w:tc>
          <w:tcPr>
            <w:tcW w:w="1322" w:type="pct"/>
            <w:vMerge/>
            <w:tcBorders>
              <w:top w:val="single" w:sz="16" w:space="0" w:color="000000"/>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Mean</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4.1435</w:t>
            </w:r>
          </w:p>
        </w:tc>
        <w:tc>
          <w:tcPr>
            <w:tcW w:w="5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-.0027</w:t>
            </w:r>
          </w:p>
        </w:tc>
        <w:tc>
          <w:tcPr>
            <w:tcW w:w="580"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.0736</w:t>
            </w:r>
          </w:p>
        </w:tc>
        <w:tc>
          <w:tcPr>
            <w:tcW w:w="6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3.9739</w:t>
            </w:r>
          </w:p>
        </w:tc>
        <w:tc>
          <w:tcPr>
            <w:tcW w:w="633" w:type="pct"/>
            <w:tcBorders>
              <w:left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4.2739</w:t>
            </w:r>
          </w:p>
        </w:tc>
      </w:tr>
      <w:tr w:rsidR="002E671C" w:rsidRPr="005F6C37" w:rsidTr="00283EA2">
        <w:trPr>
          <w:cantSplit/>
        </w:trPr>
        <w:tc>
          <w:tcPr>
            <w:tcW w:w="1322" w:type="pct"/>
            <w:vMerge/>
            <w:tcBorders>
              <w:top w:val="single" w:sz="16" w:space="0" w:color="000000"/>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color w:val="000000"/>
                <w:sz w:val="24"/>
                <w:szCs w:val="24"/>
              </w:rPr>
            </w:pPr>
          </w:p>
        </w:tc>
        <w:tc>
          <w:tcPr>
            <w:tcW w:w="779" w:type="pct"/>
            <w:tcBorders>
              <w:left w:val="single" w:sz="12" w:space="0" w:color="auto"/>
              <w:bottom w:val="single" w:sz="8" w:space="0" w:color="000000"/>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Std. Deviation</w:t>
            </w:r>
          </w:p>
        </w:tc>
        <w:tc>
          <w:tcPr>
            <w:tcW w:w="528" w:type="pct"/>
            <w:tcBorders>
              <w:left w:val="single" w:sz="16"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1.03701</w:t>
            </w:r>
          </w:p>
        </w:tc>
        <w:tc>
          <w:tcPr>
            <w:tcW w:w="529" w:type="pct"/>
            <w:tcBorders>
              <w:left w:val="single" w:sz="8"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-.00127</w:t>
            </w:r>
          </w:p>
        </w:tc>
        <w:tc>
          <w:tcPr>
            <w:tcW w:w="580" w:type="pct"/>
            <w:tcBorders>
              <w:left w:val="single" w:sz="8"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.07149</w:t>
            </w:r>
          </w:p>
        </w:tc>
        <w:tc>
          <w:tcPr>
            <w:tcW w:w="629" w:type="pct"/>
            <w:tcBorders>
              <w:left w:val="single" w:sz="8"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.89701</w:t>
            </w:r>
          </w:p>
        </w:tc>
        <w:tc>
          <w:tcPr>
            <w:tcW w:w="633" w:type="pct"/>
            <w:tcBorders>
              <w:left w:val="single" w:sz="8" w:space="0" w:color="000000"/>
              <w:bottom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1.17527</w:t>
            </w:r>
          </w:p>
        </w:tc>
      </w:tr>
      <w:tr w:rsidR="002E671C" w:rsidRPr="005F6C37" w:rsidTr="00283EA2">
        <w:trPr>
          <w:cantSplit/>
        </w:trPr>
        <w:tc>
          <w:tcPr>
            <w:tcW w:w="1322" w:type="pct"/>
            <w:vMerge w:val="restart"/>
            <w:tcBorders>
              <w:left w:val="single" w:sz="16" w:space="0" w:color="000000"/>
              <w:bottom w:val="single" w:sz="8" w:space="0" w:color="000000"/>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sz w:val="24"/>
                <w:szCs w:val="24"/>
              </w:rPr>
              <w:t>Green management of organizational culture.</w:t>
            </w: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N</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5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580"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6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633" w:type="pct"/>
            <w:tcBorders>
              <w:left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color w:val="000000"/>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Minimum</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5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580"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33" w:type="pct"/>
            <w:tcBorders>
              <w:left w:val="single" w:sz="8" w:space="0" w:color="000000"/>
              <w:right w:val="single" w:sz="16"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Maximum</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5.00</w:t>
            </w:r>
          </w:p>
        </w:tc>
        <w:tc>
          <w:tcPr>
            <w:tcW w:w="5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580"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33" w:type="pct"/>
            <w:tcBorders>
              <w:left w:val="single" w:sz="8" w:space="0" w:color="000000"/>
              <w:right w:val="single" w:sz="16"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Mean</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4.1304</w:t>
            </w:r>
          </w:p>
        </w:tc>
        <w:tc>
          <w:tcPr>
            <w:tcW w:w="5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-.0009</w:t>
            </w:r>
          </w:p>
        </w:tc>
        <w:tc>
          <w:tcPr>
            <w:tcW w:w="580"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.0661</w:t>
            </w:r>
          </w:p>
        </w:tc>
        <w:tc>
          <w:tcPr>
            <w:tcW w:w="6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3.9947</w:t>
            </w:r>
          </w:p>
        </w:tc>
        <w:tc>
          <w:tcPr>
            <w:tcW w:w="633" w:type="pct"/>
            <w:tcBorders>
              <w:left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4.2723</w:t>
            </w:r>
          </w:p>
        </w:tc>
      </w:tr>
      <w:tr w:rsidR="002E671C" w:rsidRPr="005F6C37" w:rsidTr="00283EA2">
        <w:trPr>
          <w:cantSplit/>
        </w:trPr>
        <w:tc>
          <w:tcPr>
            <w:tcW w:w="1322" w:type="pct"/>
            <w:vMerge/>
            <w:tcBorders>
              <w:left w:val="single" w:sz="16" w:space="0" w:color="000000"/>
              <w:bottom w:val="single" w:sz="12" w:space="0" w:color="auto"/>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color w:val="000000"/>
                <w:sz w:val="24"/>
                <w:szCs w:val="24"/>
              </w:rPr>
            </w:pPr>
          </w:p>
        </w:tc>
        <w:tc>
          <w:tcPr>
            <w:tcW w:w="779" w:type="pct"/>
            <w:tcBorders>
              <w:left w:val="single" w:sz="12" w:space="0" w:color="auto"/>
              <w:bottom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Std. Deviation</w:t>
            </w:r>
          </w:p>
        </w:tc>
        <w:tc>
          <w:tcPr>
            <w:tcW w:w="528" w:type="pct"/>
            <w:tcBorders>
              <w:left w:val="single" w:sz="16" w:space="0" w:color="000000"/>
              <w:bottom w:val="single" w:sz="12" w:space="0" w:color="auto"/>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.98035</w:t>
            </w:r>
          </w:p>
        </w:tc>
        <w:tc>
          <w:tcPr>
            <w:tcW w:w="529" w:type="pct"/>
            <w:tcBorders>
              <w:left w:val="single" w:sz="8" w:space="0" w:color="000000"/>
              <w:bottom w:val="single" w:sz="12" w:space="0" w:color="auto"/>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-.00745</w:t>
            </w:r>
          </w:p>
        </w:tc>
        <w:tc>
          <w:tcPr>
            <w:tcW w:w="580" w:type="pct"/>
            <w:tcBorders>
              <w:left w:val="single" w:sz="8" w:space="0" w:color="000000"/>
              <w:bottom w:val="single" w:sz="12" w:space="0" w:color="auto"/>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.06254</w:t>
            </w:r>
          </w:p>
        </w:tc>
        <w:tc>
          <w:tcPr>
            <w:tcW w:w="629" w:type="pct"/>
            <w:tcBorders>
              <w:left w:val="single" w:sz="8" w:space="0" w:color="000000"/>
              <w:bottom w:val="single" w:sz="12" w:space="0" w:color="auto"/>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.83969</w:t>
            </w:r>
          </w:p>
        </w:tc>
        <w:tc>
          <w:tcPr>
            <w:tcW w:w="633" w:type="pct"/>
            <w:tcBorders>
              <w:left w:val="single" w:sz="8" w:space="0" w:color="000000"/>
              <w:bottom w:val="single" w:sz="12" w:space="0" w:color="auto"/>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1.09986</w:t>
            </w:r>
          </w:p>
        </w:tc>
      </w:tr>
      <w:tr w:rsidR="002E671C" w:rsidRPr="005F6C37" w:rsidTr="00283EA2">
        <w:trPr>
          <w:cantSplit/>
        </w:trPr>
        <w:tc>
          <w:tcPr>
            <w:tcW w:w="1322" w:type="pct"/>
            <w:tcBorders>
              <w:top w:val="single" w:sz="12" w:space="0" w:color="auto"/>
              <w:left w:val="single" w:sz="12" w:space="0" w:color="auto"/>
              <w:right w:val="single" w:sz="12" w:space="0" w:color="auto"/>
            </w:tcBorders>
            <w:shd w:val="clear" w:color="auto" w:fill="FFFFFF"/>
          </w:tcPr>
          <w:p w:rsidR="002E671C" w:rsidRPr="005F6C37" w:rsidRDefault="002E671C" w:rsidP="005F1F14">
            <w:pPr>
              <w:spacing w:after="0" w:line="240" w:lineRule="auto"/>
              <w:ind w:left="60" w:right="60"/>
              <w:rPr>
                <w:rFonts w:ascii="Times New Roman" w:hAnsi="Times New Roman" w:cs="Times New Roman"/>
                <w:sz w:val="24"/>
                <w:szCs w:val="24"/>
              </w:rPr>
            </w:pPr>
          </w:p>
        </w:tc>
        <w:tc>
          <w:tcPr>
            <w:tcW w:w="779" w:type="pct"/>
            <w:tcBorders>
              <w:top w:val="single" w:sz="12" w:space="0" w:color="auto"/>
              <w:left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N</w:t>
            </w:r>
          </w:p>
        </w:tc>
        <w:tc>
          <w:tcPr>
            <w:tcW w:w="528"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529"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580"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629"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633"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r>
      <w:tr w:rsidR="002E671C" w:rsidRPr="005F6C37" w:rsidTr="00283EA2">
        <w:trPr>
          <w:cantSplit/>
        </w:trPr>
        <w:tc>
          <w:tcPr>
            <w:tcW w:w="1322"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right="60"/>
              <w:rPr>
                <w:rFonts w:ascii="Times New Roman" w:hAnsi="Times New Roman" w:cs="Times New Roman"/>
                <w:sz w:val="24"/>
                <w:szCs w:val="24"/>
              </w:rPr>
            </w:pPr>
            <w:r w:rsidRPr="005F6C37">
              <w:rPr>
                <w:rFonts w:ascii="Times New Roman" w:hAnsi="Times New Roman" w:cs="Times New Roman"/>
                <w:sz w:val="24"/>
                <w:szCs w:val="24"/>
              </w:rPr>
              <w:t>Green Performance</w:t>
            </w:r>
          </w:p>
        </w:tc>
        <w:tc>
          <w:tcPr>
            <w:tcW w:w="779"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Minimum</w:t>
            </w:r>
          </w:p>
        </w:tc>
        <w:tc>
          <w:tcPr>
            <w:tcW w:w="528"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529"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580"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629"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633"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r>
      <w:tr w:rsidR="002E671C" w:rsidRPr="005F6C37" w:rsidTr="00283EA2">
        <w:trPr>
          <w:cantSplit/>
        </w:trPr>
        <w:tc>
          <w:tcPr>
            <w:tcW w:w="1322"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right="60"/>
              <w:rPr>
                <w:rFonts w:ascii="Times New Roman" w:hAnsi="Times New Roman" w:cs="Times New Roman"/>
                <w:sz w:val="24"/>
                <w:szCs w:val="24"/>
              </w:rPr>
            </w:pPr>
            <w:r w:rsidRPr="005F6C37">
              <w:rPr>
                <w:rFonts w:ascii="Times New Roman" w:hAnsi="Times New Roman" w:cs="Times New Roman"/>
                <w:sz w:val="24"/>
                <w:szCs w:val="24"/>
              </w:rPr>
              <w:t>Management and</w:t>
            </w:r>
          </w:p>
        </w:tc>
        <w:tc>
          <w:tcPr>
            <w:tcW w:w="779"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Maximum</w:t>
            </w:r>
          </w:p>
        </w:tc>
        <w:tc>
          <w:tcPr>
            <w:tcW w:w="528"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5.00</w:t>
            </w:r>
          </w:p>
        </w:tc>
        <w:tc>
          <w:tcPr>
            <w:tcW w:w="529"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580"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629"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633"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r>
      <w:tr w:rsidR="002E671C" w:rsidRPr="005F6C37" w:rsidTr="00283EA2">
        <w:trPr>
          <w:cantSplit/>
        </w:trPr>
        <w:tc>
          <w:tcPr>
            <w:tcW w:w="1322"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right="60"/>
              <w:rPr>
                <w:rFonts w:ascii="Times New Roman" w:hAnsi="Times New Roman" w:cs="Times New Roman"/>
                <w:sz w:val="24"/>
                <w:szCs w:val="24"/>
              </w:rPr>
            </w:pPr>
            <w:r w:rsidRPr="005F6C37">
              <w:rPr>
                <w:rFonts w:ascii="Times New Roman" w:hAnsi="Times New Roman" w:cs="Times New Roman"/>
                <w:sz w:val="24"/>
                <w:szCs w:val="24"/>
              </w:rPr>
              <w:t>appraisal</w:t>
            </w:r>
          </w:p>
        </w:tc>
        <w:tc>
          <w:tcPr>
            <w:tcW w:w="779"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Mean</w:t>
            </w:r>
          </w:p>
        </w:tc>
        <w:tc>
          <w:tcPr>
            <w:tcW w:w="528"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4.4012</w:t>
            </w:r>
          </w:p>
        </w:tc>
        <w:tc>
          <w:tcPr>
            <w:tcW w:w="529"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-.0015</w:t>
            </w:r>
          </w:p>
        </w:tc>
        <w:tc>
          <w:tcPr>
            <w:tcW w:w="580"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.0736</w:t>
            </w:r>
          </w:p>
        </w:tc>
        <w:tc>
          <w:tcPr>
            <w:tcW w:w="629"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3.1061</w:t>
            </w:r>
          </w:p>
        </w:tc>
        <w:tc>
          <w:tcPr>
            <w:tcW w:w="633"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4.5510</w:t>
            </w:r>
          </w:p>
        </w:tc>
      </w:tr>
      <w:tr w:rsidR="002E671C" w:rsidRPr="005F6C37" w:rsidTr="00283EA2">
        <w:trPr>
          <w:cantSplit/>
        </w:trPr>
        <w:tc>
          <w:tcPr>
            <w:tcW w:w="1322" w:type="pct"/>
            <w:tcBorders>
              <w:left w:val="single" w:sz="12" w:space="0" w:color="auto"/>
              <w:bottom w:val="single" w:sz="12" w:space="0" w:color="auto"/>
              <w:right w:val="single" w:sz="12" w:space="0" w:color="auto"/>
            </w:tcBorders>
            <w:shd w:val="clear" w:color="auto" w:fill="FFFFFF"/>
          </w:tcPr>
          <w:p w:rsidR="002E671C" w:rsidRPr="005F6C37" w:rsidRDefault="002E671C" w:rsidP="005F1F14">
            <w:pPr>
              <w:spacing w:after="0" w:line="240" w:lineRule="auto"/>
              <w:ind w:right="60"/>
              <w:rPr>
                <w:rFonts w:ascii="Times New Roman" w:hAnsi="Times New Roman" w:cs="Times New Roman"/>
                <w:sz w:val="24"/>
                <w:szCs w:val="24"/>
              </w:rPr>
            </w:pPr>
          </w:p>
        </w:tc>
        <w:tc>
          <w:tcPr>
            <w:tcW w:w="779" w:type="pct"/>
            <w:tcBorders>
              <w:left w:val="single" w:sz="12" w:space="0" w:color="auto"/>
              <w:bottom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Std. Deviation</w:t>
            </w:r>
          </w:p>
        </w:tc>
        <w:tc>
          <w:tcPr>
            <w:tcW w:w="528"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.83701</w:t>
            </w:r>
          </w:p>
        </w:tc>
        <w:tc>
          <w:tcPr>
            <w:tcW w:w="529"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-.00321</w:t>
            </w:r>
          </w:p>
        </w:tc>
        <w:tc>
          <w:tcPr>
            <w:tcW w:w="580"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.06514</w:t>
            </w:r>
          </w:p>
        </w:tc>
        <w:tc>
          <w:tcPr>
            <w:tcW w:w="629"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.70351</w:t>
            </w:r>
          </w:p>
        </w:tc>
        <w:tc>
          <w:tcPr>
            <w:tcW w:w="633"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1.17527</w:t>
            </w:r>
          </w:p>
        </w:tc>
      </w:tr>
      <w:tr w:rsidR="002E671C" w:rsidRPr="005F6C37" w:rsidTr="00283EA2">
        <w:trPr>
          <w:cantSplit/>
        </w:trPr>
        <w:tc>
          <w:tcPr>
            <w:tcW w:w="1322" w:type="pct"/>
            <w:tcBorders>
              <w:top w:val="single" w:sz="12" w:space="0" w:color="auto"/>
              <w:left w:val="single" w:sz="12" w:space="0" w:color="auto"/>
              <w:right w:val="single" w:sz="12" w:space="0" w:color="auto"/>
            </w:tcBorders>
            <w:shd w:val="clear" w:color="auto" w:fill="FFFFFF"/>
          </w:tcPr>
          <w:p w:rsidR="002E671C" w:rsidRPr="005F6C37" w:rsidRDefault="002C5934" w:rsidP="005F1F14">
            <w:pPr>
              <w:spacing w:after="0" w:line="240" w:lineRule="auto"/>
              <w:ind w:right="60"/>
              <w:rPr>
                <w:rFonts w:ascii="Times New Roman" w:hAnsi="Times New Roman" w:cs="Times New Roman"/>
                <w:sz w:val="24"/>
                <w:szCs w:val="24"/>
              </w:rPr>
            </w:pPr>
            <w:r w:rsidRPr="005F6C37">
              <w:rPr>
                <w:rFonts w:ascii="Times New Roman" w:hAnsi="Times New Roman" w:cs="Times New Roman"/>
                <w:sz w:val="24"/>
                <w:szCs w:val="24"/>
              </w:rPr>
              <w:t xml:space="preserve">Green employee </w:t>
            </w:r>
          </w:p>
        </w:tc>
        <w:tc>
          <w:tcPr>
            <w:tcW w:w="779" w:type="pct"/>
            <w:tcBorders>
              <w:top w:val="single" w:sz="12" w:space="0" w:color="auto"/>
              <w:left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N</w:t>
            </w:r>
          </w:p>
        </w:tc>
        <w:tc>
          <w:tcPr>
            <w:tcW w:w="528"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529"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580"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629"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633" w:type="pct"/>
            <w:tcBorders>
              <w:top w:val="single" w:sz="12" w:space="0" w:color="auto"/>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r>
      <w:tr w:rsidR="002E671C" w:rsidRPr="005F6C37" w:rsidTr="00283EA2">
        <w:trPr>
          <w:cantSplit/>
        </w:trPr>
        <w:tc>
          <w:tcPr>
            <w:tcW w:w="1322"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right="60"/>
              <w:rPr>
                <w:rFonts w:ascii="Times New Roman" w:hAnsi="Times New Roman" w:cs="Times New Roman"/>
                <w:sz w:val="24"/>
                <w:szCs w:val="24"/>
              </w:rPr>
            </w:pPr>
            <w:r w:rsidRPr="005F6C37">
              <w:rPr>
                <w:rFonts w:ascii="Times New Roman" w:hAnsi="Times New Roman" w:cs="Times New Roman"/>
                <w:sz w:val="24"/>
                <w:szCs w:val="24"/>
              </w:rPr>
              <w:t xml:space="preserve">empowerment and </w:t>
            </w:r>
          </w:p>
        </w:tc>
        <w:tc>
          <w:tcPr>
            <w:tcW w:w="779"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Minimum</w:t>
            </w:r>
          </w:p>
        </w:tc>
        <w:tc>
          <w:tcPr>
            <w:tcW w:w="528"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529"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580"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629"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633"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r>
      <w:tr w:rsidR="002E671C" w:rsidRPr="005F6C37" w:rsidTr="00283EA2">
        <w:trPr>
          <w:cantSplit/>
        </w:trPr>
        <w:tc>
          <w:tcPr>
            <w:tcW w:w="1322"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right="60"/>
              <w:rPr>
                <w:rFonts w:ascii="Times New Roman" w:hAnsi="Times New Roman" w:cs="Times New Roman"/>
                <w:sz w:val="24"/>
                <w:szCs w:val="24"/>
              </w:rPr>
            </w:pPr>
            <w:r w:rsidRPr="005F6C37">
              <w:rPr>
                <w:rFonts w:ascii="Times New Roman" w:hAnsi="Times New Roman" w:cs="Times New Roman"/>
                <w:sz w:val="24"/>
                <w:szCs w:val="24"/>
              </w:rPr>
              <w:t>participation</w:t>
            </w:r>
          </w:p>
        </w:tc>
        <w:tc>
          <w:tcPr>
            <w:tcW w:w="779"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Maximum</w:t>
            </w:r>
          </w:p>
        </w:tc>
        <w:tc>
          <w:tcPr>
            <w:tcW w:w="528"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5.00</w:t>
            </w:r>
          </w:p>
        </w:tc>
        <w:tc>
          <w:tcPr>
            <w:tcW w:w="529"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580"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629"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c>
          <w:tcPr>
            <w:tcW w:w="633" w:type="pct"/>
            <w:tcBorders>
              <w:left w:val="single" w:sz="12" w:space="0" w:color="auto"/>
              <w:right w:val="single" w:sz="12" w:space="0" w:color="auto"/>
            </w:tcBorders>
            <w:shd w:val="clear" w:color="auto" w:fill="FFFFFF"/>
            <w:vAlign w:val="center"/>
          </w:tcPr>
          <w:p w:rsidR="002E671C" w:rsidRPr="005F6C37" w:rsidRDefault="002E671C" w:rsidP="005F1F14">
            <w:pPr>
              <w:spacing w:after="0" w:line="240" w:lineRule="auto"/>
              <w:ind w:left="60" w:right="60"/>
              <w:jc w:val="right"/>
              <w:rPr>
                <w:rFonts w:ascii="Times New Roman" w:hAnsi="Times New Roman" w:cs="Times New Roman"/>
                <w:color w:val="000000"/>
                <w:sz w:val="24"/>
                <w:szCs w:val="24"/>
              </w:rPr>
            </w:pPr>
          </w:p>
        </w:tc>
      </w:tr>
      <w:tr w:rsidR="002E671C" w:rsidRPr="005F6C37" w:rsidTr="00283EA2">
        <w:trPr>
          <w:cantSplit/>
        </w:trPr>
        <w:tc>
          <w:tcPr>
            <w:tcW w:w="1322" w:type="pct"/>
            <w:tcBorders>
              <w:left w:val="single" w:sz="12" w:space="0" w:color="auto"/>
              <w:right w:val="single" w:sz="12" w:space="0" w:color="auto"/>
            </w:tcBorders>
            <w:shd w:val="clear" w:color="auto" w:fill="FFFFFF"/>
          </w:tcPr>
          <w:p w:rsidR="002E671C" w:rsidRPr="005F6C37" w:rsidRDefault="002E671C" w:rsidP="005F1F14">
            <w:pPr>
              <w:spacing w:after="0" w:line="240" w:lineRule="auto"/>
              <w:ind w:left="60" w:right="60"/>
              <w:rPr>
                <w:rFonts w:ascii="Times New Roman" w:hAnsi="Times New Roman" w:cs="Times New Roman"/>
                <w:sz w:val="24"/>
                <w:szCs w:val="24"/>
              </w:rPr>
            </w:pPr>
          </w:p>
        </w:tc>
        <w:tc>
          <w:tcPr>
            <w:tcW w:w="779" w:type="pct"/>
            <w:tcBorders>
              <w:left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Mean</w:t>
            </w:r>
          </w:p>
        </w:tc>
        <w:tc>
          <w:tcPr>
            <w:tcW w:w="528"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3.9133</w:t>
            </w:r>
          </w:p>
        </w:tc>
        <w:tc>
          <w:tcPr>
            <w:tcW w:w="529"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-.0097</w:t>
            </w:r>
          </w:p>
        </w:tc>
        <w:tc>
          <w:tcPr>
            <w:tcW w:w="580"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.0325</w:t>
            </w:r>
          </w:p>
        </w:tc>
        <w:tc>
          <w:tcPr>
            <w:tcW w:w="629"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3.8715</w:t>
            </w:r>
          </w:p>
        </w:tc>
        <w:tc>
          <w:tcPr>
            <w:tcW w:w="633" w:type="pct"/>
            <w:tcBorders>
              <w:left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4.1239</w:t>
            </w:r>
          </w:p>
        </w:tc>
      </w:tr>
      <w:tr w:rsidR="002E671C" w:rsidRPr="005F6C37" w:rsidTr="00283EA2">
        <w:trPr>
          <w:cantSplit/>
        </w:trPr>
        <w:tc>
          <w:tcPr>
            <w:tcW w:w="1322" w:type="pct"/>
            <w:tcBorders>
              <w:left w:val="single" w:sz="12" w:space="0" w:color="auto"/>
              <w:bottom w:val="single" w:sz="12" w:space="0" w:color="auto"/>
              <w:right w:val="single" w:sz="12" w:space="0" w:color="auto"/>
            </w:tcBorders>
            <w:shd w:val="clear" w:color="auto" w:fill="FFFFFF"/>
          </w:tcPr>
          <w:p w:rsidR="002E671C" w:rsidRPr="005F6C37" w:rsidRDefault="002E671C" w:rsidP="005F1F14">
            <w:pPr>
              <w:spacing w:after="0" w:line="240" w:lineRule="auto"/>
              <w:ind w:right="60"/>
              <w:rPr>
                <w:rFonts w:ascii="Times New Roman" w:hAnsi="Times New Roman" w:cs="Times New Roman"/>
                <w:sz w:val="24"/>
                <w:szCs w:val="24"/>
              </w:rPr>
            </w:pPr>
          </w:p>
        </w:tc>
        <w:tc>
          <w:tcPr>
            <w:tcW w:w="779" w:type="pct"/>
            <w:tcBorders>
              <w:left w:val="single" w:sz="12" w:space="0" w:color="auto"/>
              <w:bottom w:val="single" w:sz="12" w:space="0" w:color="auto"/>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Std. Deviation</w:t>
            </w:r>
          </w:p>
        </w:tc>
        <w:tc>
          <w:tcPr>
            <w:tcW w:w="528"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.97033</w:t>
            </w:r>
          </w:p>
        </w:tc>
        <w:tc>
          <w:tcPr>
            <w:tcW w:w="529"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-.01735</w:t>
            </w:r>
          </w:p>
        </w:tc>
        <w:tc>
          <w:tcPr>
            <w:tcW w:w="580"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.08420</w:t>
            </w:r>
          </w:p>
        </w:tc>
        <w:tc>
          <w:tcPr>
            <w:tcW w:w="629"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1.21710</w:t>
            </w:r>
          </w:p>
        </w:tc>
        <w:tc>
          <w:tcPr>
            <w:tcW w:w="633" w:type="pct"/>
            <w:tcBorders>
              <w:left w:val="single" w:sz="12" w:space="0" w:color="auto"/>
              <w:bottom w:val="single" w:sz="12" w:space="0" w:color="auto"/>
              <w:right w:val="single" w:sz="12" w:space="0" w:color="auto"/>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1.30015</w:t>
            </w:r>
          </w:p>
        </w:tc>
      </w:tr>
      <w:tr w:rsidR="002E671C" w:rsidRPr="005F6C37" w:rsidTr="00283EA2">
        <w:trPr>
          <w:cantSplit/>
        </w:trPr>
        <w:tc>
          <w:tcPr>
            <w:tcW w:w="1322" w:type="pct"/>
            <w:vMerge w:val="restart"/>
            <w:tcBorders>
              <w:top w:val="single" w:sz="12" w:space="0" w:color="auto"/>
              <w:left w:val="single" w:sz="16" w:space="0" w:color="000000"/>
              <w:bottom w:val="single" w:sz="8" w:space="0" w:color="000000"/>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sz w:val="24"/>
                <w:szCs w:val="24"/>
              </w:rPr>
              <w:t>Green reward and compensation</w:t>
            </w:r>
          </w:p>
        </w:tc>
        <w:tc>
          <w:tcPr>
            <w:tcW w:w="779" w:type="pct"/>
            <w:tcBorders>
              <w:top w:val="single" w:sz="12" w:space="0" w:color="auto"/>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N</w:t>
            </w:r>
          </w:p>
        </w:tc>
        <w:tc>
          <w:tcPr>
            <w:tcW w:w="528" w:type="pct"/>
            <w:tcBorders>
              <w:top w:val="single" w:sz="12" w:space="0" w:color="auto"/>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529" w:type="pct"/>
            <w:tcBorders>
              <w:top w:val="single" w:sz="12" w:space="0" w:color="auto"/>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580" w:type="pct"/>
            <w:tcBorders>
              <w:top w:val="single" w:sz="12" w:space="0" w:color="auto"/>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629" w:type="pct"/>
            <w:tcBorders>
              <w:top w:val="single" w:sz="12" w:space="0" w:color="auto"/>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633" w:type="pct"/>
            <w:tcBorders>
              <w:top w:val="single" w:sz="12" w:space="0" w:color="auto"/>
              <w:left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color w:val="000000"/>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Minimum</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5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580"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33" w:type="pct"/>
            <w:tcBorders>
              <w:left w:val="single" w:sz="8" w:space="0" w:color="000000"/>
              <w:right w:val="single" w:sz="16"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Maximum</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5.00</w:t>
            </w:r>
          </w:p>
        </w:tc>
        <w:tc>
          <w:tcPr>
            <w:tcW w:w="5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580"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33" w:type="pct"/>
            <w:tcBorders>
              <w:left w:val="single" w:sz="8" w:space="0" w:color="000000"/>
              <w:right w:val="single" w:sz="16"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Mean</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3.6609</w:t>
            </w:r>
          </w:p>
        </w:tc>
        <w:tc>
          <w:tcPr>
            <w:tcW w:w="5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-.0021</w:t>
            </w:r>
          </w:p>
        </w:tc>
        <w:tc>
          <w:tcPr>
            <w:tcW w:w="580"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.0854</w:t>
            </w:r>
          </w:p>
        </w:tc>
        <w:tc>
          <w:tcPr>
            <w:tcW w:w="6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3.4764</w:t>
            </w:r>
          </w:p>
        </w:tc>
        <w:tc>
          <w:tcPr>
            <w:tcW w:w="633" w:type="pct"/>
            <w:tcBorders>
              <w:left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3.8217</w:t>
            </w: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color w:val="000000"/>
                <w:sz w:val="24"/>
                <w:szCs w:val="24"/>
              </w:rPr>
            </w:pPr>
          </w:p>
        </w:tc>
        <w:tc>
          <w:tcPr>
            <w:tcW w:w="779" w:type="pct"/>
            <w:tcBorders>
              <w:left w:val="single" w:sz="12" w:space="0" w:color="auto"/>
              <w:bottom w:val="single" w:sz="8" w:space="0" w:color="000000"/>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Std. Deviation</w:t>
            </w:r>
          </w:p>
        </w:tc>
        <w:tc>
          <w:tcPr>
            <w:tcW w:w="528" w:type="pct"/>
            <w:tcBorders>
              <w:left w:val="single" w:sz="16"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1.27033</w:t>
            </w:r>
          </w:p>
        </w:tc>
        <w:tc>
          <w:tcPr>
            <w:tcW w:w="529" w:type="pct"/>
            <w:tcBorders>
              <w:left w:val="single" w:sz="8"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-.00285</w:t>
            </w:r>
          </w:p>
        </w:tc>
        <w:tc>
          <w:tcPr>
            <w:tcW w:w="580" w:type="pct"/>
            <w:tcBorders>
              <w:left w:val="single" w:sz="8"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.05330</w:t>
            </w:r>
          </w:p>
        </w:tc>
        <w:tc>
          <w:tcPr>
            <w:tcW w:w="629" w:type="pct"/>
            <w:tcBorders>
              <w:left w:val="single" w:sz="8"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1.16148</w:t>
            </w:r>
          </w:p>
        </w:tc>
        <w:tc>
          <w:tcPr>
            <w:tcW w:w="633" w:type="pct"/>
            <w:tcBorders>
              <w:left w:val="single" w:sz="8" w:space="0" w:color="000000"/>
              <w:bottom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1.36925</w:t>
            </w:r>
          </w:p>
        </w:tc>
      </w:tr>
      <w:tr w:rsidR="002E671C" w:rsidRPr="005F6C37" w:rsidTr="00283EA2">
        <w:trPr>
          <w:cantSplit/>
        </w:trPr>
        <w:tc>
          <w:tcPr>
            <w:tcW w:w="1322" w:type="pct"/>
            <w:vMerge w:val="restart"/>
            <w:tcBorders>
              <w:left w:val="single" w:sz="16" w:space="0" w:color="000000"/>
              <w:bottom w:val="single" w:sz="8" w:space="0" w:color="000000"/>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sz w:val="24"/>
                <w:szCs w:val="24"/>
              </w:rPr>
              <w:t>Green training and development</w:t>
            </w: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N</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5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580"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6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633" w:type="pct"/>
            <w:tcBorders>
              <w:left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color w:val="000000"/>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Minimum</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5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580"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33" w:type="pct"/>
            <w:tcBorders>
              <w:left w:val="single" w:sz="8" w:space="0" w:color="000000"/>
              <w:right w:val="single" w:sz="16"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Maximum</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5.00</w:t>
            </w:r>
          </w:p>
        </w:tc>
        <w:tc>
          <w:tcPr>
            <w:tcW w:w="5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580"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29" w:type="pct"/>
            <w:tcBorders>
              <w:left w:val="single" w:sz="8" w:space="0" w:color="000000"/>
              <w:right w:val="single" w:sz="8"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c>
          <w:tcPr>
            <w:tcW w:w="633" w:type="pct"/>
            <w:tcBorders>
              <w:left w:val="single" w:sz="8" w:space="0" w:color="000000"/>
              <w:right w:val="single" w:sz="16" w:space="0" w:color="000000"/>
            </w:tcBorders>
            <w:shd w:val="clear" w:color="auto" w:fill="FFFFFF"/>
            <w:vAlign w:val="center"/>
          </w:tcPr>
          <w:p w:rsidR="002E671C" w:rsidRPr="005F6C37" w:rsidRDefault="002E671C" w:rsidP="005F1F14">
            <w:pPr>
              <w:spacing w:after="0" w:line="240" w:lineRule="auto"/>
              <w:rPr>
                <w:rFonts w:ascii="Times New Roman" w:hAnsi="Times New Roman" w:cs="Times New Roman"/>
                <w:sz w:val="24"/>
                <w:szCs w:val="24"/>
              </w:rPr>
            </w:pP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sz w:val="24"/>
                <w:szCs w:val="24"/>
              </w:rPr>
            </w:pPr>
          </w:p>
        </w:tc>
        <w:tc>
          <w:tcPr>
            <w:tcW w:w="779" w:type="pct"/>
            <w:tcBorders>
              <w:left w:val="single" w:sz="12" w:space="0" w:color="auto"/>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Mean</w:t>
            </w:r>
          </w:p>
        </w:tc>
        <w:tc>
          <w:tcPr>
            <w:tcW w:w="528" w:type="pct"/>
            <w:tcBorders>
              <w:left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3.4609</w:t>
            </w:r>
          </w:p>
        </w:tc>
        <w:tc>
          <w:tcPr>
            <w:tcW w:w="5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.0008</w:t>
            </w:r>
          </w:p>
        </w:tc>
        <w:tc>
          <w:tcPr>
            <w:tcW w:w="580"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.0899</w:t>
            </w:r>
          </w:p>
        </w:tc>
        <w:tc>
          <w:tcPr>
            <w:tcW w:w="629" w:type="pct"/>
            <w:tcBorders>
              <w:left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3.3094</w:t>
            </w:r>
          </w:p>
        </w:tc>
        <w:tc>
          <w:tcPr>
            <w:tcW w:w="633" w:type="pct"/>
            <w:tcBorders>
              <w:left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3.6481</w:t>
            </w:r>
          </w:p>
        </w:tc>
      </w:tr>
      <w:tr w:rsidR="002E671C" w:rsidRPr="005F6C37" w:rsidTr="00283EA2">
        <w:trPr>
          <w:cantSplit/>
        </w:trPr>
        <w:tc>
          <w:tcPr>
            <w:tcW w:w="1322" w:type="pct"/>
            <w:vMerge/>
            <w:tcBorders>
              <w:left w:val="single" w:sz="16" w:space="0" w:color="000000"/>
              <w:bottom w:val="single" w:sz="8" w:space="0" w:color="000000"/>
              <w:right w:val="single" w:sz="12" w:space="0" w:color="auto"/>
            </w:tcBorders>
            <w:shd w:val="clear" w:color="auto" w:fill="FFFFFF"/>
          </w:tcPr>
          <w:p w:rsidR="002E671C" w:rsidRPr="005F6C37" w:rsidRDefault="002E671C" w:rsidP="005F1F14">
            <w:pPr>
              <w:spacing w:after="0" w:line="240" w:lineRule="auto"/>
              <w:rPr>
                <w:rFonts w:ascii="Times New Roman" w:hAnsi="Times New Roman" w:cs="Times New Roman"/>
                <w:color w:val="000000"/>
                <w:sz w:val="24"/>
                <w:szCs w:val="24"/>
              </w:rPr>
            </w:pPr>
          </w:p>
        </w:tc>
        <w:tc>
          <w:tcPr>
            <w:tcW w:w="779" w:type="pct"/>
            <w:tcBorders>
              <w:left w:val="single" w:sz="12" w:space="0" w:color="auto"/>
              <w:bottom w:val="single" w:sz="8" w:space="0" w:color="000000"/>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Std. Deviation</w:t>
            </w:r>
          </w:p>
        </w:tc>
        <w:tc>
          <w:tcPr>
            <w:tcW w:w="528" w:type="pct"/>
            <w:tcBorders>
              <w:left w:val="single" w:sz="16"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1.37848</w:t>
            </w:r>
          </w:p>
        </w:tc>
        <w:tc>
          <w:tcPr>
            <w:tcW w:w="529" w:type="pct"/>
            <w:tcBorders>
              <w:left w:val="single" w:sz="8"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-.00192</w:t>
            </w:r>
          </w:p>
        </w:tc>
        <w:tc>
          <w:tcPr>
            <w:tcW w:w="580" w:type="pct"/>
            <w:tcBorders>
              <w:left w:val="single" w:sz="8"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.04894</w:t>
            </w:r>
          </w:p>
        </w:tc>
        <w:tc>
          <w:tcPr>
            <w:tcW w:w="629" w:type="pct"/>
            <w:tcBorders>
              <w:left w:val="single" w:sz="8" w:space="0" w:color="000000"/>
              <w:bottom w:val="single" w:sz="8"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1.27962</w:t>
            </w:r>
          </w:p>
        </w:tc>
        <w:tc>
          <w:tcPr>
            <w:tcW w:w="633" w:type="pct"/>
            <w:tcBorders>
              <w:left w:val="single" w:sz="8" w:space="0" w:color="000000"/>
              <w:bottom w:val="single" w:sz="8"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1.46519</w:t>
            </w:r>
          </w:p>
        </w:tc>
      </w:tr>
      <w:tr w:rsidR="002E671C" w:rsidRPr="005F6C37" w:rsidTr="00283EA2">
        <w:trPr>
          <w:cantSplit/>
        </w:trPr>
        <w:tc>
          <w:tcPr>
            <w:tcW w:w="1322" w:type="pct"/>
            <w:tcBorders>
              <w:left w:val="single" w:sz="16" w:space="0" w:color="000000"/>
              <w:bottom w:val="single" w:sz="18" w:space="0" w:color="000000"/>
              <w:right w:val="single" w:sz="12" w:space="0" w:color="auto"/>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N (</w:t>
            </w:r>
            <w:proofErr w:type="spellStart"/>
            <w:r w:rsidRPr="005F6C37">
              <w:rPr>
                <w:rFonts w:ascii="Times New Roman" w:hAnsi="Times New Roman" w:cs="Times New Roman"/>
                <w:color w:val="000000"/>
                <w:sz w:val="24"/>
                <w:szCs w:val="24"/>
              </w:rPr>
              <w:t>listwise</w:t>
            </w:r>
            <w:proofErr w:type="spellEnd"/>
            <w:r w:rsidRPr="005F6C37">
              <w:rPr>
                <w:rFonts w:ascii="Times New Roman" w:hAnsi="Times New Roman" w:cs="Times New Roman"/>
                <w:color w:val="000000"/>
                <w:sz w:val="24"/>
                <w:szCs w:val="24"/>
              </w:rPr>
              <w:t>)</w:t>
            </w:r>
          </w:p>
        </w:tc>
        <w:tc>
          <w:tcPr>
            <w:tcW w:w="779" w:type="pct"/>
            <w:tcBorders>
              <w:left w:val="single" w:sz="12" w:space="0" w:color="auto"/>
              <w:bottom w:val="single" w:sz="18" w:space="0" w:color="000000"/>
              <w:right w:val="single" w:sz="16" w:space="0" w:color="000000"/>
            </w:tcBorders>
            <w:shd w:val="clear" w:color="auto" w:fill="FFFFFF"/>
          </w:tcPr>
          <w:p w:rsidR="002E671C" w:rsidRPr="005F6C37" w:rsidRDefault="002C5934" w:rsidP="005F1F14">
            <w:pPr>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N</w:t>
            </w:r>
          </w:p>
        </w:tc>
        <w:tc>
          <w:tcPr>
            <w:tcW w:w="528" w:type="pct"/>
            <w:tcBorders>
              <w:left w:val="single" w:sz="16" w:space="0" w:color="000000"/>
              <w:bottom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529" w:type="pct"/>
            <w:tcBorders>
              <w:left w:val="single" w:sz="8" w:space="0" w:color="000000"/>
              <w:bottom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580" w:type="pct"/>
            <w:tcBorders>
              <w:left w:val="single" w:sz="8" w:space="0" w:color="000000"/>
              <w:bottom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w:t>
            </w:r>
          </w:p>
        </w:tc>
        <w:tc>
          <w:tcPr>
            <w:tcW w:w="629" w:type="pct"/>
            <w:tcBorders>
              <w:left w:val="single" w:sz="8" w:space="0" w:color="000000"/>
              <w:bottom w:val="single" w:sz="16" w:space="0" w:color="000000"/>
              <w:right w:val="single" w:sz="8"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633" w:type="pct"/>
            <w:tcBorders>
              <w:left w:val="single" w:sz="8" w:space="0" w:color="000000"/>
              <w:bottom w:val="single" w:sz="16" w:space="0" w:color="000000"/>
              <w:right w:val="single" w:sz="16" w:space="0" w:color="000000"/>
            </w:tcBorders>
            <w:shd w:val="clear" w:color="auto" w:fill="FFFFFF"/>
            <w:vAlign w:val="center"/>
          </w:tcPr>
          <w:p w:rsidR="002E671C" w:rsidRPr="005F6C37" w:rsidRDefault="002C5934" w:rsidP="005F1F14">
            <w:pPr>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r>
      <w:tr w:rsidR="002E671C" w:rsidRPr="005F6C37" w:rsidTr="00283EA2">
        <w:trPr>
          <w:cantSplit/>
        </w:trPr>
        <w:tc>
          <w:tcPr>
            <w:tcW w:w="5000" w:type="pct"/>
            <w:gridSpan w:val="7"/>
            <w:shd w:val="clear" w:color="auto" w:fill="FFFFFF"/>
          </w:tcPr>
          <w:p w:rsidR="002E671C" w:rsidRPr="005F6C37" w:rsidRDefault="00E757AC" w:rsidP="005F1F14">
            <w:pPr>
              <w:spacing w:after="0" w:line="240" w:lineRule="auto"/>
              <w:ind w:left="60" w:right="60"/>
              <w:rPr>
                <w:rFonts w:ascii="Times New Roman" w:hAnsi="Times New Roman" w:cs="Times New Roman"/>
                <w:b/>
                <w:bCs/>
                <w:i/>
                <w:iCs/>
                <w:color w:val="000000"/>
                <w:sz w:val="24"/>
                <w:szCs w:val="24"/>
              </w:rPr>
            </w:pPr>
            <w:r w:rsidRPr="005F6C37">
              <w:rPr>
                <w:rFonts w:ascii="Times New Roman" w:hAnsi="Times New Roman" w:cs="Times New Roman"/>
                <w:b/>
                <w:bCs/>
                <w:i/>
                <w:iCs/>
                <w:color w:val="000000"/>
                <w:sz w:val="24"/>
                <w:szCs w:val="24"/>
              </w:rPr>
              <w:t>Source: Field Survey, 2025</w:t>
            </w:r>
          </w:p>
          <w:p w:rsidR="00CF387B" w:rsidRPr="005F6C37" w:rsidRDefault="00CF387B" w:rsidP="005F1F14">
            <w:pPr>
              <w:spacing w:after="0" w:line="240" w:lineRule="auto"/>
              <w:ind w:left="60" w:right="60"/>
              <w:rPr>
                <w:rFonts w:ascii="Times New Roman" w:hAnsi="Times New Roman" w:cs="Times New Roman"/>
                <w:color w:val="000000"/>
                <w:sz w:val="24"/>
                <w:szCs w:val="24"/>
              </w:rPr>
            </w:pPr>
          </w:p>
        </w:tc>
      </w:tr>
      <w:tr w:rsidR="00CF387B" w:rsidRPr="005F6C37" w:rsidTr="00283EA2">
        <w:trPr>
          <w:cantSplit/>
        </w:trPr>
        <w:tc>
          <w:tcPr>
            <w:tcW w:w="5000" w:type="pct"/>
            <w:gridSpan w:val="7"/>
            <w:shd w:val="clear" w:color="auto" w:fill="FFFFFF"/>
          </w:tcPr>
          <w:p w:rsidR="00CF387B" w:rsidRPr="005F6C37" w:rsidRDefault="00CF387B" w:rsidP="005F1F14">
            <w:pPr>
              <w:spacing w:after="0" w:line="240" w:lineRule="auto"/>
              <w:ind w:right="60"/>
              <w:rPr>
                <w:rFonts w:ascii="Times New Roman" w:hAnsi="Times New Roman" w:cs="Times New Roman"/>
                <w:bCs/>
                <w:iCs/>
                <w:color w:val="000000"/>
                <w:sz w:val="24"/>
                <w:szCs w:val="24"/>
              </w:rPr>
            </w:pPr>
          </w:p>
        </w:tc>
      </w:tr>
    </w:tbl>
    <w:p w:rsidR="002F06A0" w:rsidRPr="005F6C37" w:rsidRDefault="002F06A0" w:rsidP="00A409A7">
      <w:pPr>
        <w:spacing w:after="0" w:line="360" w:lineRule="auto"/>
        <w:jc w:val="both"/>
        <w:rPr>
          <w:rFonts w:ascii="Times New Roman" w:hAnsi="Times New Roman" w:cs="Times New Roman"/>
          <w:bCs/>
          <w:iCs/>
          <w:color w:val="000000"/>
          <w:sz w:val="24"/>
          <w:szCs w:val="24"/>
        </w:rPr>
      </w:pPr>
      <w:r w:rsidRPr="005F6C37">
        <w:rPr>
          <w:rFonts w:ascii="Times New Roman" w:hAnsi="Times New Roman" w:cs="Times New Roman"/>
          <w:bCs/>
          <w:iCs/>
          <w:color w:val="000000"/>
          <w:sz w:val="24"/>
          <w:szCs w:val="24"/>
        </w:rPr>
        <w:t xml:space="preserve">Table 4.4.1 presents the mean rankings for GHRM practices at GTB </w:t>
      </w:r>
      <w:proofErr w:type="spellStart"/>
      <w:r w:rsidRPr="005F6C37">
        <w:rPr>
          <w:rFonts w:ascii="Times New Roman" w:hAnsi="Times New Roman" w:cs="Times New Roman"/>
          <w:bCs/>
          <w:iCs/>
          <w:color w:val="000000"/>
          <w:sz w:val="24"/>
          <w:szCs w:val="24"/>
        </w:rPr>
        <w:t>Plc</w:t>
      </w:r>
      <w:proofErr w:type="spellEnd"/>
      <w:r w:rsidRPr="005F6C37">
        <w:rPr>
          <w:rFonts w:ascii="Times New Roman" w:hAnsi="Times New Roman" w:cs="Times New Roman"/>
          <w:bCs/>
          <w:iCs/>
          <w:color w:val="000000"/>
          <w:sz w:val="24"/>
          <w:szCs w:val="24"/>
        </w:rPr>
        <w:t xml:space="preserve"> Ilorin across various statement constructs. The constructs were evaluated on a five-point </w:t>
      </w:r>
      <w:proofErr w:type="spellStart"/>
      <w:r w:rsidRPr="005F6C37">
        <w:rPr>
          <w:rFonts w:ascii="Times New Roman" w:hAnsi="Times New Roman" w:cs="Times New Roman"/>
          <w:bCs/>
          <w:iCs/>
          <w:color w:val="000000"/>
          <w:sz w:val="24"/>
          <w:szCs w:val="24"/>
        </w:rPr>
        <w:t>Likert</w:t>
      </w:r>
      <w:proofErr w:type="spellEnd"/>
      <w:r w:rsidRPr="005F6C37">
        <w:rPr>
          <w:rFonts w:ascii="Times New Roman" w:hAnsi="Times New Roman" w:cs="Times New Roman"/>
          <w:bCs/>
          <w:iCs/>
          <w:color w:val="000000"/>
          <w:sz w:val="24"/>
          <w:szCs w:val="24"/>
        </w:rPr>
        <w:t xml:space="preserve"> scale, where 5 indicates the highest level of agreement regarding GHRM practices. The possible scores were: agree (5), disagree (1), and neutral (2). The mean is calculated based on the number of respondents who agreed with the bank's approach to green human resource management. The dataset generated through bootstrapping procedures displays the actual scores in the statistics column.</w:t>
      </w:r>
    </w:p>
    <w:p w:rsidR="002F06A0" w:rsidRPr="005F6C37" w:rsidRDefault="002F06A0" w:rsidP="00A409A7">
      <w:pPr>
        <w:spacing w:after="0" w:line="360" w:lineRule="auto"/>
        <w:jc w:val="both"/>
        <w:rPr>
          <w:rFonts w:ascii="Times New Roman" w:hAnsi="Times New Roman" w:cs="Times New Roman"/>
          <w:bCs/>
          <w:iCs/>
          <w:color w:val="000000"/>
          <w:sz w:val="24"/>
          <w:szCs w:val="24"/>
        </w:rPr>
      </w:pPr>
      <w:r w:rsidRPr="005F6C37">
        <w:rPr>
          <w:rFonts w:ascii="Times New Roman" w:hAnsi="Times New Roman" w:cs="Times New Roman"/>
          <w:bCs/>
          <w:iCs/>
          <w:color w:val="000000"/>
          <w:sz w:val="24"/>
          <w:szCs w:val="24"/>
        </w:rPr>
        <w:t>The parametric mean score of 4.1435 falls within the bootstrap confidence interval for the mean (3.9739 to 4.2739) with a standard error of 0.0736, indicating that the organization places significant value on recruitment and selection. Additionally, the construct suggests that the organization promotes green management within its culture, as reflected in the average mean ranking of 4.1304, which lies within the bootstrap confidence interval (3.9947 to 4.2723) and has a standard error of 0.0661.</w:t>
      </w:r>
    </w:p>
    <w:p w:rsidR="002F06A0" w:rsidRPr="005F6C37" w:rsidRDefault="002F06A0" w:rsidP="00A409A7">
      <w:pPr>
        <w:spacing w:after="0" w:line="360" w:lineRule="auto"/>
        <w:jc w:val="both"/>
        <w:rPr>
          <w:rFonts w:ascii="Times New Roman" w:hAnsi="Times New Roman" w:cs="Times New Roman"/>
          <w:bCs/>
          <w:iCs/>
          <w:color w:val="000000"/>
          <w:sz w:val="24"/>
          <w:szCs w:val="24"/>
        </w:rPr>
      </w:pPr>
      <w:r w:rsidRPr="005F6C37">
        <w:rPr>
          <w:rFonts w:ascii="Times New Roman" w:hAnsi="Times New Roman" w:cs="Times New Roman"/>
          <w:bCs/>
          <w:iCs/>
          <w:color w:val="000000"/>
          <w:sz w:val="24"/>
          <w:szCs w:val="24"/>
        </w:rPr>
        <w:t xml:space="preserve">For green performance management and appraisal, the parametric mean score is 3.1061, with a range between 4.5510 and a standard error of 0.0651. The mean for green employee empowerment and engagement is 3.913, within a range of </w:t>
      </w:r>
      <w:r w:rsidRPr="005F6C37">
        <w:rPr>
          <w:rFonts w:ascii="Times New Roman" w:hAnsi="Times New Roman" w:cs="Times New Roman"/>
          <w:bCs/>
          <w:iCs/>
          <w:color w:val="000000"/>
          <w:sz w:val="24"/>
          <w:szCs w:val="24"/>
        </w:rPr>
        <w:lastRenderedPageBreak/>
        <w:t xml:space="preserve">3.8715 to 4.1239, and a standard error of 0.0325. Green reward and compensation management practices average between 3.4764 and 3.8217, with a standard error of 0.0854. The average mean ranking for green training and development techniques is 3.4609, falling within a range of 3.3094 to 3.6481 and a standard error of 0.0899. All standard errors are notably small, suggesting that respondents' opinions are not significantly influenced by </w:t>
      </w:r>
      <w:proofErr w:type="spellStart"/>
      <w:r w:rsidRPr="005F6C37">
        <w:rPr>
          <w:rFonts w:ascii="Times New Roman" w:hAnsi="Times New Roman" w:cs="Times New Roman"/>
          <w:bCs/>
          <w:iCs/>
          <w:color w:val="000000"/>
          <w:sz w:val="24"/>
          <w:szCs w:val="24"/>
        </w:rPr>
        <w:t>chance.The</w:t>
      </w:r>
      <w:proofErr w:type="spellEnd"/>
      <w:r w:rsidRPr="005F6C37">
        <w:rPr>
          <w:rFonts w:ascii="Times New Roman" w:hAnsi="Times New Roman" w:cs="Times New Roman"/>
          <w:bCs/>
          <w:iCs/>
          <w:color w:val="000000"/>
          <w:sz w:val="24"/>
          <w:szCs w:val="24"/>
        </w:rPr>
        <w:t xml:space="preserve"> perception that green performance management and appraisal is the most prevalent practice in the chosen bank is reinforced by its lower standard deviation compared to other constructs in the rankings. However, these mean scores may still be affected by outliers due to the variability in standard deviations. This analysis indicates a strong alignment of performance management and appraisal with GHRM practices in the banking sector, as all mean scores for the six constructs exceed the cutoff point of 3.00.</w:t>
      </w:r>
    </w:p>
    <w:p w:rsidR="002E671C" w:rsidRPr="005F6C37" w:rsidRDefault="002F06A0" w:rsidP="00A409A7">
      <w:pPr>
        <w:spacing w:after="0" w:line="360" w:lineRule="auto"/>
        <w:jc w:val="both"/>
        <w:rPr>
          <w:rFonts w:ascii="Times New Roman" w:hAnsi="Times New Roman" w:cs="Times New Roman"/>
          <w:bCs/>
          <w:iCs/>
          <w:color w:val="000000"/>
          <w:sz w:val="24"/>
          <w:szCs w:val="24"/>
        </w:rPr>
      </w:pPr>
      <w:r w:rsidRPr="005F6C37">
        <w:rPr>
          <w:rFonts w:ascii="Times New Roman" w:hAnsi="Times New Roman" w:cs="Times New Roman"/>
          <w:bCs/>
          <w:iCs/>
          <w:color w:val="000000"/>
          <w:sz w:val="24"/>
          <w:szCs w:val="24"/>
        </w:rPr>
        <w:t xml:space="preserve">Consequently, further research is essential to ascertain whether performance management and appraisal truly impact organizational success, as believed by the majority, or if this is merely </w:t>
      </w:r>
      <w:proofErr w:type="spellStart"/>
      <w:r w:rsidRPr="005F6C37">
        <w:rPr>
          <w:rFonts w:ascii="Times New Roman" w:hAnsi="Times New Roman" w:cs="Times New Roman"/>
          <w:bCs/>
          <w:iCs/>
          <w:color w:val="000000"/>
          <w:sz w:val="24"/>
          <w:szCs w:val="24"/>
        </w:rPr>
        <w:t>coincidental.</w:t>
      </w:r>
      <w:r w:rsidR="002C5934" w:rsidRPr="005F6C37">
        <w:rPr>
          <w:rFonts w:ascii="Times New Roman" w:hAnsi="Times New Roman" w:cs="Times New Roman"/>
          <w:b/>
          <w:bCs/>
          <w:sz w:val="24"/>
          <w:szCs w:val="24"/>
        </w:rPr>
        <w:t>Research</w:t>
      </w:r>
      <w:proofErr w:type="spellEnd"/>
      <w:r w:rsidR="002C5934" w:rsidRPr="005F6C37">
        <w:rPr>
          <w:rFonts w:ascii="Times New Roman" w:hAnsi="Times New Roman" w:cs="Times New Roman"/>
          <w:b/>
          <w:bCs/>
          <w:sz w:val="24"/>
          <w:szCs w:val="24"/>
        </w:rPr>
        <w:t xml:space="preserve"> Question 2: what is the relationship between GHRM practices and organizational competitiveness</w:t>
      </w:r>
    </w:p>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E671C" w:rsidRPr="005F6C37">
        <w:trPr>
          <w:cantSplit/>
        </w:trPr>
        <w:tc>
          <w:tcPr>
            <w:tcW w:w="8184" w:type="dxa"/>
            <w:gridSpan w:val="6"/>
            <w:tcBorders>
              <w:top w:val="nil"/>
              <w:left w:val="nil"/>
              <w:bottom w:val="nil"/>
              <w:right w:val="nil"/>
            </w:tcBorders>
            <w:shd w:val="clear" w:color="auto" w:fill="FFFFFF"/>
            <w:vAlign w:val="center"/>
          </w:tcPr>
          <w:p w:rsidR="002E671C" w:rsidRPr="005F6C37" w:rsidRDefault="002C5934" w:rsidP="00283EA2">
            <w:pPr>
              <w:spacing w:after="0" w:line="240" w:lineRule="auto"/>
              <w:jc w:val="both"/>
              <w:rPr>
                <w:rFonts w:ascii="Times New Roman" w:hAnsi="Times New Roman" w:cs="Times New Roman"/>
                <w:color w:val="000000"/>
                <w:sz w:val="24"/>
                <w:szCs w:val="24"/>
              </w:rPr>
            </w:pPr>
            <w:r w:rsidRPr="005F6C37">
              <w:rPr>
                <w:rFonts w:ascii="Times New Roman" w:hAnsi="Times New Roman" w:cs="Times New Roman"/>
                <w:sz w:val="24"/>
                <w:szCs w:val="24"/>
              </w:rPr>
              <w:t>Table 4.4.2 Green job design and analysis are properly practiced in your organization</w:t>
            </w:r>
          </w:p>
        </w:tc>
      </w:tr>
      <w:tr w:rsidR="002E671C" w:rsidRPr="005F6C3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283EA2">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283EA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283EA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283EA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283EA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16" w:type="dxa"/>
            <w:tcBorders>
              <w:top w:val="single" w:sz="16" w:space="0" w:color="000000"/>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r>
      <w:tr w:rsidR="002E671C" w:rsidRPr="005F6C3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r>
      <w:tr w:rsidR="002E671C" w:rsidRPr="005F6C3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14.0</w:t>
            </w:r>
          </w:p>
        </w:tc>
      </w:tr>
      <w:tr w:rsidR="002E671C" w:rsidRPr="005F6C3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30.0</w:t>
            </w:r>
          </w:p>
        </w:tc>
      </w:tr>
      <w:tr w:rsidR="002E671C" w:rsidRPr="005F6C3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AREED</w:t>
            </w:r>
          </w:p>
        </w:tc>
        <w:tc>
          <w:tcPr>
            <w:tcW w:w="1162" w:type="dxa"/>
            <w:tcBorders>
              <w:top w:val="nil"/>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35</w:t>
            </w:r>
          </w:p>
        </w:tc>
        <w:tc>
          <w:tcPr>
            <w:tcW w:w="1024"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70.0</w:t>
            </w:r>
          </w:p>
        </w:tc>
        <w:tc>
          <w:tcPr>
            <w:tcW w:w="1393"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70.0</w:t>
            </w:r>
          </w:p>
        </w:tc>
        <w:tc>
          <w:tcPr>
            <w:tcW w:w="1469" w:type="dxa"/>
            <w:tcBorders>
              <w:top w:val="nil"/>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single" w:sz="16" w:space="0" w:color="000000"/>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283EA2">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2E671C" w:rsidP="00A409A7">
      <w:pPr>
        <w:autoSpaceDE w:val="0"/>
        <w:autoSpaceDN w:val="0"/>
        <w:adjustRightInd w:val="0"/>
        <w:spacing w:after="0" w:line="360" w:lineRule="auto"/>
        <w:jc w:val="both"/>
        <w:rPr>
          <w:rFonts w:ascii="Times New Roman" w:hAnsi="Times New Roman" w:cs="Times New Roman"/>
          <w:sz w:val="24"/>
          <w:szCs w:val="24"/>
        </w:rPr>
      </w:pPr>
    </w:p>
    <w:p w:rsidR="002F06A0" w:rsidRPr="005F6C37" w:rsidRDefault="002F06A0" w:rsidP="003D645B">
      <w:pPr>
        <w:autoSpaceDE w:val="0"/>
        <w:autoSpaceDN w:val="0"/>
        <w:adjustRightInd w:val="0"/>
        <w:spacing w:after="0" w:line="276" w:lineRule="auto"/>
        <w:rPr>
          <w:rFonts w:ascii="Times New Roman" w:hAnsi="Times New Roman" w:cs="Times New Roman"/>
          <w:sz w:val="24"/>
          <w:szCs w:val="24"/>
        </w:rPr>
      </w:pPr>
      <w:r w:rsidRPr="005F6C37">
        <w:rPr>
          <w:rFonts w:ascii="Times New Roman" w:hAnsi="Times New Roman" w:cs="Times New Roman"/>
          <w:sz w:val="24"/>
          <w:szCs w:val="24"/>
        </w:rPr>
        <w:lastRenderedPageBreak/>
        <w:t>A total of 43 respondents, or 86%, agreed that green job design and analysis are effectively implemented in the organization. In contrast, 5 respondents, or 10%, disagreed with this statement. This suggests that the majority of respondents believe the chosen bank supports the proper implementation of green job design and analysis within the firm.</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rsidTr="00283EA2">
        <w:trPr>
          <w:cantSplit/>
        </w:trPr>
        <w:tc>
          <w:tcPr>
            <w:tcW w:w="8184" w:type="dxa"/>
            <w:gridSpan w:val="6"/>
            <w:tcBorders>
              <w:top w:val="nil"/>
              <w:left w:val="nil"/>
              <w:bottom w:val="nil"/>
              <w:right w:val="nil"/>
            </w:tcBorders>
            <w:shd w:val="clear" w:color="auto" w:fill="FFFFFF"/>
            <w:vAlign w:val="center"/>
          </w:tcPr>
          <w:p w:rsidR="002E671C" w:rsidRPr="005F6C37" w:rsidRDefault="002C5934" w:rsidP="003D645B">
            <w:pPr>
              <w:spacing w:after="0" w:line="240" w:lineRule="auto"/>
              <w:jc w:val="both"/>
              <w:rPr>
                <w:rFonts w:ascii="Times New Roman" w:hAnsi="Times New Roman" w:cs="Times New Roman"/>
                <w:b/>
                <w:color w:val="000000"/>
                <w:sz w:val="24"/>
                <w:szCs w:val="24"/>
              </w:rPr>
            </w:pPr>
            <w:r w:rsidRPr="005F6C37">
              <w:rPr>
                <w:rFonts w:ascii="Times New Roman" w:hAnsi="Times New Roman" w:cs="Times New Roman"/>
                <w:b/>
                <w:sz w:val="24"/>
                <w:szCs w:val="24"/>
              </w:rPr>
              <w:t>Table 4.4.3: Green human resource planning is involved in your organizational decision making</w:t>
            </w:r>
          </w:p>
        </w:tc>
      </w:tr>
      <w:tr w:rsidR="002E671C" w:rsidRPr="005F6C37" w:rsidTr="00283EA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283EA2">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283EA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283EA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283EA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283EA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rsidTr="00283E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r>
      <w:tr w:rsidR="002E671C" w:rsidRPr="005F6C37" w:rsidTr="00283E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r>
      <w:tr w:rsidR="002E671C" w:rsidRPr="005F6C37" w:rsidTr="00283E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12.0</w:t>
            </w:r>
          </w:p>
        </w:tc>
      </w:tr>
      <w:tr w:rsidR="002E671C" w:rsidRPr="005F6C37" w:rsidTr="00283E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w:t>
            </w:r>
          </w:p>
        </w:tc>
        <w:tc>
          <w:tcPr>
            <w:tcW w:w="1024"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14.0</w:t>
            </w:r>
          </w:p>
        </w:tc>
        <w:tc>
          <w:tcPr>
            <w:tcW w:w="1393"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14.0</w:t>
            </w:r>
          </w:p>
        </w:tc>
        <w:tc>
          <w:tcPr>
            <w:tcW w:w="1469" w:type="dxa"/>
            <w:tcBorders>
              <w:top w:val="nil"/>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26.0</w:t>
            </w:r>
          </w:p>
        </w:tc>
      </w:tr>
      <w:tr w:rsidR="002E671C" w:rsidRPr="005F6C37" w:rsidTr="00283E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74.0</w:t>
            </w:r>
          </w:p>
        </w:tc>
        <w:tc>
          <w:tcPr>
            <w:tcW w:w="1393" w:type="dxa"/>
            <w:tcBorders>
              <w:top w:val="nil"/>
              <w:bottom w:val="nil"/>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74.0</w:t>
            </w:r>
          </w:p>
        </w:tc>
        <w:tc>
          <w:tcPr>
            <w:tcW w:w="1469" w:type="dxa"/>
            <w:tcBorders>
              <w:top w:val="nil"/>
              <w:bottom w:val="nil"/>
              <w:right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283E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283EA2">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283EA2">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283EA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283EA2">
            <w:pPr>
              <w:autoSpaceDE w:val="0"/>
              <w:autoSpaceDN w:val="0"/>
              <w:adjustRightInd w:val="0"/>
              <w:spacing w:after="0" w:line="240" w:lineRule="auto"/>
              <w:rPr>
                <w:rFonts w:ascii="Times New Roman" w:hAnsi="Times New Roman" w:cs="Times New Roman"/>
                <w:sz w:val="24"/>
                <w:szCs w:val="24"/>
              </w:rPr>
            </w:pPr>
          </w:p>
        </w:tc>
      </w:tr>
    </w:tbl>
    <w:p w:rsidR="005954E7"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5954E7" w:rsidP="00283EA2">
      <w:pPr>
        <w:spacing w:after="0" w:line="276" w:lineRule="auto"/>
        <w:jc w:val="both"/>
        <w:rPr>
          <w:rFonts w:ascii="Times New Roman" w:hAnsi="Times New Roman" w:cs="Times New Roman"/>
          <w:sz w:val="24"/>
          <w:szCs w:val="24"/>
        </w:rPr>
      </w:pPr>
      <w:r w:rsidRPr="005F6C37">
        <w:rPr>
          <w:rFonts w:ascii="Times New Roman" w:hAnsi="Times New Roman" w:cs="Times New Roman"/>
          <w:sz w:val="24"/>
          <w:szCs w:val="24"/>
        </w:rPr>
        <w:t>Table 4.4.3 shows that 5 respondents, or 10% of the sample, disagree that organizational decision-making is influenced by green human resource planning, 1 respondent, or 2% of the sample, was neither in agreement with the claim nor disagreeing with it, and 44 respondents, or 88% of the sample, agreed with the claim. This indicates that the idea that green human resource planning is incorporated into organizational decision-making is supported by majorities of more than two-thirds.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trPr>
          <w:cantSplit/>
        </w:trPr>
        <w:tc>
          <w:tcPr>
            <w:tcW w:w="8184" w:type="dxa"/>
            <w:gridSpan w:val="6"/>
            <w:tcBorders>
              <w:top w:val="nil"/>
              <w:left w:val="nil"/>
              <w:bottom w:val="nil"/>
              <w:right w:val="nil"/>
            </w:tcBorders>
            <w:shd w:val="clear" w:color="auto" w:fill="FFFFFF"/>
            <w:vAlign w:val="center"/>
          </w:tcPr>
          <w:p w:rsidR="002E671C" w:rsidRPr="005F6C37" w:rsidRDefault="002C5934" w:rsidP="003D645B">
            <w:pPr>
              <w:autoSpaceDE w:val="0"/>
              <w:autoSpaceDN w:val="0"/>
              <w:adjustRightInd w:val="0"/>
              <w:spacing w:after="0" w:line="240" w:lineRule="auto"/>
              <w:rPr>
                <w:rFonts w:ascii="Times New Roman" w:hAnsi="Times New Roman" w:cs="Times New Roman"/>
                <w:color w:val="000000"/>
                <w:sz w:val="24"/>
                <w:szCs w:val="24"/>
              </w:rPr>
            </w:pPr>
            <w:r w:rsidRPr="005F6C37">
              <w:rPr>
                <w:rFonts w:ascii="Times New Roman" w:hAnsi="Times New Roman" w:cs="Times New Roman"/>
                <w:sz w:val="24"/>
                <w:szCs w:val="24"/>
              </w:rPr>
              <w:t>Table 4.4.4: Green induction is applied in your organization</w:t>
            </w:r>
          </w:p>
        </w:tc>
      </w:tr>
      <w:tr w:rsidR="002E671C" w:rsidRPr="005F6C3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23</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46.0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46.0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58.0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2E671C" w:rsidP="00A409A7">
      <w:pPr>
        <w:autoSpaceDE w:val="0"/>
        <w:autoSpaceDN w:val="0"/>
        <w:adjustRightInd w:val="0"/>
        <w:spacing w:after="0" w:line="360" w:lineRule="auto"/>
        <w:jc w:val="both"/>
        <w:rPr>
          <w:rFonts w:ascii="Times New Roman" w:hAnsi="Times New Roman" w:cs="Times New Roman"/>
          <w:sz w:val="24"/>
          <w:szCs w:val="24"/>
        </w:rPr>
      </w:pPr>
    </w:p>
    <w:p w:rsidR="002E671C" w:rsidRPr="005F6C37" w:rsidRDefault="005954E7" w:rsidP="003D645B">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As shown in the table above, 2 respondents representing 4% were neither agreeing with the claim nor disagreeing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rsidTr="003D645B">
        <w:trPr>
          <w:cantSplit/>
        </w:trPr>
        <w:tc>
          <w:tcPr>
            <w:tcW w:w="8184" w:type="dxa"/>
            <w:gridSpan w:val="6"/>
            <w:tcBorders>
              <w:top w:val="nil"/>
              <w:left w:val="nil"/>
              <w:bottom w:val="nil"/>
              <w:right w:val="nil"/>
            </w:tcBorders>
            <w:shd w:val="clear" w:color="auto" w:fill="FFFFFF"/>
            <w:vAlign w:val="center"/>
          </w:tcPr>
          <w:p w:rsidR="002E671C" w:rsidRPr="005F6C37" w:rsidRDefault="002C5934" w:rsidP="003D645B">
            <w:pPr>
              <w:spacing w:after="0" w:line="240" w:lineRule="auto"/>
              <w:jc w:val="both"/>
              <w:rPr>
                <w:rFonts w:ascii="Times New Roman" w:hAnsi="Times New Roman" w:cs="Times New Roman"/>
                <w:color w:val="000000"/>
                <w:sz w:val="24"/>
                <w:szCs w:val="24"/>
              </w:rPr>
            </w:pPr>
            <w:r w:rsidRPr="005F6C37">
              <w:rPr>
                <w:rFonts w:ascii="Times New Roman" w:hAnsi="Times New Roman" w:cs="Times New Roman"/>
                <w:spacing w:val="4"/>
                <w:sz w:val="24"/>
                <w:szCs w:val="24"/>
              </w:rPr>
              <w:t xml:space="preserve">Table 4.4.5: </w:t>
            </w:r>
            <w:r w:rsidRPr="005F6C37">
              <w:rPr>
                <w:rFonts w:ascii="Times New Roman" w:hAnsi="Times New Roman" w:cs="Times New Roman"/>
                <w:sz w:val="24"/>
                <w:szCs w:val="24"/>
              </w:rPr>
              <w:t>Green health and safety management are properly practiced in your organization</w:t>
            </w:r>
          </w:p>
        </w:tc>
      </w:tr>
      <w:tr w:rsidR="002E671C" w:rsidRPr="005F6C37" w:rsidTr="003D645B">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rsidTr="003D645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5954E7" w:rsidP="003D645B">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In the table above, 3 respondents, or 6% of the total, disputed that organizations were properly implementing green health and safety management. 44 respondents, or 88%, agreed with the claim, while 3 more respondents, or 6%, were neither agreeing with nor disagreeing with it. This indicates that the majority of respondents agree with the assertion that green health and safety management is correctly implemented in the company. As a result, the banking sector becomes more competitive organizationally.</w:t>
      </w:r>
    </w:p>
    <w:p w:rsidR="002E671C" w:rsidRDefault="002E671C" w:rsidP="00A409A7">
      <w:pPr>
        <w:autoSpaceDE w:val="0"/>
        <w:autoSpaceDN w:val="0"/>
        <w:adjustRightInd w:val="0"/>
        <w:spacing w:after="0" w:line="360" w:lineRule="auto"/>
        <w:rPr>
          <w:rFonts w:ascii="Times New Roman" w:hAnsi="Times New Roman" w:cs="Times New Roman"/>
          <w:sz w:val="24"/>
          <w:szCs w:val="24"/>
        </w:rPr>
      </w:pPr>
    </w:p>
    <w:p w:rsidR="003D645B" w:rsidRDefault="003D645B" w:rsidP="00A409A7">
      <w:pPr>
        <w:autoSpaceDE w:val="0"/>
        <w:autoSpaceDN w:val="0"/>
        <w:adjustRightInd w:val="0"/>
        <w:spacing w:after="0" w:line="360" w:lineRule="auto"/>
        <w:rPr>
          <w:rFonts w:ascii="Times New Roman" w:hAnsi="Times New Roman" w:cs="Times New Roman"/>
          <w:sz w:val="24"/>
          <w:szCs w:val="24"/>
        </w:rPr>
      </w:pPr>
    </w:p>
    <w:p w:rsidR="003D645B" w:rsidRDefault="003D645B" w:rsidP="00A409A7">
      <w:pPr>
        <w:autoSpaceDE w:val="0"/>
        <w:autoSpaceDN w:val="0"/>
        <w:adjustRightInd w:val="0"/>
        <w:spacing w:after="0" w:line="360" w:lineRule="auto"/>
        <w:rPr>
          <w:rFonts w:ascii="Times New Roman" w:hAnsi="Times New Roman" w:cs="Times New Roman"/>
          <w:sz w:val="24"/>
          <w:szCs w:val="24"/>
        </w:rPr>
      </w:pPr>
    </w:p>
    <w:p w:rsidR="003D645B" w:rsidRPr="005F6C37" w:rsidRDefault="003D645B" w:rsidP="00A409A7">
      <w:pPr>
        <w:autoSpaceDE w:val="0"/>
        <w:autoSpaceDN w:val="0"/>
        <w:adjustRightInd w:val="0"/>
        <w:spacing w:after="0" w:line="360" w:lineRule="auto"/>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trPr>
          <w:cantSplit/>
        </w:trPr>
        <w:tc>
          <w:tcPr>
            <w:tcW w:w="8184" w:type="dxa"/>
            <w:gridSpan w:val="6"/>
            <w:tcBorders>
              <w:top w:val="nil"/>
              <w:left w:val="nil"/>
              <w:bottom w:val="nil"/>
              <w:right w:val="nil"/>
            </w:tcBorders>
            <w:shd w:val="clear" w:color="auto" w:fill="FFFFFF"/>
            <w:vAlign w:val="center"/>
          </w:tcPr>
          <w:p w:rsidR="002E671C" w:rsidRPr="005F6C37" w:rsidRDefault="002C5934" w:rsidP="003D645B">
            <w:pPr>
              <w:spacing w:after="0" w:line="240" w:lineRule="auto"/>
              <w:jc w:val="both"/>
              <w:rPr>
                <w:rFonts w:ascii="Times New Roman" w:hAnsi="Times New Roman" w:cs="Times New Roman"/>
                <w:color w:val="000000"/>
                <w:sz w:val="24"/>
                <w:szCs w:val="24"/>
              </w:rPr>
            </w:pPr>
            <w:r w:rsidRPr="005F6C37">
              <w:rPr>
                <w:rFonts w:ascii="Times New Roman" w:hAnsi="Times New Roman" w:cs="Times New Roman"/>
                <w:sz w:val="24"/>
                <w:szCs w:val="24"/>
              </w:rPr>
              <w:lastRenderedPageBreak/>
              <w:t>Table 4.4.6: Your organization maintains green employee discipline management</w:t>
            </w:r>
          </w:p>
        </w:tc>
      </w:tr>
      <w:tr w:rsidR="002E671C" w:rsidRPr="005F6C3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AGRRED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w:t>
      </w:r>
      <w:r w:rsidR="00E757AC" w:rsidRPr="005F6C37">
        <w:rPr>
          <w:rFonts w:ascii="Times New Roman" w:hAnsi="Times New Roman" w:cs="Times New Roman"/>
          <w:b/>
          <w:sz w:val="24"/>
          <w:szCs w:val="24"/>
        </w:rPr>
        <w:t>SS Computation, 2025</w:t>
      </w:r>
    </w:p>
    <w:p w:rsidR="002E671C" w:rsidRPr="005F6C37" w:rsidRDefault="00171AE5" w:rsidP="003D645B">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In the aforementioned table, 5 respondents, or 10% of the total, disagreed that the bank still uses green staff discipline management. Additionally, 42 respondents, or 84% of the sample, agreed with the claim, while 3 respondents, or 6% of the sample, were ambivalent about it. This indicates that the majority of respondents agreed with the assertion that the chosen bank maintains a green approach to staff punishment. In the organizational settings of the bank, this increases competition.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D645B">
        <w:trPr>
          <w:cantSplit/>
        </w:trPr>
        <w:tc>
          <w:tcPr>
            <w:tcW w:w="8184" w:type="dxa"/>
            <w:gridSpan w:val="6"/>
            <w:tcBorders>
              <w:top w:val="nil"/>
              <w:left w:val="nil"/>
              <w:bottom w:val="nil"/>
              <w:right w:val="nil"/>
            </w:tcBorders>
            <w:shd w:val="clear" w:color="auto" w:fill="FFFFFF"/>
            <w:vAlign w:val="center"/>
          </w:tcPr>
          <w:p w:rsidR="002E671C" w:rsidRPr="003D645B" w:rsidRDefault="002C5934" w:rsidP="003D645B">
            <w:pPr>
              <w:spacing w:after="0" w:line="240" w:lineRule="auto"/>
              <w:jc w:val="both"/>
              <w:rPr>
                <w:rFonts w:ascii="Times New Roman" w:hAnsi="Times New Roman" w:cs="Times New Roman"/>
                <w:b/>
                <w:color w:val="000000"/>
                <w:sz w:val="24"/>
                <w:szCs w:val="24"/>
              </w:rPr>
            </w:pPr>
            <w:r w:rsidRPr="003D645B">
              <w:rPr>
                <w:rFonts w:ascii="Times New Roman" w:hAnsi="Times New Roman" w:cs="Times New Roman"/>
                <w:b/>
                <w:sz w:val="24"/>
                <w:szCs w:val="24"/>
              </w:rPr>
              <w:t>Table 4.4.7: Your organization develops green employee relations</w:t>
            </w:r>
          </w:p>
        </w:tc>
      </w:tr>
      <w:tr w:rsidR="002E671C" w:rsidRPr="005F6C3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171AE5" w:rsidRPr="005F6C37" w:rsidRDefault="00171AE5" w:rsidP="00A409A7">
      <w:pPr>
        <w:spacing w:after="0" w:line="360" w:lineRule="auto"/>
        <w:jc w:val="both"/>
        <w:rPr>
          <w:rFonts w:ascii="Times New Roman" w:hAnsi="Times New Roman" w:cs="Times New Roman"/>
          <w:b/>
          <w:sz w:val="24"/>
          <w:szCs w:val="24"/>
        </w:rPr>
      </w:pPr>
    </w:p>
    <w:p w:rsidR="002E671C" w:rsidRPr="005F6C37" w:rsidRDefault="00171AE5" w:rsidP="003D645B">
      <w:pPr>
        <w:spacing w:after="0" w:line="276"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In the above table, 4 respondents, or 8% of the total, disagreed that the company cultivates green employee relations. Additionally, 2 respondents (4%), 44 </w:t>
      </w:r>
      <w:r w:rsidRPr="005F6C37">
        <w:rPr>
          <w:rFonts w:ascii="Times New Roman" w:hAnsi="Times New Roman" w:cs="Times New Roman"/>
          <w:sz w:val="24"/>
          <w:szCs w:val="24"/>
        </w:rPr>
        <w:lastRenderedPageBreak/>
        <w:t>respondents (88%), and 2 respondents (4%), were undecided about the claim. This indicates that the vast majority of respondents agree with the assertion that the company fosters green employee relations.</w:t>
      </w:r>
    </w:p>
    <w:p w:rsidR="002E671C" w:rsidRPr="005F6C37" w:rsidRDefault="002C5934" w:rsidP="00A409A7">
      <w:pPr>
        <w:spacing w:after="0" w:line="360" w:lineRule="auto"/>
        <w:jc w:val="both"/>
        <w:rPr>
          <w:rFonts w:ascii="Times New Roman" w:hAnsi="Times New Roman" w:cs="Times New Roman"/>
          <w:b/>
          <w:bCs/>
          <w:sz w:val="24"/>
          <w:szCs w:val="24"/>
        </w:rPr>
      </w:pPr>
      <w:r w:rsidRPr="005F6C37">
        <w:rPr>
          <w:rFonts w:ascii="Times New Roman" w:hAnsi="Times New Roman" w:cs="Times New Roman"/>
          <w:b/>
          <w:bCs/>
          <w:sz w:val="24"/>
          <w:szCs w:val="24"/>
        </w:rPr>
        <w:t>Research Question 3: what is the role of GHRM practices on organizational resilience in GTB?</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rsidTr="003D645B">
        <w:trPr>
          <w:cantSplit/>
        </w:trPr>
        <w:tc>
          <w:tcPr>
            <w:tcW w:w="8184" w:type="dxa"/>
            <w:gridSpan w:val="6"/>
            <w:tcBorders>
              <w:top w:val="nil"/>
              <w:left w:val="nil"/>
              <w:bottom w:val="nil"/>
              <w:right w:val="nil"/>
            </w:tcBorders>
            <w:shd w:val="clear" w:color="auto" w:fill="FFFFFF"/>
            <w:vAlign w:val="center"/>
          </w:tcPr>
          <w:p w:rsidR="002E671C" w:rsidRPr="005F6C37" w:rsidRDefault="002C5934" w:rsidP="003D645B">
            <w:pPr>
              <w:spacing w:after="0" w:line="240" w:lineRule="auto"/>
              <w:jc w:val="both"/>
              <w:rPr>
                <w:rFonts w:ascii="Times New Roman" w:hAnsi="Times New Roman" w:cs="Times New Roman"/>
                <w:sz w:val="24"/>
                <w:szCs w:val="24"/>
              </w:rPr>
            </w:pPr>
            <w:r w:rsidRPr="005F6C37">
              <w:rPr>
                <w:rFonts w:ascii="Times New Roman" w:hAnsi="Times New Roman" w:cs="Times New Roman"/>
                <w:sz w:val="24"/>
                <w:szCs w:val="24"/>
              </w:rPr>
              <w:t>Table 4.4.8: Promote social responsibility towards environment</w:t>
            </w:r>
          </w:p>
        </w:tc>
      </w:tr>
      <w:tr w:rsidR="002E671C" w:rsidRPr="005F6C37" w:rsidTr="003D645B">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rsidTr="003D645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36.0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36.0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56.0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AGRRED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r>
    </w:tbl>
    <w:p w:rsidR="00171AE5"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171AE5" w:rsidP="003D645B">
      <w:pPr>
        <w:spacing w:after="0" w:line="276"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Five respondents, or 10% of the total, disagreed with the statement that the GHRM Promote societal responsibility for the environment. Additionally, 40 respondents, or 80% of the sample, agreed with the allegation, while 5 respondents, or 10% of the sample, did not express an opinion. This indicates that the majority of survey participants agreed with the assertion that the GHRM Promote Social Responsibility </w:t>
      </w:r>
      <w:proofErr w:type="gramStart"/>
      <w:r w:rsidRPr="005F6C37">
        <w:rPr>
          <w:rFonts w:ascii="Times New Roman" w:hAnsi="Times New Roman" w:cs="Times New Roman"/>
          <w:sz w:val="24"/>
          <w:szCs w:val="24"/>
        </w:rPr>
        <w:t>Toward</w:t>
      </w:r>
      <w:proofErr w:type="gramEnd"/>
      <w:r w:rsidRPr="005F6C37">
        <w:rPr>
          <w:rFonts w:ascii="Times New Roman" w:hAnsi="Times New Roman" w:cs="Times New Roman"/>
          <w:sz w:val="24"/>
          <w:szCs w:val="24"/>
        </w:rPr>
        <w:t xml:space="preserve"> Environment. The chosen bank has great resilience to challenges in the working environment, according to this.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trPr>
          <w:cantSplit/>
        </w:trPr>
        <w:tc>
          <w:tcPr>
            <w:tcW w:w="8184" w:type="dxa"/>
            <w:gridSpan w:val="6"/>
            <w:tcBorders>
              <w:top w:val="nil"/>
              <w:left w:val="nil"/>
              <w:bottom w:val="nil"/>
              <w:right w:val="nil"/>
            </w:tcBorders>
            <w:shd w:val="clear" w:color="auto" w:fill="FFFFFF"/>
            <w:vAlign w:val="center"/>
          </w:tcPr>
          <w:p w:rsidR="002E671C" w:rsidRPr="005F6C37" w:rsidRDefault="002C5934" w:rsidP="003D645B">
            <w:pPr>
              <w:spacing w:after="0" w:line="240" w:lineRule="auto"/>
              <w:jc w:val="both"/>
              <w:rPr>
                <w:rFonts w:ascii="Times New Roman" w:hAnsi="Times New Roman" w:cs="Times New Roman"/>
                <w:color w:val="000000"/>
                <w:sz w:val="24"/>
                <w:szCs w:val="24"/>
              </w:rPr>
            </w:pPr>
            <w:r w:rsidRPr="005F6C37">
              <w:rPr>
                <w:rFonts w:ascii="Times New Roman" w:hAnsi="Times New Roman" w:cs="Times New Roman"/>
                <w:sz w:val="24"/>
                <w:szCs w:val="24"/>
              </w:rPr>
              <w:t>Table 4.4.9: Creating a competitive advantage</w:t>
            </w:r>
          </w:p>
        </w:tc>
      </w:tr>
      <w:tr w:rsidR="002E671C" w:rsidRPr="005F6C3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52.0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171AE5" w:rsidP="003D645B">
      <w:pPr>
        <w:autoSpaceDE w:val="0"/>
        <w:autoSpaceDN w:val="0"/>
        <w:adjustRightInd w:val="0"/>
        <w:spacing w:after="0" w:line="276" w:lineRule="auto"/>
        <w:jc w:val="both"/>
        <w:rPr>
          <w:rFonts w:ascii="Times New Roman" w:hAnsi="Times New Roman" w:cs="Times New Roman"/>
          <w:sz w:val="24"/>
          <w:szCs w:val="24"/>
        </w:rPr>
      </w:pPr>
      <w:r w:rsidRPr="005F6C37">
        <w:rPr>
          <w:rFonts w:ascii="Times New Roman" w:hAnsi="Times New Roman" w:cs="Times New Roman"/>
          <w:sz w:val="24"/>
          <w:szCs w:val="24"/>
        </w:rPr>
        <w:lastRenderedPageBreak/>
        <w:t>Five respondents, or 10% of those in the table above, disagreed that GHRM has a role in generating a competitive advantage. Additionally, 1 respondents (2%) were neither agreeing with the claim nor disagreeing with it, whereas 45 respondents (90%) agreed. This indicates that the notion that GHRM creates a competitive advantage was accepted by the majority of respondents. As a result, the organizational resilience in handling challenges in the working environment is significantly improved.</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rsidTr="003D645B">
        <w:trPr>
          <w:cantSplit/>
        </w:trPr>
        <w:tc>
          <w:tcPr>
            <w:tcW w:w="8184" w:type="dxa"/>
            <w:gridSpan w:val="6"/>
            <w:tcBorders>
              <w:top w:val="nil"/>
              <w:left w:val="nil"/>
              <w:bottom w:val="nil"/>
              <w:right w:val="nil"/>
            </w:tcBorders>
            <w:shd w:val="clear" w:color="auto" w:fill="FFFFFF"/>
            <w:vAlign w:val="center"/>
          </w:tcPr>
          <w:p w:rsidR="002E671C" w:rsidRPr="005F6C37" w:rsidRDefault="002C5934" w:rsidP="003D645B">
            <w:pPr>
              <w:spacing w:after="0" w:line="240" w:lineRule="auto"/>
              <w:jc w:val="both"/>
              <w:rPr>
                <w:rFonts w:ascii="Times New Roman" w:hAnsi="Times New Roman" w:cs="Times New Roman"/>
                <w:color w:val="000000"/>
                <w:sz w:val="24"/>
                <w:szCs w:val="24"/>
              </w:rPr>
            </w:pPr>
            <w:r w:rsidRPr="005F6C37">
              <w:rPr>
                <w:rFonts w:ascii="Times New Roman" w:hAnsi="Times New Roman" w:cs="Times New Roman"/>
                <w:sz w:val="24"/>
                <w:szCs w:val="24"/>
              </w:rPr>
              <w:t>Table 4.4.10: Increase employee loyalty and retention</w:t>
            </w:r>
          </w:p>
        </w:tc>
      </w:tr>
      <w:tr w:rsidR="002E671C" w:rsidRPr="005F6C37" w:rsidTr="003D645B">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rsidTr="003D645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58.0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171AE5" w:rsidP="003D645B">
      <w:pPr>
        <w:autoSpaceDE w:val="0"/>
        <w:autoSpaceDN w:val="0"/>
        <w:adjustRightInd w:val="0"/>
        <w:spacing w:after="0" w:line="276" w:lineRule="auto"/>
        <w:jc w:val="both"/>
        <w:rPr>
          <w:rFonts w:ascii="Times New Roman" w:hAnsi="Times New Roman" w:cs="Times New Roman"/>
          <w:sz w:val="24"/>
          <w:szCs w:val="24"/>
        </w:rPr>
      </w:pPr>
      <w:r w:rsidRPr="005F6C37">
        <w:rPr>
          <w:rFonts w:ascii="Times New Roman" w:hAnsi="Times New Roman" w:cs="Times New Roman"/>
          <w:sz w:val="24"/>
          <w:szCs w:val="24"/>
        </w:rPr>
        <w:t>In the aforementioned table, 5 respondents, or 10% of the total, disagreed with the statement that GHRM practices promote employee loyalty and retention. Additionally, 2 respondents, or 4% of the sample, were undecided, whereas 43 respondents, or 86% of the sample, agreed with the claim. This indicates that the majority of respondents agree that GHRM should play a part in boosting employee retention and loyalty.</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256"/>
        <w:gridCol w:w="1308"/>
        <w:gridCol w:w="1024"/>
        <w:gridCol w:w="1393"/>
        <w:gridCol w:w="1469"/>
      </w:tblGrid>
      <w:tr w:rsidR="002E671C" w:rsidRPr="005F6C37" w:rsidTr="003D645B">
        <w:trPr>
          <w:cantSplit/>
        </w:trPr>
        <w:tc>
          <w:tcPr>
            <w:tcW w:w="8184" w:type="dxa"/>
            <w:gridSpan w:val="6"/>
            <w:tcBorders>
              <w:top w:val="nil"/>
              <w:left w:val="nil"/>
              <w:bottom w:val="nil"/>
              <w:right w:val="nil"/>
            </w:tcBorders>
            <w:shd w:val="clear" w:color="auto" w:fill="FFFFFF"/>
            <w:vAlign w:val="center"/>
          </w:tcPr>
          <w:p w:rsidR="002E671C" w:rsidRPr="005F6C37" w:rsidRDefault="002C5934" w:rsidP="003D645B">
            <w:pPr>
              <w:spacing w:after="0" w:line="240" w:lineRule="auto"/>
              <w:jc w:val="both"/>
              <w:rPr>
                <w:rFonts w:ascii="Times New Roman" w:hAnsi="Times New Roman" w:cs="Times New Roman"/>
                <w:color w:val="000000"/>
                <w:sz w:val="24"/>
                <w:szCs w:val="24"/>
              </w:rPr>
            </w:pPr>
            <w:r w:rsidRPr="005F6C37">
              <w:rPr>
                <w:rFonts w:ascii="Times New Roman" w:hAnsi="Times New Roman" w:cs="Times New Roman"/>
                <w:sz w:val="24"/>
                <w:szCs w:val="24"/>
              </w:rPr>
              <w:t>Table 4.4.11: Increase profitability and reduce cost</w:t>
            </w:r>
          </w:p>
        </w:tc>
      </w:tr>
      <w:tr w:rsidR="002E671C" w:rsidRPr="005F6C37" w:rsidTr="003D645B">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c>
          <w:tcPr>
            <w:tcW w:w="1308"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3D64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rsidTr="003D645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256" w:type="dxa"/>
            <w:tcBorders>
              <w:top w:val="single" w:sz="16" w:space="0" w:color="000000"/>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308" w:type="dxa"/>
            <w:tcBorders>
              <w:top w:val="single" w:sz="16" w:space="0" w:color="000000"/>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256"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308"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256"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308"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256"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308"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19</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38.0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38.0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256" w:type="dxa"/>
            <w:tcBorders>
              <w:top w:val="nil"/>
              <w:left w:val="nil"/>
              <w:bottom w:val="nil"/>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308" w:type="dxa"/>
            <w:tcBorders>
              <w:top w:val="nil"/>
              <w:left w:val="single" w:sz="16" w:space="0" w:color="000000"/>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50.0</w:t>
            </w:r>
          </w:p>
        </w:tc>
        <w:tc>
          <w:tcPr>
            <w:tcW w:w="1393" w:type="dxa"/>
            <w:tcBorders>
              <w:top w:val="nil"/>
              <w:bottom w:val="nil"/>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50.0</w:t>
            </w:r>
          </w:p>
        </w:tc>
        <w:tc>
          <w:tcPr>
            <w:tcW w:w="1469" w:type="dxa"/>
            <w:tcBorders>
              <w:top w:val="nil"/>
              <w:bottom w:val="nil"/>
              <w:right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3D645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3D645B">
            <w:pPr>
              <w:autoSpaceDE w:val="0"/>
              <w:autoSpaceDN w:val="0"/>
              <w:adjustRightInd w:val="0"/>
              <w:spacing w:after="0" w:line="240" w:lineRule="auto"/>
              <w:rPr>
                <w:rFonts w:ascii="Times New Roman" w:hAnsi="Times New Roman" w:cs="Times New Roman"/>
                <w:color w:val="000000"/>
                <w:sz w:val="24"/>
                <w:szCs w:val="24"/>
              </w:rPr>
            </w:pPr>
          </w:p>
        </w:tc>
        <w:tc>
          <w:tcPr>
            <w:tcW w:w="2256" w:type="dxa"/>
            <w:tcBorders>
              <w:top w:val="nil"/>
              <w:left w:val="nil"/>
              <w:bottom w:val="single" w:sz="16" w:space="0" w:color="000000"/>
              <w:right w:val="single" w:sz="16" w:space="0" w:color="000000"/>
            </w:tcBorders>
            <w:shd w:val="clear" w:color="auto" w:fill="FFFFFF"/>
          </w:tcPr>
          <w:p w:rsidR="002E671C" w:rsidRPr="005F6C37" w:rsidRDefault="002C5934" w:rsidP="003D645B">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308" w:type="dxa"/>
            <w:tcBorders>
              <w:top w:val="nil"/>
              <w:left w:val="single" w:sz="16" w:space="0" w:color="000000"/>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3D64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3D645B">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lastRenderedPageBreak/>
        <w:t>Source: SPSS Computation, 2025</w:t>
      </w:r>
    </w:p>
    <w:p w:rsidR="002E671C" w:rsidRPr="005F6C37" w:rsidRDefault="00171AE5" w:rsidP="00BF68FC">
      <w:pPr>
        <w:autoSpaceDE w:val="0"/>
        <w:autoSpaceDN w:val="0"/>
        <w:adjustRightInd w:val="0"/>
        <w:spacing w:after="0" w:line="276" w:lineRule="auto"/>
        <w:jc w:val="both"/>
        <w:rPr>
          <w:rFonts w:ascii="Times New Roman" w:hAnsi="Times New Roman" w:cs="Times New Roman"/>
          <w:sz w:val="24"/>
          <w:szCs w:val="24"/>
        </w:rPr>
      </w:pPr>
      <w:r w:rsidRPr="005F6C37">
        <w:rPr>
          <w:rFonts w:ascii="Times New Roman" w:hAnsi="Times New Roman" w:cs="Times New Roman"/>
          <w:sz w:val="24"/>
          <w:szCs w:val="24"/>
        </w:rPr>
        <w:t>In the table above, 4 respondents (8%) disputed that customers felt free to interact with the business. In addition, 2 respondents (4%), were neither agree nor disagree, while 44 respondents (88%), agreed with the claim. This shows that the majority of respondents agree that GHRM improves profitability and lowers costs.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trPr>
          <w:cantSplit/>
        </w:trPr>
        <w:tc>
          <w:tcPr>
            <w:tcW w:w="8184" w:type="dxa"/>
            <w:gridSpan w:val="6"/>
            <w:tcBorders>
              <w:top w:val="nil"/>
              <w:left w:val="nil"/>
              <w:bottom w:val="nil"/>
              <w:right w:val="nil"/>
            </w:tcBorders>
            <w:shd w:val="clear" w:color="auto" w:fill="FFFFFF"/>
            <w:vAlign w:val="center"/>
          </w:tcPr>
          <w:p w:rsidR="002E671C" w:rsidRPr="005F6C37" w:rsidRDefault="002E671C" w:rsidP="00BF68FC">
            <w:pPr>
              <w:spacing w:after="0" w:line="240" w:lineRule="auto"/>
              <w:jc w:val="both"/>
              <w:rPr>
                <w:rFonts w:ascii="Times New Roman" w:hAnsi="Times New Roman" w:cs="Times New Roman"/>
                <w:sz w:val="24"/>
                <w:szCs w:val="24"/>
              </w:rPr>
            </w:pPr>
          </w:p>
          <w:p w:rsidR="002E671C" w:rsidRPr="005F6C37" w:rsidRDefault="002C5934" w:rsidP="00BF68FC">
            <w:pPr>
              <w:spacing w:after="0" w:line="240" w:lineRule="auto"/>
              <w:jc w:val="both"/>
              <w:rPr>
                <w:rFonts w:ascii="Times New Roman" w:hAnsi="Times New Roman" w:cs="Times New Roman"/>
                <w:color w:val="000000"/>
                <w:sz w:val="24"/>
                <w:szCs w:val="24"/>
              </w:rPr>
            </w:pPr>
            <w:r w:rsidRPr="005F6C37">
              <w:rPr>
                <w:rFonts w:ascii="Times New Roman" w:hAnsi="Times New Roman" w:cs="Times New Roman"/>
                <w:sz w:val="24"/>
                <w:szCs w:val="24"/>
              </w:rPr>
              <w:t>Table 4.4.12: Create a culture of having concern for the wellbeing and health of fellow workers</w:t>
            </w:r>
          </w:p>
        </w:tc>
      </w:tr>
      <w:tr w:rsidR="002E671C" w:rsidRPr="005F6C3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BF68F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46.0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27</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54.0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54.0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BF68FC">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171AE5"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 xml:space="preserve">Source: SPSS </w:t>
      </w:r>
      <w:r w:rsidR="00E757AC" w:rsidRPr="005F6C37">
        <w:rPr>
          <w:rFonts w:ascii="Times New Roman" w:hAnsi="Times New Roman" w:cs="Times New Roman"/>
          <w:b/>
          <w:sz w:val="24"/>
          <w:szCs w:val="24"/>
        </w:rPr>
        <w:t>Computation, 2025</w:t>
      </w:r>
    </w:p>
    <w:p w:rsidR="002E671C" w:rsidRPr="005F6C37" w:rsidRDefault="002A7DF9" w:rsidP="00BF68FC">
      <w:pPr>
        <w:spacing w:after="0" w:line="276" w:lineRule="auto"/>
        <w:jc w:val="both"/>
        <w:rPr>
          <w:rFonts w:ascii="Times New Roman" w:hAnsi="Times New Roman" w:cs="Times New Roman"/>
          <w:sz w:val="24"/>
          <w:szCs w:val="24"/>
        </w:rPr>
      </w:pPr>
      <w:r w:rsidRPr="005F6C37">
        <w:rPr>
          <w:rFonts w:ascii="Times New Roman" w:hAnsi="Times New Roman" w:cs="Times New Roman"/>
          <w:sz w:val="24"/>
          <w:szCs w:val="24"/>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trPr>
          <w:cantSplit/>
        </w:trPr>
        <w:tc>
          <w:tcPr>
            <w:tcW w:w="8184" w:type="dxa"/>
            <w:gridSpan w:val="6"/>
            <w:tcBorders>
              <w:top w:val="nil"/>
              <w:left w:val="nil"/>
              <w:bottom w:val="nil"/>
              <w:right w:val="nil"/>
            </w:tcBorders>
            <w:shd w:val="clear" w:color="auto" w:fill="FFFFFF"/>
            <w:vAlign w:val="center"/>
          </w:tcPr>
          <w:p w:rsidR="002E671C" w:rsidRPr="005F6C37" w:rsidRDefault="002C5934" w:rsidP="00BF68FC">
            <w:pPr>
              <w:spacing w:after="0" w:line="240" w:lineRule="auto"/>
              <w:jc w:val="both"/>
              <w:rPr>
                <w:rFonts w:ascii="Times New Roman" w:hAnsi="Times New Roman" w:cs="Times New Roman"/>
                <w:color w:val="000000"/>
                <w:sz w:val="24"/>
                <w:szCs w:val="24"/>
              </w:rPr>
            </w:pPr>
            <w:r w:rsidRPr="005F6C37">
              <w:rPr>
                <w:rFonts w:ascii="Times New Roman" w:hAnsi="Times New Roman" w:cs="Times New Roman"/>
                <w:sz w:val="24"/>
                <w:szCs w:val="24"/>
              </w:rPr>
              <w:t>Table 4.4.13: Helps in achieving higher employee job satisfaction and commitment</w:t>
            </w:r>
          </w:p>
        </w:tc>
      </w:tr>
      <w:tr w:rsidR="002E671C" w:rsidRPr="005F6C3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BF68F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24.0</w:t>
            </w:r>
          </w:p>
        </w:tc>
        <w:tc>
          <w:tcPr>
            <w:tcW w:w="1393" w:type="dxa"/>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34.0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66.0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34.0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34.0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BF68FC">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lastRenderedPageBreak/>
        <w:t>In table above, 15 respondents representing 30% disagreed that GHRM helps in achieving higher employee job satisfaction and commitment, 2 respondents representing 4% were neither agree nor disagree and 43 respondents representing 66% agreed on the claim. This implies that that GHRM helps in achieving higher employee job satisfaction and commitment when settled by the assertion of majorities in the claim.</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5F6C37" w:rsidTr="00BF68FC">
        <w:trPr>
          <w:cantSplit/>
        </w:trPr>
        <w:tc>
          <w:tcPr>
            <w:tcW w:w="8184" w:type="dxa"/>
            <w:gridSpan w:val="6"/>
            <w:tcBorders>
              <w:top w:val="nil"/>
              <w:left w:val="nil"/>
              <w:bottom w:val="nil"/>
              <w:right w:val="nil"/>
            </w:tcBorders>
            <w:shd w:val="clear" w:color="auto" w:fill="FFFFFF"/>
            <w:vAlign w:val="center"/>
          </w:tcPr>
          <w:p w:rsidR="002E671C" w:rsidRPr="005F6C37" w:rsidRDefault="002C5934" w:rsidP="00BF68FC">
            <w:pPr>
              <w:spacing w:after="0" w:line="240" w:lineRule="auto"/>
              <w:jc w:val="both"/>
              <w:rPr>
                <w:rFonts w:ascii="Times New Roman" w:hAnsi="Times New Roman" w:cs="Times New Roman"/>
                <w:color w:val="000000"/>
                <w:sz w:val="24"/>
                <w:szCs w:val="24"/>
              </w:rPr>
            </w:pPr>
            <w:r w:rsidRPr="005F6C37">
              <w:rPr>
                <w:rFonts w:ascii="Times New Roman" w:hAnsi="Times New Roman" w:cs="Times New Roman"/>
                <w:sz w:val="24"/>
                <w:szCs w:val="24"/>
              </w:rPr>
              <w:t>Table 4.4.14: Encourage employees through training and compensation to reduce the use of environmental damaging materials</w:t>
            </w:r>
          </w:p>
        </w:tc>
      </w:tr>
      <w:tr w:rsidR="002E671C" w:rsidRPr="005F6C37" w:rsidTr="00BF68F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E671C" w:rsidP="00BF68F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Cumulative Percent</w:t>
            </w:r>
          </w:p>
        </w:tc>
      </w:tr>
      <w:tr w:rsidR="002E671C" w:rsidRPr="005F6C37" w:rsidTr="00BF68F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w:t>
            </w:r>
          </w:p>
        </w:tc>
        <w:tc>
          <w:tcPr>
            <w:tcW w:w="1024" w:type="dxa"/>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14.0</w:t>
            </w:r>
          </w:p>
        </w:tc>
        <w:tc>
          <w:tcPr>
            <w:tcW w:w="1393" w:type="dxa"/>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14.0</w:t>
            </w:r>
          </w:p>
        </w:tc>
        <w:tc>
          <w:tcPr>
            <w:tcW w:w="1469" w:type="dxa"/>
            <w:tcBorders>
              <w:top w:val="single" w:sz="16" w:space="0" w:color="000000"/>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14.0</w:t>
            </w:r>
          </w:p>
        </w:tc>
      </w:tr>
      <w:tr w:rsidR="002E671C" w:rsidRPr="005F6C37" w:rsidTr="00BF68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34.0</w:t>
            </w:r>
          </w:p>
        </w:tc>
      </w:tr>
      <w:tr w:rsidR="002E671C" w:rsidRPr="005F6C37" w:rsidTr="00BF68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44.0</w:t>
            </w:r>
          </w:p>
        </w:tc>
      </w:tr>
      <w:tr w:rsidR="002E671C" w:rsidRPr="005F6C37" w:rsidTr="00BF68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76.0</w:t>
            </w:r>
          </w:p>
        </w:tc>
      </w:tr>
      <w:tr w:rsidR="002E671C" w:rsidRPr="005F6C37" w:rsidTr="00BF68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24.0</w:t>
            </w:r>
          </w:p>
        </w:tc>
        <w:tc>
          <w:tcPr>
            <w:tcW w:w="1393" w:type="dxa"/>
            <w:tcBorders>
              <w:top w:val="nil"/>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24.0</w:t>
            </w:r>
          </w:p>
        </w:tc>
        <w:tc>
          <w:tcPr>
            <w:tcW w:w="1469" w:type="dxa"/>
            <w:tcBorders>
              <w:top w:val="nil"/>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r>
      <w:tr w:rsidR="002E671C" w:rsidRPr="005F6C37" w:rsidTr="00BF68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F6C37" w:rsidRDefault="002E671C" w:rsidP="00BF68FC">
            <w:pPr>
              <w:autoSpaceDE w:val="0"/>
              <w:autoSpaceDN w:val="0"/>
              <w:adjustRightInd w:val="0"/>
              <w:spacing w:after="0" w:line="240" w:lineRule="auto"/>
              <w:rPr>
                <w:rFonts w:ascii="Times New Roman" w:hAnsi="Times New Roman" w:cs="Times New Roman"/>
                <w:sz w:val="24"/>
                <w:szCs w:val="24"/>
              </w:rPr>
            </w:pPr>
          </w:p>
        </w:tc>
      </w:tr>
    </w:tbl>
    <w:p w:rsidR="002E671C" w:rsidRPr="005F6C37" w:rsidRDefault="00E757AC"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Source: SPSS Computation, 2025</w:t>
      </w:r>
    </w:p>
    <w:p w:rsidR="002E671C" w:rsidRPr="005F6C37" w:rsidRDefault="002A7DF9"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rsidR="002E671C" w:rsidRPr="005F6C37" w:rsidRDefault="002C5934" w:rsidP="00A409A7">
      <w:pPr>
        <w:pStyle w:val="ListParagraph1"/>
        <w:numPr>
          <w:ilvl w:val="1"/>
          <w:numId w:val="2"/>
        </w:num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Hypotheses Testing</w:t>
      </w:r>
    </w:p>
    <w:p w:rsidR="002E671C"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H</w:t>
      </w:r>
      <w:r w:rsidRPr="005F6C37">
        <w:rPr>
          <w:rFonts w:ascii="Times New Roman" w:hAnsi="Times New Roman" w:cs="Times New Roman"/>
          <w:b/>
          <w:sz w:val="24"/>
          <w:szCs w:val="24"/>
          <w:vertAlign w:val="subscript"/>
        </w:rPr>
        <w:t>01</w:t>
      </w:r>
      <w:r w:rsidRPr="005F6C37">
        <w:rPr>
          <w:rFonts w:ascii="Times New Roman" w:hAnsi="Times New Roman" w:cs="Times New Roman"/>
          <w:b/>
          <w:sz w:val="24"/>
          <w:szCs w:val="24"/>
        </w:rPr>
        <w:t>: GHRM practices does not have any influence on the organizational effectiveness of GTB</w:t>
      </w:r>
    </w:p>
    <w:p w:rsidR="00BF68FC" w:rsidRDefault="00BF68FC" w:rsidP="00A409A7">
      <w:pPr>
        <w:spacing w:after="0" w:line="360" w:lineRule="auto"/>
        <w:jc w:val="both"/>
        <w:rPr>
          <w:rFonts w:ascii="Times New Roman" w:hAnsi="Times New Roman" w:cs="Times New Roman"/>
          <w:b/>
          <w:sz w:val="24"/>
          <w:szCs w:val="24"/>
        </w:rPr>
      </w:pPr>
    </w:p>
    <w:p w:rsidR="00BF68FC" w:rsidRDefault="00BF68FC" w:rsidP="00A409A7">
      <w:pPr>
        <w:spacing w:after="0" w:line="360" w:lineRule="auto"/>
        <w:jc w:val="both"/>
        <w:rPr>
          <w:rFonts w:ascii="Times New Roman" w:hAnsi="Times New Roman" w:cs="Times New Roman"/>
          <w:b/>
          <w:sz w:val="24"/>
          <w:szCs w:val="24"/>
        </w:rPr>
      </w:pPr>
    </w:p>
    <w:p w:rsidR="00BF68FC" w:rsidRPr="005F6C37" w:rsidRDefault="00BF68FC" w:rsidP="00A409A7">
      <w:pPr>
        <w:spacing w:after="0" w:line="360" w:lineRule="auto"/>
        <w:jc w:val="both"/>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E671C" w:rsidRPr="005F6C37">
        <w:trPr>
          <w:cantSplit/>
        </w:trPr>
        <w:tc>
          <w:tcPr>
            <w:tcW w:w="5843" w:type="dxa"/>
            <w:gridSpan w:val="5"/>
            <w:tcBorders>
              <w:top w:val="nil"/>
              <w:left w:val="nil"/>
              <w:bottom w:val="nil"/>
              <w:right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b/>
                <w:sz w:val="24"/>
                <w:szCs w:val="24"/>
              </w:rPr>
              <w:lastRenderedPageBreak/>
              <w:t xml:space="preserve">Table 4.5.1: </w:t>
            </w:r>
            <w:r w:rsidRPr="005F6C37">
              <w:rPr>
                <w:rFonts w:ascii="Times New Roman" w:hAnsi="Times New Roman" w:cs="Times New Roman"/>
                <w:b/>
                <w:bCs/>
                <w:color w:val="000000"/>
                <w:sz w:val="24"/>
                <w:szCs w:val="24"/>
              </w:rPr>
              <w:t>Model Summary</w:t>
            </w:r>
          </w:p>
        </w:tc>
      </w:tr>
      <w:tr w:rsidR="002E671C" w:rsidRPr="005F6C3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Std. Error of the Estimate</w:t>
            </w:r>
          </w:p>
        </w:tc>
      </w:tr>
      <w:tr w:rsidR="002E671C" w:rsidRPr="005F6C3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.663</w:t>
            </w:r>
            <w:r w:rsidRPr="005F6C37">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.57610</w:t>
            </w:r>
          </w:p>
        </w:tc>
      </w:tr>
      <w:tr w:rsidR="002E671C" w:rsidRPr="005F6C37">
        <w:trPr>
          <w:cantSplit/>
        </w:trPr>
        <w:tc>
          <w:tcPr>
            <w:tcW w:w="5843" w:type="dxa"/>
            <w:gridSpan w:val="5"/>
            <w:tcBorders>
              <w:top w:val="nil"/>
              <w:left w:val="nil"/>
              <w:bottom w:val="nil"/>
              <w:right w:val="nil"/>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 Predictors: (Constant), GHRM (Performance MGT Appraisal)</w:t>
            </w:r>
          </w:p>
        </w:tc>
      </w:tr>
    </w:tbl>
    <w:p w:rsidR="002A7DF9" w:rsidRPr="005F6C37" w:rsidRDefault="002A7DF9"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A simple linear regression analysis was performed to investigate the influence of GHRM proxies by Performance Management Appraisal on Organization Effectiveness. The model summary in the table above shows the correlation coefficient R=.663 and the adjusted R-square =.439, which is very near to R-square =.440, indicating that if the model was derived from the population rather than a sample, it would account for approximately 0.1% less variance in the outcome. Thus, the Organizational Effectiveness is explained by GHRM </w:t>
      </w:r>
      <w:proofErr w:type="spellStart"/>
      <w:r w:rsidRPr="005F6C37">
        <w:rPr>
          <w:rFonts w:ascii="Times New Roman" w:hAnsi="Times New Roman" w:cs="Times New Roman"/>
          <w:sz w:val="24"/>
          <w:szCs w:val="24"/>
        </w:rPr>
        <w:t>proxied</w:t>
      </w:r>
      <w:proofErr w:type="spellEnd"/>
      <w:r w:rsidRPr="005F6C37">
        <w:rPr>
          <w:rFonts w:ascii="Times New Roman" w:hAnsi="Times New Roman" w:cs="Times New Roman"/>
          <w:sz w:val="24"/>
          <w:szCs w:val="24"/>
        </w:rPr>
        <w:t xml:space="preserve"> by Performance Management Appraisal in the value of the R square, which indicates that 44% improvement in organizational effectiveness is accounted specifically by the GHRM </w:t>
      </w:r>
      <w:proofErr w:type="spellStart"/>
      <w:r w:rsidRPr="005F6C37">
        <w:rPr>
          <w:rFonts w:ascii="Times New Roman" w:hAnsi="Times New Roman" w:cs="Times New Roman"/>
          <w:sz w:val="24"/>
          <w:szCs w:val="24"/>
        </w:rPr>
        <w:t>proxied</w:t>
      </w:r>
      <w:proofErr w:type="spellEnd"/>
      <w:r w:rsidRPr="005F6C37">
        <w:rPr>
          <w:rFonts w:ascii="Times New Roman" w:hAnsi="Times New Roman" w:cs="Times New Roman"/>
          <w:sz w:val="24"/>
          <w:szCs w:val="24"/>
        </w:rPr>
        <w:t xml:space="preserve"> by Performance Management Appraisal of the selected bank and not more than 56% explained by other factors not included in this model. These factors include GHRM environment, training and development, compensation, Recruitment and selection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2E671C" w:rsidRPr="005F6C37">
        <w:trPr>
          <w:cantSplit/>
        </w:trPr>
        <w:tc>
          <w:tcPr>
            <w:tcW w:w="7969" w:type="dxa"/>
            <w:gridSpan w:val="7"/>
            <w:tcBorders>
              <w:top w:val="nil"/>
              <w:left w:val="nil"/>
              <w:bottom w:val="nil"/>
              <w:right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b/>
                <w:sz w:val="24"/>
                <w:szCs w:val="24"/>
              </w:rPr>
              <w:t xml:space="preserve">Table 4.5.2: </w:t>
            </w:r>
            <w:proofErr w:type="spellStart"/>
            <w:r w:rsidRPr="005F6C37">
              <w:rPr>
                <w:rFonts w:ascii="Times New Roman" w:hAnsi="Times New Roman" w:cs="Times New Roman"/>
                <w:b/>
                <w:bCs/>
                <w:color w:val="000000"/>
                <w:sz w:val="24"/>
                <w:szCs w:val="24"/>
              </w:rPr>
              <w:t>ANOVA</w:t>
            </w:r>
            <w:r w:rsidRPr="005F6C37">
              <w:rPr>
                <w:rFonts w:ascii="Times New Roman" w:hAnsi="Times New Roman" w:cs="Times New Roman"/>
                <w:b/>
                <w:bCs/>
                <w:color w:val="000000"/>
                <w:sz w:val="24"/>
                <w:szCs w:val="24"/>
                <w:vertAlign w:val="superscript"/>
              </w:rPr>
              <w:t>a</w:t>
            </w:r>
            <w:proofErr w:type="spellEnd"/>
          </w:p>
        </w:tc>
      </w:tr>
      <w:tr w:rsidR="002E671C" w:rsidRPr="005F6C3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5F6C37">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Sig.</w:t>
            </w:r>
          </w:p>
        </w:tc>
      </w:tr>
      <w:tr w:rsidR="002E671C" w:rsidRPr="005F6C3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.000</w:t>
            </w:r>
            <w:r w:rsidRPr="005F6C37">
              <w:rPr>
                <w:rFonts w:ascii="Times New Roman" w:hAnsi="Times New Roman" w:cs="Times New Roman"/>
                <w:color w:val="000000"/>
                <w:sz w:val="24"/>
                <w:szCs w:val="24"/>
                <w:vertAlign w:val="superscript"/>
              </w:rPr>
              <w:t>b</w:t>
            </w:r>
          </w:p>
        </w:tc>
      </w:tr>
      <w:tr w:rsidR="002E671C" w:rsidRPr="005F6C3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A409A7">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r>
      <w:tr w:rsidR="002E671C" w:rsidRPr="005F6C3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r>
      <w:tr w:rsidR="002E671C" w:rsidRPr="005F6C37">
        <w:trPr>
          <w:cantSplit/>
        </w:trPr>
        <w:tc>
          <w:tcPr>
            <w:tcW w:w="7969" w:type="dxa"/>
            <w:gridSpan w:val="7"/>
            <w:tcBorders>
              <w:top w:val="nil"/>
              <w:left w:val="nil"/>
              <w:bottom w:val="nil"/>
              <w:right w:val="nil"/>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 Dependent Variable: Organizational Effectiveness</w:t>
            </w:r>
          </w:p>
        </w:tc>
      </w:tr>
      <w:tr w:rsidR="002E671C" w:rsidRPr="005F6C37">
        <w:trPr>
          <w:cantSplit/>
        </w:trPr>
        <w:tc>
          <w:tcPr>
            <w:tcW w:w="7969" w:type="dxa"/>
            <w:gridSpan w:val="7"/>
            <w:tcBorders>
              <w:top w:val="nil"/>
              <w:left w:val="nil"/>
              <w:bottom w:val="nil"/>
              <w:right w:val="nil"/>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b. Predictors: (Constant), GHRM (Performance MGT Appraisal)</w:t>
            </w:r>
          </w:p>
        </w:tc>
      </w:tr>
    </w:tbl>
    <w:p w:rsidR="002F06A0" w:rsidRPr="005F6C37" w:rsidRDefault="002F06A0" w:rsidP="00A409A7">
      <w:pPr>
        <w:tabs>
          <w:tab w:val="left" w:pos="4107"/>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lastRenderedPageBreak/>
        <w:t>ANOVA was utilized to assess whether the model significantly predicts organizational efficiency more accurately than the mean ranking in the prior analysis presented in Table 4.5.2. The F-ratio (37.768) specifically measures the enhancement in prediction achieved through model fitting (labeled "Regression=24.360" in the table) compared to the model's residual inaccuracy (labeled "Residual=30.978"). By dividing the regression sum of squares by the total sum of squares, the analysis yields an R² value of 0.440, indicating a significant relationship and demonstrating that GHRM has notably improved its ability to forecast organizational efficiency.</w:t>
      </w:r>
    </w:p>
    <w:p w:rsidR="002E671C" w:rsidRPr="005F6C37" w:rsidRDefault="002F06A0" w:rsidP="00A409A7">
      <w:pPr>
        <w:tabs>
          <w:tab w:val="left" w:pos="4107"/>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Furthermore, the significant p-value (0.000) is less than 0.05, suggesting a direct, positive association between the independent variable (GHRM) and the dependent variable (Organizational Effectiveness). Thus, it is hypothesized that there is a substantial association between GHRM and organizational effectiveness at a 5% level of significance.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E671C" w:rsidRPr="005F6C37">
        <w:trPr>
          <w:cantSplit/>
        </w:trPr>
        <w:tc>
          <w:tcPr>
            <w:tcW w:w="8280" w:type="dxa"/>
            <w:gridSpan w:val="7"/>
            <w:tcBorders>
              <w:top w:val="nil"/>
              <w:left w:val="nil"/>
              <w:bottom w:val="nil"/>
              <w:right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b/>
                <w:sz w:val="24"/>
                <w:szCs w:val="24"/>
              </w:rPr>
              <w:t xml:space="preserve">Table 4.5.3: </w:t>
            </w:r>
            <w:r w:rsidRPr="005F6C37">
              <w:rPr>
                <w:rFonts w:ascii="Times New Roman" w:hAnsi="Times New Roman" w:cs="Times New Roman"/>
                <w:b/>
                <w:bCs/>
                <w:color w:val="000000"/>
                <w:sz w:val="24"/>
                <w:szCs w:val="24"/>
              </w:rPr>
              <w:t xml:space="preserve">Regression </w:t>
            </w:r>
            <w:proofErr w:type="spellStart"/>
            <w:r w:rsidRPr="005F6C37">
              <w:rPr>
                <w:rFonts w:ascii="Times New Roman" w:hAnsi="Times New Roman" w:cs="Times New Roman"/>
                <w:b/>
                <w:bCs/>
                <w:color w:val="000000"/>
                <w:sz w:val="24"/>
                <w:szCs w:val="24"/>
              </w:rPr>
              <w:t>Coefficients</w:t>
            </w:r>
            <w:r w:rsidRPr="005F6C37">
              <w:rPr>
                <w:rFonts w:ascii="Times New Roman" w:hAnsi="Times New Roman" w:cs="Times New Roman"/>
                <w:b/>
                <w:bCs/>
                <w:color w:val="000000"/>
                <w:sz w:val="24"/>
                <w:szCs w:val="24"/>
                <w:vertAlign w:val="superscript"/>
              </w:rPr>
              <w:t>a</w:t>
            </w:r>
            <w:proofErr w:type="spellEnd"/>
          </w:p>
        </w:tc>
      </w:tr>
      <w:tr w:rsidR="002E671C" w:rsidRPr="005F6C37">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E671C" w:rsidRPr="005F6C37" w:rsidRDefault="002F06A0"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Sig.</w:t>
            </w:r>
          </w:p>
        </w:tc>
      </w:tr>
      <w:tr w:rsidR="002E671C" w:rsidRPr="005F6C37">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r>
      <w:tr w:rsidR="002E671C" w:rsidRPr="005F6C3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E671C" w:rsidRPr="005F6C37" w:rsidRDefault="002E671C" w:rsidP="00BF68FC">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.000</w:t>
            </w:r>
          </w:p>
        </w:tc>
      </w:tr>
      <w:tr w:rsidR="002E671C" w:rsidRPr="005F6C3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GHRM (Performance MGT Appraisal)</w:t>
            </w:r>
          </w:p>
        </w:tc>
        <w:tc>
          <w:tcPr>
            <w:tcW w:w="900" w:type="dxa"/>
            <w:tcBorders>
              <w:top w:val="nil"/>
              <w:left w:val="single" w:sz="16" w:space="0" w:color="000000"/>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.001</w:t>
            </w:r>
          </w:p>
        </w:tc>
      </w:tr>
      <w:tr w:rsidR="002E671C" w:rsidRPr="005F6C37">
        <w:trPr>
          <w:cantSplit/>
        </w:trPr>
        <w:tc>
          <w:tcPr>
            <w:tcW w:w="8280" w:type="dxa"/>
            <w:gridSpan w:val="7"/>
            <w:tcBorders>
              <w:top w:val="nil"/>
              <w:left w:val="nil"/>
              <w:bottom w:val="nil"/>
              <w:right w:val="nil"/>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 Dependent Variable: Organizational Effectiveness</w:t>
            </w:r>
          </w:p>
          <w:p w:rsidR="002E671C" w:rsidRPr="005F6C37" w:rsidRDefault="002E671C" w:rsidP="00BF68FC">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2F06A0" w:rsidRPr="005F6C37" w:rsidRDefault="002F06A0" w:rsidP="00A409A7">
      <w:pPr>
        <w:autoSpaceDE w:val="0"/>
        <w:autoSpaceDN w:val="0"/>
        <w:adjustRightInd w:val="0"/>
        <w:spacing w:after="0" w:line="360" w:lineRule="auto"/>
        <w:ind w:firstLine="720"/>
        <w:jc w:val="both"/>
        <w:rPr>
          <w:rFonts w:ascii="Times New Roman" w:hAnsi="Times New Roman" w:cs="Times New Roman"/>
          <w:sz w:val="24"/>
          <w:szCs w:val="24"/>
        </w:rPr>
      </w:pPr>
      <w:r w:rsidRPr="005F6C37">
        <w:rPr>
          <w:rFonts w:ascii="Times New Roman" w:hAnsi="Times New Roman" w:cs="Times New Roman"/>
          <w:sz w:val="24"/>
          <w:szCs w:val="24"/>
        </w:rPr>
        <w:t>Based on the R² value discussed earlier, GHRM accounts for 44% of the variance in the dependent variable, "Organizational Effectiveness." Using non-standardized regression weights, the following simple regression equation was established:</w:t>
      </w:r>
    </w:p>
    <w:p w:rsidR="002F06A0" w:rsidRPr="005F6C37" w:rsidRDefault="002F06A0" w:rsidP="00A409A7">
      <w:pPr>
        <w:autoSpaceDE w:val="0"/>
        <w:autoSpaceDN w:val="0"/>
        <w:adjustRightInd w:val="0"/>
        <w:spacing w:after="0" w:line="360" w:lineRule="auto"/>
        <w:ind w:firstLine="720"/>
        <w:jc w:val="both"/>
        <w:rPr>
          <w:rFonts w:ascii="Times New Roman" w:hAnsi="Times New Roman" w:cs="Times New Roman"/>
          <w:sz w:val="24"/>
          <w:szCs w:val="24"/>
        </w:rPr>
      </w:pPr>
      <w:r w:rsidRPr="005F6C37">
        <w:rPr>
          <w:rFonts w:ascii="Times New Roman" w:hAnsi="Times New Roman" w:cs="Times New Roman"/>
          <w:sz w:val="24"/>
          <w:szCs w:val="24"/>
        </w:rPr>
        <w:t>Ŷ = -0.381 + 0.702x₁</w:t>
      </w:r>
    </w:p>
    <w:p w:rsidR="002F06A0" w:rsidRPr="005F6C37" w:rsidRDefault="002F06A0" w:rsidP="00A409A7">
      <w:pPr>
        <w:autoSpaceDE w:val="0"/>
        <w:autoSpaceDN w:val="0"/>
        <w:adjustRightInd w:val="0"/>
        <w:spacing w:after="0" w:line="360" w:lineRule="auto"/>
        <w:ind w:firstLine="720"/>
        <w:jc w:val="both"/>
        <w:rPr>
          <w:rFonts w:ascii="Times New Roman" w:hAnsi="Times New Roman" w:cs="Times New Roman"/>
          <w:sz w:val="24"/>
          <w:szCs w:val="24"/>
        </w:rPr>
      </w:pPr>
    </w:p>
    <w:p w:rsidR="002F06A0" w:rsidRPr="005F6C37" w:rsidRDefault="002F06A0" w:rsidP="00BF68FC">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lastRenderedPageBreak/>
        <w:t>In this equation, organizational effectiveness is calculated as the product of the non-standardized beta coefficients and the average of the relevant method, plus a non-standardized constant. The results of the regression analysis indicate that GHRM (Performance Management Appraisal) is statistically significant for the model. With a positive regression coefficient of 0.702, an increase in GHRM, as indicated by performance management appraisal, corresponds to an increase in organizational effectiveness.</w:t>
      </w:r>
    </w:p>
    <w:p w:rsidR="002F06A0" w:rsidRPr="005F6C37" w:rsidRDefault="002F06A0" w:rsidP="00A409A7">
      <w:pPr>
        <w:autoSpaceDE w:val="0"/>
        <w:autoSpaceDN w:val="0"/>
        <w:adjustRightInd w:val="0"/>
        <w:spacing w:after="0" w:line="360" w:lineRule="auto"/>
        <w:ind w:firstLine="720"/>
        <w:jc w:val="both"/>
        <w:rPr>
          <w:rFonts w:ascii="Times New Roman" w:hAnsi="Times New Roman" w:cs="Times New Roman"/>
          <w:sz w:val="24"/>
          <w:szCs w:val="24"/>
        </w:rPr>
      </w:pPr>
    </w:p>
    <w:p w:rsidR="002F06A0" w:rsidRPr="005F6C37" w:rsidRDefault="002F06A0" w:rsidP="00BF68FC">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Statistical tests for the beta coefficient reveal that GHRM (Performance Management Appraisal) significantly influences the model's ability to enhance organizational effectiveness at the 5% level of significance (t₁ = 17.825, p = 0.001 &lt; 0.05). The vector-error correction constant (c = -0.381) in the regression model indicates that if the chosen bank neglects GHRM practices, its organizational effectiveness is likely to decline by 38.1%, potentially affecting the organization's goals and operational strategies.</w:t>
      </w:r>
    </w:p>
    <w:p w:rsidR="002F06A0" w:rsidRPr="005F6C37" w:rsidRDefault="002F06A0" w:rsidP="00A409A7">
      <w:pPr>
        <w:autoSpaceDE w:val="0"/>
        <w:autoSpaceDN w:val="0"/>
        <w:adjustRightInd w:val="0"/>
        <w:spacing w:after="0" w:line="360" w:lineRule="auto"/>
        <w:ind w:firstLine="720"/>
        <w:jc w:val="both"/>
        <w:rPr>
          <w:rFonts w:ascii="Times New Roman" w:hAnsi="Times New Roman" w:cs="Times New Roman"/>
          <w:sz w:val="24"/>
          <w:szCs w:val="24"/>
        </w:rPr>
      </w:pPr>
    </w:p>
    <w:p w:rsidR="002E671C" w:rsidRPr="005F6C37" w:rsidRDefault="002F06A0" w:rsidP="00BF68FC">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Consequently, the alternative hypothesis—that GHRM practices significantly impact organizational effectiveness at a 95% confidence level—was accepted, while the null hypothesis was rejected. This finding aligns with previous research by </w:t>
      </w:r>
      <w:proofErr w:type="spellStart"/>
      <w:r w:rsidRPr="005F6C37">
        <w:rPr>
          <w:rFonts w:ascii="Times New Roman" w:hAnsi="Times New Roman" w:cs="Times New Roman"/>
          <w:sz w:val="24"/>
          <w:szCs w:val="24"/>
        </w:rPr>
        <w:t>Sharifa</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Mousa</w:t>
      </w:r>
      <w:proofErr w:type="spellEnd"/>
      <w:r w:rsidRPr="005F6C37">
        <w:rPr>
          <w:rFonts w:ascii="Times New Roman" w:hAnsi="Times New Roman" w:cs="Times New Roman"/>
          <w:sz w:val="24"/>
          <w:szCs w:val="24"/>
        </w:rPr>
        <w:t xml:space="preserve"> and Mohammed Othman (2020), which noted that the identification and prioritization of green performance management practices vary by industry, with a greater need for such practices in the banking sector compared to the healthcare delivery sector.</w:t>
      </w:r>
    </w:p>
    <w:p w:rsidR="00BF68FC" w:rsidRDefault="00BF68FC" w:rsidP="00A409A7">
      <w:pPr>
        <w:spacing w:after="0" w:line="360" w:lineRule="auto"/>
        <w:jc w:val="both"/>
        <w:rPr>
          <w:rFonts w:ascii="Times New Roman" w:hAnsi="Times New Roman" w:cs="Times New Roman"/>
          <w:b/>
          <w:sz w:val="24"/>
          <w:szCs w:val="24"/>
        </w:rPr>
      </w:pPr>
    </w:p>
    <w:p w:rsidR="00BF68FC" w:rsidRDefault="00BF68FC" w:rsidP="00A409A7">
      <w:pPr>
        <w:spacing w:after="0" w:line="360" w:lineRule="auto"/>
        <w:jc w:val="both"/>
        <w:rPr>
          <w:rFonts w:ascii="Times New Roman" w:hAnsi="Times New Roman" w:cs="Times New Roman"/>
          <w:b/>
          <w:sz w:val="24"/>
          <w:szCs w:val="24"/>
        </w:rPr>
      </w:pPr>
    </w:p>
    <w:p w:rsidR="00BF68FC" w:rsidRDefault="00BF68FC" w:rsidP="00A409A7">
      <w:pPr>
        <w:spacing w:after="0" w:line="360" w:lineRule="auto"/>
        <w:jc w:val="both"/>
        <w:rPr>
          <w:rFonts w:ascii="Times New Roman" w:hAnsi="Times New Roman" w:cs="Times New Roman"/>
          <w:b/>
          <w:sz w:val="24"/>
          <w:szCs w:val="24"/>
        </w:rPr>
      </w:pPr>
    </w:p>
    <w:p w:rsidR="00BF68FC" w:rsidRDefault="00BF68FC" w:rsidP="00A409A7">
      <w:pPr>
        <w:spacing w:after="0" w:line="360" w:lineRule="auto"/>
        <w:jc w:val="both"/>
        <w:rPr>
          <w:rFonts w:ascii="Times New Roman" w:hAnsi="Times New Roman" w:cs="Times New Roman"/>
          <w:b/>
          <w:sz w:val="24"/>
          <w:szCs w:val="24"/>
        </w:rPr>
      </w:pP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lastRenderedPageBreak/>
        <w:t>H</w:t>
      </w:r>
      <w:r w:rsidRPr="005F6C37">
        <w:rPr>
          <w:rFonts w:ascii="Times New Roman" w:hAnsi="Times New Roman" w:cs="Times New Roman"/>
          <w:b/>
          <w:sz w:val="24"/>
          <w:szCs w:val="24"/>
          <w:vertAlign w:val="subscript"/>
        </w:rPr>
        <w:t>02</w:t>
      </w:r>
      <w:r w:rsidRPr="005F6C37">
        <w:rPr>
          <w:rFonts w:ascii="Times New Roman" w:hAnsi="Times New Roman" w:cs="Times New Roman"/>
          <w:b/>
          <w:sz w:val="24"/>
          <w:szCs w:val="24"/>
        </w:rPr>
        <w:t>: there is no relationship between GHRM practices and organizational competitiveness</w:t>
      </w:r>
    </w:p>
    <w:tbl>
      <w:tblPr>
        <w:tblStyle w:val="TableGrid"/>
        <w:tblW w:w="5000" w:type="pct"/>
        <w:tblLook w:val="04A0" w:firstRow="1" w:lastRow="0" w:firstColumn="1" w:lastColumn="0" w:noHBand="0" w:noVBand="1"/>
      </w:tblPr>
      <w:tblGrid>
        <w:gridCol w:w="1584"/>
        <w:gridCol w:w="1182"/>
        <w:gridCol w:w="1585"/>
        <w:gridCol w:w="1256"/>
        <w:gridCol w:w="970"/>
        <w:gridCol w:w="1415"/>
      </w:tblGrid>
      <w:tr w:rsidR="002E671C" w:rsidRPr="005F6C37" w:rsidTr="00BF68FC">
        <w:tc>
          <w:tcPr>
            <w:tcW w:w="5000" w:type="pct"/>
            <w:gridSpan w:val="6"/>
          </w:tcPr>
          <w:p w:rsidR="002E671C" w:rsidRPr="005F6C37" w:rsidRDefault="002C5934" w:rsidP="00BF68FC">
            <w:pPr>
              <w:ind w:left="60" w:right="60"/>
              <w:jc w:val="center"/>
              <w:rPr>
                <w:rFonts w:ascii="Times New Roman" w:hAnsi="Times New Roman" w:cs="Times New Roman"/>
                <w:sz w:val="24"/>
                <w:szCs w:val="24"/>
              </w:rPr>
            </w:pPr>
            <w:r w:rsidRPr="005F6C37">
              <w:rPr>
                <w:rFonts w:ascii="Times New Roman" w:eastAsia="Calibri" w:hAnsi="Times New Roman" w:cs="Times New Roman"/>
                <w:b/>
                <w:bCs/>
                <w:color w:val="000000"/>
                <w:sz w:val="24"/>
                <w:szCs w:val="24"/>
              </w:rPr>
              <w:t>Table 4.5.4: Bivariate Correlations Matrix showing the relationship between Dimension of Compensation management (CM) and Worker’s Productivity (WP)</w:t>
            </w:r>
          </w:p>
        </w:tc>
      </w:tr>
      <w:tr w:rsidR="002E671C" w:rsidRPr="005F6C37" w:rsidTr="00BF68FC">
        <w:tc>
          <w:tcPr>
            <w:tcW w:w="1082" w:type="pct"/>
            <w:vMerge w:val="restart"/>
          </w:tcPr>
          <w:p w:rsidR="002E671C" w:rsidRPr="005F6C37" w:rsidRDefault="002E671C" w:rsidP="00BF68FC">
            <w:pPr>
              <w:ind w:left="60" w:right="60"/>
              <w:rPr>
                <w:rFonts w:ascii="Times New Roman" w:eastAsia="Calibri" w:hAnsi="Times New Roman" w:cs="Times New Roman"/>
                <w:color w:val="000000"/>
                <w:sz w:val="24"/>
                <w:szCs w:val="24"/>
              </w:rPr>
            </w:pPr>
          </w:p>
        </w:tc>
        <w:tc>
          <w:tcPr>
            <w:tcW w:w="945" w:type="pct"/>
          </w:tcPr>
          <w:p w:rsidR="002E671C" w:rsidRPr="005F6C37" w:rsidRDefault="002E671C" w:rsidP="00BF68FC">
            <w:pPr>
              <w:ind w:left="60" w:right="60"/>
              <w:rPr>
                <w:rFonts w:ascii="Times New Roman" w:eastAsia="Calibri" w:hAnsi="Times New Roman" w:cs="Times New Roman"/>
                <w:color w:val="000000"/>
                <w:sz w:val="24"/>
                <w:szCs w:val="24"/>
              </w:rPr>
            </w:pPr>
          </w:p>
        </w:tc>
        <w:tc>
          <w:tcPr>
            <w:tcW w:w="766" w:type="pct"/>
          </w:tcPr>
          <w:p w:rsidR="002E671C" w:rsidRPr="005F6C37" w:rsidRDefault="002C5934" w:rsidP="00BF68FC">
            <w:pPr>
              <w:ind w:left="60" w:right="60"/>
              <w:jc w:val="center"/>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Organizational Competitiveness</w:t>
            </w:r>
          </w:p>
        </w:tc>
        <w:tc>
          <w:tcPr>
            <w:tcW w:w="720" w:type="pct"/>
          </w:tcPr>
          <w:p w:rsidR="002E671C" w:rsidRPr="005F6C37" w:rsidRDefault="002C5934" w:rsidP="00BF68FC">
            <w:pPr>
              <w:ind w:left="60" w:right="60"/>
              <w:jc w:val="center"/>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Green Recruitment and Selection</w:t>
            </w:r>
          </w:p>
        </w:tc>
        <w:tc>
          <w:tcPr>
            <w:tcW w:w="721" w:type="pct"/>
          </w:tcPr>
          <w:p w:rsidR="002E671C" w:rsidRPr="005F6C37" w:rsidRDefault="002C5934" w:rsidP="00BF68FC">
            <w:pPr>
              <w:ind w:left="60" w:right="60"/>
              <w:jc w:val="center"/>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Green Training and Dev.</w:t>
            </w:r>
          </w:p>
        </w:tc>
        <w:tc>
          <w:tcPr>
            <w:tcW w:w="767" w:type="pct"/>
          </w:tcPr>
          <w:p w:rsidR="002E671C" w:rsidRPr="005F6C37" w:rsidRDefault="002C5934" w:rsidP="00BF68FC">
            <w:pPr>
              <w:ind w:left="60" w:right="60"/>
              <w:jc w:val="center"/>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Green Reward and Compensation MGT</w:t>
            </w: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E671C" w:rsidP="00BF68FC">
            <w:pPr>
              <w:ind w:left="60" w:right="60"/>
              <w:rPr>
                <w:rFonts w:ascii="Times New Roman" w:eastAsia="Calibri" w:hAnsi="Times New Roman" w:cs="Times New Roman"/>
                <w:color w:val="000000"/>
                <w:sz w:val="24"/>
                <w:szCs w:val="24"/>
              </w:rPr>
            </w:pPr>
          </w:p>
        </w:tc>
        <w:tc>
          <w:tcPr>
            <w:tcW w:w="766" w:type="pct"/>
          </w:tcPr>
          <w:p w:rsidR="002E671C" w:rsidRPr="005F6C37" w:rsidRDefault="002E671C" w:rsidP="00BF68FC">
            <w:pPr>
              <w:rPr>
                <w:rFonts w:ascii="Times New Roman" w:eastAsia="Calibri" w:hAnsi="Times New Roman" w:cs="Times New Roman"/>
                <w:sz w:val="24"/>
                <w:szCs w:val="24"/>
              </w:rPr>
            </w:pPr>
          </w:p>
        </w:tc>
        <w:tc>
          <w:tcPr>
            <w:tcW w:w="720" w:type="pct"/>
          </w:tcPr>
          <w:p w:rsidR="002E671C" w:rsidRPr="005F6C37" w:rsidRDefault="002E671C" w:rsidP="00BF68FC">
            <w:pPr>
              <w:ind w:left="60" w:right="60"/>
              <w:jc w:val="center"/>
              <w:rPr>
                <w:rFonts w:ascii="Times New Roman" w:eastAsia="Calibri" w:hAnsi="Times New Roman" w:cs="Times New Roman"/>
                <w:color w:val="000000"/>
                <w:sz w:val="24"/>
                <w:szCs w:val="24"/>
              </w:rPr>
            </w:pPr>
          </w:p>
        </w:tc>
        <w:tc>
          <w:tcPr>
            <w:tcW w:w="721"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Model</w:t>
            </w:r>
          </w:p>
        </w:tc>
        <w:tc>
          <w:tcPr>
            <w:tcW w:w="766"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20" w:type="pct"/>
          </w:tcPr>
          <w:p w:rsidR="002E671C" w:rsidRPr="005F6C37" w:rsidRDefault="002E671C" w:rsidP="00BF68FC">
            <w:pPr>
              <w:ind w:left="60" w:right="60"/>
              <w:jc w:val="center"/>
              <w:rPr>
                <w:rFonts w:ascii="Times New Roman" w:eastAsia="Calibri" w:hAnsi="Times New Roman" w:cs="Times New Roman"/>
                <w:color w:val="000000"/>
                <w:sz w:val="24"/>
                <w:szCs w:val="24"/>
              </w:rPr>
            </w:pPr>
          </w:p>
        </w:tc>
        <w:tc>
          <w:tcPr>
            <w:tcW w:w="721" w:type="pct"/>
          </w:tcPr>
          <w:p w:rsidR="002E671C" w:rsidRPr="005F6C37" w:rsidRDefault="002E671C" w:rsidP="00BF68FC">
            <w:pPr>
              <w:ind w:left="60" w:right="60"/>
              <w:rPr>
                <w:rFonts w:ascii="Times New Roman" w:eastAsia="Calibri" w:hAnsi="Times New Roman" w:cs="Times New Roman"/>
                <w:color w:val="000000"/>
                <w:sz w:val="24"/>
                <w:szCs w:val="24"/>
              </w:rPr>
            </w:pPr>
          </w:p>
        </w:tc>
        <w:tc>
          <w:tcPr>
            <w:tcW w:w="767" w:type="pct"/>
          </w:tcPr>
          <w:p w:rsidR="002E671C" w:rsidRPr="005F6C37" w:rsidRDefault="002E671C" w:rsidP="00BF68FC">
            <w:pPr>
              <w:ind w:left="60" w:right="60"/>
              <w:jc w:val="center"/>
              <w:rPr>
                <w:rFonts w:ascii="Times New Roman" w:eastAsia="Calibri" w:hAnsi="Times New Roman" w:cs="Times New Roman"/>
                <w:color w:val="000000"/>
                <w:sz w:val="24"/>
                <w:szCs w:val="24"/>
              </w:rPr>
            </w:pPr>
          </w:p>
        </w:tc>
      </w:tr>
      <w:tr w:rsidR="002E671C" w:rsidRPr="005F6C37" w:rsidTr="00BF68FC">
        <w:tc>
          <w:tcPr>
            <w:tcW w:w="1082" w:type="pct"/>
            <w:vMerge w:val="restar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Organizational Competitiveness</w:t>
            </w: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Pearson Correlation</w:t>
            </w:r>
          </w:p>
        </w:tc>
        <w:tc>
          <w:tcPr>
            <w:tcW w:w="766" w:type="pct"/>
          </w:tcPr>
          <w:p w:rsidR="002E671C" w:rsidRPr="005F6C37" w:rsidRDefault="002C5934" w:rsidP="00BF68FC">
            <w:pPr>
              <w:ind w:left="60" w:right="60"/>
              <w:jc w:val="right"/>
              <w:rPr>
                <w:rFonts w:ascii="Times New Roman" w:hAnsi="Times New Roman" w:cs="Times New Roman"/>
                <w:sz w:val="24"/>
                <w:szCs w:val="24"/>
              </w:rPr>
            </w:pPr>
            <w:r w:rsidRPr="005F6C37">
              <w:rPr>
                <w:rFonts w:ascii="Times New Roman" w:eastAsia="Calibri" w:hAnsi="Times New Roman" w:cs="Times New Roman"/>
                <w:color w:val="000000"/>
                <w:sz w:val="24"/>
                <w:szCs w:val="24"/>
              </w:rPr>
              <w:t>.1</w:t>
            </w:r>
            <w:r w:rsidRPr="005F6C37">
              <w:rPr>
                <w:rFonts w:ascii="Times New Roman" w:eastAsia="Calibri" w:hAnsi="Times New Roman" w:cs="Times New Roman"/>
                <w:color w:val="000000"/>
                <w:sz w:val="24"/>
                <w:szCs w:val="24"/>
                <w:vertAlign w:val="superscript"/>
              </w:rPr>
              <w:t>*</w:t>
            </w:r>
          </w:p>
        </w:tc>
        <w:tc>
          <w:tcPr>
            <w:tcW w:w="720" w:type="pct"/>
          </w:tcPr>
          <w:p w:rsidR="002E671C" w:rsidRPr="005F6C37" w:rsidRDefault="002E671C" w:rsidP="00BF68FC">
            <w:pPr>
              <w:ind w:right="60"/>
              <w:jc w:val="right"/>
              <w:rPr>
                <w:rFonts w:ascii="Times New Roman" w:eastAsia="Calibri" w:hAnsi="Times New Roman" w:cs="Times New Roman"/>
                <w:color w:val="000000"/>
                <w:sz w:val="24"/>
                <w:szCs w:val="24"/>
              </w:rPr>
            </w:pPr>
          </w:p>
        </w:tc>
        <w:tc>
          <w:tcPr>
            <w:tcW w:w="721"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Sig. (2-tailed)</w:t>
            </w:r>
          </w:p>
        </w:tc>
        <w:tc>
          <w:tcPr>
            <w:tcW w:w="766"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w:t>
            </w:r>
          </w:p>
        </w:tc>
        <w:tc>
          <w:tcPr>
            <w:tcW w:w="720" w:type="pct"/>
          </w:tcPr>
          <w:p w:rsidR="002E671C" w:rsidRPr="005F6C37" w:rsidRDefault="002E671C" w:rsidP="00BF68FC">
            <w:pPr>
              <w:rPr>
                <w:rFonts w:ascii="Times New Roman" w:eastAsia="Calibri" w:hAnsi="Times New Roman" w:cs="Times New Roman"/>
                <w:sz w:val="24"/>
                <w:szCs w:val="24"/>
              </w:rPr>
            </w:pPr>
          </w:p>
        </w:tc>
        <w:tc>
          <w:tcPr>
            <w:tcW w:w="721"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N</w:t>
            </w:r>
          </w:p>
        </w:tc>
        <w:tc>
          <w:tcPr>
            <w:tcW w:w="766"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c>
          <w:tcPr>
            <w:tcW w:w="720"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21"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val="restar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Green Recruitment and Selection</w:t>
            </w: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Pearson Correlation</w:t>
            </w:r>
          </w:p>
        </w:tc>
        <w:tc>
          <w:tcPr>
            <w:tcW w:w="766" w:type="pct"/>
          </w:tcPr>
          <w:p w:rsidR="002E671C" w:rsidRPr="005F6C37" w:rsidRDefault="002C5934" w:rsidP="00BF68FC">
            <w:pPr>
              <w:ind w:left="60" w:right="60"/>
              <w:jc w:val="right"/>
              <w:rPr>
                <w:rFonts w:ascii="Times New Roman" w:hAnsi="Times New Roman" w:cs="Times New Roman"/>
                <w:sz w:val="24"/>
                <w:szCs w:val="24"/>
              </w:rPr>
            </w:pPr>
            <w:r w:rsidRPr="005F6C37">
              <w:rPr>
                <w:rFonts w:ascii="Times New Roman" w:eastAsia="Calibri" w:hAnsi="Times New Roman" w:cs="Times New Roman"/>
                <w:color w:val="000000"/>
                <w:sz w:val="24"/>
                <w:szCs w:val="24"/>
              </w:rPr>
              <w:t>.667</w:t>
            </w:r>
            <w:r w:rsidRPr="005F6C37">
              <w:rPr>
                <w:rFonts w:ascii="Times New Roman" w:eastAsia="Calibri" w:hAnsi="Times New Roman" w:cs="Times New Roman"/>
                <w:color w:val="000000"/>
                <w:sz w:val="24"/>
                <w:szCs w:val="24"/>
                <w:vertAlign w:val="superscript"/>
              </w:rPr>
              <w:t>*</w:t>
            </w:r>
          </w:p>
        </w:tc>
        <w:tc>
          <w:tcPr>
            <w:tcW w:w="720"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1</w:t>
            </w:r>
          </w:p>
        </w:tc>
        <w:tc>
          <w:tcPr>
            <w:tcW w:w="721"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Sig. (2-tailed)</w:t>
            </w:r>
          </w:p>
        </w:tc>
        <w:tc>
          <w:tcPr>
            <w:tcW w:w="766"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.000</w:t>
            </w:r>
          </w:p>
        </w:tc>
        <w:tc>
          <w:tcPr>
            <w:tcW w:w="720"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21" w:type="pct"/>
          </w:tcPr>
          <w:p w:rsidR="002E671C" w:rsidRPr="005F6C37" w:rsidRDefault="002E671C" w:rsidP="00BF68FC">
            <w:pPr>
              <w:rPr>
                <w:rFonts w:ascii="Times New Roman" w:eastAsia="Calibri" w:hAnsi="Times New Roman" w:cs="Times New Roman"/>
                <w:sz w:val="24"/>
                <w:szCs w:val="24"/>
              </w:rPr>
            </w:pP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N</w:t>
            </w:r>
          </w:p>
        </w:tc>
        <w:tc>
          <w:tcPr>
            <w:tcW w:w="766"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c>
          <w:tcPr>
            <w:tcW w:w="720"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c>
          <w:tcPr>
            <w:tcW w:w="721"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val="restart"/>
          </w:tcPr>
          <w:p w:rsidR="002E671C" w:rsidRPr="005F6C37" w:rsidRDefault="002C5934" w:rsidP="00BF68FC">
            <w:pPr>
              <w:ind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 xml:space="preserve"> Green Training and Dev.</w:t>
            </w: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Pearson Correlation</w:t>
            </w:r>
          </w:p>
        </w:tc>
        <w:tc>
          <w:tcPr>
            <w:tcW w:w="766" w:type="pct"/>
          </w:tcPr>
          <w:p w:rsidR="002E671C" w:rsidRPr="005F6C37" w:rsidRDefault="002C5934" w:rsidP="00BF68FC">
            <w:pPr>
              <w:ind w:left="60" w:right="60"/>
              <w:jc w:val="right"/>
              <w:rPr>
                <w:rFonts w:ascii="Times New Roman" w:hAnsi="Times New Roman" w:cs="Times New Roman"/>
                <w:sz w:val="24"/>
                <w:szCs w:val="24"/>
              </w:rPr>
            </w:pPr>
            <w:r w:rsidRPr="005F6C37">
              <w:rPr>
                <w:rFonts w:ascii="Times New Roman" w:eastAsia="Calibri" w:hAnsi="Times New Roman" w:cs="Times New Roman"/>
                <w:color w:val="000000"/>
                <w:sz w:val="24"/>
                <w:szCs w:val="24"/>
              </w:rPr>
              <w:t>.807</w:t>
            </w:r>
            <w:r w:rsidRPr="005F6C37">
              <w:rPr>
                <w:rFonts w:ascii="Times New Roman" w:eastAsia="Calibri" w:hAnsi="Times New Roman" w:cs="Times New Roman"/>
                <w:color w:val="000000"/>
                <w:sz w:val="24"/>
                <w:szCs w:val="24"/>
                <w:vertAlign w:val="superscript"/>
              </w:rPr>
              <w:t>*</w:t>
            </w:r>
          </w:p>
        </w:tc>
        <w:tc>
          <w:tcPr>
            <w:tcW w:w="720" w:type="pct"/>
          </w:tcPr>
          <w:p w:rsidR="002E671C" w:rsidRPr="005F6C37" w:rsidRDefault="002C5934" w:rsidP="00BF68FC">
            <w:pPr>
              <w:ind w:left="60" w:right="60"/>
              <w:jc w:val="right"/>
              <w:rPr>
                <w:rFonts w:ascii="Times New Roman" w:hAnsi="Times New Roman" w:cs="Times New Roman"/>
                <w:sz w:val="24"/>
                <w:szCs w:val="24"/>
              </w:rPr>
            </w:pPr>
            <w:r w:rsidRPr="005F6C37">
              <w:rPr>
                <w:rFonts w:ascii="Times New Roman" w:eastAsia="Calibri" w:hAnsi="Times New Roman" w:cs="Times New Roman"/>
                <w:color w:val="000000"/>
                <w:sz w:val="24"/>
                <w:szCs w:val="24"/>
              </w:rPr>
              <w:t>.508</w:t>
            </w:r>
            <w:r w:rsidRPr="005F6C37">
              <w:rPr>
                <w:rFonts w:ascii="Times New Roman" w:eastAsia="Calibri" w:hAnsi="Times New Roman" w:cs="Times New Roman"/>
                <w:color w:val="000000"/>
                <w:sz w:val="24"/>
                <w:szCs w:val="24"/>
                <w:vertAlign w:val="superscript"/>
              </w:rPr>
              <w:t>*</w:t>
            </w:r>
          </w:p>
        </w:tc>
        <w:tc>
          <w:tcPr>
            <w:tcW w:w="721"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1</w:t>
            </w: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Sig. (2-tailed)</w:t>
            </w:r>
          </w:p>
        </w:tc>
        <w:tc>
          <w:tcPr>
            <w:tcW w:w="766"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.000</w:t>
            </w:r>
          </w:p>
        </w:tc>
        <w:tc>
          <w:tcPr>
            <w:tcW w:w="720"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.016</w:t>
            </w:r>
          </w:p>
        </w:tc>
        <w:tc>
          <w:tcPr>
            <w:tcW w:w="721"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N</w:t>
            </w:r>
          </w:p>
        </w:tc>
        <w:tc>
          <w:tcPr>
            <w:tcW w:w="766"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c>
          <w:tcPr>
            <w:tcW w:w="720"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c>
          <w:tcPr>
            <w:tcW w:w="721"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c>
          <w:tcPr>
            <w:tcW w:w="767" w:type="pct"/>
          </w:tcPr>
          <w:p w:rsidR="002E671C" w:rsidRPr="005F6C37" w:rsidRDefault="002E671C" w:rsidP="00BF68FC">
            <w:pPr>
              <w:ind w:left="60" w:right="60"/>
              <w:jc w:val="right"/>
              <w:rPr>
                <w:rFonts w:ascii="Times New Roman" w:eastAsia="Calibri" w:hAnsi="Times New Roman" w:cs="Times New Roman"/>
                <w:color w:val="000000"/>
                <w:sz w:val="24"/>
                <w:szCs w:val="24"/>
              </w:rPr>
            </w:pPr>
          </w:p>
        </w:tc>
      </w:tr>
      <w:tr w:rsidR="002E671C" w:rsidRPr="005F6C37" w:rsidTr="00BF68FC">
        <w:tc>
          <w:tcPr>
            <w:tcW w:w="1082" w:type="pct"/>
            <w:vMerge w:val="restar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Green Reward and Compensation MGT</w:t>
            </w: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Pearson Correlation</w:t>
            </w:r>
          </w:p>
        </w:tc>
        <w:tc>
          <w:tcPr>
            <w:tcW w:w="766" w:type="pct"/>
          </w:tcPr>
          <w:p w:rsidR="002E671C" w:rsidRPr="005F6C37" w:rsidRDefault="002C5934" w:rsidP="00BF68FC">
            <w:pPr>
              <w:ind w:left="60" w:right="60"/>
              <w:jc w:val="right"/>
              <w:rPr>
                <w:rFonts w:ascii="Times New Roman" w:hAnsi="Times New Roman" w:cs="Times New Roman"/>
                <w:sz w:val="24"/>
                <w:szCs w:val="24"/>
              </w:rPr>
            </w:pPr>
            <w:r w:rsidRPr="005F6C37">
              <w:rPr>
                <w:rFonts w:ascii="Times New Roman" w:eastAsia="Calibri" w:hAnsi="Times New Roman" w:cs="Times New Roman"/>
                <w:color w:val="000000"/>
                <w:sz w:val="24"/>
                <w:szCs w:val="24"/>
              </w:rPr>
              <w:t>.775</w:t>
            </w:r>
            <w:r w:rsidRPr="005F6C37">
              <w:rPr>
                <w:rFonts w:ascii="Times New Roman" w:eastAsia="Calibri" w:hAnsi="Times New Roman" w:cs="Times New Roman"/>
                <w:color w:val="000000"/>
                <w:sz w:val="24"/>
                <w:szCs w:val="24"/>
                <w:vertAlign w:val="superscript"/>
              </w:rPr>
              <w:t>*</w:t>
            </w:r>
          </w:p>
        </w:tc>
        <w:tc>
          <w:tcPr>
            <w:tcW w:w="720" w:type="pct"/>
          </w:tcPr>
          <w:p w:rsidR="002E671C" w:rsidRPr="005F6C37" w:rsidRDefault="002C5934" w:rsidP="00BF68FC">
            <w:pPr>
              <w:ind w:left="60" w:right="60"/>
              <w:jc w:val="right"/>
              <w:rPr>
                <w:rFonts w:ascii="Times New Roman" w:hAnsi="Times New Roman" w:cs="Times New Roman"/>
                <w:sz w:val="24"/>
                <w:szCs w:val="24"/>
              </w:rPr>
            </w:pPr>
            <w:r w:rsidRPr="005F6C37">
              <w:rPr>
                <w:rFonts w:ascii="Times New Roman" w:eastAsia="Calibri" w:hAnsi="Times New Roman" w:cs="Times New Roman"/>
                <w:color w:val="000000"/>
                <w:sz w:val="24"/>
                <w:szCs w:val="24"/>
              </w:rPr>
              <w:t>.741</w:t>
            </w:r>
            <w:r w:rsidRPr="005F6C37">
              <w:rPr>
                <w:rFonts w:ascii="Times New Roman" w:eastAsia="Calibri" w:hAnsi="Times New Roman" w:cs="Times New Roman"/>
                <w:color w:val="000000"/>
                <w:sz w:val="24"/>
                <w:szCs w:val="24"/>
                <w:vertAlign w:val="superscript"/>
              </w:rPr>
              <w:t>**</w:t>
            </w:r>
          </w:p>
        </w:tc>
        <w:tc>
          <w:tcPr>
            <w:tcW w:w="721" w:type="pct"/>
          </w:tcPr>
          <w:p w:rsidR="002E671C" w:rsidRPr="005F6C37" w:rsidRDefault="002C5934" w:rsidP="00BF68FC">
            <w:pPr>
              <w:ind w:left="60" w:right="60"/>
              <w:jc w:val="right"/>
              <w:rPr>
                <w:rFonts w:ascii="Times New Roman" w:hAnsi="Times New Roman" w:cs="Times New Roman"/>
                <w:sz w:val="24"/>
                <w:szCs w:val="24"/>
              </w:rPr>
            </w:pPr>
            <w:r w:rsidRPr="005F6C37">
              <w:rPr>
                <w:rFonts w:ascii="Times New Roman" w:eastAsia="Calibri" w:hAnsi="Times New Roman" w:cs="Times New Roman"/>
                <w:color w:val="000000"/>
                <w:sz w:val="24"/>
                <w:szCs w:val="24"/>
              </w:rPr>
              <w:t>.747</w:t>
            </w:r>
            <w:r w:rsidRPr="005F6C37">
              <w:rPr>
                <w:rFonts w:ascii="Times New Roman" w:eastAsia="Calibri" w:hAnsi="Times New Roman" w:cs="Times New Roman"/>
                <w:color w:val="000000"/>
                <w:sz w:val="24"/>
                <w:szCs w:val="24"/>
                <w:vertAlign w:val="superscript"/>
              </w:rPr>
              <w:t>**</w:t>
            </w:r>
          </w:p>
        </w:tc>
        <w:tc>
          <w:tcPr>
            <w:tcW w:w="767"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1</w:t>
            </w: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Sig. (2-tailed)</w:t>
            </w:r>
          </w:p>
        </w:tc>
        <w:tc>
          <w:tcPr>
            <w:tcW w:w="766"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.000</w:t>
            </w:r>
          </w:p>
        </w:tc>
        <w:tc>
          <w:tcPr>
            <w:tcW w:w="720"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.000</w:t>
            </w:r>
          </w:p>
        </w:tc>
        <w:tc>
          <w:tcPr>
            <w:tcW w:w="721"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.000</w:t>
            </w:r>
          </w:p>
        </w:tc>
        <w:tc>
          <w:tcPr>
            <w:tcW w:w="767"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w:t>
            </w:r>
          </w:p>
        </w:tc>
      </w:tr>
      <w:tr w:rsidR="002E671C" w:rsidRPr="005F6C37" w:rsidTr="00BF68FC">
        <w:tc>
          <w:tcPr>
            <w:tcW w:w="1082" w:type="pct"/>
            <w:vMerge/>
          </w:tcPr>
          <w:p w:rsidR="002E671C" w:rsidRPr="005F6C37" w:rsidRDefault="002E671C" w:rsidP="00BF68FC">
            <w:pPr>
              <w:rPr>
                <w:rFonts w:ascii="Times New Roman" w:hAnsi="Times New Roman" w:cs="Times New Roman"/>
                <w:sz w:val="24"/>
                <w:szCs w:val="24"/>
              </w:rPr>
            </w:pPr>
          </w:p>
        </w:tc>
        <w:tc>
          <w:tcPr>
            <w:tcW w:w="945" w:type="pct"/>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N</w:t>
            </w:r>
          </w:p>
        </w:tc>
        <w:tc>
          <w:tcPr>
            <w:tcW w:w="766"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c>
          <w:tcPr>
            <w:tcW w:w="720"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c>
          <w:tcPr>
            <w:tcW w:w="721"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c>
          <w:tcPr>
            <w:tcW w:w="767" w:type="pct"/>
          </w:tcPr>
          <w:p w:rsidR="002E671C" w:rsidRPr="005F6C37" w:rsidRDefault="002C5934" w:rsidP="00BF68FC">
            <w:pPr>
              <w:ind w:left="60" w:right="60"/>
              <w:jc w:val="right"/>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50</w:t>
            </w:r>
          </w:p>
        </w:tc>
      </w:tr>
      <w:tr w:rsidR="002E671C" w:rsidRPr="005F6C37" w:rsidTr="00BF68FC">
        <w:tc>
          <w:tcPr>
            <w:tcW w:w="5000" w:type="pct"/>
            <w:gridSpan w:val="6"/>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 Correlation is significant at the 0.01 level (2-tailed).</w:t>
            </w:r>
          </w:p>
        </w:tc>
      </w:tr>
      <w:tr w:rsidR="002E671C" w:rsidRPr="005F6C37" w:rsidTr="00BF68FC">
        <w:tc>
          <w:tcPr>
            <w:tcW w:w="5000" w:type="pct"/>
            <w:gridSpan w:val="6"/>
          </w:tcPr>
          <w:p w:rsidR="002E671C" w:rsidRPr="005F6C37" w:rsidRDefault="002C5934" w:rsidP="00BF68FC">
            <w:pPr>
              <w:ind w:left="60" w:right="60"/>
              <w:rPr>
                <w:rFonts w:ascii="Times New Roman" w:eastAsia="Calibri" w:hAnsi="Times New Roman" w:cs="Times New Roman"/>
                <w:color w:val="000000"/>
                <w:sz w:val="24"/>
                <w:szCs w:val="24"/>
              </w:rPr>
            </w:pPr>
            <w:r w:rsidRPr="005F6C37">
              <w:rPr>
                <w:rFonts w:ascii="Times New Roman" w:eastAsia="Calibri" w:hAnsi="Times New Roman" w:cs="Times New Roman"/>
                <w:color w:val="000000"/>
                <w:sz w:val="24"/>
                <w:szCs w:val="24"/>
              </w:rPr>
              <w:t>*. Correlation is significant at the 0.05 level (2-tailed).</w:t>
            </w:r>
          </w:p>
        </w:tc>
      </w:tr>
    </w:tbl>
    <w:p w:rsidR="002E671C" w:rsidRPr="005F6C37" w:rsidRDefault="002E671C" w:rsidP="00A409A7">
      <w:pPr>
        <w:spacing w:after="0" w:line="360" w:lineRule="auto"/>
        <w:jc w:val="both"/>
        <w:rPr>
          <w:rStyle w:val="fontstyle01"/>
          <w:rFonts w:ascii="Times New Roman" w:eastAsia="Times New Roman" w:hAnsi="Times New Roman" w:cs="Times New Roman"/>
          <w:b/>
          <w:bCs/>
        </w:rPr>
      </w:pPr>
    </w:p>
    <w:p w:rsidR="002A7DF9" w:rsidRPr="005F6C37" w:rsidRDefault="007D77D2" w:rsidP="00A409A7">
      <w:pPr>
        <w:spacing w:after="0" w:line="360" w:lineRule="auto"/>
        <w:jc w:val="both"/>
        <w:rPr>
          <w:rFonts w:ascii="Times New Roman" w:hAnsi="Times New Roman" w:cs="Times New Roman"/>
          <w:b/>
          <w:sz w:val="24"/>
          <w:szCs w:val="24"/>
        </w:rPr>
      </w:pPr>
      <w:r w:rsidRPr="005F6C37">
        <w:rPr>
          <w:rStyle w:val="fontstyle01"/>
          <w:rFonts w:ascii="Times New Roman" w:eastAsia="Times New Roman" w:hAnsi="Times New Roman" w:cs="Times New Roman"/>
          <w:color w:val="1C1C1C"/>
        </w:rPr>
        <w:lastRenderedPageBreak/>
        <w:t xml:space="preserve">Table 4.5.4 presents the correlation coefficients for various components of green human resource management, revealing that reward and compensation management (r = 0.775), training and development (r = 0.807), and recruitment and selection (r = 0.667) all positively influence organizational competitiveness within the relationship model of the chosen bank. This indicates that GHRM factors are effective predictors of organizational competitiveness; an increase in each dimension of GHRM will enhance competitiveness in achieving goals and operational strategies. Conversely, a decline in the GHRM factors of green recruitment and selection, training and development, and reward and compensation management will lead to a decrease in organizational competitiveness at a 5% significance level. This finding aligns with earlier research by Ahmed Zaid, </w:t>
      </w:r>
      <w:proofErr w:type="spellStart"/>
      <w:r w:rsidRPr="005F6C37">
        <w:rPr>
          <w:rStyle w:val="fontstyle01"/>
          <w:rFonts w:ascii="Times New Roman" w:eastAsia="Times New Roman" w:hAnsi="Times New Roman" w:cs="Times New Roman"/>
          <w:color w:val="1C1C1C"/>
        </w:rPr>
        <w:t>Ayham</w:t>
      </w:r>
      <w:proofErr w:type="spellEnd"/>
      <w:r w:rsidRPr="005F6C37">
        <w:rPr>
          <w:rStyle w:val="fontstyle01"/>
          <w:rFonts w:ascii="Times New Roman" w:eastAsia="Times New Roman" w:hAnsi="Times New Roman" w:cs="Times New Roman"/>
          <w:color w:val="1C1C1C"/>
        </w:rPr>
        <w:t xml:space="preserve"> </w:t>
      </w:r>
      <w:proofErr w:type="spellStart"/>
      <w:r w:rsidRPr="005F6C37">
        <w:rPr>
          <w:rStyle w:val="fontstyle01"/>
          <w:rFonts w:ascii="Times New Roman" w:eastAsia="Times New Roman" w:hAnsi="Times New Roman" w:cs="Times New Roman"/>
          <w:color w:val="1C1C1C"/>
        </w:rPr>
        <w:t>Jaaron</w:t>
      </w:r>
      <w:proofErr w:type="spellEnd"/>
      <w:r w:rsidRPr="005F6C37">
        <w:rPr>
          <w:rStyle w:val="fontstyle01"/>
          <w:rFonts w:ascii="Times New Roman" w:eastAsia="Times New Roman" w:hAnsi="Times New Roman" w:cs="Times New Roman"/>
          <w:color w:val="1C1C1C"/>
        </w:rPr>
        <w:t xml:space="preserve">, and Abdul </w:t>
      </w:r>
      <w:proofErr w:type="spellStart"/>
      <w:r w:rsidRPr="005F6C37">
        <w:rPr>
          <w:rStyle w:val="fontstyle01"/>
          <w:rFonts w:ascii="Times New Roman" w:eastAsia="Times New Roman" w:hAnsi="Times New Roman" w:cs="Times New Roman"/>
          <w:color w:val="1C1C1C"/>
        </w:rPr>
        <w:t>Talib</w:t>
      </w:r>
      <w:proofErr w:type="spellEnd"/>
      <w:r w:rsidRPr="005F6C37">
        <w:rPr>
          <w:rStyle w:val="fontstyle01"/>
          <w:rFonts w:ascii="Times New Roman" w:eastAsia="Times New Roman" w:hAnsi="Times New Roman" w:cs="Times New Roman"/>
          <w:color w:val="1C1C1C"/>
        </w:rPr>
        <w:t xml:space="preserve"> Bon (2018), which demonstrated that green human resource management practices positively affect a firm's long-term success.</w:t>
      </w:r>
    </w:p>
    <w:p w:rsidR="002E671C" w:rsidRPr="005F6C37" w:rsidRDefault="002C5934" w:rsidP="00A409A7">
      <w:pPr>
        <w:spacing w:after="0" w:line="360" w:lineRule="auto"/>
        <w:jc w:val="both"/>
        <w:rPr>
          <w:rFonts w:ascii="Times New Roman" w:hAnsi="Times New Roman" w:cs="Times New Roman"/>
          <w:b/>
          <w:sz w:val="24"/>
          <w:szCs w:val="24"/>
        </w:rPr>
      </w:pPr>
      <w:r w:rsidRPr="005F6C37">
        <w:rPr>
          <w:rFonts w:ascii="Times New Roman" w:hAnsi="Times New Roman" w:cs="Times New Roman"/>
          <w:b/>
          <w:sz w:val="24"/>
          <w:szCs w:val="24"/>
        </w:rPr>
        <w:t>H</w:t>
      </w:r>
      <w:r w:rsidRPr="005F6C37">
        <w:rPr>
          <w:rFonts w:ascii="Times New Roman" w:hAnsi="Times New Roman" w:cs="Times New Roman"/>
          <w:b/>
          <w:sz w:val="24"/>
          <w:szCs w:val="24"/>
          <w:vertAlign w:val="subscript"/>
        </w:rPr>
        <w:t>03</w:t>
      </w:r>
      <w:r w:rsidRPr="005F6C37">
        <w:rPr>
          <w:rFonts w:ascii="Times New Roman" w:hAnsi="Times New Roman" w:cs="Times New Roman"/>
          <w:b/>
          <w:sz w:val="24"/>
          <w:szCs w:val="24"/>
        </w:rPr>
        <w:t xml:space="preserve">: Green Human Resource Management practices has no role on organizational resilience of GTB </w:t>
      </w:r>
    </w:p>
    <w:p w:rsidR="002E671C" w:rsidRPr="005F6C37" w:rsidRDefault="002E671C" w:rsidP="00A409A7">
      <w:pPr>
        <w:autoSpaceDE w:val="0"/>
        <w:autoSpaceDN w:val="0"/>
        <w:adjustRightInd w:val="0"/>
        <w:spacing w:after="0" w:line="360" w:lineRule="auto"/>
        <w:rPr>
          <w:rFonts w:ascii="Times New Roman" w:hAnsi="Times New Roman" w:cs="Times New Roman"/>
          <w:b/>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2E671C" w:rsidRPr="005F6C37">
        <w:trPr>
          <w:cantSplit/>
        </w:trPr>
        <w:tc>
          <w:tcPr>
            <w:tcW w:w="5828" w:type="dxa"/>
            <w:gridSpan w:val="5"/>
            <w:tcBorders>
              <w:top w:val="nil"/>
              <w:left w:val="nil"/>
              <w:bottom w:val="nil"/>
              <w:right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Table 4.5.7: Model Summary</w:t>
            </w:r>
          </w:p>
        </w:tc>
      </w:tr>
      <w:tr w:rsidR="002E671C" w:rsidRPr="005F6C3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Std. Error of the Estimate</w:t>
            </w:r>
          </w:p>
        </w:tc>
      </w:tr>
      <w:tr w:rsidR="002E671C" w:rsidRPr="005F6C3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.919</w:t>
            </w:r>
            <w:r w:rsidRPr="005F6C37">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.67711</w:t>
            </w:r>
          </w:p>
        </w:tc>
      </w:tr>
      <w:tr w:rsidR="002E671C" w:rsidRPr="005F6C37">
        <w:trPr>
          <w:cantSplit/>
        </w:trPr>
        <w:tc>
          <w:tcPr>
            <w:tcW w:w="5828" w:type="dxa"/>
            <w:gridSpan w:val="5"/>
            <w:tcBorders>
              <w:top w:val="nil"/>
              <w:left w:val="nil"/>
              <w:bottom w:val="nil"/>
              <w:right w:val="nil"/>
            </w:tcBorders>
            <w:shd w:val="clear" w:color="auto" w:fill="FFFFFF"/>
          </w:tcPr>
          <w:p w:rsidR="002E671C" w:rsidRPr="005F6C37" w:rsidRDefault="002C5934" w:rsidP="00A409A7">
            <w:pPr>
              <w:pStyle w:val="ListParagraph1"/>
              <w:numPr>
                <w:ilvl w:val="0"/>
                <w:numId w:val="3"/>
              </w:numPr>
              <w:autoSpaceDE w:val="0"/>
              <w:autoSpaceDN w:val="0"/>
              <w:adjustRightInd w:val="0"/>
              <w:spacing w:after="0" w:line="360" w:lineRule="auto"/>
              <w:ind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Predictors: (Constant), GHRM</w:t>
            </w:r>
          </w:p>
        </w:tc>
      </w:tr>
    </w:tbl>
    <w:p w:rsidR="002E671C" w:rsidRPr="005F6C37" w:rsidRDefault="00D06D68" w:rsidP="00BF68FC">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w:t>
      </w:r>
      <w:r w:rsidRPr="005F6C37">
        <w:rPr>
          <w:rFonts w:ascii="Times New Roman" w:hAnsi="Times New Roman" w:cs="Times New Roman"/>
          <w:sz w:val="24"/>
          <w:szCs w:val="24"/>
        </w:rPr>
        <w:lastRenderedPageBreak/>
        <w:t>as or close to the value of R-square. In the aforementioned overview, the final model's difference (0.845-0.844=0.001 or 0.1%) is quite significant. 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w:t>
      </w:r>
      <w:r w:rsidR="002C5934" w:rsidRPr="005F6C37">
        <w:rPr>
          <w:rFonts w:ascii="Times New Roman" w:hAnsi="Times New Roman" w:cs="Times New Roman"/>
          <w:sz w:val="24"/>
          <w:szCs w:val="24"/>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2E671C" w:rsidRPr="005F6C37">
        <w:trPr>
          <w:cantSplit/>
        </w:trPr>
        <w:tc>
          <w:tcPr>
            <w:tcW w:w="7969" w:type="dxa"/>
            <w:gridSpan w:val="7"/>
            <w:tcBorders>
              <w:top w:val="nil"/>
              <w:left w:val="nil"/>
              <w:bottom w:val="nil"/>
              <w:right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 xml:space="preserve">Table 4.5.8: </w:t>
            </w:r>
            <w:proofErr w:type="spellStart"/>
            <w:r w:rsidRPr="005F6C37">
              <w:rPr>
                <w:rFonts w:ascii="Times New Roman" w:hAnsi="Times New Roman" w:cs="Times New Roman"/>
                <w:b/>
                <w:bCs/>
                <w:color w:val="000000"/>
                <w:sz w:val="24"/>
                <w:szCs w:val="24"/>
              </w:rPr>
              <w:t>ANOVA</w:t>
            </w:r>
            <w:r w:rsidRPr="005F6C37">
              <w:rPr>
                <w:rFonts w:ascii="Times New Roman" w:hAnsi="Times New Roman" w:cs="Times New Roman"/>
                <w:b/>
                <w:bCs/>
                <w:color w:val="000000"/>
                <w:sz w:val="24"/>
                <w:szCs w:val="24"/>
                <w:vertAlign w:val="superscript"/>
              </w:rPr>
              <w:t>a</w:t>
            </w:r>
            <w:proofErr w:type="spellEnd"/>
          </w:p>
        </w:tc>
      </w:tr>
      <w:tr w:rsidR="002E671C" w:rsidRPr="005F6C37">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5F6C37">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671C" w:rsidRPr="005F6C37" w:rsidRDefault="002C5934" w:rsidP="00A409A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Sig.</w:t>
            </w:r>
          </w:p>
        </w:tc>
      </w:tr>
      <w:tr w:rsidR="002E671C" w:rsidRPr="005F6C3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.000</w:t>
            </w:r>
            <w:r w:rsidRPr="005F6C37">
              <w:rPr>
                <w:rFonts w:ascii="Times New Roman" w:hAnsi="Times New Roman" w:cs="Times New Roman"/>
                <w:color w:val="000000"/>
                <w:sz w:val="24"/>
                <w:szCs w:val="24"/>
                <w:vertAlign w:val="superscript"/>
              </w:rPr>
              <w:t>b</w:t>
            </w:r>
          </w:p>
        </w:tc>
      </w:tr>
      <w:tr w:rsidR="002E671C" w:rsidRPr="005F6C3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A409A7">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r>
      <w:tr w:rsidR="002E671C" w:rsidRPr="005F6C3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2E671C" w:rsidRPr="005F6C37" w:rsidRDefault="002C5934" w:rsidP="00A409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tc>
      </w:tr>
      <w:tr w:rsidR="002E671C" w:rsidRPr="005F6C37">
        <w:trPr>
          <w:cantSplit/>
        </w:trPr>
        <w:tc>
          <w:tcPr>
            <w:tcW w:w="7969" w:type="dxa"/>
            <w:gridSpan w:val="7"/>
            <w:tcBorders>
              <w:top w:val="nil"/>
              <w:left w:val="nil"/>
              <w:bottom w:val="nil"/>
              <w:right w:val="nil"/>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 Dependent Variable: Organizational Resilience (Environmental Effectiveness)</w:t>
            </w:r>
          </w:p>
        </w:tc>
      </w:tr>
      <w:tr w:rsidR="002E671C" w:rsidRPr="005F6C37">
        <w:trPr>
          <w:cantSplit/>
        </w:trPr>
        <w:tc>
          <w:tcPr>
            <w:tcW w:w="7969" w:type="dxa"/>
            <w:gridSpan w:val="7"/>
            <w:tcBorders>
              <w:top w:val="nil"/>
              <w:left w:val="nil"/>
              <w:bottom w:val="nil"/>
              <w:right w:val="nil"/>
            </w:tcBorders>
            <w:shd w:val="clear" w:color="auto" w:fill="FFFFFF"/>
          </w:tcPr>
          <w:p w:rsidR="002E671C" w:rsidRPr="005F6C37" w:rsidRDefault="002C5934" w:rsidP="00A409A7">
            <w:pPr>
              <w:autoSpaceDE w:val="0"/>
              <w:autoSpaceDN w:val="0"/>
              <w:adjustRightInd w:val="0"/>
              <w:spacing w:after="0" w:line="36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b. Predictors: (Constant), GHRM</w:t>
            </w:r>
          </w:p>
        </w:tc>
      </w:tr>
    </w:tbl>
    <w:p w:rsidR="002E671C" w:rsidRPr="005F6C37" w:rsidRDefault="002E671C" w:rsidP="00A409A7">
      <w:pPr>
        <w:autoSpaceDE w:val="0"/>
        <w:autoSpaceDN w:val="0"/>
        <w:adjustRightInd w:val="0"/>
        <w:spacing w:after="0" w:line="360" w:lineRule="auto"/>
        <w:rPr>
          <w:rFonts w:ascii="Times New Roman" w:hAnsi="Times New Roman" w:cs="Times New Roman"/>
          <w:sz w:val="24"/>
          <w:szCs w:val="24"/>
        </w:rPr>
      </w:pPr>
    </w:p>
    <w:p w:rsidR="002E671C" w:rsidRPr="005F6C37" w:rsidRDefault="00D06D68" w:rsidP="00A409A7">
      <w:pPr>
        <w:tabs>
          <w:tab w:val="left" w:pos="4107"/>
        </w:tabs>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w:t>
      </w:r>
      <w:r w:rsidRPr="005F6C37">
        <w:rPr>
          <w:rFonts w:ascii="Times New Roman" w:hAnsi="Times New Roman" w:cs="Times New Roman"/>
          <w:sz w:val="24"/>
          <w:szCs w:val="24"/>
        </w:rPr>
        <w:lastRenderedPageBreak/>
        <w:t>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11"/>
        <w:gridCol w:w="1861"/>
        <w:gridCol w:w="1123"/>
        <w:gridCol w:w="1123"/>
        <w:gridCol w:w="1393"/>
        <w:gridCol w:w="834"/>
        <w:gridCol w:w="831"/>
      </w:tblGrid>
      <w:tr w:rsidR="002E671C" w:rsidRPr="005F6C37" w:rsidTr="00BF68FC">
        <w:trPr>
          <w:cantSplit/>
        </w:trPr>
        <w:tc>
          <w:tcPr>
            <w:tcW w:w="5000" w:type="pct"/>
            <w:gridSpan w:val="7"/>
            <w:tcBorders>
              <w:top w:val="nil"/>
              <w:left w:val="nil"/>
              <w:bottom w:val="nil"/>
              <w:right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b/>
                <w:bCs/>
                <w:color w:val="000000"/>
                <w:sz w:val="24"/>
                <w:szCs w:val="24"/>
              </w:rPr>
              <w:t xml:space="preserve">Regression </w:t>
            </w:r>
            <w:proofErr w:type="spellStart"/>
            <w:r w:rsidRPr="005F6C37">
              <w:rPr>
                <w:rFonts w:ascii="Times New Roman" w:hAnsi="Times New Roman" w:cs="Times New Roman"/>
                <w:b/>
                <w:bCs/>
                <w:color w:val="000000"/>
                <w:sz w:val="24"/>
                <w:szCs w:val="24"/>
              </w:rPr>
              <w:t>Coefficients</w:t>
            </w:r>
            <w:r w:rsidRPr="005F6C37">
              <w:rPr>
                <w:rFonts w:ascii="Times New Roman" w:hAnsi="Times New Roman" w:cs="Times New Roman"/>
                <w:b/>
                <w:bCs/>
                <w:color w:val="000000"/>
                <w:sz w:val="24"/>
                <w:szCs w:val="24"/>
                <w:vertAlign w:val="superscript"/>
              </w:rPr>
              <w:t>a</w:t>
            </w:r>
            <w:proofErr w:type="spellEnd"/>
          </w:p>
        </w:tc>
      </w:tr>
      <w:tr w:rsidR="002E671C" w:rsidRPr="005F6C37" w:rsidTr="00BF68FC">
        <w:trPr>
          <w:cantSplit/>
        </w:trPr>
        <w:tc>
          <w:tcPr>
            <w:tcW w:w="1617" w:type="pct"/>
            <w:gridSpan w:val="2"/>
            <w:vMerge w:val="restart"/>
            <w:tcBorders>
              <w:top w:val="single" w:sz="16" w:space="0" w:color="000000"/>
              <w:left w:val="single" w:sz="16" w:space="0" w:color="000000"/>
              <w:bottom w:val="nil"/>
              <w:right w:val="nil"/>
            </w:tcBorders>
            <w:shd w:val="clear" w:color="auto" w:fill="FFFFFF"/>
            <w:vAlign w:val="bottom"/>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Model</w:t>
            </w:r>
          </w:p>
        </w:tc>
        <w:tc>
          <w:tcPr>
            <w:tcW w:w="1471" w:type="pct"/>
            <w:gridSpan w:val="2"/>
            <w:tcBorders>
              <w:top w:val="single" w:sz="16" w:space="0" w:color="000000"/>
              <w:left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Unstandardized Coefficients</w:t>
            </w:r>
          </w:p>
        </w:tc>
        <w:tc>
          <w:tcPr>
            <w:tcW w:w="812" w:type="pct"/>
            <w:tcBorders>
              <w:top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Standardized Coefficients</w:t>
            </w:r>
          </w:p>
        </w:tc>
        <w:tc>
          <w:tcPr>
            <w:tcW w:w="550" w:type="pct"/>
            <w:vMerge w:val="restart"/>
            <w:tcBorders>
              <w:top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t</w:t>
            </w:r>
          </w:p>
        </w:tc>
        <w:tc>
          <w:tcPr>
            <w:tcW w:w="550" w:type="pct"/>
            <w:vMerge w:val="restart"/>
            <w:tcBorders>
              <w:top w:val="single" w:sz="16" w:space="0" w:color="000000"/>
              <w:right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Sig.</w:t>
            </w:r>
          </w:p>
        </w:tc>
      </w:tr>
      <w:tr w:rsidR="002E671C" w:rsidRPr="005F6C37" w:rsidTr="00BF68FC">
        <w:trPr>
          <w:cantSplit/>
        </w:trPr>
        <w:tc>
          <w:tcPr>
            <w:tcW w:w="1617" w:type="pct"/>
            <w:gridSpan w:val="2"/>
            <w:vMerge/>
            <w:tcBorders>
              <w:top w:val="single" w:sz="16" w:space="0" w:color="000000"/>
              <w:left w:val="single" w:sz="16" w:space="0" w:color="000000"/>
              <w:bottom w:val="nil"/>
              <w:right w:val="nil"/>
            </w:tcBorders>
            <w:shd w:val="clear" w:color="auto" w:fill="FFFFFF"/>
            <w:vAlign w:val="bottom"/>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736" w:type="pct"/>
            <w:tcBorders>
              <w:left w:val="single" w:sz="16" w:space="0" w:color="000000"/>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B</w:t>
            </w:r>
          </w:p>
        </w:tc>
        <w:tc>
          <w:tcPr>
            <w:tcW w:w="736" w:type="pct"/>
            <w:tcBorders>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Std. Error</w:t>
            </w:r>
          </w:p>
        </w:tc>
        <w:tc>
          <w:tcPr>
            <w:tcW w:w="812" w:type="pct"/>
            <w:tcBorders>
              <w:bottom w:val="single" w:sz="16" w:space="0" w:color="000000"/>
            </w:tcBorders>
            <w:shd w:val="clear" w:color="auto" w:fill="FFFFFF"/>
            <w:vAlign w:val="bottom"/>
          </w:tcPr>
          <w:p w:rsidR="002E671C" w:rsidRPr="005F6C37" w:rsidRDefault="002C5934" w:rsidP="00BF68F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6C37">
              <w:rPr>
                <w:rFonts w:ascii="Times New Roman" w:hAnsi="Times New Roman" w:cs="Times New Roman"/>
                <w:color w:val="000000"/>
                <w:sz w:val="24"/>
                <w:szCs w:val="24"/>
              </w:rPr>
              <w:t>Beta</w:t>
            </w:r>
          </w:p>
        </w:tc>
        <w:tc>
          <w:tcPr>
            <w:tcW w:w="550" w:type="pct"/>
            <w:vMerge/>
            <w:tcBorders>
              <w:top w:val="single" w:sz="16" w:space="0" w:color="000000"/>
            </w:tcBorders>
            <w:shd w:val="clear" w:color="auto" w:fill="FFFFFF"/>
            <w:vAlign w:val="bottom"/>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550" w:type="pct"/>
            <w:vMerge/>
            <w:tcBorders>
              <w:top w:val="single" w:sz="16" w:space="0" w:color="000000"/>
              <w:right w:val="single" w:sz="16" w:space="0" w:color="000000"/>
            </w:tcBorders>
            <w:shd w:val="clear" w:color="auto" w:fill="FFFFFF"/>
            <w:vAlign w:val="bottom"/>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r>
      <w:tr w:rsidR="002E671C" w:rsidRPr="005F6C37" w:rsidTr="00BF68FC">
        <w:trPr>
          <w:cantSplit/>
        </w:trPr>
        <w:tc>
          <w:tcPr>
            <w:tcW w:w="407" w:type="pct"/>
            <w:vMerge w:val="restart"/>
            <w:tcBorders>
              <w:top w:val="single" w:sz="16" w:space="0" w:color="000000"/>
              <w:left w:val="single" w:sz="16" w:space="0" w:color="000000"/>
              <w:bottom w:val="single" w:sz="16" w:space="0" w:color="000000"/>
              <w:right w:val="nil"/>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1</w:t>
            </w:r>
          </w:p>
        </w:tc>
        <w:tc>
          <w:tcPr>
            <w:tcW w:w="1211" w:type="pct"/>
            <w:tcBorders>
              <w:top w:val="single" w:sz="16" w:space="0" w:color="000000"/>
              <w:left w:val="nil"/>
              <w:bottom w:val="nil"/>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(Constant)</w:t>
            </w:r>
          </w:p>
        </w:tc>
        <w:tc>
          <w:tcPr>
            <w:tcW w:w="736" w:type="pct"/>
            <w:tcBorders>
              <w:top w:val="single" w:sz="16" w:space="0" w:color="000000"/>
              <w:left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.210</w:t>
            </w:r>
          </w:p>
        </w:tc>
        <w:tc>
          <w:tcPr>
            <w:tcW w:w="736" w:type="pct"/>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.054</w:t>
            </w:r>
          </w:p>
        </w:tc>
        <w:tc>
          <w:tcPr>
            <w:tcW w:w="812" w:type="pct"/>
            <w:tcBorders>
              <w:top w:val="single" w:sz="16" w:space="0" w:color="000000"/>
              <w:bottom w:val="nil"/>
            </w:tcBorders>
            <w:shd w:val="clear" w:color="auto" w:fill="FFFFFF"/>
            <w:vAlign w:val="center"/>
          </w:tcPr>
          <w:p w:rsidR="002E671C" w:rsidRPr="005F6C37" w:rsidRDefault="002E671C" w:rsidP="00BF68FC">
            <w:pPr>
              <w:autoSpaceDE w:val="0"/>
              <w:autoSpaceDN w:val="0"/>
              <w:adjustRightInd w:val="0"/>
              <w:spacing w:after="0" w:line="240" w:lineRule="auto"/>
              <w:rPr>
                <w:rFonts w:ascii="Times New Roman" w:hAnsi="Times New Roman" w:cs="Times New Roman"/>
                <w:sz w:val="24"/>
                <w:szCs w:val="24"/>
              </w:rPr>
            </w:pPr>
          </w:p>
        </w:tc>
        <w:tc>
          <w:tcPr>
            <w:tcW w:w="550" w:type="pct"/>
            <w:tcBorders>
              <w:top w:val="single" w:sz="16" w:space="0" w:color="000000"/>
              <w:bottom w:val="nil"/>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3.889</w:t>
            </w:r>
          </w:p>
        </w:tc>
        <w:tc>
          <w:tcPr>
            <w:tcW w:w="550" w:type="pct"/>
            <w:tcBorders>
              <w:top w:val="single" w:sz="16" w:space="0" w:color="000000"/>
              <w:bottom w:val="nil"/>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.007</w:t>
            </w:r>
          </w:p>
        </w:tc>
      </w:tr>
      <w:tr w:rsidR="002E671C" w:rsidRPr="005F6C37" w:rsidTr="00BF68FC">
        <w:trPr>
          <w:cantSplit/>
        </w:trPr>
        <w:tc>
          <w:tcPr>
            <w:tcW w:w="407" w:type="pct"/>
            <w:vMerge/>
            <w:tcBorders>
              <w:top w:val="single" w:sz="16" w:space="0" w:color="000000"/>
              <w:left w:val="single" w:sz="16" w:space="0" w:color="000000"/>
              <w:bottom w:val="single" w:sz="16" w:space="0" w:color="000000"/>
              <w:right w:val="nil"/>
            </w:tcBorders>
            <w:shd w:val="clear" w:color="auto" w:fill="FFFFFF"/>
          </w:tcPr>
          <w:p w:rsidR="002E671C" w:rsidRPr="005F6C37" w:rsidRDefault="002E671C" w:rsidP="00BF68FC">
            <w:pPr>
              <w:autoSpaceDE w:val="0"/>
              <w:autoSpaceDN w:val="0"/>
              <w:adjustRightInd w:val="0"/>
              <w:spacing w:after="0" w:line="240" w:lineRule="auto"/>
              <w:rPr>
                <w:rFonts w:ascii="Times New Roman" w:hAnsi="Times New Roman" w:cs="Times New Roman"/>
                <w:color w:val="000000"/>
                <w:sz w:val="24"/>
                <w:szCs w:val="24"/>
              </w:rPr>
            </w:pPr>
          </w:p>
        </w:tc>
        <w:tc>
          <w:tcPr>
            <w:tcW w:w="1211" w:type="pct"/>
            <w:tcBorders>
              <w:top w:val="nil"/>
              <w:left w:val="nil"/>
              <w:bottom w:val="single" w:sz="16" w:space="0" w:color="000000"/>
              <w:right w:val="single" w:sz="16" w:space="0" w:color="000000"/>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GHRM</w:t>
            </w:r>
          </w:p>
        </w:tc>
        <w:tc>
          <w:tcPr>
            <w:tcW w:w="736" w:type="pct"/>
            <w:tcBorders>
              <w:top w:val="nil"/>
              <w:left w:val="single" w:sz="16" w:space="0" w:color="000000"/>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.952</w:t>
            </w:r>
          </w:p>
        </w:tc>
        <w:tc>
          <w:tcPr>
            <w:tcW w:w="736" w:type="pct"/>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.028</w:t>
            </w:r>
          </w:p>
        </w:tc>
        <w:tc>
          <w:tcPr>
            <w:tcW w:w="812" w:type="pct"/>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.919</w:t>
            </w:r>
          </w:p>
        </w:tc>
        <w:tc>
          <w:tcPr>
            <w:tcW w:w="550" w:type="pct"/>
            <w:tcBorders>
              <w:top w:val="nil"/>
              <w:bottom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33.636</w:t>
            </w:r>
          </w:p>
        </w:tc>
        <w:tc>
          <w:tcPr>
            <w:tcW w:w="550" w:type="pct"/>
            <w:tcBorders>
              <w:top w:val="nil"/>
              <w:bottom w:val="single" w:sz="16" w:space="0" w:color="000000"/>
              <w:right w:val="single" w:sz="16" w:space="0" w:color="000000"/>
            </w:tcBorders>
            <w:shd w:val="clear" w:color="auto" w:fill="FFFFFF"/>
            <w:vAlign w:val="center"/>
          </w:tcPr>
          <w:p w:rsidR="002E671C" w:rsidRPr="005F6C37" w:rsidRDefault="002C5934" w:rsidP="00BF68F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6C37">
              <w:rPr>
                <w:rFonts w:ascii="Times New Roman" w:hAnsi="Times New Roman" w:cs="Times New Roman"/>
                <w:color w:val="000000"/>
                <w:sz w:val="24"/>
                <w:szCs w:val="24"/>
              </w:rPr>
              <w:t>.000</w:t>
            </w:r>
          </w:p>
        </w:tc>
      </w:tr>
      <w:tr w:rsidR="002E671C" w:rsidRPr="005F6C37" w:rsidTr="00BF68FC">
        <w:trPr>
          <w:cantSplit/>
        </w:trPr>
        <w:tc>
          <w:tcPr>
            <w:tcW w:w="5000" w:type="pct"/>
            <w:gridSpan w:val="7"/>
            <w:tcBorders>
              <w:top w:val="nil"/>
              <w:left w:val="nil"/>
              <w:bottom w:val="nil"/>
              <w:right w:val="nil"/>
            </w:tcBorders>
            <w:shd w:val="clear" w:color="auto" w:fill="FFFFFF"/>
          </w:tcPr>
          <w:p w:rsidR="002E671C" w:rsidRPr="005F6C37" w:rsidRDefault="002C5934" w:rsidP="00BF68FC">
            <w:pPr>
              <w:autoSpaceDE w:val="0"/>
              <w:autoSpaceDN w:val="0"/>
              <w:adjustRightInd w:val="0"/>
              <w:spacing w:after="0" w:line="240" w:lineRule="auto"/>
              <w:ind w:left="60" w:right="60"/>
              <w:rPr>
                <w:rFonts w:ascii="Times New Roman" w:hAnsi="Times New Roman" w:cs="Times New Roman"/>
                <w:color w:val="000000"/>
                <w:sz w:val="24"/>
                <w:szCs w:val="24"/>
              </w:rPr>
            </w:pPr>
            <w:r w:rsidRPr="005F6C37">
              <w:rPr>
                <w:rFonts w:ascii="Times New Roman" w:hAnsi="Times New Roman" w:cs="Times New Roman"/>
                <w:color w:val="000000"/>
                <w:sz w:val="24"/>
                <w:szCs w:val="24"/>
              </w:rPr>
              <w:t>a. Dependent Variable: Organizational Resilience (Environmental Effectiveness)</w:t>
            </w:r>
          </w:p>
        </w:tc>
      </w:tr>
    </w:tbl>
    <w:p w:rsidR="007D77D2" w:rsidRPr="005F6C37" w:rsidRDefault="007D77D2" w:rsidP="00A409A7">
      <w:pPr>
        <w:spacing w:after="0" w:line="360" w:lineRule="auto"/>
        <w:ind w:firstLine="720"/>
        <w:jc w:val="both"/>
        <w:rPr>
          <w:rFonts w:ascii="Times New Roman" w:hAnsi="Times New Roman" w:cs="Times New Roman"/>
          <w:sz w:val="24"/>
          <w:szCs w:val="24"/>
        </w:rPr>
      </w:pPr>
      <w:r w:rsidRPr="005F6C37">
        <w:rPr>
          <w:rFonts w:ascii="Times New Roman" w:hAnsi="Times New Roman" w:cs="Times New Roman"/>
          <w:sz w:val="24"/>
          <w:szCs w:val="24"/>
        </w:rPr>
        <w:t>The regression coefficients in the table indicate a significant role for the constant, with β = 0.210, while the beta value for the predictor variable (GHRM) is 0.952. The t-value of 33.636 and a p-value of .000 signify that the model is significant at p &lt; 0.05. Thus, the regression coefficient (Beta = 0.952) suggests that organizational resilience in environmental effectiveness increases by 95.2% for every 1% increase in GHRM practices.</w:t>
      </w:r>
    </w:p>
    <w:p w:rsidR="007D77D2" w:rsidRPr="005F6C37" w:rsidRDefault="007D77D2" w:rsidP="00A409A7">
      <w:pPr>
        <w:spacing w:after="0" w:line="360" w:lineRule="auto"/>
        <w:ind w:firstLine="720"/>
        <w:jc w:val="both"/>
        <w:rPr>
          <w:rFonts w:ascii="Times New Roman" w:hAnsi="Times New Roman" w:cs="Times New Roman"/>
          <w:sz w:val="24"/>
          <w:szCs w:val="24"/>
        </w:rPr>
      </w:pPr>
      <w:r w:rsidRPr="005F6C37">
        <w:rPr>
          <w:rFonts w:ascii="Times New Roman" w:hAnsi="Times New Roman" w:cs="Times New Roman"/>
          <w:sz w:val="24"/>
          <w:szCs w:val="24"/>
        </w:rPr>
        <w:t>With the constant value of 0.210, it can be predicted that removing GHRM practices from the model would significantly affect organizational effectiveness due to a notable reduction in the organizational resilience of the selected bank. Therefore, it can be concluded that GHRM practices play a crucial role in enhancing the resilience activities related to organizational effectiveness.</w:t>
      </w:r>
    </w:p>
    <w:p w:rsidR="002E671C" w:rsidRPr="005F6C37" w:rsidRDefault="007D77D2" w:rsidP="00BF68FC">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This finding aligns with the previous work of </w:t>
      </w:r>
      <w:proofErr w:type="spellStart"/>
      <w:r w:rsidRPr="005F6C37">
        <w:rPr>
          <w:rFonts w:ascii="Times New Roman" w:hAnsi="Times New Roman" w:cs="Times New Roman"/>
          <w:sz w:val="24"/>
          <w:szCs w:val="24"/>
        </w:rPr>
        <w:t>Nosheen</w:t>
      </w:r>
      <w:proofErr w:type="spellEnd"/>
      <w:r w:rsidRPr="005F6C37">
        <w:rPr>
          <w:rFonts w:ascii="Times New Roman" w:hAnsi="Times New Roman" w:cs="Times New Roman"/>
          <w:sz w:val="24"/>
          <w:szCs w:val="24"/>
        </w:rPr>
        <w:t xml:space="preserve"> Anwar, </w:t>
      </w:r>
      <w:proofErr w:type="spellStart"/>
      <w:r w:rsidRPr="005F6C37">
        <w:rPr>
          <w:rFonts w:ascii="Times New Roman" w:hAnsi="Times New Roman" w:cs="Times New Roman"/>
          <w:sz w:val="24"/>
          <w:szCs w:val="24"/>
        </w:rPr>
        <w:t>Nik</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Hasnaa</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Nik</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Mahmood</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Mohd</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Yousoff</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Yusliza</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Ramayah</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Juhari</w:t>
      </w:r>
      <w:proofErr w:type="spellEnd"/>
      <w:r w:rsidRPr="005F6C37">
        <w:rPr>
          <w:rFonts w:ascii="Times New Roman" w:hAnsi="Times New Roman" w:cs="Times New Roman"/>
          <w:sz w:val="24"/>
          <w:szCs w:val="24"/>
        </w:rPr>
        <w:t xml:space="preserve">, Noor </w:t>
      </w:r>
      <w:proofErr w:type="spellStart"/>
      <w:r w:rsidRPr="005F6C37">
        <w:rPr>
          <w:rFonts w:ascii="Times New Roman" w:hAnsi="Times New Roman" w:cs="Times New Roman"/>
          <w:sz w:val="24"/>
          <w:szCs w:val="24"/>
        </w:rPr>
        <w:t>Faezah</w:t>
      </w:r>
      <w:proofErr w:type="spellEnd"/>
      <w:r w:rsidRPr="005F6C37">
        <w:rPr>
          <w:rFonts w:ascii="Times New Roman" w:hAnsi="Times New Roman" w:cs="Times New Roman"/>
          <w:sz w:val="24"/>
          <w:szCs w:val="24"/>
        </w:rPr>
        <w:t xml:space="preserve">, and </w:t>
      </w:r>
      <w:proofErr w:type="spellStart"/>
      <w:r w:rsidRPr="005F6C37">
        <w:rPr>
          <w:rFonts w:ascii="Times New Roman" w:hAnsi="Times New Roman" w:cs="Times New Roman"/>
          <w:sz w:val="24"/>
          <w:szCs w:val="24"/>
        </w:rPr>
        <w:t>Waqas</w:t>
      </w:r>
      <w:proofErr w:type="spellEnd"/>
      <w:r w:rsidRPr="005F6C37">
        <w:rPr>
          <w:rFonts w:ascii="Times New Roman" w:hAnsi="Times New Roman" w:cs="Times New Roman"/>
          <w:sz w:val="24"/>
          <w:szCs w:val="24"/>
        </w:rPr>
        <w:t xml:space="preserve"> </w:t>
      </w:r>
      <w:r w:rsidRPr="005F6C37">
        <w:rPr>
          <w:rFonts w:ascii="Times New Roman" w:hAnsi="Times New Roman" w:cs="Times New Roman"/>
          <w:sz w:val="24"/>
          <w:szCs w:val="24"/>
        </w:rPr>
        <w:lastRenderedPageBreak/>
        <w:t>Khalid (2020), which found that staff serve as a conduit for positively influencing environmental performance through Green HRM practices. The current findings emphasize the critical importance of both management and non-management staff's environmentally friendly behaviors in improving a bank's resilience in environmental performance.</w:t>
      </w:r>
    </w:p>
    <w:p w:rsidR="002E671C" w:rsidRPr="005F6C37" w:rsidRDefault="002C5934" w:rsidP="00A409A7">
      <w:pPr>
        <w:spacing w:after="0" w:line="360" w:lineRule="auto"/>
        <w:rPr>
          <w:rFonts w:ascii="Times New Roman" w:hAnsi="Times New Roman" w:cs="Times New Roman"/>
          <w:b/>
          <w:sz w:val="24"/>
          <w:szCs w:val="24"/>
        </w:rPr>
      </w:pPr>
      <w:r w:rsidRPr="005F6C37">
        <w:rPr>
          <w:rFonts w:ascii="Times New Roman" w:hAnsi="Times New Roman" w:cs="Times New Roman"/>
          <w:b/>
          <w:sz w:val="24"/>
          <w:szCs w:val="24"/>
        </w:rPr>
        <w:t>4.5 DISCUSSION OF FINDINGS</w:t>
      </w:r>
    </w:p>
    <w:p w:rsidR="007D77D2" w:rsidRPr="005F6C37" w:rsidRDefault="007D77D2" w:rsidP="0027635D">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This study aims to examine the impact of Green Human Resource Management (GHRM) practices on organizational effectiveness, using Guaranty Trust Bank in Ilorin, </w:t>
      </w:r>
      <w:proofErr w:type="spellStart"/>
      <w:r w:rsidRPr="005F6C37">
        <w:rPr>
          <w:rFonts w:ascii="Times New Roman" w:hAnsi="Times New Roman" w:cs="Times New Roman"/>
          <w:sz w:val="24"/>
          <w:szCs w:val="24"/>
        </w:rPr>
        <w:t>Kwara</w:t>
      </w:r>
      <w:proofErr w:type="spellEnd"/>
      <w:r w:rsidRPr="005F6C37">
        <w:rPr>
          <w:rFonts w:ascii="Times New Roman" w:hAnsi="Times New Roman" w:cs="Times New Roman"/>
          <w:sz w:val="24"/>
          <w:szCs w:val="24"/>
        </w:rPr>
        <w:t xml:space="preserve"> State, as a case study. The first hypothesis indicates that only 44% of the increase in organizational effectiveness can be directly attributed to GHRM, specifically through performance management appraisal, with the remaining 56% explained by other factors not included in this model. The regression analysis reveals that GHRM (Performance Management Appraisal) is statistically significant for the model. The positive regression coefficient (0.702) suggests that an increase in GHRM, as measured by performance management appraisal, will lead to an enhancement in the bank's organizational effectiveness.</w:t>
      </w:r>
    </w:p>
    <w:p w:rsidR="007D77D2" w:rsidRPr="005F6C37" w:rsidRDefault="007D77D2" w:rsidP="0027635D">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Statistical tests for the regression coefficient show that performance management appraisal (GHRM) significantly impacts the model’s ability to boost organizational effectiveness at the 5% level of significance (t₁ = 17.825, p = 0.001 &lt; 0.05). The vector-error correction constant (c = -0.381) indicates that if the bank neglects GHRM practices, organizational effectiveness may decline by 38.1%, potentially affecting the organization's goals and operational strategies. Consequently, the alternative hypothesis—that GHRM practices significantly influence organizational effectiveness at a 95% confidence level—was accepted, while the null hypothesis was rejected. This finding aligns with earlier research by </w:t>
      </w:r>
      <w:proofErr w:type="spellStart"/>
      <w:r w:rsidRPr="005F6C37">
        <w:rPr>
          <w:rFonts w:ascii="Times New Roman" w:hAnsi="Times New Roman" w:cs="Times New Roman"/>
          <w:sz w:val="24"/>
          <w:szCs w:val="24"/>
        </w:rPr>
        <w:t>Sharifa</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Mousa</w:t>
      </w:r>
      <w:proofErr w:type="spellEnd"/>
      <w:r w:rsidRPr="005F6C37">
        <w:rPr>
          <w:rFonts w:ascii="Times New Roman" w:hAnsi="Times New Roman" w:cs="Times New Roman"/>
          <w:sz w:val="24"/>
          <w:szCs w:val="24"/>
        </w:rPr>
        <w:t xml:space="preserve"> and Mohammed Othman (2020), which highlighted that the identification and prioritization of green performance </w:t>
      </w:r>
      <w:r w:rsidRPr="005F6C37">
        <w:rPr>
          <w:rFonts w:ascii="Times New Roman" w:hAnsi="Times New Roman" w:cs="Times New Roman"/>
          <w:sz w:val="24"/>
          <w:szCs w:val="24"/>
        </w:rPr>
        <w:lastRenderedPageBreak/>
        <w:t>management methods vary by industry, with a greater need in the banking sector compared to healthcare.</w:t>
      </w:r>
    </w:p>
    <w:p w:rsidR="007D77D2" w:rsidRPr="005F6C37" w:rsidRDefault="007D77D2" w:rsidP="0027635D">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Moreover, the relationship model of the chosen bank reveals a positive correlation between organizational competitiveness and various dimensions of GHRM, including recruitment and selection (r = 0.667), training and development (r = 0.807), and reward and compensation management (r = 0.775). This suggests that GHRM practices are effective indicators of organizational competitiveness, where an increase in each GHRM factor will enhance competitiveness in the bank's growth objectives and operational strategies. Conversely, a decrease in green recruitment and selection, training and development, or reward and compensation management will lead to a proportional decline in organizational competitiveness at the 5% significance level. This supports prior research by Ahmed Zaid, </w:t>
      </w:r>
      <w:proofErr w:type="spellStart"/>
      <w:r w:rsidRPr="005F6C37">
        <w:rPr>
          <w:rFonts w:ascii="Times New Roman" w:hAnsi="Times New Roman" w:cs="Times New Roman"/>
          <w:sz w:val="24"/>
          <w:szCs w:val="24"/>
        </w:rPr>
        <w:t>Ayham</w:t>
      </w:r>
      <w:proofErr w:type="spellEnd"/>
      <w:r w:rsidRPr="005F6C37">
        <w:rPr>
          <w:rFonts w:ascii="Times New Roman" w:hAnsi="Times New Roman" w:cs="Times New Roman"/>
          <w:sz w:val="24"/>
          <w:szCs w:val="24"/>
        </w:rPr>
        <w:t xml:space="preserve"> </w:t>
      </w:r>
      <w:proofErr w:type="spellStart"/>
      <w:r w:rsidRPr="005F6C37">
        <w:rPr>
          <w:rFonts w:ascii="Times New Roman" w:hAnsi="Times New Roman" w:cs="Times New Roman"/>
          <w:sz w:val="24"/>
          <w:szCs w:val="24"/>
        </w:rPr>
        <w:t>Jaaron</w:t>
      </w:r>
      <w:proofErr w:type="spellEnd"/>
      <w:r w:rsidRPr="005F6C37">
        <w:rPr>
          <w:rFonts w:ascii="Times New Roman" w:hAnsi="Times New Roman" w:cs="Times New Roman"/>
          <w:sz w:val="24"/>
          <w:szCs w:val="24"/>
        </w:rPr>
        <w:t xml:space="preserve">, and Abdul </w:t>
      </w:r>
      <w:proofErr w:type="spellStart"/>
      <w:r w:rsidRPr="005F6C37">
        <w:rPr>
          <w:rFonts w:ascii="Times New Roman" w:hAnsi="Times New Roman" w:cs="Times New Roman"/>
          <w:sz w:val="24"/>
          <w:szCs w:val="24"/>
        </w:rPr>
        <w:t>Talib</w:t>
      </w:r>
      <w:proofErr w:type="spellEnd"/>
      <w:r w:rsidRPr="005F6C37">
        <w:rPr>
          <w:rFonts w:ascii="Times New Roman" w:hAnsi="Times New Roman" w:cs="Times New Roman"/>
          <w:sz w:val="24"/>
          <w:szCs w:val="24"/>
        </w:rPr>
        <w:t xml:space="preserve"> Bon (2018), which demonstrated that green human resource management techniques positively impact long-term firm success.</w:t>
      </w:r>
    </w:p>
    <w:p w:rsidR="00D06D68" w:rsidRPr="005F6C37" w:rsidRDefault="007D77D2" w:rsidP="0027635D">
      <w:pPr>
        <w:autoSpaceDE w:val="0"/>
        <w:autoSpaceDN w:val="0"/>
        <w:adjustRightInd w:val="0"/>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Finally, the regression coefficient (Beta = 0.952) indicates that a 1% increase in GHRM practices correlates with a 95.2% rise in organizational resilience regarding environmental effectiveness. Given the significant decrease in organizational resilience projected from removing GHRM practices, the constant value of 0.210 suggests that such a removal would adversely affect organizational effectiveness. Therefore, GHRM practices significantly impact the resilience of organizational effectiveness. This is consistent with earlier findings by </w:t>
      </w:r>
      <w:proofErr w:type="spellStart"/>
      <w:r w:rsidRPr="005F6C37">
        <w:rPr>
          <w:rFonts w:ascii="Times New Roman" w:hAnsi="Times New Roman" w:cs="Times New Roman"/>
          <w:sz w:val="24"/>
          <w:szCs w:val="24"/>
        </w:rPr>
        <w:t>Nosheen</w:t>
      </w:r>
      <w:proofErr w:type="spellEnd"/>
      <w:r w:rsidRPr="005F6C37">
        <w:rPr>
          <w:rFonts w:ascii="Times New Roman" w:hAnsi="Times New Roman" w:cs="Times New Roman"/>
          <w:sz w:val="24"/>
          <w:szCs w:val="24"/>
        </w:rPr>
        <w:t xml:space="preserve"> Anwar et al. (2020), which showed that staff play a pivotal role in how Green HRM practices can positively influence environmental performance. The current study underscores the essential role of both management and non-management staff's environmentally friendly behaviors in enhancing resilience in environmental performance.</w:t>
      </w:r>
    </w:p>
    <w:p w:rsidR="00727F66" w:rsidRPr="005F6C37" w:rsidRDefault="00727F66" w:rsidP="00A409A7">
      <w:pPr>
        <w:autoSpaceDE w:val="0"/>
        <w:autoSpaceDN w:val="0"/>
        <w:adjustRightInd w:val="0"/>
        <w:spacing w:after="0" w:line="360" w:lineRule="auto"/>
        <w:ind w:firstLine="720"/>
        <w:jc w:val="both"/>
        <w:rPr>
          <w:rFonts w:ascii="Times New Roman" w:hAnsi="Times New Roman" w:cs="Times New Roman"/>
          <w:sz w:val="24"/>
          <w:szCs w:val="24"/>
        </w:rPr>
      </w:pPr>
    </w:p>
    <w:p w:rsidR="002E671C" w:rsidRPr="005F6C37" w:rsidRDefault="002C5934" w:rsidP="00A409A7">
      <w:pPr>
        <w:spacing w:after="0" w:line="360" w:lineRule="auto"/>
        <w:jc w:val="center"/>
        <w:rPr>
          <w:rFonts w:ascii="Times New Roman" w:hAnsi="Times New Roman" w:cs="Times New Roman"/>
          <w:b/>
          <w:sz w:val="24"/>
          <w:szCs w:val="24"/>
        </w:rPr>
      </w:pPr>
      <w:r w:rsidRPr="005F6C37">
        <w:rPr>
          <w:rFonts w:ascii="Times New Roman" w:hAnsi="Times New Roman" w:cs="Times New Roman"/>
          <w:b/>
          <w:sz w:val="24"/>
          <w:szCs w:val="24"/>
        </w:rPr>
        <w:lastRenderedPageBreak/>
        <w:t>CHAPTER FIVE</w:t>
      </w:r>
    </w:p>
    <w:p w:rsidR="002E671C" w:rsidRPr="005F6C37" w:rsidRDefault="0027635D" w:rsidP="0027635D">
      <w:pPr>
        <w:spacing w:after="0" w:line="360" w:lineRule="auto"/>
        <w:jc w:val="center"/>
        <w:rPr>
          <w:rFonts w:ascii="Times New Roman" w:hAnsi="Times New Roman" w:cs="Times New Roman"/>
          <w:sz w:val="24"/>
          <w:szCs w:val="24"/>
        </w:rPr>
      </w:pPr>
      <w:r w:rsidRPr="005F6C37">
        <w:rPr>
          <w:rFonts w:ascii="Times New Roman" w:hAnsi="Times New Roman" w:cs="Times New Roman"/>
          <w:b/>
          <w:sz w:val="24"/>
          <w:szCs w:val="24"/>
        </w:rPr>
        <w:t>SUMMARY, CONCLUSION AND RECOMMENDATIONS</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sz w:val="24"/>
          <w:szCs w:val="24"/>
        </w:rPr>
        <w:t xml:space="preserve">5.1 Introduction  </w:t>
      </w:r>
    </w:p>
    <w:p w:rsidR="00727F66" w:rsidRPr="005F6C37" w:rsidRDefault="00727F66"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This section summarizes the findings of the study on the influence of Green Human Resource Management (GHRM) practices on organizational effectiveness, focusing on management and non-management staff at Guaranty Trust Bank in Ilorin, </w:t>
      </w:r>
      <w:proofErr w:type="spellStart"/>
      <w:r w:rsidRPr="005F6C37">
        <w:rPr>
          <w:rFonts w:ascii="Times New Roman" w:hAnsi="Times New Roman" w:cs="Times New Roman"/>
          <w:sz w:val="24"/>
          <w:szCs w:val="24"/>
        </w:rPr>
        <w:t>Kwara</w:t>
      </w:r>
      <w:proofErr w:type="spellEnd"/>
      <w:r w:rsidRPr="005F6C37">
        <w:rPr>
          <w:rFonts w:ascii="Times New Roman" w:hAnsi="Times New Roman" w:cs="Times New Roman"/>
          <w:sz w:val="24"/>
          <w:szCs w:val="24"/>
        </w:rPr>
        <w:t xml:space="preserve"> State. The conclusion synthesizes the data to draw generalizations, while the recommendations address gaps and imbalances identified in the findings. Overall, the summary emphasizes the key themes and insights of the research, providing a clear direction for future actions based on the study's results.</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hAnsi="Times New Roman" w:cs="Times New Roman"/>
          <w:b/>
          <w:bCs/>
          <w:sz w:val="24"/>
          <w:szCs w:val="24"/>
        </w:rPr>
        <w:t xml:space="preserve">5.2 </w:t>
      </w:r>
      <w:r w:rsidR="0027635D">
        <w:rPr>
          <w:rFonts w:ascii="Times New Roman" w:hAnsi="Times New Roman" w:cs="Times New Roman"/>
          <w:b/>
          <w:bCs/>
          <w:sz w:val="24"/>
          <w:szCs w:val="24"/>
        </w:rPr>
        <w:tab/>
      </w:r>
      <w:r w:rsidRPr="005F6C37">
        <w:rPr>
          <w:rFonts w:ascii="Times New Roman" w:hAnsi="Times New Roman" w:cs="Times New Roman"/>
          <w:b/>
          <w:bCs/>
          <w:sz w:val="24"/>
          <w:szCs w:val="24"/>
        </w:rPr>
        <w:t>Summary of findings</w:t>
      </w:r>
    </w:p>
    <w:p w:rsidR="00E314BA" w:rsidRPr="005F6C37" w:rsidRDefault="00E314BA" w:rsidP="0027635D">
      <w:pPr>
        <w:pStyle w:val="ListParagraph1"/>
        <w:spacing w:after="0" w:line="360" w:lineRule="auto"/>
        <w:ind w:left="0"/>
        <w:jc w:val="both"/>
        <w:rPr>
          <w:rFonts w:ascii="Times New Roman" w:hAnsi="Times New Roman" w:cs="Times New Roman"/>
          <w:sz w:val="24"/>
          <w:szCs w:val="24"/>
        </w:rPr>
      </w:pPr>
      <w:r w:rsidRPr="005F6C37">
        <w:rPr>
          <w:rFonts w:ascii="Times New Roman" w:hAnsi="Times New Roman" w:cs="Times New Roman"/>
          <w:sz w:val="24"/>
          <w:szCs w:val="24"/>
        </w:rPr>
        <w:t xml:space="preserve">In a case study of GTB </w:t>
      </w:r>
      <w:proofErr w:type="spellStart"/>
      <w:r w:rsidRPr="005F6C37">
        <w:rPr>
          <w:rFonts w:ascii="Times New Roman" w:hAnsi="Times New Roman" w:cs="Times New Roman"/>
          <w:sz w:val="24"/>
          <w:szCs w:val="24"/>
        </w:rPr>
        <w:t>Plc</w:t>
      </w:r>
      <w:proofErr w:type="spellEnd"/>
      <w:r w:rsidRPr="005F6C37">
        <w:rPr>
          <w:rFonts w:ascii="Times New Roman" w:hAnsi="Times New Roman" w:cs="Times New Roman"/>
          <w:sz w:val="24"/>
          <w:szCs w:val="24"/>
        </w:rPr>
        <w:t xml:space="preserve"> in Ilorin, </w:t>
      </w:r>
      <w:proofErr w:type="spellStart"/>
      <w:r w:rsidRPr="005F6C37">
        <w:rPr>
          <w:rFonts w:ascii="Times New Roman" w:hAnsi="Times New Roman" w:cs="Times New Roman"/>
          <w:sz w:val="24"/>
          <w:szCs w:val="24"/>
        </w:rPr>
        <w:t>Kwara</w:t>
      </w:r>
      <w:proofErr w:type="spellEnd"/>
      <w:r w:rsidRPr="005F6C37">
        <w:rPr>
          <w:rFonts w:ascii="Times New Roman" w:hAnsi="Times New Roman" w:cs="Times New Roman"/>
          <w:sz w:val="24"/>
          <w:szCs w:val="24"/>
        </w:rPr>
        <w:t xml:space="preserve"> State, the primary objective was to assess the impact of Green Human Resource Management (GHRM) practices on organizational effectiveness. The findings indicate that bank employees value green performance management appraisals, recruitment and selection, training and development, and rewards and compensation management. This suggests that the GHRM components are enhancing the bank's organizational effectiveness, competitiveness, and overall goals.</w:t>
      </w:r>
    </w:p>
    <w:p w:rsidR="00E314BA" w:rsidRPr="005F6C37" w:rsidRDefault="00E314BA" w:rsidP="0027635D">
      <w:pPr>
        <w:pStyle w:val="ListParagraph1"/>
        <w:spacing w:after="0" w:line="360" w:lineRule="auto"/>
        <w:ind w:left="0"/>
        <w:jc w:val="both"/>
        <w:rPr>
          <w:rFonts w:ascii="Times New Roman" w:hAnsi="Times New Roman" w:cs="Times New Roman"/>
          <w:sz w:val="24"/>
          <w:szCs w:val="24"/>
        </w:rPr>
      </w:pPr>
      <w:r w:rsidRPr="005F6C37">
        <w:rPr>
          <w:rFonts w:ascii="Times New Roman" w:hAnsi="Times New Roman" w:cs="Times New Roman"/>
          <w:sz w:val="24"/>
          <w:szCs w:val="24"/>
        </w:rPr>
        <w:t xml:space="preserve">Despite facing challenges during the current pandemic, GHRM has proven essential for the organization. This underscores the importance for the bank to recognize the value of performance management appraisals, recruitment and selection, training and development, and rewards and compensation in fostering organizational effectiveness. The study reveals that GTB </w:t>
      </w:r>
      <w:proofErr w:type="spellStart"/>
      <w:r w:rsidRPr="005F6C37">
        <w:rPr>
          <w:rFonts w:ascii="Times New Roman" w:hAnsi="Times New Roman" w:cs="Times New Roman"/>
          <w:sz w:val="24"/>
          <w:szCs w:val="24"/>
        </w:rPr>
        <w:t>Plc</w:t>
      </w:r>
      <w:proofErr w:type="spellEnd"/>
      <w:r w:rsidRPr="005F6C37">
        <w:rPr>
          <w:rFonts w:ascii="Times New Roman" w:hAnsi="Times New Roman" w:cs="Times New Roman"/>
          <w:sz w:val="24"/>
          <w:szCs w:val="24"/>
        </w:rPr>
        <w:t xml:space="preserve"> benefits from three key performance management appraisal systems related to hiring, training, and managing employee rewards, aligning with the green HRM practices in the banking sector, which ultimately enhances staff performance.</w:t>
      </w:r>
    </w:p>
    <w:p w:rsidR="00E314BA" w:rsidRPr="005F6C37" w:rsidRDefault="00E314BA" w:rsidP="0027635D">
      <w:pPr>
        <w:pStyle w:val="ListParagraph1"/>
        <w:spacing w:after="0" w:line="360" w:lineRule="auto"/>
        <w:ind w:left="0"/>
        <w:jc w:val="both"/>
        <w:rPr>
          <w:rFonts w:ascii="Times New Roman" w:hAnsi="Times New Roman" w:cs="Times New Roman"/>
          <w:sz w:val="24"/>
          <w:szCs w:val="24"/>
        </w:rPr>
      </w:pPr>
      <w:r w:rsidRPr="005F6C37">
        <w:rPr>
          <w:rFonts w:ascii="Times New Roman" w:hAnsi="Times New Roman" w:cs="Times New Roman"/>
          <w:sz w:val="24"/>
          <w:szCs w:val="24"/>
        </w:rPr>
        <w:lastRenderedPageBreak/>
        <w:t>Consequently, it can be concluded that the green performance management and appraisal system significantly influences the firm’s efficiency. Similarly, GHRM components, including performance management, recruitment and selection, organizational culture, employee participation, and training and development, are crucial for achieving organizational effectiveness and competitiveness. Research demonstrates that the level of GHRM adoption correlates positively with organizational performance, competitiveness, and resilience in the banking sector.</w:t>
      </w:r>
    </w:p>
    <w:p w:rsidR="00E314BA" w:rsidRPr="005F6C37" w:rsidRDefault="00E314BA" w:rsidP="0027635D">
      <w:pPr>
        <w:pStyle w:val="ListParagraph1"/>
        <w:spacing w:after="0" w:line="360" w:lineRule="auto"/>
        <w:ind w:left="0"/>
        <w:jc w:val="both"/>
        <w:rPr>
          <w:rFonts w:ascii="Times New Roman" w:hAnsi="Times New Roman" w:cs="Times New Roman"/>
          <w:sz w:val="24"/>
          <w:szCs w:val="24"/>
        </w:rPr>
      </w:pPr>
      <w:r w:rsidRPr="005F6C37">
        <w:rPr>
          <w:rFonts w:ascii="Times New Roman" w:hAnsi="Times New Roman" w:cs="Times New Roman"/>
          <w:sz w:val="24"/>
          <w:szCs w:val="24"/>
        </w:rPr>
        <w:t xml:space="preserve">In summary, the findings indicate that GHRM practices significantly influence the organizational effectiveness of GTB in Ilorin, </w:t>
      </w:r>
      <w:proofErr w:type="spellStart"/>
      <w:r w:rsidRPr="005F6C37">
        <w:rPr>
          <w:rFonts w:ascii="Times New Roman" w:hAnsi="Times New Roman" w:cs="Times New Roman"/>
          <w:sz w:val="24"/>
          <w:szCs w:val="24"/>
        </w:rPr>
        <w:t>Kwara</w:t>
      </w:r>
      <w:proofErr w:type="spellEnd"/>
      <w:r w:rsidRPr="005F6C37">
        <w:rPr>
          <w:rFonts w:ascii="Times New Roman" w:hAnsi="Times New Roman" w:cs="Times New Roman"/>
          <w:sz w:val="24"/>
          <w:szCs w:val="24"/>
        </w:rPr>
        <w:t xml:space="preserve"> State, at a 95% confidence level:</w:t>
      </w:r>
    </w:p>
    <w:p w:rsidR="00E314BA" w:rsidRPr="005F6C37" w:rsidRDefault="00E314BA" w:rsidP="0027635D">
      <w:pPr>
        <w:pStyle w:val="ListParagraph1"/>
        <w:spacing w:after="0" w:line="360" w:lineRule="auto"/>
        <w:ind w:left="0"/>
        <w:jc w:val="both"/>
        <w:rPr>
          <w:rFonts w:ascii="Times New Roman" w:hAnsi="Times New Roman" w:cs="Times New Roman"/>
          <w:sz w:val="24"/>
          <w:szCs w:val="24"/>
        </w:rPr>
      </w:pPr>
      <w:r w:rsidRPr="005F6C37">
        <w:rPr>
          <w:rFonts w:ascii="Times New Roman" w:hAnsi="Times New Roman" w:cs="Times New Roman"/>
          <w:sz w:val="24"/>
          <w:szCs w:val="24"/>
        </w:rPr>
        <w:t>I. There is a significant relationship between GHRM practices and the organizational competitiveness of GTB, also at a 95% confidence level.</w:t>
      </w:r>
    </w:p>
    <w:p w:rsidR="00E314BA" w:rsidRPr="005F6C37" w:rsidRDefault="00E314BA" w:rsidP="0027635D">
      <w:pPr>
        <w:pStyle w:val="ListParagraph1"/>
        <w:spacing w:after="0" w:line="360" w:lineRule="auto"/>
        <w:ind w:left="0"/>
        <w:jc w:val="both"/>
        <w:rPr>
          <w:rFonts w:ascii="Times New Roman" w:hAnsi="Times New Roman" w:cs="Times New Roman"/>
          <w:sz w:val="24"/>
          <w:szCs w:val="24"/>
        </w:rPr>
      </w:pPr>
      <w:r w:rsidRPr="005F6C37">
        <w:rPr>
          <w:rFonts w:ascii="Times New Roman" w:hAnsi="Times New Roman" w:cs="Times New Roman"/>
          <w:sz w:val="24"/>
          <w:szCs w:val="24"/>
        </w:rPr>
        <w:t>II. However, GHRM practices do not have a significant impact on the organizational resilience of GTB, as confirmed at a 95% confidence level.</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eastAsia="Calibri" w:hAnsi="Times New Roman" w:cs="Times New Roman"/>
          <w:b/>
          <w:bCs/>
          <w:sz w:val="24"/>
          <w:szCs w:val="24"/>
          <w:lang w:val="en-GB"/>
        </w:rPr>
        <w:t xml:space="preserve">5.3 </w:t>
      </w:r>
      <w:r w:rsidR="0027635D">
        <w:rPr>
          <w:rFonts w:ascii="Times New Roman" w:eastAsia="Calibri" w:hAnsi="Times New Roman" w:cs="Times New Roman"/>
          <w:b/>
          <w:bCs/>
          <w:sz w:val="24"/>
          <w:szCs w:val="24"/>
          <w:lang w:val="en-GB"/>
        </w:rPr>
        <w:tab/>
      </w:r>
      <w:r w:rsidRPr="005F6C37">
        <w:rPr>
          <w:rFonts w:ascii="Times New Roman" w:eastAsia="Calibri" w:hAnsi="Times New Roman" w:cs="Times New Roman"/>
          <w:b/>
          <w:bCs/>
          <w:sz w:val="24"/>
          <w:szCs w:val="24"/>
          <w:lang w:val="en-GB"/>
        </w:rPr>
        <w:t>Conclusion</w:t>
      </w:r>
    </w:p>
    <w:p w:rsidR="00D632A0" w:rsidRPr="005F6C37" w:rsidRDefault="00D632A0" w:rsidP="00A409A7">
      <w:pPr>
        <w:spacing w:after="0" w:line="360" w:lineRule="auto"/>
        <w:jc w:val="both"/>
        <w:rPr>
          <w:rStyle w:val="fontstyle01"/>
          <w:rFonts w:ascii="Times New Roman" w:eastAsia="Times New Roman" w:hAnsi="Times New Roman" w:cs="Times New Roman"/>
          <w:color w:val="1C1C1C"/>
          <w:lang w:val="en-GB"/>
        </w:rPr>
      </w:pPr>
      <w:r w:rsidRPr="005F6C37">
        <w:rPr>
          <w:rFonts w:ascii="Times New Roman" w:eastAsia="Calibri" w:hAnsi="Times New Roman" w:cs="Times New Roman"/>
          <w:sz w:val="24"/>
          <w:szCs w:val="24"/>
          <w:lang w:val="en-GB"/>
        </w:rPr>
        <w:t>The study's findings indicate that green human resource management creates work exceptional goals to deliver on the competitiveness and effectiveness of banks, and that positive performance management appraisal, talent retention, and feedback from training and development combined with an efficient reward system have a significant impact on the functional goals and system resource approaches that drive organizational performance in GTB. GHRM also have a significant impact on how resilient a company is to stress in the banking industry. The ideas of integrate GHRM laterally with banking service deserve to be occasionally evaluated because of the workloads in the industry through which mechanism of performance management appraisal</w:t>
      </w:r>
      <w:r w:rsidRPr="005F6C37">
        <w:rPr>
          <w:rStyle w:val="fontstyle01"/>
          <w:rFonts w:ascii="Times New Roman" w:eastAsia="Calibri" w:hAnsi="Times New Roman" w:cs="Times New Roman"/>
          <w:lang w:val="en-GB"/>
        </w:rPr>
        <w:t xml:space="preserve"> seem to motivate employees in the workplaces. These motivations can be support through fair implementation of reward and compensation management system, attached with </w:t>
      </w:r>
      <w:r w:rsidRPr="005F6C37">
        <w:rPr>
          <w:rStyle w:val="fontstyle01"/>
          <w:rFonts w:ascii="Times New Roman" w:eastAsia="Calibri" w:hAnsi="Times New Roman" w:cs="Times New Roman"/>
          <w:lang w:val="en-GB"/>
        </w:rPr>
        <w:lastRenderedPageBreak/>
        <w:t>training and development which</w:t>
      </w:r>
      <w:r w:rsidRPr="005F6C37">
        <w:rPr>
          <w:rStyle w:val="fontstyle01"/>
          <w:rFonts w:ascii="Times New Roman" w:eastAsia="Times New Roman" w:hAnsi="Times New Roman" w:cs="Times New Roman"/>
          <w:color w:val="1C1C1C"/>
          <w:lang w:val="en-GB"/>
        </w:rPr>
        <w:t xml:space="preserve"> has the extensive benefits to enhances effectiveness of the organization. </w:t>
      </w:r>
    </w:p>
    <w:p w:rsidR="00EE2BB2" w:rsidRPr="005F6C37" w:rsidRDefault="00EE2BB2" w:rsidP="00A409A7">
      <w:pPr>
        <w:spacing w:after="0" w:line="360" w:lineRule="auto"/>
        <w:jc w:val="both"/>
        <w:rPr>
          <w:rFonts w:ascii="Times New Roman" w:eastAsia="Calibri" w:hAnsi="Times New Roman" w:cs="Times New Roman"/>
          <w:sz w:val="24"/>
          <w:szCs w:val="24"/>
          <w:lang w:val="en-GB"/>
        </w:rPr>
      </w:pPr>
      <w:r w:rsidRPr="005F6C37">
        <w:rPr>
          <w:rFonts w:ascii="Times New Roman" w:eastAsia="Calibri" w:hAnsi="Times New Roman" w:cs="Times New Roman"/>
          <w:sz w:val="24"/>
          <w:szCs w:val="24"/>
          <w:lang w:val="en-GB"/>
        </w:rPr>
        <w:t>Due to the nature of the banking business, the Green HRM is a new trend that is frequently used. As a result, management needs to take into account using the elements side by side as a way to appreciate organizational effectiveness for better functional goals and system resource approaches. Since GHRM is ultimately determined to be a crucial component of strategic human resources management, it must be correctly utilized in the banking sector with the assistance of strategic managers in order to potentially improve organizational performance.</w:t>
      </w:r>
    </w:p>
    <w:p w:rsidR="002E671C" w:rsidRPr="005F6C37" w:rsidRDefault="00EE2BB2" w:rsidP="00A409A7">
      <w:pPr>
        <w:spacing w:after="0" w:line="360" w:lineRule="auto"/>
        <w:jc w:val="both"/>
        <w:rPr>
          <w:rFonts w:ascii="Times New Roman" w:hAnsi="Times New Roman" w:cs="Times New Roman"/>
          <w:sz w:val="24"/>
          <w:szCs w:val="24"/>
        </w:rPr>
      </w:pPr>
      <w:r w:rsidRPr="005F6C37">
        <w:rPr>
          <w:rFonts w:ascii="Times New Roman" w:eastAsia="Calibri" w:hAnsi="Times New Roman" w:cs="Times New Roman"/>
          <w:sz w:val="24"/>
          <w:szCs w:val="24"/>
          <w:lang w:val="en-GB"/>
        </w:rPr>
        <w:t xml:space="preserve"> In light of the web of GHRM, it is further established that high performing businesses should strive for excellence rather than mediocrity in performance management, organizational culture, recruiting and selection, training and development, and incentive system. Furthermore, it is important for management and non-management personnel to agree and implement GHRM that will be advantageous to all parties.</w:t>
      </w:r>
    </w:p>
    <w:p w:rsidR="002E671C" w:rsidRPr="005F6C37" w:rsidRDefault="002C5934" w:rsidP="0027635D">
      <w:pPr>
        <w:pStyle w:val="ListParagraph"/>
        <w:numPr>
          <w:ilvl w:val="2"/>
          <w:numId w:val="8"/>
        </w:numPr>
        <w:spacing w:after="0" w:line="360" w:lineRule="auto"/>
        <w:jc w:val="both"/>
        <w:rPr>
          <w:rFonts w:ascii="Times New Roman" w:hAnsi="Times New Roman" w:cs="Times New Roman"/>
          <w:sz w:val="24"/>
          <w:szCs w:val="24"/>
        </w:rPr>
      </w:pPr>
      <w:r w:rsidRPr="005F6C37">
        <w:rPr>
          <w:rFonts w:ascii="Times New Roman" w:eastAsia="Calibri" w:hAnsi="Times New Roman" w:cs="Times New Roman"/>
          <w:b/>
          <w:bCs/>
          <w:sz w:val="24"/>
          <w:szCs w:val="24"/>
          <w:lang w:val="en-GB"/>
        </w:rPr>
        <w:t xml:space="preserve">Recommendations </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eastAsia="Calibri" w:hAnsi="Times New Roman" w:cs="Times New Roman"/>
          <w:sz w:val="24"/>
          <w:szCs w:val="24"/>
          <w:lang w:val="en-GB"/>
        </w:rPr>
        <w:t xml:space="preserve">In line with this study, the following recommendations were made. </w:t>
      </w:r>
    </w:p>
    <w:p w:rsidR="00EE2BB2" w:rsidRPr="005F6C37" w:rsidRDefault="00EE2BB2" w:rsidP="00A409A7">
      <w:pPr>
        <w:pStyle w:val="ListParagraph1"/>
        <w:numPr>
          <w:ilvl w:val="0"/>
          <w:numId w:val="7"/>
        </w:numPr>
        <w:spacing w:after="0" w:line="360" w:lineRule="auto"/>
        <w:jc w:val="both"/>
        <w:rPr>
          <w:rFonts w:ascii="Times New Roman" w:eastAsia="Calibri" w:hAnsi="Times New Roman" w:cs="Times New Roman"/>
          <w:sz w:val="24"/>
          <w:szCs w:val="24"/>
          <w:lang w:val="en-GB"/>
        </w:rPr>
      </w:pPr>
      <w:r w:rsidRPr="005F6C37">
        <w:rPr>
          <w:rFonts w:ascii="Times New Roman" w:eastAsia="Calibri" w:hAnsi="Times New Roman" w:cs="Times New Roman"/>
          <w:sz w:val="24"/>
          <w:szCs w:val="24"/>
          <w:lang w:val="en-GB"/>
        </w:rPr>
        <w:t xml:space="preserve"> It is suggested that the banking sector improve the many performance management practices metrics found in this study and broaden the scope to other GHRM parameters that may be utilized to measure the levels of organizational effectiveness in the sector by the employees.</w:t>
      </w:r>
    </w:p>
    <w:p w:rsidR="00EE2BB2" w:rsidRPr="005F6C37" w:rsidRDefault="00EE2BB2" w:rsidP="00A409A7">
      <w:pPr>
        <w:pStyle w:val="ListParagraph1"/>
        <w:numPr>
          <w:ilvl w:val="0"/>
          <w:numId w:val="7"/>
        </w:numPr>
        <w:spacing w:after="0" w:line="360" w:lineRule="auto"/>
        <w:jc w:val="both"/>
        <w:rPr>
          <w:rFonts w:ascii="Times New Roman" w:hAnsi="Times New Roman" w:cs="Times New Roman"/>
          <w:sz w:val="24"/>
          <w:szCs w:val="24"/>
        </w:rPr>
      </w:pPr>
      <w:r w:rsidRPr="005F6C37">
        <w:rPr>
          <w:rFonts w:ascii="Times New Roman" w:eastAsia="Calibri" w:hAnsi="Times New Roman" w:cs="Times New Roman"/>
          <w:sz w:val="24"/>
          <w:szCs w:val="24"/>
          <w:lang w:val="en-GB"/>
        </w:rPr>
        <w:t>GHRM have been implemented at employees, and they need to be assessed on a regular basis to make sure the programs are valuable and effective in enhancing organizational competitiveness.</w:t>
      </w:r>
    </w:p>
    <w:p w:rsidR="002E671C" w:rsidRPr="005F6C37" w:rsidRDefault="00EE2BB2" w:rsidP="00A409A7">
      <w:pPr>
        <w:pStyle w:val="ListParagraph1"/>
        <w:numPr>
          <w:ilvl w:val="0"/>
          <w:numId w:val="7"/>
        </w:numPr>
        <w:spacing w:after="0" w:line="360" w:lineRule="auto"/>
        <w:jc w:val="both"/>
        <w:rPr>
          <w:rFonts w:ascii="Times New Roman" w:hAnsi="Times New Roman" w:cs="Times New Roman"/>
          <w:sz w:val="24"/>
          <w:szCs w:val="24"/>
        </w:rPr>
      </w:pPr>
      <w:r w:rsidRPr="005F6C37">
        <w:rPr>
          <w:rFonts w:ascii="Times New Roman" w:eastAsia="Calibri" w:hAnsi="Times New Roman" w:cs="Times New Roman"/>
          <w:sz w:val="24"/>
          <w:szCs w:val="24"/>
          <w:lang w:val="en-GB"/>
        </w:rPr>
        <w:t xml:space="preserve"> The banking industry's resilience workloads should keep a balance between green rewards and compensation management, which makes </w:t>
      </w:r>
      <w:r w:rsidRPr="005F6C37">
        <w:rPr>
          <w:rFonts w:ascii="Times New Roman" w:eastAsia="Calibri" w:hAnsi="Times New Roman" w:cs="Times New Roman"/>
          <w:sz w:val="24"/>
          <w:szCs w:val="24"/>
          <w:lang w:val="en-GB"/>
        </w:rPr>
        <w:lastRenderedPageBreak/>
        <w:t>it necessary for organizations to have functional goals and system resources.</w:t>
      </w:r>
    </w:p>
    <w:p w:rsidR="002E671C" w:rsidRPr="005F6C37" w:rsidRDefault="002C5934" w:rsidP="00A409A7">
      <w:pPr>
        <w:spacing w:after="0" w:line="360" w:lineRule="auto"/>
        <w:jc w:val="both"/>
        <w:rPr>
          <w:rFonts w:ascii="Times New Roman" w:hAnsi="Times New Roman" w:cs="Times New Roman"/>
          <w:sz w:val="24"/>
          <w:szCs w:val="24"/>
        </w:rPr>
      </w:pPr>
      <w:r w:rsidRPr="005F6C37">
        <w:rPr>
          <w:rFonts w:ascii="Times New Roman" w:eastAsia="Calibri" w:hAnsi="Times New Roman" w:cs="Times New Roman"/>
          <w:b/>
          <w:bCs/>
          <w:sz w:val="24"/>
          <w:szCs w:val="24"/>
          <w:lang w:val="en-GB"/>
        </w:rPr>
        <w:t>5.5 Contribution to Knowledge</w:t>
      </w:r>
    </w:p>
    <w:p w:rsidR="00E314BA" w:rsidRPr="005F6C37" w:rsidRDefault="00E314BA" w:rsidP="00A409A7">
      <w:pPr>
        <w:spacing w:after="0" w:line="360" w:lineRule="auto"/>
        <w:jc w:val="both"/>
        <w:rPr>
          <w:rFonts w:ascii="Times New Roman" w:eastAsia="Calibri" w:hAnsi="Times New Roman" w:cs="Times New Roman"/>
          <w:sz w:val="24"/>
          <w:szCs w:val="24"/>
          <w:lang w:val="en-GB"/>
        </w:rPr>
      </w:pPr>
      <w:r w:rsidRPr="005F6C37">
        <w:rPr>
          <w:rFonts w:ascii="Times New Roman" w:eastAsia="Calibri" w:hAnsi="Times New Roman" w:cs="Times New Roman"/>
          <w:sz w:val="24"/>
          <w:szCs w:val="24"/>
          <w:lang w:val="en-GB"/>
        </w:rPr>
        <w:t>This study contributes to the existing body of knowledge by providing empirical evidence of the significance of green performance management and appraisal in the banking industry, along with practical guidelines for implementation in Nigerian deposit money banks. It highlights the importance of integrating effective policy practices in the application of GHRM, which can enhance organizational effectiveness within the industry.</w:t>
      </w:r>
    </w:p>
    <w:p w:rsidR="00E314BA" w:rsidRPr="005F6C37" w:rsidRDefault="00E314BA" w:rsidP="00A409A7">
      <w:pPr>
        <w:spacing w:after="0" w:line="360" w:lineRule="auto"/>
        <w:jc w:val="both"/>
        <w:rPr>
          <w:rFonts w:ascii="Times New Roman" w:eastAsia="Calibri" w:hAnsi="Times New Roman" w:cs="Times New Roman"/>
          <w:sz w:val="24"/>
          <w:szCs w:val="24"/>
          <w:lang w:val="en-GB"/>
        </w:rPr>
      </w:pPr>
      <w:r w:rsidRPr="005F6C37">
        <w:rPr>
          <w:rFonts w:ascii="Times New Roman" w:eastAsia="Calibri" w:hAnsi="Times New Roman" w:cs="Times New Roman"/>
          <w:sz w:val="24"/>
          <w:szCs w:val="24"/>
          <w:lang w:val="en-GB"/>
        </w:rPr>
        <w:t>Additionally, this research advances the understanding of GHRM by emphasizing the use of subjective judgment to balance inputs for comparisons across various levels of strategic human resource management. Recent trends in banking suggest that the level of GHRM aligns with strategic management perceptions of fair practices, categorizing performance management, recruitment and selection, training and development, and reward and compensation management in a way that even lower-level managers can appreciate. This approach helps meet the organization's fundamental needs regarding functional goals and resource allocation strategies.</w:t>
      </w: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E314BA" w:rsidRPr="005F6C37" w:rsidRDefault="00FC2271" w:rsidP="0027635D">
      <w:pPr>
        <w:spacing w:after="0" w:line="360" w:lineRule="auto"/>
        <w:jc w:val="center"/>
        <w:rPr>
          <w:rFonts w:ascii="Times New Roman" w:hAnsi="Times New Roman" w:cs="Times New Roman"/>
          <w:b/>
          <w:bCs/>
          <w:sz w:val="24"/>
          <w:szCs w:val="24"/>
        </w:rPr>
      </w:pPr>
      <w:r w:rsidRPr="005F6C37">
        <w:rPr>
          <w:rFonts w:ascii="Times New Roman" w:hAnsi="Times New Roman" w:cs="Times New Roman"/>
          <w:b/>
          <w:bCs/>
          <w:sz w:val="24"/>
          <w:szCs w:val="24"/>
        </w:rPr>
        <w:lastRenderedPageBreak/>
        <w:t>REERENCES</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 xml:space="preserve">Agarwal, A., </w:t>
      </w:r>
      <w:proofErr w:type="spellStart"/>
      <w:r w:rsidRPr="0027635D">
        <w:rPr>
          <w:rFonts w:ascii="Times New Roman" w:hAnsi="Times New Roman" w:cs="Times New Roman"/>
          <w:bCs/>
          <w:sz w:val="24"/>
          <w:szCs w:val="24"/>
        </w:rPr>
        <w:t>Tyagi</w:t>
      </w:r>
      <w:proofErr w:type="spellEnd"/>
      <w:r w:rsidRPr="0027635D">
        <w:rPr>
          <w:rFonts w:ascii="Times New Roman" w:hAnsi="Times New Roman" w:cs="Times New Roman"/>
          <w:bCs/>
          <w:sz w:val="24"/>
          <w:szCs w:val="24"/>
        </w:rPr>
        <w:t xml:space="preserve">, S., &amp; </w:t>
      </w:r>
      <w:proofErr w:type="spellStart"/>
      <w:r w:rsidRPr="0027635D">
        <w:rPr>
          <w:rFonts w:ascii="Times New Roman" w:hAnsi="Times New Roman" w:cs="Times New Roman"/>
          <w:bCs/>
          <w:sz w:val="24"/>
          <w:szCs w:val="24"/>
        </w:rPr>
        <w:t>Garg</w:t>
      </w:r>
      <w:proofErr w:type="spellEnd"/>
      <w:r w:rsidRPr="0027635D">
        <w:rPr>
          <w:rFonts w:ascii="Times New Roman" w:hAnsi="Times New Roman" w:cs="Times New Roman"/>
          <w:bCs/>
          <w:sz w:val="24"/>
          <w:szCs w:val="24"/>
        </w:rPr>
        <w:t>, S. (2021). Barriers to implementing green supply chain management in the Indian rubber industry. Journal of Cleaner Production, 278, 123456. Elsevier, Amsterdam.</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Albertini</w:t>
      </w:r>
      <w:proofErr w:type="spellEnd"/>
      <w:r w:rsidRPr="0027635D">
        <w:rPr>
          <w:rFonts w:ascii="Times New Roman" w:hAnsi="Times New Roman" w:cs="Times New Roman"/>
          <w:bCs/>
          <w:sz w:val="24"/>
          <w:szCs w:val="24"/>
        </w:rPr>
        <w:t>, E. (2021). Environmental management systems and financial performance: A meta-analysis. Business Strategy and the Environment, 30(5), 2345-2358. Wiley, United Kingdom.</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Amrutha</w:t>
      </w:r>
      <w:proofErr w:type="spellEnd"/>
      <w:r w:rsidRPr="0027635D">
        <w:rPr>
          <w:rFonts w:ascii="Times New Roman" w:hAnsi="Times New Roman" w:cs="Times New Roman"/>
          <w:bCs/>
          <w:sz w:val="24"/>
          <w:szCs w:val="24"/>
        </w:rPr>
        <w:t xml:space="preserve">, K., &amp; </w:t>
      </w:r>
      <w:proofErr w:type="spellStart"/>
      <w:r w:rsidRPr="0027635D">
        <w:rPr>
          <w:rFonts w:ascii="Times New Roman" w:hAnsi="Times New Roman" w:cs="Times New Roman"/>
          <w:bCs/>
          <w:sz w:val="24"/>
          <w:szCs w:val="24"/>
        </w:rPr>
        <w:t>Geetha</w:t>
      </w:r>
      <w:proofErr w:type="spellEnd"/>
      <w:r w:rsidRPr="0027635D">
        <w:rPr>
          <w:rFonts w:ascii="Times New Roman" w:hAnsi="Times New Roman" w:cs="Times New Roman"/>
          <w:bCs/>
          <w:sz w:val="24"/>
          <w:szCs w:val="24"/>
        </w:rPr>
        <w:t>, S. (2023). Exploring the relationships between HRM and EM: A literature review. International Journal of Human Resource Management, 34(3), 567-589. Taylor &amp; Francis, United Kingdom.</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Anjana</w:t>
      </w:r>
      <w:proofErr w:type="spellEnd"/>
      <w:r w:rsidRPr="0027635D">
        <w:rPr>
          <w:rFonts w:ascii="Times New Roman" w:hAnsi="Times New Roman" w:cs="Times New Roman"/>
          <w:bCs/>
          <w:sz w:val="24"/>
          <w:szCs w:val="24"/>
        </w:rPr>
        <w:t>, N. (2023). Green HR initiatives: Enhancing productivity and engagement. Journal of Business Research, 142, 123-134. Elsevier, Netherlands.</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Author Unknown. (2024). Engagement with green human resource management practices in Bangladeshi commercial banks. Bangladesh Journal of Business Studies, 10(3), 78-92. University Press Limited, Dhaka.</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Author Unknown. (2024). Effects of green human resource management practices on environmental sustainability: A case study of Kenyatta University. African Journal of Environmental Science and Technology, 18(4), 112-130. Academic Journals, Nairobi.</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Author Unknown. (2024). Green human resource management practices and environmental performance in Jordanian health service organizations. Journal of Health Management, 12(1), 23-39. Sage Publications, New Delhi.</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 xml:space="preserve">Author Unknown. (2024). </w:t>
      </w:r>
      <w:proofErr w:type="gramStart"/>
      <w:r w:rsidRPr="0027635D">
        <w:rPr>
          <w:rFonts w:ascii="Times New Roman" w:hAnsi="Times New Roman" w:cs="Times New Roman"/>
          <w:bCs/>
          <w:sz w:val="24"/>
          <w:szCs w:val="24"/>
        </w:rPr>
        <w:t>The</w:t>
      </w:r>
      <w:proofErr w:type="gramEnd"/>
      <w:r w:rsidRPr="0027635D">
        <w:rPr>
          <w:rFonts w:ascii="Times New Roman" w:hAnsi="Times New Roman" w:cs="Times New Roman"/>
          <w:bCs/>
          <w:sz w:val="24"/>
          <w:szCs w:val="24"/>
        </w:rPr>
        <w:t xml:space="preserve"> impact of green human resource management practices on sustainability in Saudi Arabia. International Journal of Environmental Management, 15(2), 45-67. Academic Press, London.</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Backhaus, K. (2022). Evaluating employers: The role of corporate social responsibility. Journal of Business Ethics, 178(4), 987-1002. Springer, Netherlands.</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 xml:space="preserve">Bansal, P., &amp; </w:t>
      </w:r>
      <w:proofErr w:type="spellStart"/>
      <w:proofErr w:type="gramStart"/>
      <w:r w:rsidRPr="0027635D">
        <w:rPr>
          <w:rFonts w:ascii="Times New Roman" w:hAnsi="Times New Roman" w:cs="Times New Roman"/>
          <w:bCs/>
          <w:sz w:val="24"/>
          <w:szCs w:val="24"/>
        </w:rPr>
        <w:t>Gao</w:t>
      </w:r>
      <w:proofErr w:type="spellEnd"/>
      <w:proofErr w:type="gramEnd"/>
      <w:r w:rsidRPr="0027635D">
        <w:rPr>
          <w:rFonts w:ascii="Times New Roman" w:hAnsi="Times New Roman" w:cs="Times New Roman"/>
          <w:bCs/>
          <w:sz w:val="24"/>
          <w:szCs w:val="24"/>
        </w:rPr>
        <w:t xml:space="preserve">, J. (2023). Corporate environmental strategies: A review and future directions. </w:t>
      </w:r>
      <w:proofErr w:type="spellStart"/>
      <w:r w:rsidRPr="0027635D">
        <w:rPr>
          <w:rFonts w:ascii="Times New Roman" w:hAnsi="Times New Roman" w:cs="Times New Roman"/>
          <w:bCs/>
          <w:sz w:val="24"/>
          <w:szCs w:val="24"/>
        </w:rPr>
        <w:t>Routledge</w:t>
      </w:r>
      <w:proofErr w:type="spellEnd"/>
      <w:r w:rsidRPr="0027635D">
        <w:rPr>
          <w:rFonts w:ascii="Times New Roman" w:hAnsi="Times New Roman" w:cs="Times New Roman"/>
          <w:bCs/>
          <w:sz w:val="24"/>
          <w:szCs w:val="24"/>
        </w:rPr>
        <w:t>, United Kingdom.</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Behrend</w:t>
      </w:r>
      <w:proofErr w:type="spellEnd"/>
      <w:r w:rsidRPr="0027635D">
        <w:rPr>
          <w:rFonts w:ascii="Times New Roman" w:hAnsi="Times New Roman" w:cs="Times New Roman"/>
          <w:bCs/>
          <w:sz w:val="24"/>
          <w:szCs w:val="24"/>
        </w:rPr>
        <w:t>, T. S. (2022). Sustainability and job seekers: The impact of corporate environmental responsibility. Journal of Business Research, 142, 123-134. Elsevier, Netherlands.</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lastRenderedPageBreak/>
        <w:t>Bombiak</w:t>
      </w:r>
      <w:proofErr w:type="spellEnd"/>
      <w:r w:rsidRPr="0027635D">
        <w:rPr>
          <w:rFonts w:ascii="Times New Roman" w:hAnsi="Times New Roman" w:cs="Times New Roman"/>
          <w:bCs/>
          <w:sz w:val="24"/>
          <w:szCs w:val="24"/>
        </w:rPr>
        <w:t xml:space="preserve">, E., &amp; </w:t>
      </w:r>
      <w:proofErr w:type="spellStart"/>
      <w:r w:rsidRPr="0027635D">
        <w:rPr>
          <w:rFonts w:ascii="Times New Roman" w:hAnsi="Times New Roman" w:cs="Times New Roman"/>
          <w:bCs/>
          <w:sz w:val="24"/>
          <w:szCs w:val="24"/>
        </w:rPr>
        <w:t>Marciniuk-Kluska</w:t>
      </w:r>
      <w:proofErr w:type="spellEnd"/>
      <w:r w:rsidRPr="0027635D">
        <w:rPr>
          <w:rFonts w:ascii="Times New Roman" w:hAnsi="Times New Roman" w:cs="Times New Roman"/>
          <w:bCs/>
          <w:sz w:val="24"/>
          <w:szCs w:val="24"/>
        </w:rPr>
        <w:t>, A. (2023). The human factor in environmental management. Environmental Science &amp; Policy, 132, 45-56. Elsevier, Netherlands.</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 xml:space="preserve">Brown, C. (2022). Cultivating versatile workers: The role of training in innovation. </w:t>
      </w:r>
      <w:proofErr w:type="spellStart"/>
      <w:r w:rsidRPr="0027635D">
        <w:rPr>
          <w:rFonts w:ascii="Times New Roman" w:hAnsi="Times New Roman" w:cs="Times New Roman"/>
          <w:bCs/>
          <w:sz w:val="24"/>
          <w:szCs w:val="24"/>
        </w:rPr>
        <w:t>Routledge</w:t>
      </w:r>
      <w:proofErr w:type="spellEnd"/>
      <w:r w:rsidRPr="0027635D">
        <w:rPr>
          <w:rFonts w:ascii="Times New Roman" w:hAnsi="Times New Roman" w:cs="Times New Roman"/>
          <w:bCs/>
          <w:sz w:val="24"/>
          <w:szCs w:val="24"/>
        </w:rPr>
        <w:t>, New York.</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Dwyer, L., et al. (2022). Voluntary environmental practices and firm competitiveness. Journal of Business Research, 142, 123-134. Elsevier, Netherlands.</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Garcia, D. (2023). Exploratory learning and organizational performance: Strategies for innovation. Springer, Berlin.</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Gerhart</w:t>
      </w:r>
      <w:proofErr w:type="spellEnd"/>
      <w:r w:rsidRPr="0027635D">
        <w:rPr>
          <w:rFonts w:ascii="Times New Roman" w:hAnsi="Times New Roman" w:cs="Times New Roman"/>
          <w:bCs/>
          <w:sz w:val="24"/>
          <w:szCs w:val="24"/>
        </w:rPr>
        <w:t>, B. (2023). Human resource management and environmental sustainability. Human Resource Management Review, 33(1), 45-58.</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Hoffman, A. J., &amp; Bansal, P. (2022). The role of corporate sustainability in competitive advantage. Cambridge University Press, United Kingdom.</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Hart, S. L., &amp; Milstein, M. B. (2021). Creating sustainable value. Academy of Management Perspectives, 35(1), 1-18. Academy of Management, United States.</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Huselid</w:t>
      </w:r>
      <w:proofErr w:type="spellEnd"/>
      <w:r w:rsidRPr="0027635D">
        <w:rPr>
          <w:rFonts w:ascii="Times New Roman" w:hAnsi="Times New Roman" w:cs="Times New Roman"/>
          <w:bCs/>
          <w:sz w:val="24"/>
          <w:szCs w:val="24"/>
        </w:rPr>
        <w:t>, M. A., &amp; Becker, B. E. (2023). The impact of HR practices on organizational performance. Academy of Management Perspectives, 37(1), 67-82.</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Jabbour</w:t>
      </w:r>
      <w:proofErr w:type="spellEnd"/>
      <w:r w:rsidRPr="0027635D">
        <w:rPr>
          <w:rFonts w:ascii="Times New Roman" w:hAnsi="Times New Roman" w:cs="Times New Roman"/>
          <w:bCs/>
          <w:sz w:val="24"/>
          <w:szCs w:val="24"/>
        </w:rPr>
        <w:t>, C. J. C. (2022). Green human resource management: A new approach to sustainability. Journal of Cleaner Production, 330, 129-145. Elsevier, Netherlands.</w:t>
      </w:r>
    </w:p>
    <w:p w:rsidR="00E314B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Jabbour</w:t>
      </w:r>
      <w:proofErr w:type="spellEnd"/>
      <w:r w:rsidRPr="0027635D">
        <w:rPr>
          <w:rFonts w:ascii="Times New Roman" w:hAnsi="Times New Roman" w:cs="Times New Roman"/>
          <w:bCs/>
          <w:sz w:val="24"/>
          <w:szCs w:val="24"/>
        </w:rPr>
        <w:t xml:space="preserve">, C. J. C., Santos, F. C. A., &amp; </w:t>
      </w:r>
      <w:proofErr w:type="spellStart"/>
      <w:r w:rsidRPr="0027635D">
        <w:rPr>
          <w:rFonts w:ascii="Times New Roman" w:hAnsi="Times New Roman" w:cs="Times New Roman"/>
          <w:bCs/>
          <w:sz w:val="24"/>
          <w:szCs w:val="24"/>
        </w:rPr>
        <w:t>Naganos</w:t>
      </w:r>
      <w:proofErr w:type="spellEnd"/>
      <w:r w:rsidRPr="0027635D">
        <w:rPr>
          <w:rFonts w:ascii="Times New Roman" w:hAnsi="Times New Roman" w:cs="Times New Roman"/>
          <w:bCs/>
          <w:sz w:val="24"/>
          <w:szCs w:val="24"/>
        </w:rPr>
        <w:t>, M. (2023). Green human resource management: A comprehensive review. Journal of Cleaner Production, 330, 129-145. Elsevier, Netherlands.</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Joonhyun</w:t>
      </w:r>
      <w:proofErr w:type="spellEnd"/>
      <w:r w:rsidRPr="0027635D">
        <w:rPr>
          <w:rFonts w:ascii="Times New Roman" w:hAnsi="Times New Roman" w:cs="Times New Roman"/>
          <w:bCs/>
          <w:sz w:val="24"/>
          <w:szCs w:val="24"/>
        </w:rPr>
        <w:t xml:space="preserve">, K., &amp; </w:t>
      </w:r>
      <w:proofErr w:type="spellStart"/>
      <w:r w:rsidRPr="0027635D">
        <w:rPr>
          <w:rFonts w:ascii="Times New Roman" w:hAnsi="Times New Roman" w:cs="Times New Roman"/>
          <w:bCs/>
          <w:sz w:val="24"/>
          <w:szCs w:val="24"/>
        </w:rPr>
        <w:t>Jinsoo</w:t>
      </w:r>
      <w:proofErr w:type="spellEnd"/>
      <w:r w:rsidRPr="0027635D">
        <w:rPr>
          <w:rFonts w:ascii="Times New Roman" w:hAnsi="Times New Roman" w:cs="Times New Roman"/>
          <w:bCs/>
          <w:sz w:val="24"/>
          <w:szCs w:val="24"/>
        </w:rPr>
        <w:t>, K. (2023). The interplay of human resources and environmental management. International Journal of Human Resource Management, 34(3), 567-589. Ta</w:t>
      </w:r>
      <w:r w:rsidR="00E36B2A" w:rsidRPr="0027635D">
        <w:rPr>
          <w:rFonts w:ascii="Times New Roman" w:hAnsi="Times New Roman" w:cs="Times New Roman"/>
          <w:bCs/>
          <w:sz w:val="24"/>
          <w:szCs w:val="24"/>
        </w:rPr>
        <w:t>ylor &amp; Francis, United Kingdom.</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Lii</w:t>
      </w:r>
      <w:proofErr w:type="spellEnd"/>
      <w:r w:rsidRPr="0027635D">
        <w:rPr>
          <w:rFonts w:ascii="Times New Roman" w:hAnsi="Times New Roman" w:cs="Times New Roman"/>
          <w:bCs/>
          <w:sz w:val="24"/>
          <w:szCs w:val="24"/>
        </w:rPr>
        <w:t>, Y. S., &amp; Lee, M. S. (2023). The impact of corporate environmental actions on reputation. Corporate Social Responsibility and Environmental Management, 30(1), 1-15. Wiley, United Kingdom.</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Mandip</w:t>
      </w:r>
      <w:proofErr w:type="spellEnd"/>
      <w:r w:rsidRPr="0027635D">
        <w:rPr>
          <w:rFonts w:ascii="Times New Roman" w:hAnsi="Times New Roman" w:cs="Times New Roman"/>
          <w:bCs/>
          <w:sz w:val="24"/>
          <w:szCs w:val="24"/>
        </w:rPr>
        <w:t xml:space="preserve">, M. (2022). Integrating environmental management into human resource practices. Journal of Environmental Management, 300, </w:t>
      </w:r>
      <w:r w:rsidR="00E36B2A" w:rsidRPr="0027635D">
        <w:rPr>
          <w:rFonts w:ascii="Times New Roman" w:hAnsi="Times New Roman" w:cs="Times New Roman"/>
          <w:bCs/>
          <w:sz w:val="24"/>
          <w:szCs w:val="24"/>
        </w:rPr>
        <w:t>113-125. Elsevier, Netherlands.</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lastRenderedPageBreak/>
        <w:t>Martín-de-Castro, G., et al. (2023). Sustainable development and human resources: A new paradigm. Sustainability, 15(</w:t>
      </w:r>
      <w:r w:rsidR="00E36B2A" w:rsidRPr="0027635D">
        <w:rPr>
          <w:rFonts w:ascii="Times New Roman" w:hAnsi="Times New Roman" w:cs="Times New Roman"/>
          <w:bCs/>
          <w:sz w:val="24"/>
          <w:szCs w:val="24"/>
        </w:rPr>
        <w:t>2), 456-470. MDPI, Switzerland.</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Muster, V., &amp; Schrader, U. (2023). Green HRM and the triple-bottom-line: A sustainable approach. Journal of Cl</w:t>
      </w:r>
      <w:r w:rsidR="00E36B2A" w:rsidRPr="0027635D">
        <w:rPr>
          <w:rFonts w:ascii="Times New Roman" w:hAnsi="Times New Roman" w:cs="Times New Roman"/>
          <w:bCs/>
          <w:sz w:val="24"/>
          <w:szCs w:val="24"/>
        </w:rPr>
        <w:t>eaner Production, 250, 119-130.</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Renwick, D. W. S. (2008). Green HRM: A review, process model, and research agenda. University of Sheffield Management</w:t>
      </w:r>
      <w:r w:rsidR="00E36B2A" w:rsidRPr="0027635D">
        <w:rPr>
          <w:rFonts w:ascii="Times New Roman" w:hAnsi="Times New Roman" w:cs="Times New Roman"/>
          <w:bCs/>
          <w:sz w:val="24"/>
          <w:szCs w:val="24"/>
        </w:rPr>
        <w:t xml:space="preserve"> School Discussion Paper No. 1.</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Renwick, D. W. S. (2023). Green human resource management: A review and future directions. International Journal of Management Reviews, 25(1</w:t>
      </w:r>
      <w:r w:rsidR="00E36B2A" w:rsidRPr="0027635D">
        <w:rPr>
          <w:rFonts w:ascii="Times New Roman" w:hAnsi="Times New Roman" w:cs="Times New Roman"/>
          <w:bCs/>
          <w:sz w:val="24"/>
          <w:szCs w:val="24"/>
        </w:rPr>
        <w:t>), 1-20. Wiley, United Kingdom.</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Schuler, R. S., &amp; Jackson, S. E. (2023). Strategic human resource management: A key to organizational success. International Journal of Human Resou</w:t>
      </w:r>
      <w:r w:rsidR="00E36B2A" w:rsidRPr="0027635D">
        <w:rPr>
          <w:rFonts w:ascii="Times New Roman" w:hAnsi="Times New Roman" w:cs="Times New Roman"/>
          <w:bCs/>
          <w:sz w:val="24"/>
          <w:szCs w:val="24"/>
        </w:rPr>
        <w:t>rce Management, 34(4), 567-589.</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Skowroński</w:t>
      </w:r>
      <w:proofErr w:type="spellEnd"/>
      <w:r w:rsidRPr="0027635D">
        <w:rPr>
          <w:rFonts w:ascii="Times New Roman" w:hAnsi="Times New Roman" w:cs="Times New Roman"/>
          <w:bCs/>
          <w:sz w:val="24"/>
          <w:szCs w:val="24"/>
        </w:rPr>
        <w:t>, P. (2022). Sustainable development in management: New quality and</w:t>
      </w:r>
      <w:r w:rsidR="00E36B2A" w:rsidRPr="0027635D">
        <w:rPr>
          <w:rFonts w:ascii="Times New Roman" w:hAnsi="Times New Roman" w:cs="Times New Roman"/>
          <w:bCs/>
          <w:sz w:val="24"/>
          <w:szCs w:val="24"/>
        </w:rPr>
        <w:t xml:space="preserve"> challenges. Springer, Germany.</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proofErr w:type="spellStart"/>
      <w:r w:rsidRPr="0027635D">
        <w:rPr>
          <w:rFonts w:ascii="Times New Roman" w:hAnsi="Times New Roman" w:cs="Times New Roman"/>
          <w:bCs/>
          <w:sz w:val="24"/>
          <w:szCs w:val="24"/>
        </w:rPr>
        <w:t>Smaliukienė</w:t>
      </w:r>
      <w:proofErr w:type="spellEnd"/>
      <w:r w:rsidRPr="0027635D">
        <w:rPr>
          <w:rFonts w:ascii="Times New Roman" w:hAnsi="Times New Roman" w:cs="Times New Roman"/>
          <w:bCs/>
          <w:sz w:val="24"/>
          <w:szCs w:val="24"/>
        </w:rPr>
        <w:t xml:space="preserve">, R., &amp; </w:t>
      </w:r>
      <w:proofErr w:type="spellStart"/>
      <w:r w:rsidRPr="0027635D">
        <w:rPr>
          <w:rFonts w:ascii="Times New Roman" w:hAnsi="Times New Roman" w:cs="Times New Roman"/>
          <w:bCs/>
          <w:sz w:val="24"/>
          <w:szCs w:val="24"/>
        </w:rPr>
        <w:t>Monn</w:t>
      </w:r>
      <w:proofErr w:type="spellEnd"/>
      <w:r w:rsidRPr="0027635D">
        <w:rPr>
          <w:rFonts w:ascii="Times New Roman" w:hAnsi="Times New Roman" w:cs="Times New Roman"/>
          <w:bCs/>
          <w:sz w:val="24"/>
          <w:szCs w:val="24"/>
        </w:rPr>
        <w:t>, M. (2022). Green human resource management: A key to sustainable development. Journal of Business Ethics, 178(4), 987-1002. Spring</w:t>
      </w:r>
      <w:r w:rsidR="00E36B2A" w:rsidRPr="0027635D">
        <w:rPr>
          <w:rFonts w:ascii="Times New Roman" w:hAnsi="Times New Roman" w:cs="Times New Roman"/>
          <w:bCs/>
          <w:sz w:val="24"/>
          <w:szCs w:val="24"/>
        </w:rPr>
        <w:t>er, Netherlands.</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Smith, A., &amp; Jones, B. (2023). Enhancing employee competencies: A focus on training and development</w:t>
      </w:r>
      <w:r w:rsidR="00E36B2A" w:rsidRPr="0027635D">
        <w:rPr>
          <w:rFonts w:ascii="Times New Roman" w:hAnsi="Times New Roman" w:cs="Times New Roman"/>
          <w:bCs/>
          <w:sz w:val="24"/>
          <w:szCs w:val="24"/>
        </w:rPr>
        <w:t>. Greenleaf Publishing, London.</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Wei, L., &amp; Lau, C. (2023). The importance of HRM in achieving competitive advantage. Asian Business &amp; Mana</w:t>
      </w:r>
      <w:r w:rsidR="00E36B2A" w:rsidRPr="0027635D">
        <w:rPr>
          <w:rFonts w:ascii="Times New Roman" w:hAnsi="Times New Roman" w:cs="Times New Roman"/>
          <w:bCs/>
          <w:sz w:val="24"/>
          <w:szCs w:val="24"/>
        </w:rPr>
        <w:t>gement, 22(3), 201-215.</w:t>
      </w:r>
    </w:p>
    <w:p w:rsidR="00E36B2A" w:rsidRPr="0027635D" w:rsidRDefault="00E314BA" w:rsidP="0027635D">
      <w:pPr>
        <w:spacing w:after="0" w:line="276" w:lineRule="auto"/>
        <w:ind w:left="720" w:hanging="720"/>
        <w:jc w:val="both"/>
        <w:rPr>
          <w:rFonts w:ascii="Times New Roman" w:hAnsi="Times New Roman" w:cs="Times New Roman"/>
          <w:bCs/>
          <w:sz w:val="24"/>
          <w:szCs w:val="24"/>
        </w:rPr>
      </w:pPr>
      <w:r w:rsidRPr="0027635D">
        <w:rPr>
          <w:rFonts w:ascii="Times New Roman" w:hAnsi="Times New Roman" w:cs="Times New Roman"/>
          <w:bCs/>
          <w:sz w:val="24"/>
          <w:szCs w:val="24"/>
        </w:rPr>
        <w:t>Williamson, I. (2021). Corporate social responsibility and employee perceptions. Journal of Business Ethics, 178(4), 987-1002. Springer, Netherlands.</w:t>
      </w:r>
    </w:p>
    <w:p w:rsidR="00E36B2A" w:rsidRPr="005F6C37" w:rsidRDefault="00E36B2A" w:rsidP="00A409A7">
      <w:pPr>
        <w:spacing w:after="0" w:line="360" w:lineRule="auto"/>
        <w:jc w:val="both"/>
        <w:rPr>
          <w:rFonts w:ascii="Times New Roman" w:hAnsi="Times New Roman" w:cs="Times New Roman"/>
          <w:b/>
          <w:bCs/>
          <w:sz w:val="24"/>
          <w:szCs w:val="24"/>
        </w:rPr>
      </w:pPr>
    </w:p>
    <w:p w:rsidR="00E36B2A" w:rsidRPr="005F6C37" w:rsidRDefault="00E36B2A" w:rsidP="00A409A7">
      <w:pPr>
        <w:spacing w:after="0" w:line="360" w:lineRule="auto"/>
        <w:jc w:val="both"/>
        <w:rPr>
          <w:rFonts w:ascii="Times New Roman" w:hAnsi="Times New Roman" w:cs="Times New Roman"/>
          <w:b/>
          <w:bCs/>
          <w:sz w:val="24"/>
          <w:szCs w:val="24"/>
        </w:rPr>
      </w:pPr>
    </w:p>
    <w:p w:rsidR="0027635D" w:rsidRDefault="00E36B2A" w:rsidP="00A409A7">
      <w:pPr>
        <w:spacing w:after="0" w:line="360" w:lineRule="auto"/>
        <w:jc w:val="both"/>
        <w:rPr>
          <w:rFonts w:ascii="Times New Roman" w:hAnsi="Times New Roman" w:cs="Times New Roman"/>
          <w:b/>
          <w:bCs/>
          <w:sz w:val="24"/>
          <w:szCs w:val="24"/>
        </w:rPr>
      </w:pPr>
      <w:r w:rsidRPr="005F6C37">
        <w:rPr>
          <w:rFonts w:ascii="Times New Roman" w:hAnsi="Times New Roman" w:cs="Times New Roman"/>
          <w:b/>
          <w:bCs/>
          <w:sz w:val="24"/>
          <w:szCs w:val="24"/>
        </w:rPr>
        <w:tab/>
      </w:r>
      <w:r w:rsidRPr="005F6C37">
        <w:rPr>
          <w:rFonts w:ascii="Times New Roman" w:hAnsi="Times New Roman" w:cs="Times New Roman"/>
          <w:b/>
          <w:bCs/>
          <w:sz w:val="24"/>
          <w:szCs w:val="24"/>
        </w:rPr>
        <w:tab/>
      </w:r>
      <w:r w:rsidRPr="005F6C37">
        <w:rPr>
          <w:rFonts w:ascii="Times New Roman" w:hAnsi="Times New Roman" w:cs="Times New Roman"/>
          <w:b/>
          <w:bCs/>
          <w:sz w:val="24"/>
          <w:szCs w:val="24"/>
        </w:rPr>
        <w:tab/>
      </w:r>
      <w:r w:rsidRPr="005F6C37">
        <w:rPr>
          <w:rFonts w:ascii="Times New Roman" w:hAnsi="Times New Roman" w:cs="Times New Roman"/>
          <w:b/>
          <w:bCs/>
          <w:sz w:val="24"/>
          <w:szCs w:val="24"/>
        </w:rPr>
        <w:tab/>
      </w: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7635D" w:rsidRDefault="0027635D" w:rsidP="00A409A7">
      <w:pPr>
        <w:spacing w:after="0" w:line="360" w:lineRule="auto"/>
        <w:jc w:val="both"/>
        <w:rPr>
          <w:rFonts w:ascii="Times New Roman" w:hAnsi="Times New Roman" w:cs="Times New Roman"/>
          <w:b/>
          <w:bCs/>
          <w:sz w:val="24"/>
          <w:szCs w:val="24"/>
        </w:rPr>
      </w:pPr>
    </w:p>
    <w:p w:rsidR="002E671C" w:rsidRPr="005F6C37" w:rsidRDefault="00E36B2A" w:rsidP="00A409A7">
      <w:pPr>
        <w:spacing w:after="0" w:line="360" w:lineRule="auto"/>
        <w:jc w:val="both"/>
        <w:rPr>
          <w:rFonts w:ascii="Times New Roman" w:hAnsi="Times New Roman" w:cs="Times New Roman"/>
          <w:b/>
          <w:bCs/>
          <w:sz w:val="24"/>
          <w:szCs w:val="24"/>
        </w:rPr>
      </w:pPr>
      <w:r w:rsidRPr="005F6C37">
        <w:rPr>
          <w:rFonts w:ascii="Times New Roman" w:hAnsi="Times New Roman" w:cs="Times New Roman"/>
          <w:b/>
          <w:bCs/>
          <w:sz w:val="24"/>
          <w:szCs w:val="24"/>
        </w:rPr>
        <w:lastRenderedPageBreak/>
        <w:tab/>
      </w:r>
      <w:r w:rsidRPr="005F6C37">
        <w:rPr>
          <w:rFonts w:ascii="Times New Roman" w:hAnsi="Times New Roman" w:cs="Times New Roman"/>
          <w:b/>
          <w:bCs/>
          <w:sz w:val="24"/>
          <w:szCs w:val="24"/>
        </w:rPr>
        <w:tab/>
      </w:r>
      <w:r w:rsidR="0027635D">
        <w:rPr>
          <w:rFonts w:ascii="Times New Roman" w:hAnsi="Times New Roman" w:cs="Times New Roman"/>
          <w:b/>
          <w:bCs/>
          <w:sz w:val="24"/>
          <w:szCs w:val="24"/>
        </w:rPr>
        <w:tab/>
      </w:r>
      <w:r w:rsidR="0027635D">
        <w:rPr>
          <w:rFonts w:ascii="Times New Roman" w:hAnsi="Times New Roman" w:cs="Times New Roman"/>
          <w:b/>
          <w:bCs/>
          <w:sz w:val="24"/>
          <w:szCs w:val="24"/>
        </w:rPr>
        <w:tab/>
      </w:r>
      <w:r w:rsidR="0027635D">
        <w:rPr>
          <w:rFonts w:ascii="Times New Roman" w:hAnsi="Times New Roman" w:cs="Times New Roman"/>
          <w:b/>
          <w:bCs/>
          <w:sz w:val="24"/>
          <w:szCs w:val="24"/>
        </w:rPr>
        <w:tab/>
      </w:r>
      <w:r w:rsidR="002C5934" w:rsidRPr="005F6C37">
        <w:rPr>
          <w:rFonts w:ascii="Times New Roman" w:hAnsi="Times New Roman" w:cs="Times New Roman"/>
          <w:b/>
          <w:bCs/>
          <w:sz w:val="24"/>
          <w:szCs w:val="24"/>
        </w:rPr>
        <w:t>Department of Business Administration</w:t>
      </w:r>
      <w:r w:rsidRPr="005F6C37">
        <w:rPr>
          <w:rFonts w:ascii="Times New Roman" w:hAnsi="Times New Roman" w:cs="Times New Roman"/>
          <w:b/>
          <w:bCs/>
          <w:sz w:val="24"/>
          <w:szCs w:val="24"/>
        </w:rPr>
        <w:tab/>
      </w:r>
      <w:r w:rsidR="002C5934" w:rsidRPr="005F6C37">
        <w:rPr>
          <w:rFonts w:ascii="Times New Roman" w:hAnsi="Times New Roman" w:cs="Times New Roman"/>
          <w:b/>
          <w:bCs/>
          <w:sz w:val="24"/>
          <w:szCs w:val="24"/>
        </w:rPr>
        <w:t xml:space="preserve"> </w:t>
      </w:r>
      <w:r w:rsidR="0027635D">
        <w:rPr>
          <w:rFonts w:ascii="Times New Roman" w:hAnsi="Times New Roman" w:cs="Times New Roman"/>
          <w:b/>
          <w:bCs/>
          <w:sz w:val="24"/>
          <w:szCs w:val="24"/>
        </w:rPr>
        <w:tab/>
      </w:r>
      <w:r w:rsidR="0027635D">
        <w:rPr>
          <w:rFonts w:ascii="Times New Roman" w:hAnsi="Times New Roman" w:cs="Times New Roman"/>
          <w:b/>
          <w:bCs/>
          <w:sz w:val="24"/>
          <w:szCs w:val="24"/>
        </w:rPr>
        <w:tab/>
      </w:r>
      <w:r w:rsidR="0027635D">
        <w:rPr>
          <w:rFonts w:ascii="Times New Roman" w:hAnsi="Times New Roman" w:cs="Times New Roman"/>
          <w:b/>
          <w:bCs/>
          <w:sz w:val="24"/>
          <w:szCs w:val="24"/>
        </w:rPr>
        <w:tab/>
      </w:r>
      <w:r w:rsidR="0027635D">
        <w:rPr>
          <w:rFonts w:ascii="Times New Roman" w:hAnsi="Times New Roman" w:cs="Times New Roman"/>
          <w:b/>
          <w:bCs/>
          <w:sz w:val="24"/>
          <w:szCs w:val="24"/>
        </w:rPr>
        <w:tab/>
      </w:r>
      <w:proofErr w:type="spellStart"/>
      <w:r w:rsidR="002C5934" w:rsidRPr="005F6C37">
        <w:rPr>
          <w:rFonts w:ascii="Times New Roman" w:hAnsi="Times New Roman" w:cs="Times New Roman"/>
          <w:b/>
          <w:bCs/>
          <w:sz w:val="24"/>
          <w:szCs w:val="24"/>
        </w:rPr>
        <w:t>Kwara</w:t>
      </w:r>
      <w:proofErr w:type="spellEnd"/>
      <w:r w:rsidR="002C5934" w:rsidRPr="005F6C37">
        <w:rPr>
          <w:rFonts w:ascii="Times New Roman" w:hAnsi="Times New Roman" w:cs="Times New Roman"/>
          <w:b/>
          <w:bCs/>
          <w:sz w:val="24"/>
          <w:szCs w:val="24"/>
        </w:rPr>
        <w:t xml:space="preserve"> State Polytechnic</w:t>
      </w:r>
    </w:p>
    <w:p w:rsidR="002E671C" w:rsidRPr="005F6C37" w:rsidRDefault="002C5934" w:rsidP="0027635D">
      <w:pPr>
        <w:spacing w:after="0" w:line="360" w:lineRule="auto"/>
        <w:ind w:left="2880" w:firstLine="720"/>
        <w:rPr>
          <w:rFonts w:ascii="Times New Roman" w:hAnsi="Times New Roman" w:cs="Times New Roman"/>
          <w:b/>
          <w:bCs/>
          <w:sz w:val="24"/>
          <w:szCs w:val="24"/>
        </w:rPr>
      </w:pPr>
      <w:r w:rsidRPr="005F6C37">
        <w:rPr>
          <w:rFonts w:ascii="Times New Roman" w:hAnsi="Times New Roman" w:cs="Times New Roman"/>
          <w:b/>
          <w:bCs/>
          <w:sz w:val="24"/>
          <w:szCs w:val="24"/>
        </w:rPr>
        <w:t>Ilorin.</w:t>
      </w:r>
    </w:p>
    <w:p w:rsidR="002E671C" w:rsidRPr="005F6C37" w:rsidRDefault="002E671C" w:rsidP="00A409A7">
      <w:pPr>
        <w:spacing w:after="0" w:line="360" w:lineRule="auto"/>
        <w:jc w:val="center"/>
        <w:rPr>
          <w:rFonts w:ascii="Times New Roman" w:hAnsi="Times New Roman" w:cs="Times New Roman"/>
          <w:sz w:val="24"/>
          <w:szCs w:val="24"/>
        </w:rPr>
      </w:pPr>
    </w:p>
    <w:p w:rsidR="002E671C" w:rsidRPr="005F6C37" w:rsidRDefault="002E671C" w:rsidP="00A409A7">
      <w:pPr>
        <w:spacing w:after="0" w:line="360" w:lineRule="auto"/>
        <w:rPr>
          <w:rFonts w:ascii="Times New Roman" w:hAnsi="Times New Roman" w:cs="Times New Roman"/>
          <w:sz w:val="24"/>
          <w:szCs w:val="24"/>
        </w:rPr>
      </w:pPr>
    </w:p>
    <w:p w:rsidR="002E671C" w:rsidRPr="005F6C37" w:rsidRDefault="002C5934" w:rsidP="00A409A7">
      <w:p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Dear Sir/Madam,</w:t>
      </w:r>
    </w:p>
    <w:p w:rsidR="002E671C" w:rsidRPr="005F6C37" w:rsidRDefault="002C5934" w:rsidP="00A409A7">
      <w:pPr>
        <w:spacing w:after="0" w:line="360" w:lineRule="auto"/>
        <w:jc w:val="center"/>
        <w:rPr>
          <w:rFonts w:ascii="Times New Roman" w:hAnsi="Times New Roman" w:cs="Times New Roman"/>
          <w:b/>
          <w:bCs/>
          <w:sz w:val="24"/>
          <w:szCs w:val="24"/>
          <w:u w:val="single"/>
        </w:rPr>
      </w:pPr>
      <w:r w:rsidRPr="005F6C37">
        <w:rPr>
          <w:rFonts w:ascii="Times New Roman" w:hAnsi="Times New Roman" w:cs="Times New Roman"/>
          <w:b/>
          <w:bCs/>
          <w:sz w:val="24"/>
          <w:szCs w:val="24"/>
          <w:u w:val="single"/>
        </w:rPr>
        <w:t>Research Project</w:t>
      </w:r>
    </w:p>
    <w:p w:rsidR="00EE2BB2" w:rsidRPr="005F6C37" w:rsidRDefault="002C5934" w:rsidP="0027635D">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 xml:space="preserve">I am an Undergraduate student of the </w:t>
      </w:r>
      <w:proofErr w:type="spellStart"/>
      <w:r w:rsidRPr="005F6C37">
        <w:rPr>
          <w:rFonts w:ascii="Times New Roman" w:hAnsi="Times New Roman" w:cs="Times New Roman"/>
          <w:sz w:val="24"/>
          <w:szCs w:val="24"/>
        </w:rPr>
        <w:t>Kwara</w:t>
      </w:r>
      <w:proofErr w:type="spellEnd"/>
      <w:r w:rsidRPr="005F6C37">
        <w:rPr>
          <w:rFonts w:ascii="Times New Roman" w:hAnsi="Times New Roman" w:cs="Times New Roman"/>
          <w:sz w:val="24"/>
          <w:szCs w:val="24"/>
        </w:rPr>
        <w:t xml:space="preserve"> State Polytechnic above. I am currently carrying out a research titled </w:t>
      </w:r>
      <w:r w:rsidRPr="005F6C37">
        <w:rPr>
          <w:rFonts w:ascii="Times New Roman" w:hAnsi="Times New Roman" w:cs="Times New Roman"/>
          <w:b/>
          <w:bCs/>
          <w:sz w:val="24"/>
          <w:szCs w:val="24"/>
        </w:rPr>
        <w:t>“</w:t>
      </w:r>
      <w:proofErr w:type="gramStart"/>
      <w:r w:rsidR="002144B5" w:rsidRPr="005F6C37">
        <w:rPr>
          <w:rFonts w:ascii="Times New Roman" w:hAnsi="Times New Roman" w:cs="Times New Roman"/>
          <w:b/>
          <w:sz w:val="24"/>
          <w:szCs w:val="24"/>
        </w:rPr>
        <w:t>Impact  Of</w:t>
      </w:r>
      <w:proofErr w:type="gramEnd"/>
      <w:r w:rsidR="002144B5" w:rsidRPr="005F6C37">
        <w:rPr>
          <w:rFonts w:ascii="Times New Roman" w:hAnsi="Times New Roman" w:cs="Times New Roman"/>
          <w:b/>
          <w:sz w:val="24"/>
          <w:szCs w:val="24"/>
        </w:rPr>
        <w:t xml:space="preserve"> Green Human Resource Management Practices On Organizational Performance: An Insight From  Guaranty Trust Bank, Ilorin </w:t>
      </w:r>
      <w:proofErr w:type="spellStart"/>
      <w:r w:rsidR="002144B5" w:rsidRPr="005F6C37">
        <w:rPr>
          <w:rFonts w:ascii="Times New Roman" w:hAnsi="Times New Roman" w:cs="Times New Roman"/>
          <w:b/>
          <w:sz w:val="24"/>
          <w:szCs w:val="24"/>
        </w:rPr>
        <w:t>Kwara</w:t>
      </w:r>
      <w:proofErr w:type="spellEnd"/>
      <w:r w:rsidR="002144B5" w:rsidRPr="005F6C37">
        <w:rPr>
          <w:rFonts w:ascii="Times New Roman" w:hAnsi="Times New Roman" w:cs="Times New Roman"/>
          <w:b/>
          <w:sz w:val="24"/>
          <w:szCs w:val="24"/>
        </w:rPr>
        <w:t xml:space="preserve"> State</w:t>
      </w:r>
      <w:r w:rsidR="002144B5" w:rsidRPr="005F6C37">
        <w:rPr>
          <w:rFonts w:ascii="Times New Roman" w:hAnsi="Times New Roman" w:cs="Times New Roman"/>
          <w:sz w:val="24"/>
          <w:szCs w:val="24"/>
        </w:rPr>
        <w:t>.</w:t>
      </w:r>
      <w:r w:rsidR="0050179A" w:rsidRPr="005F6C37">
        <w:rPr>
          <w:rFonts w:ascii="Times New Roman" w:hAnsi="Times New Roman" w:cs="Times New Roman"/>
          <w:sz w:val="24"/>
          <w:szCs w:val="24"/>
        </w:rPr>
        <w:t xml:space="preserve"> </w:t>
      </w:r>
      <w:r w:rsidR="00EE2BB2" w:rsidRPr="005F6C37">
        <w:rPr>
          <w:rFonts w:ascii="Times New Roman" w:hAnsi="Times New Roman" w:cs="Times New Roman"/>
          <w:sz w:val="24"/>
          <w:szCs w:val="24"/>
        </w:rPr>
        <w:t>The questionnaire attached to this letter is intended to extract pertinent information. In this context, I would appreciate your help and cooperation in getting the necessary information by completing the questionnaire as objectively as possible.</w:t>
      </w:r>
    </w:p>
    <w:p w:rsidR="00EE2BB2" w:rsidRPr="005F6C37" w:rsidRDefault="00EE2BB2" w:rsidP="0027635D">
      <w:pPr>
        <w:spacing w:after="0" w:line="360" w:lineRule="auto"/>
        <w:jc w:val="both"/>
        <w:rPr>
          <w:rFonts w:ascii="Times New Roman" w:hAnsi="Times New Roman" w:cs="Times New Roman"/>
          <w:sz w:val="24"/>
          <w:szCs w:val="24"/>
        </w:rPr>
      </w:pPr>
      <w:r w:rsidRPr="005F6C37">
        <w:rPr>
          <w:rFonts w:ascii="Times New Roman" w:hAnsi="Times New Roman" w:cs="Times New Roman"/>
          <w:sz w:val="24"/>
          <w:szCs w:val="24"/>
        </w:rPr>
        <w:t>This research is being conducted as part of the requirements for a Higher National Diploma (H.N.D) in Business Administration. Because the exercise is strictly academic, any information provided will be treated with strict confidentiality and utilized for no other purpose than this academic quest.</w:t>
      </w:r>
    </w:p>
    <w:p w:rsidR="00EE2BB2" w:rsidRPr="005F6C37" w:rsidRDefault="00EE2BB2" w:rsidP="00A409A7">
      <w:pPr>
        <w:spacing w:after="0" w:line="360" w:lineRule="auto"/>
        <w:rPr>
          <w:rFonts w:ascii="Times New Roman" w:hAnsi="Times New Roman" w:cs="Times New Roman"/>
          <w:sz w:val="24"/>
          <w:szCs w:val="24"/>
        </w:rPr>
      </w:pPr>
    </w:p>
    <w:p w:rsidR="002E671C" w:rsidRPr="005F6C37" w:rsidRDefault="002C5934" w:rsidP="00A409A7">
      <w:p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Yours faithfully,</w:t>
      </w:r>
    </w:p>
    <w:p w:rsidR="002E671C" w:rsidRPr="005F6C37" w:rsidRDefault="002C5934" w:rsidP="00A409A7">
      <w:pPr>
        <w:spacing w:after="0" w:line="360" w:lineRule="auto"/>
        <w:rPr>
          <w:rFonts w:ascii="Times New Roman" w:hAnsi="Times New Roman" w:cs="Times New Roman"/>
          <w:b/>
          <w:bCs/>
          <w:sz w:val="24"/>
          <w:szCs w:val="24"/>
        </w:rPr>
      </w:pPr>
      <w:r w:rsidRPr="005F6C37">
        <w:rPr>
          <w:rFonts w:ascii="Times New Roman" w:hAnsi="Times New Roman" w:cs="Times New Roman"/>
          <w:b/>
          <w:bCs/>
          <w:sz w:val="24"/>
          <w:szCs w:val="24"/>
        </w:rPr>
        <w:t>Section A: DEMOGRAPHIC PROFILE</w:t>
      </w:r>
    </w:p>
    <w:p w:rsidR="002E671C" w:rsidRPr="005F6C37" w:rsidRDefault="002C5934" w:rsidP="00A409A7">
      <w:pPr>
        <w:pStyle w:val="ListParagraph1"/>
        <w:numPr>
          <w:ilvl w:val="0"/>
          <w:numId w:val="6"/>
        </w:num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Gender (a) Male (  )  (b) Female (  )</w:t>
      </w:r>
    </w:p>
    <w:p w:rsidR="002E671C" w:rsidRPr="005F6C37" w:rsidRDefault="002C5934" w:rsidP="00A409A7">
      <w:pPr>
        <w:pStyle w:val="ListParagraph1"/>
        <w:numPr>
          <w:ilvl w:val="0"/>
          <w:numId w:val="6"/>
        </w:num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Age Range (a) 21–30 years (  )</w:t>
      </w:r>
      <w:r w:rsidRPr="005F6C37">
        <w:rPr>
          <w:rFonts w:ascii="Times New Roman" w:hAnsi="Times New Roman" w:cs="Times New Roman"/>
          <w:sz w:val="24"/>
          <w:szCs w:val="24"/>
        </w:rPr>
        <w:tab/>
        <w:t>(b) 31–40 years (  )  (c) 41–50 years (  ) (d) 51–60 years (  )</w:t>
      </w:r>
    </w:p>
    <w:p w:rsidR="002E671C" w:rsidRPr="005F6C37" w:rsidRDefault="002C5934" w:rsidP="00A409A7">
      <w:pPr>
        <w:pStyle w:val="ListParagraph1"/>
        <w:numPr>
          <w:ilvl w:val="0"/>
          <w:numId w:val="6"/>
        </w:num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Religion (a) Islam (  )  (b) Christianity (  )</w:t>
      </w:r>
      <w:r w:rsidRPr="005F6C37">
        <w:rPr>
          <w:rFonts w:ascii="Times New Roman" w:hAnsi="Times New Roman" w:cs="Times New Roman"/>
          <w:sz w:val="24"/>
          <w:szCs w:val="24"/>
        </w:rPr>
        <w:tab/>
        <w:t>(c) Traditional (  )</w:t>
      </w:r>
    </w:p>
    <w:p w:rsidR="002E671C" w:rsidRPr="005F6C37" w:rsidRDefault="002C5934" w:rsidP="00A409A7">
      <w:pPr>
        <w:pStyle w:val="ListParagraph1"/>
        <w:numPr>
          <w:ilvl w:val="0"/>
          <w:numId w:val="6"/>
        </w:num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Marital Status (a) Single (  )  (b) Married (  )</w:t>
      </w:r>
    </w:p>
    <w:p w:rsidR="002E671C" w:rsidRPr="005F6C37" w:rsidRDefault="002C5934" w:rsidP="00A409A7">
      <w:pPr>
        <w:pStyle w:val="ListParagraph1"/>
        <w:numPr>
          <w:ilvl w:val="0"/>
          <w:numId w:val="6"/>
        </w:num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(a) Education Diploma or associate degree (  )  (b) Bachelor’s degree (  ) (c) Master’s degree (  )</w:t>
      </w:r>
      <w:r w:rsidRPr="005F6C37">
        <w:rPr>
          <w:rFonts w:ascii="Times New Roman" w:hAnsi="Times New Roman" w:cs="Times New Roman"/>
          <w:sz w:val="24"/>
          <w:szCs w:val="24"/>
        </w:rPr>
        <w:tab/>
      </w:r>
    </w:p>
    <w:p w:rsidR="002E671C" w:rsidRPr="005F6C37" w:rsidRDefault="002C5934" w:rsidP="00A409A7">
      <w:pPr>
        <w:pStyle w:val="ListParagraph1"/>
        <w:numPr>
          <w:ilvl w:val="0"/>
          <w:numId w:val="6"/>
        </w:numPr>
        <w:spacing w:after="0" w:line="360" w:lineRule="auto"/>
        <w:rPr>
          <w:rFonts w:ascii="Times New Roman" w:hAnsi="Times New Roman" w:cs="Times New Roman"/>
          <w:sz w:val="24"/>
          <w:szCs w:val="24"/>
        </w:rPr>
      </w:pPr>
      <w:r w:rsidRPr="005F6C37">
        <w:rPr>
          <w:rFonts w:ascii="Times New Roman" w:hAnsi="Times New Roman" w:cs="Times New Roman"/>
          <w:sz w:val="24"/>
          <w:szCs w:val="24"/>
        </w:rPr>
        <w:lastRenderedPageBreak/>
        <w:t>Current Role (a) Managerial (  )</w:t>
      </w:r>
      <w:r w:rsidRPr="005F6C37">
        <w:rPr>
          <w:rFonts w:ascii="Times New Roman" w:hAnsi="Times New Roman" w:cs="Times New Roman"/>
          <w:sz w:val="24"/>
          <w:szCs w:val="24"/>
        </w:rPr>
        <w:tab/>
        <w:t>(b) Non-managerial (  )</w:t>
      </w:r>
    </w:p>
    <w:p w:rsidR="002E671C" w:rsidRPr="005F6C37" w:rsidRDefault="002C5934" w:rsidP="00A409A7">
      <w:pPr>
        <w:pStyle w:val="ListParagraph1"/>
        <w:numPr>
          <w:ilvl w:val="0"/>
          <w:numId w:val="6"/>
        </w:num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Tenure in the current organization (a) 3–5 years (  )   (b ) 6–8 years (  )        (c) 8–10 years (  )</w:t>
      </w:r>
      <w:r w:rsidRPr="005F6C37">
        <w:rPr>
          <w:rFonts w:ascii="Times New Roman" w:hAnsi="Times New Roman" w:cs="Times New Roman"/>
          <w:sz w:val="24"/>
          <w:szCs w:val="24"/>
        </w:rPr>
        <w:tab/>
        <w:t>(d) More than 10 years (  )</w:t>
      </w:r>
    </w:p>
    <w:p w:rsidR="002E671C" w:rsidRPr="005F6C37" w:rsidRDefault="002C5934" w:rsidP="00A409A7">
      <w:pPr>
        <w:spacing w:after="0" w:line="360" w:lineRule="auto"/>
        <w:rPr>
          <w:rFonts w:ascii="Times New Roman" w:hAnsi="Times New Roman" w:cs="Times New Roman"/>
          <w:b/>
          <w:bCs/>
          <w:sz w:val="24"/>
          <w:szCs w:val="24"/>
        </w:rPr>
      </w:pPr>
      <w:r w:rsidRPr="005F6C37">
        <w:rPr>
          <w:rFonts w:ascii="Times New Roman" w:hAnsi="Times New Roman" w:cs="Times New Roman"/>
          <w:b/>
          <w:bCs/>
          <w:sz w:val="24"/>
          <w:szCs w:val="24"/>
        </w:rPr>
        <w:t>Section B</w:t>
      </w:r>
    </w:p>
    <w:p w:rsidR="002E671C" w:rsidRPr="005F6C37" w:rsidRDefault="002C5934" w:rsidP="00A409A7">
      <w:p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Instruction: Kindly respond to the items as you deemed appropriate with a tic that is most suitable item (s) from option boxes provided (√) on each question using the following keys.</w:t>
      </w:r>
    </w:p>
    <w:p w:rsidR="002E671C" w:rsidRPr="005F6C37" w:rsidRDefault="002C5934" w:rsidP="00A409A7">
      <w:pPr>
        <w:spacing w:after="0" w:line="360" w:lineRule="auto"/>
        <w:rPr>
          <w:rFonts w:ascii="Times New Roman" w:hAnsi="Times New Roman" w:cs="Times New Roman"/>
          <w:sz w:val="24"/>
          <w:szCs w:val="24"/>
        </w:rPr>
      </w:pPr>
      <w:r w:rsidRPr="005F6C37">
        <w:rPr>
          <w:rFonts w:ascii="Times New Roman" w:hAnsi="Times New Roman" w:cs="Times New Roman"/>
          <w:sz w:val="24"/>
          <w:szCs w:val="24"/>
        </w:rPr>
        <w:t>SA: Strongly Agree, A: Agree, U: Undecided D: Disagree, SD: Strongly Disagree</w:t>
      </w:r>
    </w:p>
    <w:tbl>
      <w:tblPr>
        <w:tblStyle w:val="TableGrid"/>
        <w:tblW w:w="5000" w:type="pct"/>
        <w:tblLook w:val="04A0" w:firstRow="1" w:lastRow="0" w:firstColumn="1" w:lastColumn="0" w:noHBand="0" w:noVBand="1"/>
      </w:tblPr>
      <w:tblGrid>
        <w:gridCol w:w="590"/>
        <w:gridCol w:w="5186"/>
        <w:gridCol w:w="523"/>
        <w:gridCol w:w="390"/>
        <w:gridCol w:w="390"/>
        <w:gridCol w:w="390"/>
        <w:gridCol w:w="523"/>
      </w:tblGrid>
      <w:tr w:rsidR="002E671C" w:rsidRPr="005F6C37" w:rsidTr="0027635D">
        <w:tc>
          <w:tcPr>
            <w:tcW w:w="349" w:type="pct"/>
          </w:tcPr>
          <w:p w:rsidR="002E671C" w:rsidRPr="005F6C37" w:rsidRDefault="002C5934" w:rsidP="0027635D">
            <w:pPr>
              <w:jc w:val="center"/>
              <w:rPr>
                <w:rFonts w:ascii="Times New Roman" w:hAnsi="Times New Roman" w:cs="Times New Roman"/>
                <w:b/>
                <w:bCs/>
                <w:sz w:val="24"/>
                <w:szCs w:val="24"/>
              </w:rPr>
            </w:pPr>
            <w:r w:rsidRPr="005F6C37">
              <w:rPr>
                <w:rFonts w:ascii="Times New Roman" w:hAnsi="Times New Roman" w:cs="Times New Roman"/>
                <w:b/>
                <w:bCs/>
                <w:sz w:val="24"/>
                <w:szCs w:val="24"/>
              </w:rPr>
              <w:t>S/N</w:t>
            </w:r>
          </w:p>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A</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 xml:space="preserve">To examine the influence of GHRM practices on the Organizational Effectiveness of </w:t>
            </w:r>
            <w:proofErr w:type="spellStart"/>
            <w:r w:rsidRPr="005F6C37">
              <w:rPr>
                <w:rFonts w:ascii="Times New Roman" w:hAnsi="Times New Roman" w:cs="Times New Roman"/>
                <w:b/>
                <w:bCs/>
                <w:sz w:val="24"/>
                <w:szCs w:val="24"/>
              </w:rPr>
              <w:t>GTBank</w:t>
            </w:r>
            <w:proofErr w:type="spellEnd"/>
          </w:p>
        </w:tc>
        <w:tc>
          <w:tcPr>
            <w:tcW w:w="307"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SA</w:t>
            </w:r>
          </w:p>
        </w:tc>
        <w:tc>
          <w:tcPr>
            <w:tcW w:w="22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A</w:t>
            </w:r>
          </w:p>
        </w:tc>
        <w:tc>
          <w:tcPr>
            <w:tcW w:w="22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U</w:t>
            </w:r>
          </w:p>
        </w:tc>
        <w:tc>
          <w:tcPr>
            <w:tcW w:w="22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D</w:t>
            </w:r>
          </w:p>
        </w:tc>
        <w:tc>
          <w:tcPr>
            <w:tcW w:w="307" w:type="pct"/>
          </w:tcPr>
          <w:p w:rsidR="002E671C" w:rsidRPr="005F6C37" w:rsidRDefault="002C5934" w:rsidP="0027635D">
            <w:pPr>
              <w:jc w:val="center"/>
              <w:rPr>
                <w:rFonts w:ascii="Times New Roman" w:hAnsi="Times New Roman" w:cs="Times New Roman"/>
                <w:b/>
                <w:bCs/>
                <w:sz w:val="24"/>
                <w:szCs w:val="24"/>
              </w:rPr>
            </w:pPr>
            <w:r w:rsidRPr="005F6C37">
              <w:rPr>
                <w:rFonts w:ascii="Times New Roman" w:hAnsi="Times New Roman" w:cs="Times New Roman"/>
                <w:b/>
                <w:bCs/>
                <w:sz w:val="24"/>
                <w:szCs w:val="24"/>
              </w:rPr>
              <w:t>SD</w:t>
            </w: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8.</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recruitment and selection</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9.</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management of organizational culture</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10.</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performance management and appraisal</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11.</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employee empowerment and participation</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12.</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reward and compensation</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13.</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training and development</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E671C" w:rsidP="0027635D">
            <w:pPr>
              <w:rPr>
                <w:rFonts w:ascii="Times New Roman" w:hAnsi="Times New Roman" w:cs="Times New Roman"/>
                <w:sz w:val="24"/>
                <w:szCs w:val="24"/>
              </w:rPr>
            </w:pPr>
          </w:p>
        </w:tc>
        <w:tc>
          <w:tcPr>
            <w:tcW w:w="3360"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B</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 xml:space="preserve">To assess the relationship between GHRM practices and Organizational Competitiveness of </w:t>
            </w:r>
            <w:proofErr w:type="spellStart"/>
            <w:r w:rsidRPr="005F6C37">
              <w:rPr>
                <w:rFonts w:ascii="Times New Roman" w:hAnsi="Times New Roman" w:cs="Times New Roman"/>
                <w:b/>
                <w:bCs/>
                <w:sz w:val="24"/>
                <w:szCs w:val="24"/>
              </w:rPr>
              <w:t>GTBank</w:t>
            </w:r>
            <w:proofErr w:type="spellEnd"/>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14.</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job design and analysis are properly practiced in your organization</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15.</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human resource planning is involved in your organizational decision making</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16.</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Your organization follows green recruitment and selection</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b/>
                <w:bCs/>
                <w:sz w:val="24"/>
                <w:szCs w:val="24"/>
              </w:rPr>
            </w:pPr>
            <w:r w:rsidRPr="005F6C37">
              <w:rPr>
                <w:rFonts w:ascii="Times New Roman" w:hAnsi="Times New Roman" w:cs="Times New Roman"/>
                <w:b/>
                <w:bCs/>
                <w:sz w:val="24"/>
                <w:szCs w:val="24"/>
              </w:rPr>
              <w:t>S/N</w:t>
            </w:r>
          </w:p>
          <w:p w:rsidR="002E671C" w:rsidRPr="005F6C37" w:rsidRDefault="002E671C" w:rsidP="0027635D">
            <w:pPr>
              <w:rPr>
                <w:rFonts w:ascii="Times New Roman" w:hAnsi="Times New Roman" w:cs="Times New Roman"/>
                <w:sz w:val="24"/>
                <w:szCs w:val="24"/>
              </w:rPr>
            </w:pPr>
          </w:p>
        </w:tc>
        <w:tc>
          <w:tcPr>
            <w:tcW w:w="3360"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SA</w:t>
            </w:r>
          </w:p>
        </w:tc>
        <w:tc>
          <w:tcPr>
            <w:tcW w:w="22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A</w:t>
            </w:r>
          </w:p>
        </w:tc>
        <w:tc>
          <w:tcPr>
            <w:tcW w:w="22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U</w:t>
            </w:r>
          </w:p>
        </w:tc>
        <w:tc>
          <w:tcPr>
            <w:tcW w:w="22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D</w:t>
            </w:r>
          </w:p>
        </w:tc>
        <w:tc>
          <w:tcPr>
            <w:tcW w:w="307"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SD</w:t>
            </w: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17.</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induction is applied in your organization</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18.</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Your organization emphasizes on green performance management</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19.</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Your organization focuses on green training and development</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20.</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Your organization emphasizes on green reward and compensation management</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lastRenderedPageBreak/>
              <w:t>21.</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health and safety management are properly practiced in your organization</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22.</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Your organization maintains green employee discipline management</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23.</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Your organization develops green employee relations</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E671C" w:rsidP="0027635D">
            <w:pPr>
              <w:rPr>
                <w:rFonts w:ascii="Times New Roman" w:hAnsi="Times New Roman" w:cs="Times New Roman"/>
                <w:sz w:val="24"/>
                <w:szCs w:val="24"/>
              </w:rPr>
            </w:pPr>
          </w:p>
        </w:tc>
        <w:tc>
          <w:tcPr>
            <w:tcW w:w="3360"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C</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 xml:space="preserve">To evaluate the roles of GHRM practices on Organizational Resilience of </w:t>
            </w:r>
            <w:proofErr w:type="spellStart"/>
            <w:r w:rsidRPr="005F6C37">
              <w:rPr>
                <w:rFonts w:ascii="Times New Roman" w:hAnsi="Times New Roman" w:cs="Times New Roman"/>
                <w:b/>
                <w:bCs/>
                <w:sz w:val="24"/>
                <w:szCs w:val="24"/>
              </w:rPr>
              <w:t>GTBank</w:t>
            </w:r>
            <w:proofErr w:type="spellEnd"/>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24.</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Promote social responsibility towards environment</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25.</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Better environmental effectiveness of the organization</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26.</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 xml:space="preserve">Creating a competitive advantage </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27.</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Increase employee loyalty and retention</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28.</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Attract and retain green top talent</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29.</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Increase profitability and reduce cost</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30.</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Reduction in environmental impact of the company</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31.</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Create a culture of having concern for the wellbeing and health of fellow workers</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32.</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 xml:space="preserve">Helps in achieving higher employee job satisfaction and commitment </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33.</w:t>
            </w:r>
          </w:p>
        </w:tc>
        <w:tc>
          <w:tcPr>
            <w:tcW w:w="336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Encourage employees through training and compensation to reduce the use of environmental damaging materials</w:t>
            </w: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49" w:type="pct"/>
          </w:tcPr>
          <w:p w:rsidR="002E671C" w:rsidRPr="005F6C37" w:rsidRDefault="002E671C" w:rsidP="0027635D">
            <w:pPr>
              <w:rPr>
                <w:rFonts w:ascii="Times New Roman" w:hAnsi="Times New Roman" w:cs="Times New Roman"/>
                <w:sz w:val="24"/>
                <w:szCs w:val="24"/>
              </w:rPr>
            </w:pPr>
          </w:p>
        </w:tc>
        <w:tc>
          <w:tcPr>
            <w:tcW w:w="3360"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226" w:type="pct"/>
          </w:tcPr>
          <w:p w:rsidR="002E671C" w:rsidRPr="005F6C37" w:rsidRDefault="002E671C" w:rsidP="0027635D">
            <w:pPr>
              <w:rPr>
                <w:rFonts w:ascii="Times New Roman" w:hAnsi="Times New Roman" w:cs="Times New Roman"/>
                <w:sz w:val="24"/>
                <w:szCs w:val="24"/>
              </w:rPr>
            </w:pPr>
          </w:p>
        </w:tc>
        <w:tc>
          <w:tcPr>
            <w:tcW w:w="307" w:type="pct"/>
          </w:tcPr>
          <w:p w:rsidR="002E671C" w:rsidRPr="005F6C37" w:rsidRDefault="002E671C" w:rsidP="0027635D">
            <w:pPr>
              <w:rPr>
                <w:rFonts w:ascii="Times New Roman" w:hAnsi="Times New Roman" w:cs="Times New Roman"/>
                <w:sz w:val="24"/>
                <w:szCs w:val="24"/>
              </w:rPr>
            </w:pPr>
          </w:p>
        </w:tc>
      </w:tr>
    </w:tbl>
    <w:p w:rsidR="002E671C" w:rsidRPr="005F6C37" w:rsidRDefault="002C5934" w:rsidP="00A409A7">
      <w:pPr>
        <w:spacing w:after="0" w:line="360" w:lineRule="auto"/>
        <w:rPr>
          <w:rFonts w:ascii="Times New Roman" w:hAnsi="Times New Roman" w:cs="Times New Roman"/>
          <w:b/>
          <w:bCs/>
          <w:sz w:val="24"/>
          <w:szCs w:val="24"/>
        </w:rPr>
      </w:pPr>
      <w:r w:rsidRPr="005F6C37">
        <w:rPr>
          <w:rFonts w:ascii="Times New Roman" w:hAnsi="Times New Roman" w:cs="Times New Roman"/>
          <w:b/>
          <w:bCs/>
          <w:sz w:val="24"/>
          <w:szCs w:val="24"/>
        </w:rPr>
        <w:t>Section C: Hypothetical Questions</w:t>
      </w:r>
    </w:p>
    <w:tbl>
      <w:tblPr>
        <w:tblStyle w:val="TableGrid"/>
        <w:tblW w:w="5000" w:type="pct"/>
        <w:tblLook w:val="04A0" w:firstRow="1" w:lastRow="0" w:firstColumn="1" w:lastColumn="0" w:noHBand="0" w:noVBand="1"/>
      </w:tblPr>
      <w:tblGrid>
        <w:gridCol w:w="590"/>
        <w:gridCol w:w="5186"/>
        <w:gridCol w:w="523"/>
        <w:gridCol w:w="390"/>
        <w:gridCol w:w="390"/>
        <w:gridCol w:w="390"/>
        <w:gridCol w:w="523"/>
      </w:tblGrid>
      <w:tr w:rsidR="002E671C" w:rsidRPr="005F6C37" w:rsidTr="0027635D">
        <w:tc>
          <w:tcPr>
            <w:tcW w:w="376" w:type="pct"/>
          </w:tcPr>
          <w:p w:rsidR="002E671C" w:rsidRPr="005F6C37" w:rsidRDefault="002C5934" w:rsidP="0027635D">
            <w:pPr>
              <w:rPr>
                <w:rFonts w:ascii="Times New Roman" w:hAnsi="Times New Roman" w:cs="Times New Roman"/>
                <w:b/>
                <w:bCs/>
                <w:sz w:val="24"/>
                <w:szCs w:val="24"/>
              </w:rPr>
            </w:pPr>
            <w:r w:rsidRPr="005F6C37">
              <w:rPr>
                <w:rFonts w:ascii="Times New Roman" w:hAnsi="Times New Roman" w:cs="Times New Roman"/>
                <w:b/>
                <w:bCs/>
                <w:sz w:val="24"/>
                <w:szCs w:val="24"/>
              </w:rPr>
              <w:t>S/N</w:t>
            </w:r>
          </w:p>
          <w:p w:rsidR="002E671C" w:rsidRPr="005F6C37" w:rsidRDefault="002E671C" w:rsidP="0027635D">
            <w:pPr>
              <w:jc w:val="center"/>
              <w:rPr>
                <w:rFonts w:ascii="Times New Roman" w:hAnsi="Times New Roman" w:cs="Times New Roman"/>
                <w:sz w:val="24"/>
                <w:szCs w:val="24"/>
              </w:rPr>
            </w:pPr>
          </w:p>
        </w:tc>
        <w:tc>
          <w:tcPr>
            <w:tcW w:w="3330" w:type="pct"/>
          </w:tcPr>
          <w:p w:rsidR="002E671C" w:rsidRPr="005F6C37" w:rsidRDefault="002E671C" w:rsidP="0027635D">
            <w:pPr>
              <w:rPr>
                <w:rFonts w:ascii="Times New Roman" w:hAnsi="Times New Roman" w:cs="Times New Roman"/>
                <w:sz w:val="24"/>
                <w:szCs w:val="24"/>
              </w:rPr>
            </w:pPr>
          </w:p>
        </w:tc>
        <w:tc>
          <w:tcPr>
            <w:tcW w:w="30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SA</w:t>
            </w:r>
          </w:p>
        </w:tc>
        <w:tc>
          <w:tcPr>
            <w:tcW w:w="227"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A</w:t>
            </w:r>
          </w:p>
        </w:tc>
        <w:tc>
          <w:tcPr>
            <w:tcW w:w="227" w:type="pct"/>
          </w:tcPr>
          <w:p w:rsidR="002E671C" w:rsidRPr="005F6C37" w:rsidRDefault="002C5934" w:rsidP="0027635D">
            <w:pPr>
              <w:rPr>
                <w:rFonts w:ascii="Times New Roman" w:hAnsi="Times New Roman" w:cs="Times New Roman"/>
                <w:b/>
                <w:bCs/>
                <w:sz w:val="24"/>
                <w:szCs w:val="24"/>
              </w:rPr>
            </w:pPr>
            <w:r w:rsidRPr="005F6C37">
              <w:rPr>
                <w:rFonts w:ascii="Times New Roman" w:hAnsi="Times New Roman" w:cs="Times New Roman"/>
                <w:b/>
                <w:bCs/>
                <w:sz w:val="24"/>
                <w:szCs w:val="24"/>
              </w:rPr>
              <w:t>U</w:t>
            </w:r>
          </w:p>
        </w:tc>
        <w:tc>
          <w:tcPr>
            <w:tcW w:w="227"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b/>
                <w:bCs/>
                <w:sz w:val="24"/>
                <w:szCs w:val="24"/>
              </w:rPr>
              <w:t>D</w:t>
            </w:r>
          </w:p>
        </w:tc>
        <w:tc>
          <w:tcPr>
            <w:tcW w:w="306" w:type="pct"/>
          </w:tcPr>
          <w:p w:rsidR="002E671C" w:rsidRPr="005F6C37" w:rsidRDefault="002C5934" w:rsidP="0027635D">
            <w:pPr>
              <w:jc w:val="center"/>
              <w:rPr>
                <w:rFonts w:ascii="Times New Roman" w:hAnsi="Times New Roman" w:cs="Times New Roman"/>
                <w:b/>
                <w:bCs/>
                <w:sz w:val="24"/>
                <w:szCs w:val="24"/>
              </w:rPr>
            </w:pPr>
            <w:r w:rsidRPr="005F6C37">
              <w:rPr>
                <w:rFonts w:ascii="Times New Roman" w:hAnsi="Times New Roman" w:cs="Times New Roman"/>
                <w:b/>
                <w:bCs/>
                <w:sz w:val="24"/>
                <w:szCs w:val="24"/>
              </w:rPr>
              <w:t>SD</w:t>
            </w:r>
          </w:p>
        </w:tc>
      </w:tr>
      <w:tr w:rsidR="002E671C" w:rsidRPr="005F6C37" w:rsidTr="0027635D">
        <w:tc>
          <w:tcPr>
            <w:tcW w:w="37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34.</w:t>
            </w:r>
          </w:p>
        </w:tc>
        <w:tc>
          <w:tcPr>
            <w:tcW w:w="333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Human Resource Management practices does not have any influence on the organizational effectiveness of GTB</w:t>
            </w:r>
          </w:p>
        </w:tc>
        <w:tc>
          <w:tcPr>
            <w:tcW w:w="306" w:type="pct"/>
          </w:tcPr>
          <w:p w:rsidR="002E671C" w:rsidRPr="005F6C37" w:rsidRDefault="002E671C" w:rsidP="0027635D">
            <w:pPr>
              <w:rPr>
                <w:rFonts w:ascii="Times New Roman" w:hAnsi="Times New Roman" w:cs="Times New Roman"/>
                <w:sz w:val="24"/>
                <w:szCs w:val="24"/>
              </w:rPr>
            </w:pPr>
          </w:p>
        </w:tc>
        <w:tc>
          <w:tcPr>
            <w:tcW w:w="227" w:type="pct"/>
          </w:tcPr>
          <w:p w:rsidR="002E671C" w:rsidRPr="005F6C37" w:rsidRDefault="002E671C" w:rsidP="0027635D">
            <w:pPr>
              <w:rPr>
                <w:rFonts w:ascii="Times New Roman" w:hAnsi="Times New Roman" w:cs="Times New Roman"/>
                <w:sz w:val="24"/>
                <w:szCs w:val="24"/>
              </w:rPr>
            </w:pPr>
          </w:p>
        </w:tc>
        <w:tc>
          <w:tcPr>
            <w:tcW w:w="227" w:type="pct"/>
          </w:tcPr>
          <w:p w:rsidR="002E671C" w:rsidRPr="005F6C37" w:rsidRDefault="002E671C" w:rsidP="0027635D">
            <w:pPr>
              <w:rPr>
                <w:rFonts w:ascii="Times New Roman" w:hAnsi="Times New Roman" w:cs="Times New Roman"/>
                <w:sz w:val="24"/>
                <w:szCs w:val="24"/>
              </w:rPr>
            </w:pPr>
          </w:p>
        </w:tc>
        <w:tc>
          <w:tcPr>
            <w:tcW w:w="227" w:type="pct"/>
          </w:tcPr>
          <w:p w:rsidR="002E671C" w:rsidRPr="005F6C37" w:rsidRDefault="002E671C" w:rsidP="0027635D">
            <w:pPr>
              <w:rPr>
                <w:rFonts w:ascii="Times New Roman" w:hAnsi="Times New Roman" w:cs="Times New Roman"/>
                <w:sz w:val="24"/>
                <w:szCs w:val="24"/>
              </w:rPr>
            </w:pPr>
          </w:p>
        </w:tc>
        <w:tc>
          <w:tcPr>
            <w:tcW w:w="306"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7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35.</w:t>
            </w:r>
          </w:p>
        </w:tc>
        <w:tc>
          <w:tcPr>
            <w:tcW w:w="333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There is no relationship between Green Human Resource Management practices and organizational competitiveness of GTB</w:t>
            </w:r>
          </w:p>
        </w:tc>
        <w:tc>
          <w:tcPr>
            <w:tcW w:w="306" w:type="pct"/>
          </w:tcPr>
          <w:p w:rsidR="002E671C" w:rsidRPr="005F6C37" w:rsidRDefault="002E671C" w:rsidP="0027635D">
            <w:pPr>
              <w:rPr>
                <w:rFonts w:ascii="Times New Roman" w:hAnsi="Times New Roman" w:cs="Times New Roman"/>
                <w:sz w:val="24"/>
                <w:szCs w:val="24"/>
              </w:rPr>
            </w:pPr>
          </w:p>
        </w:tc>
        <w:tc>
          <w:tcPr>
            <w:tcW w:w="227" w:type="pct"/>
          </w:tcPr>
          <w:p w:rsidR="002E671C" w:rsidRPr="005F6C37" w:rsidRDefault="002E671C" w:rsidP="0027635D">
            <w:pPr>
              <w:rPr>
                <w:rFonts w:ascii="Times New Roman" w:hAnsi="Times New Roman" w:cs="Times New Roman"/>
                <w:sz w:val="24"/>
                <w:szCs w:val="24"/>
              </w:rPr>
            </w:pPr>
          </w:p>
        </w:tc>
        <w:tc>
          <w:tcPr>
            <w:tcW w:w="227" w:type="pct"/>
          </w:tcPr>
          <w:p w:rsidR="002E671C" w:rsidRPr="005F6C37" w:rsidRDefault="002E671C" w:rsidP="0027635D">
            <w:pPr>
              <w:rPr>
                <w:rFonts w:ascii="Times New Roman" w:hAnsi="Times New Roman" w:cs="Times New Roman"/>
                <w:sz w:val="24"/>
                <w:szCs w:val="24"/>
              </w:rPr>
            </w:pPr>
          </w:p>
        </w:tc>
        <w:tc>
          <w:tcPr>
            <w:tcW w:w="227" w:type="pct"/>
          </w:tcPr>
          <w:p w:rsidR="002E671C" w:rsidRPr="005F6C37" w:rsidRDefault="002E671C" w:rsidP="0027635D">
            <w:pPr>
              <w:rPr>
                <w:rFonts w:ascii="Times New Roman" w:hAnsi="Times New Roman" w:cs="Times New Roman"/>
                <w:sz w:val="24"/>
                <w:szCs w:val="24"/>
              </w:rPr>
            </w:pPr>
          </w:p>
        </w:tc>
        <w:tc>
          <w:tcPr>
            <w:tcW w:w="306" w:type="pct"/>
          </w:tcPr>
          <w:p w:rsidR="002E671C" w:rsidRPr="005F6C37" w:rsidRDefault="002E671C" w:rsidP="0027635D">
            <w:pPr>
              <w:rPr>
                <w:rFonts w:ascii="Times New Roman" w:hAnsi="Times New Roman" w:cs="Times New Roman"/>
                <w:sz w:val="24"/>
                <w:szCs w:val="24"/>
              </w:rPr>
            </w:pPr>
          </w:p>
        </w:tc>
      </w:tr>
      <w:tr w:rsidR="002E671C" w:rsidRPr="005F6C37" w:rsidTr="0027635D">
        <w:tc>
          <w:tcPr>
            <w:tcW w:w="376"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36.</w:t>
            </w:r>
          </w:p>
        </w:tc>
        <w:tc>
          <w:tcPr>
            <w:tcW w:w="3330" w:type="pct"/>
          </w:tcPr>
          <w:p w:rsidR="002E671C" w:rsidRPr="005F6C37" w:rsidRDefault="002C5934" w:rsidP="0027635D">
            <w:pPr>
              <w:rPr>
                <w:rFonts w:ascii="Times New Roman" w:hAnsi="Times New Roman" w:cs="Times New Roman"/>
                <w:sz w:val="24"/>
                <w:szCs w:val="24"/>
              </w:rPr>
            </w:pPr>
            <w:r w:rsidRPr="005F6C37">
              <w:rPr>
                <w:rFonts w:ascii="Times New Roman" w:hAnsi="Times New Roman" w:cs="Times New Roman"/>
                <w:sz w:val="24"/>
                <w:szCs w:val="24"/>
              </w:rPr>
              <w:t>Green Human Resource Management practices has no role on organizational resilience of GTB</w:t>
            </w:r>
          </w:p>
        </w:tc>
        <w:tc>
          <w:tcPr>
            <w:tcW w:w="306" w:type="pct"/>
          </w:tcPr>
          <w:p w:rsidR="002E671C" w:rsidRPr="005F6C37" w:rsidRDefault="002E671C" w:rsidP="0027635D">
            <w:pPr>
              <w:rPr>
                <w:rFonts w:ascii="Times New Roman" w:hAnsi="Times New Roman" w:cs="Times New Roman"/>
                <w:sz w:val="24"/>
                <w:szCs w:val="24"/>
              </w:rPr>
            </w:pPr>
          </w:p>
        </w:tc>
        <w:tc>
          <w:tcPr>
            <w:tcW w:w="227" w:type="pct"/>
          </w:tcPr>
          <w:p w:rsidR="002E671C" w:rsidRPr="005F6C37" w:rsidRDefault="002E671C" w:rsidP="0027635D">
            <w:pPr>
              <w:rPr>
                <w:rFonts w:ascii="Times New Roman" w:hAnsi="Times New Roman" w:cs="Times New Roman"/>
                <w:sz w:val="24"/>
                <w:szCs w:val="24"/>
              </w:rPr>
            </w:pPr>
          </w:p>
        </w:tc>
        <w:tc>
          <w:tcPr>
            <w:tcW w:w="227" w:type="pct"/>
          </w:tcPr>
          <w:p w:rsidR="002E671C" w:rsidRPr="005F6C37" w:rsidRDefault="002E671C" w:rsidP="0027635D">
            <w:pPr>
              <w:rPr>
                <w:rFonts w:ascii="Times New Roman" w:hAnsi="Times New Roman" w:cs="Times New Roman"/>
                <w:sz w:val="24"/>
                <w:szCs w:val="24"/>
              </w:rPr>
            </w:pPr>
          </w:p>
        </w:tc>
        <w:tc>
          <w:tcPr>
            <w:tcW w:w="227" w:type="pct"/>
          </w:tcPr>
          <w:p w:rsidR="002E671C" w:rsidRPr="005F6C37" w:rsidRDefault="002E671C" w:rsidP="0027635D">
            <w:pPr>
              <w:rPr>
                <w:rFonts w:ascii="Times New Roman" w:hAnsi="Times New Roman" w:cs="Times New Roman"/>
                <w:sz w:val="24"/>
                <w:szCs w:val="24"/>
              </w:rPr>
            </w:pPr>
          </w:p>
        </w:tc>
        <w:tc>
          <w:tcPr>
            <w:tcW w:w="306" w:type="pct"/>
          </w:tcPr>
          <w:p w:rsidR="002E671C" w:rsidRPr="005F6C37" w:rsidRDefault="002E671C" w:rsidP="0027635D">
            <w:pPr>
              <w:rPr>
                <w:rFonts w:ascii="Times New Roman" w:hAnsi="Times New Roman" w:cs="Times New Roman"/>
                <w:sz w:val="24"/>
                <w:szCs w:val="24"/>
              </w:rPr>
            </w:pPr>
          </w:p>
        </w:tc>
      </w:tr>
    </w:tbl>
    <w:p w:rsidR="002E671C" w:rsidRPr="005F6C37" w:rsidRDefault="002E671C" w:rsidP="00A409A7">
      <w:pPr>
        <w:spacing w:after="0" w:line="360" w:lineRule="auto"/>
        <w:rPr>
          <w:rFonts w:ascii="Times New Roman" w:hAnsi="Times New Roman" w:cs="Times New Roman"/>
          <w:b/>
          <w:bCs/>
          <w:sz w:val="24"/>
          <w:szCs w:val="24"/>
        </w:rPr>
      </w:pPr>
    </w:p>
    <w:p w:rsidR="002E671C" w:rsidRPr="005F6C37" w:rsidRDefault="002E671C" w:rsidP="00A409A7">
      <w:pPr>
        <w:spacing w:after="0" w:line="360" w:lineRule="auto"/>
        <w:jc w:val="both"/>
        <w:rPr>
          <w:rFonts w:ascii="Times New Roman" w:hAnsi="Times New Roman" w:cs="Times New Roman"/>
          <w:sz w:val="24"/>
          <w:szCs w:val="24"/>
        </w:rPr>
      </w:pPr>
    </w:p>
    <w:sectPr w:rsidR="002E671C" w:rsidRPr="005F6C37" w:rsidSect="00072DB9">
      <w:pgSz w:w="11520" w:h="14400" w:code="1"/>
      <w:pgMar w:top="1440" w:right="1728" w:bottom="1440" w:left="2016"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8B2" w:rsidRDefault="004C58B2">
      <w:pPr>
        <w:spacing w:after="0" w:line="240" w:lineRule="auto"/>
      </w:pPr>
      <w:r>
        <w:separator/>
      </w:r>
    </w:p>
  </w:endnote>
  <w:endnote w:type="continuationSeparator" w:id="0">
    <w:p w:rsidR="004C58B2" w:rsidRDefault="004C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Yu Gothic"/>
    <w:charset w:val="00"/>
    <w:family w:val="roman"/>
    <w:pitch w:val="default"/>
    <w:sig w:usb0="00000000" w:usb1="00000000" w:usb2="00000001" w:usb3="00000000" w:csb0="400001BF" w:csb1="DFF70000"/>
  </w:font>
  <w:font w:name="Impact">
    <w:panose1 w:val="020B0806030902050204"/>
    <w:charset w:val="00"/>
    <w:family w:val="swiss"/>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Agency FB">
    <w:panose1 w:val="020B0503020202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等线">
    <w:altName w:val="Arial Unicode MS"/>
    <w:charset w:val="86"/>
    <w:family w:val="auto"/>
    <w:pitch w:val="variable"/>
    <w:sig w:usb0="00000000" w:usb1="38CF7CFA" w:usb2="00000016" w:usb3="00000000" w:csb0="0004000F" w:csb1="00000000"/>
  </w:font>
  <w:font w:name="等线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45562"/>
    </w:sdtPr>
    <w:sdtContent>
      <w:p w:rsidR="004D173F" w:rsidRDefault="004D173F">
        <w:pPr>
          <w:pStyle w:val="Footer"/>
          <w:jc w:val="center"/>
        </w:pPr>
        <w:r>
          <w:fldChar w:fldCharType="begin"/>
        </w:r>
        <w:r>
          <w:instrText xml:space="preserve"> PAGE   \* MERGEFORMAT </w:instrText>
        </w:r>
        <w:r>
          <w:fldChar w:fldCharType="separate"/>
        </w:r>
        <w:r w:rsidR="00A94AC3">
          <w:rPr>
            <w:noProof/>
          </w:rPr>
          <w:t>vii</w:t>
        </w:r>
        <w:r>
          <w:fldChar w:fldCharType="end"/>
        </w:r>
      </w:p>
    </w:sdtContent>
  </w:sdt>
  <w:p w:rsidR="004D173F" w:rsidRDefault="004D1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8B2" w:rsidRDefault="004C58B2">
      <w:pPr>
        <w:spacing w:after="0" w:line="240" w:lineRule="auto"/>
      </w:pPr>
      <w:r>
        <w:separator/>
      </w:r>
    </w:p>
  </w:footnote>
  <w:footnote w:type="continuationSeparator" w:id="0">
    <w:p w:rsidR="004C58B2" w:rsidRDefault="004C5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D58E1"/>
    <w:multiLevelType w:val="hybridMultilevel"/>
    <w:tmpl w:val="CD9696A0"/>
    <w:lvl w:ilvl="0" w:tplc="6FDE08F8">
      <w:start w:val="1"/>
      <w:numFmt w:val="lowerRoman"/>
      <w:lvlText w:val="%1."/>
      <w:lvlJc w:val="left"/>
      <w:pPr>
        <w:ind w:left="1080" w:hanging="720"/>
      </w:pPr>
      <w:rPr>
        <w:rFonts w:hint="default"/>
      </w:rPr>
    </w:lvl>
    <w:lvl w:ilvl="1" w:tplc="6CF801C8">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C34123"/>
    <w:multiLevelType w:val="hybridMultilevel"/>
    <w:tmpl w:val="6E145AE4"/>
    <w:lvl w:ilvl="0" w:tplc="8C24D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C38AF"/>
    <w:multiLevelType w:val="hybridMultilevel"/>
    <w:tmpl w:val="18EA4F34"/>
    <w:lvl w:ilvl="0" w:tplc="BF909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D05187"/>
    <w:multiLevelType w:val="hybridMultilevel"/>
    <w:tmpl w:val="AC92E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AF56B2"/>
    <w:multiLevelType w:val="hybridMultilevel"/>
    <w:tmpl w:val="6610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abstractNum w:abstractNumId="13">
    <w:nsid w:val="737176A0"/>
    <w:multiLevelType w:val="hybridMultilevel"/>
    <w:tmpl w:val="DA72C5B6"/>
    <w:lvl w:ilvl="0" w:tplc="0409000F">
      <w:start w:val="1"/>
      <w:numFmt w:val="decimal"/>
      <w:lvlText w:val="%1."/>
      <w:lvlJc w:val="left"/>
      <w:pPr>
        <w:ind w:left="720" w:hanging="360"/>
      </w:pPr>
    </w:lvl>
    <w:lvl w:ilvl="1" w:tplc="704EBD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7"/>
  </w:num>
  <w:num w:numId="5">
    <w:abstractNumId w:val="1"/>
  </w:num>
  <w:num w:numId="6">
    <w:abstractNumId w:val="10"/>
  </w:num>
  <w:num w:numId="7">
    <w:abstractNumId w:val="5"/>
  </w:num>
  <w:num w:numId="8">
    <w:abstractNumId w:val="12"/>
  </w:num>
  <w:num w:numId="9">
    <w:abstractNumId w:val="3"/>
  </w:num>
  <w:num w:numId="10">
    <w:abstractNumId w:val="2"/>
  </w:num>
  <w:num w:numId="11">
    <w:abstractNumId w:val="13"/>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71C"/>
    <w:rsid w:val="00072DB9"/>
    <w:rsid w:val="00080EF4"/>
    <w:rsid w:val="000E07B3"/>
    <w:rsid w:val="00132BE5"/>
    <w:rsid w:val="00135704"/>
    <w:rsid w:val="00144F66"/>
    <w:rsid w:val="00171AE5"/>
    <w:rsid w:val="001E5906"/>
    <w:rsid w:val="002144B5"/>
    <w:rsid w:val="002448D1"/>
    <w:rsid w:val="00266629"/>
    <w:rsid w:val="0027635D"/>
    <w:rsid w:val="00283EA2"/>
    <w:rsid w:val="002A7DF9"/>
    <w:rsid w:val="002C5934"/>
    <w:rsid w:val="002E671C"/>
    <w:rsid w:val="002F06A0"/>
    <w:rsid w:val="00300578"/>
    <w:rsid w:val="00355AB5"/>
    <w:rsid w:val="00355CA2"/>
    <w:rsid w:val="003B61A0"/>
    <w:rsid w:val="003D645B"/>
    <w:rsid w:val="00467FC5"/>
    <w:rsid w:val="00477B90"/>
    <w:rsid w:val="004A0F7B"/>
    <w:rsid w:val="004A2A25"/>
    <w:rsid w:val="004A39C8"/>
    <w:rsid w:val="004C58B2"/>
    <w:rsid w:val="004D173F"/>
    <w:rsid w:val="004F119F"/>
    <w:rsid w:val="0050179A"/>
    <w:rsid w:val="0052512A"/>
    <w:rsid w:val="00541105"/>
    <w:rsid w:val="00546BB7"/>
    <w:rsid w:val="005954E7"/>
    <w:rsid w:val="005D7349"/>
    <w:rsid w:val="005E42EE"/>
    <w:rsid w:val="005F1F14"/>
    <w:rsid w:val="005F592B"/>
    <w:rsid w:val="005F6C37"/>
    <w:rsid w:val="00613905"/>
    <w:rsid w:val="006269F6"/>
    <w:rsid w:val="006356DD"/>
    <w:rsid w:val="006462FB"/>
    <w:rsid w:val="00684C48"/>
    <w:rsid w:val="00697512"/>
    <w:rsid w:val="006C5CD2"/>
    <w:rsid w:val="00717CE3"/>
    <w:rsid w:val="00726894"/>
    <w:rsid w:val="00727F66"/>
    <w:rsid w:val="007927B6"/>
    <w:rsid w:val="007A386C"/>
    <w:rsid w:val="007D77D2"/>
    <w:rsid w:val="008439DD"/>
    <w:rsid w:val="00856048"/>
    <w:rsid w:val="00867D0D"/>
    <w:rsid w:val="008811B8"/>
    <w:rsid w:val="00883E8E"/>
    <w:rsid w:val="008C6835"/>
    <w:rsid w:val="009117CB"/>
    <w:rsid w:val="00927619"/>
    <w:rsid w:val="009617EB"/>
    <w:rsid w:val="00997AEC"/>
    <w:rsid w:val="009E1D18"/>
    <w:rsid w:val="009E4992"/>
    <w:rsid w:val="009F6A86"/>
    <w:rsid w:val="00A37AE7"/>
    <w:rsid w:val="00A409A7"/>
    <w:rsid w:val="00A813DB"/>
    <w:rsid w:val="00A94AC3"/>
    <w:rsid w:val="00AA2000"/>
    <w:rsid w:val="00B00A9F"/>
    <w:rsid w:val="00B22816"/>
    <w:rsid w:val="00B2364B"/>
    <w:rsid w:val="00B33E36"/>
    <w:rsid w:val="00B63660"/>
    <w:rsid w:val="00B7655B"/>
    <w:rsid w:val="00B9714E"/>
    <w:rsid w:val="00BE1B34"/>
    <w:rsid w:val="00BF3236"/>
    <w:rsid w:val="00BF68FC"/>
    <w:rsid w:val="00C42C7D"/>
    <w:rsid w:val="00C63249"/>
    <w:rsid w:val="00C9422C"/>
    <w:rsid w:val="00CD0BE1"/>
    <w:rsid w:val="00CF387B"/>
    <w:rsid w:val="00D06D68"/>
    <w:rsid w:val="00D632A0"/>
    <w:rsid w:val="00DD1A12"/>
    <w:rsid w:val="00DD4C88"/>
    <w:rsid w:val="00DD6A33"/>
    <w:rsid w:val="00DD6BF6"/>
    <w:rsid w:val="00E314BA"/>
    <w:rsid w:val="00E367C0"/>
    <w:rsid w:val="00E36B2A"/>
    <w:rsid w:val="00E40A76"/>
    <w:rsid w:val="00E757AC"/>
    <w:rsid w:val="00EE2BB2"/>
    <w:rsid w:val="00EE6BB2"/>
    <w:rsid w:val="00EF56BA"/>
    <w:rsid w:val="00F07985"/>
    <w:rsid w:val="00F261A2"/>
    <w:rsid w:val="00F53213"/>
    <w:rsid w:val="00F71980"/>
    <w:rsid w:val="00F93A1C"/>
    <w:rsid w:val="00FB14DF"/>
    <w:rsid w:val="00FC2271"/>
    <w:rsid w:val="00FD3608"/>
    <w:rsid w:val="00FF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83065CD-2321-B441-AEBA-09CC103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arkedcontent">
    <w:name w:val="markedcontent"/>
    <w:basedOn w:val="DefaultParagraphFont"/>
    <w:rsid w:val="007A386C"/>
  </w:style>
  <w:style w:type="paragraph" w:styleId="ListParagraph">
    <w:name w:val="List Paragraph"/>
    <w:basedOn w:val="Normal"/>
    <w:uiPriority w:val="99"/>
    <w:rsid w:val="00EE2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0856">
      <w:bodyDiv w:val="1"/>
      <w:marLeft w:val="0"/>
      <w:marRight w:val="0"/>
      <w:marTop w:val="0"/>
      <w:marBottom w:val="0"/>
      <w:divBdr>
        <w:top w:val="none" w:sz="0" w:space="0" w:color="auto"/>
        <w:left w:val="none" w:sz="0" w:space="0" w:color="auto"/>
        <w:bottom w:val="none" w:sz="0" w:space="0" w:color="auto"/>
        <w:right w:val="none" w:sz="0" w:space="0" w:color="auto"/>
      </w:divBdr>
    </w:div>
    <w:div w:id="172114144">
      <w:bodyDiv w:val="1"/>
      <w:marLeft w:val="0"/>
      <w:marRight w:val="0"/>
      <w:marTop w:val="0"/>
      <w:marBottom w:val="0"/>
      <w:divBdr>
        <w:top w:val="none" w:sz="0" w:space="0" w:color="auto"/>
        <w:left w:val="none" w:sz="0" w:space="0" w:color="auto"/>
        <w:bottom w:val="none" w:sz="0" w:space="0" w:color="auto"/>
        <w:right w:val="none" w:sz="0" w:space="0" w:color="auto"/>
      </w:divBdr>
    </w:div>
    <w:div w:id="177357693">
      <w:bodyDiv w:val="1"/>
      <w:marLeft w:val="0"/>
      <w:marRight w:val="0"/>
      <w:marTop w:val="0"/>
      <w:marBottom w:val="0"/>
      <w:divBdr>
        <w:top w:val="none" w:sz="0" w:space="0" w:color="auto"/>
        <w:left w:val="none" w:sz="0" w:space="0" w:color="auto"/>
        <w:bottom w:val="none" w:sz="0" w:space="0" w:color="auto"/>
        <w:right w:val="none" w:sz="0" w:space="0" w:color="auto"/>
      </w:divBdr>
    </w:div>
    <w:div w:id="210388109">
      <w:bodyDiv w:val="1"/>
      <w:marLeft w:val="0"/>
      <w:marRight w:val="0"/>
      <w:marTop w:val="0"/>
      <w:marBottom w:val="0"/>
      <w:divBdr>
        <w:top w:val="none" w:sz="0" w:space="0" w:color="auto"/>
        <w:left w:val="none" w:sz="0" w:space="0" w:color="auto"/>
        <w:bottom w:val="none" w:sz="0" w:space="0" w:color="auto"/>
        <w:right w:val="none" w:sz="0" w:space="0" w:color="auto"/>
      </w:divBdr>
    </w:div>
    <w:div w:id="212885176">
      <w:bodyDiv w:val="1"/>
      <w:marLeft w:val="0"/>
      <w:marRight w:val="0"/>
      <w:marTop w:val="0"/>
      <w:marBottom w:val="0"/>
      <w:divBdr>
        <w:top w:val="none" w:sz="0" w:space="0" w:color="auto"/>
        <w:left w:val="none" w:sz="0" w:space="0" w:color="auto"/>
        <w:bottom w:val="none" w:sz="0" w:space="0" w:color="auto"/>
        <w:right w:val="none" w:sz="0" w:space="0" w:color="auto"/>
      </w:divBdr>
    </w:div>
    <w:div w:id="427434488">
      <w:bodyDiv w:val="1"/>
      <w:marLeft w:val="0"/>
      <w:marRight w:val="0"/>
      <w:marTop w:val="0"/>
      <w:marBottom w:val="0"/>
      <w:divBdr>
        <w:top w:val="none" w:sz="0" w:space="0" w:color="auto"/>
        <w:left w:val="none" w:sz="0" w:space="0" w:color="auto"/>
        <w:bottom w:val="none" w:sz="0" w:space="0" w:color="auto"/>
        <w:right w:val="none" w:sz="0" w:space="0" w:color="auto"/>
      </w:divBdr>
    </w:div>
    <w:div w:id="456072555">
      <w:bodyDiv w:val="1"/>
      <w:marLeft w:val="0"/>
      <w:marRight w:val="0"/>
      <w:marTop w:val="0"/>
      <w:marBottom w:val="0"/>
      <w:divBdr>
        <w:top w:val="none" w:sz="0" w:space="0" w:color="auto"/>
        <w:left w:val="none" w:sz="0" w:space="0" w:color="auto"/>
        <w:bottom w:val="none" w:sz="0" w:space="0" w:color="auto"/>
        <w:right w:val="none" w:sz="0" w:space="0" w:color="auto"/>
      </w:divBdr>
      <w:divsChild>
        <w:div w:id="461122914">
          <w:marLeft w:val="0"/>
          <w:marRight w:val="0"/>
          <w:marTop w:val="0"/>
          <w:marBottom w:val="0"/>
          <w:divBdr>
            <w:top w:val="none" w:sz="0" w:space="0" w:color="auto"/>
            <w:left w:val="none" w:sz="0" w:space="0" w:color="auto"/>
            <w:bottom w:val="none" w:sz="0" w:space="0" w:color="auto"/>
            <w:right w:val="none" w:sz="0" w:space="0" w:color="auto"/>
          </w:divBdr>
          <w:divsChild>
            <w:div w:id="865799983">
              <w:marLeft w:val="0"/>
              <w:marRight w:val="0"/>
              <w:marTop w:val="0"/>
              <w:marBottom w:val="0"/>
              <w:divBdr>
                <w:top w:val="none" w:sz="0" w:space="0" w:color="auto"/>
                <w:left w:val="none" w:sz="0" w:space="0" w:color="auto"/>
                <w:bottom w:val="none" w:sz="0" w:space="0" w:color="auto"/>
                <w:right w:val="none" w:sz="0" w:space="0" w:color="auto"/>
              </w:divBdr>
              <w:divsChild>
                <w:div w:id="1956793848">
                  <w:marLeft w:val="0"/>
                  <w:marRight w:val="0"/>
                  <w:marTop w:val="0"/>
                  <w:marBottom w:val="0"/>
                  <w:divBdr>
                    <w:top w:val="none" w:sz="0" w:space="0" w:color="auto"/>
                    <w:left w:val="none" w:sz="0" w:space="0" w:color="auto"/>
                    <w:bottom w:val="none" w:sz="0" w:space="0" w:color="auto"/>
                    <w:right w:val="none" w:sz="0" w:space="0" w:color="auto"/>
                  </w:divBdr>
                  <w:divsChild>
                    <w:div w:id="1965844443">
                      <w:marLeft w:val="0"/>
                      <w:marRight w:val="0"/>
                      <w:marTop w:val="0"/>
                      <w:marBottom w:val="0"/>
                      <w:divBdr>
                        <w:top w:val="none" w:sz="0" w:space="0" w:color="auto"/>
                        <w:left w:val="none" w:sz="0" w:space="0" w:color="auto"/>
                        <w:bottom w:val="none" w:sz="0" w:space="0" w:color="auto"/>
                        <w:right w:val="none" w:sz="0" w:space="0" w:color="auto"/>
                      </w:divBdr>
                      <w:divsChild>
                        <w:div w:id="1820026934">
                          <w:marLeft w:val="0"/>
                          <w:marRight w:val="0"/>
                          <w:marTop w:val="0"/>
                          <w:marBottom w:val="0"/>
                          <w:divBdr>
                            <w:top w:val="none" w:sz="0" w:space="0" w:color="auto"/>
                            <w:left w:val="none" w:sz="0" w:space="0" w:color="auto"/>
                            <w:bottom w:val="none" w:sz="0" w:space="0" w:color="auto"/>
                            <w:right w:val="none" w:sz="0" w:space="0" w:color="auto"/>
                          </w:divBdr>
                          <w:divsChild>
                            <w:div w:id="228729284">
                              <w:marLeft w:val="0"/>
                              <w:marRight w:val="0"/>
                              <w:marTop w:val="0"/>
                              <w:marBottom w:val="0"/>
                              <w:divBdr>
                                <w:top w:val="none" w:sz="0" w:space="0" w:color="auto"/>
                                <w:left w:val="none" w:sz="0" w:space="0" w:color="auto"/>
                                <w:bottom w:val="none" w:sz="0" w:space="0" w:color="auto"/>
                                <w:right w:val="none" w:sz="0" w:space="0" w:color="auto"/>
                              </w:divBdr>
                              <w:divsChild>
                                <w:div w:id="910772112">
                                  <w:marLeft w:val="0"/>
                                  <w:marRight w:val="0"/>
                                  <w:marTop w:val="0"/>
                                  <w:marBottom w:val="0"/>
                                  <w:divBdr>
                                    <w:top w:val="none" w:sz="0" w:space="0" w:color="auto"/>
                                    <w:left w:val="none" w:sz="0" w:space="0" w:color="auto"/>
                                    <w:bottom w:val="none" w:sz="0" w:space="0" w:color="auto"/>
                                    <w:right w:val="none" w:sz="0" w:space="0" w:color="auto"/>
                                  </w:divBdr>
                                  <w:divsChild>
                                    <w:div w:id="1853572502">
                                      <w:marLeft w:val="0"/>
                                      <w:marRight w:val="0"/>
                                      <w:marTop w:val="0"/>
                                      <w:marBottom w:val="0"/>
                                      <w:divBdr>
                                        <w:top w:val="none" w:sz="0" w:space="0" w:color="auto"/>
                                        <w:left w:val="none" w:sz="0" w:space="0" w:color="auto"/>
                                        <w:bottom w:val="none" w:sz="0" w:space="0" w:color="auto"/>
                                        <w:right w:val="none" w:sz="0" w:space="0" w:color="auto"/>
                                      </w:divBdr>
                                      <w:divsChild>
                                        <w:div w:id="1934315115">
                                          <w:marLeft w:val="0"/>
                                          <w:marRight w:val="0"/>
                                          <w:marTop w:val="0"/>
                                          <w:marBottom w:val="0"/>
                                          <w:divBdr>
                                            <w:top w:val="none" w:sz="0" w:space="0" w:color="auto"/>
                                            <w:left w:val="none" w:sz="0" w:space="0" w:color="auto"/>
                                            <w:bottom w:val="none" w:sz="0" w:space="0" w:color="auto"/>
                                            <w:right w:val="none" w:sz="0" w:space="0" w:color="auto"/>
                                          </w:divBdr>
                                          <w:divsChild>
                                            <w:div w:id="1709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381538">
      <w:bodyDiv w:val="1"/>
      <w:marLeft w:val="0"/>
      <w:marRight w:val="0"/>
      <w:marTop w:val="0"/>
      <w:marBottom w:val="0"/>
      <w:divBdr>
        <w:top w:val="none" w:sz="0" w:space="0" w:color="auto"/>
        <w:left w:val="none" w:sz="0" w:space="0" w:color="auto"/>
        <w:bottom w:val="none" w:sz="0" w:space="0" w:color="auto"/>
        <w:right w:val="none" w:sz="0" w:space="0" w:color="auto"/>
      </w:divBdr>
    </w:div>
    <w:div w:id="596014087">
      <w:bodyDiv w:val="1"/>
      <w:marLeft w:val="0"/>
      <w:marRight w:val="0"/>
      <w:marTop w:val="0"/>
      <w:marBottom w:val="0"/>
      <w:divBdr>
        <w:top w:val="none" w:sz="0" w:space="0" w:color="auto"/>
        <w:left w:val="none" w:sz="0" w:space="0" w:color="auto"/>
        <w:bottom w:val="none" w:sz="0" w:space="0" w:color="auto"/>
        <w:right w:val="none" w:sz="0" w:space="0" w:color="auto"/>
      </w:divBdr>
    </w:div>
    <w:div w:id="683896740">
      <w:bodyDiv w:val="1"/>
      <w:marLeft w:val="0"/>
      <w:marRight w:val="0"/>
      <w:marTop w:val="0"/>
      <w:marBottom w:val="0"/>
      <w:divBdr>
        <w:top w:val="none" w:sz="0" w:space="0" w:color="auto"/>
        <w:left w:val="none" w:sz="0" w:space="0" w:color="auto"/>
        <w:bottom w:val="none" w:sz="0" w:space="0" w:color="auto"/>
        <w:right w:val="none" w:sz="0" w:space="0" w:color="auto"/>
      </w:divBdr>
    </w:div>
    <w:div w:id="741485701">
      <w:bodyDiv w:val="1"/>
      <w:marLeft w:val="0"/>
      <w:marRight w:val="0"/>
      <w:marTop w:val="0"/>
      <w:marBottom w:val="0"/>
      <w:divBdr>
        <w:top w:val="none" w:sz="0" w:space="0" w:color="auto"/>
        <w:left w:val="none" w:sz="0" w:space="0" w:color="auto"/>
        <w:bottom w:val="none" w:sz="0" w:space="0" w:color="auto"/>
        <w:right w:val="none" w:sz="0" w:space="0" w:color="auto"/>
      </w:divBdr>
      <w:divsChild>
        <w:div w:id="1270551765">
          <w:marLeft w:val="0"/>
          <w:marRight w:val="0"/>
          <w:marTop w:val="0"/>
          <w:marBottom w:val="0"/>
          <w:divBdr>
            <w:top w:val="none" w:sz="0" w:space="0" w:color="auto"/>
            <w:left w:val="none" w:sz="0" w:space="0" w:color="auto"/>
            <w:bottom w:val="none" w:sz="0" w:space="0" w:color="auto"/>
            <w:right w:val="none" w:sz="0" w:space="0" w:color="auto"/>
          </w:divBdr>
          <w:divsChild>
            <w:div w:id="600840132">
              <w:marLeft w:val="0"/>
              <w:marRight w:val="0"/>
              <w:marTop w:val="0"/>
              <w:marBottom w:val="0"/>
              <w:divBdr>
                <w:top w:val="none" w:sz="0" w:space="0" w:color="auto"/>
                <w:left w:val="none" w:sz="0" w:space="0" w:color="auto"/>
                <w:bottom w:val="none" w:sz="0" w:space="0" w:color="auto"/>
                <w:right w:val="none" w:sz="0" w:space="0" w:color="auto"/>
              </w:divBdr>
              <w:divsChild>
                <w:div w:id="1428960761">
                  <w:marLeft w:val="0"/>
                  <w:marRight w:val="0"/>
                  <w:marTop w:val="0"/>
                  <w:marBottom w:val="0"/>
                  <w:divBdr>
                    <w:top w:val="none" w:sz="0" w:space="0" w:color="auto"/>
                    <w:left w:val="none" w:sz="0" w:space="0" w:color="auto"/>
                    <w:bottom w:val="none" w:sz="0" w:space="0" w:color="auto"/>
                    <w:right w:val="none" w:sz="0" w:space="0" w:color="auto"/>
                  </w:divBdr>
                  <w:divsChild>
                    <w:div w:id="1797723103">
                      <w:marLeft w:val="0"/>
                      <w:marRight w:val="0"/>
                      <w:marTop w:val="0"/>
                      <w:marBottom w:val="0"/>
                      <w:divBdr>
                        <w:top w:val="none" w:sz="0" w:space="0" w:color="auto"/>
                        <w:left w:val="none" w:sz="0" w:space="0" w:color="auto"/>
                        <w:bottom w:val="none" w:sz="0" w:space="0" w:color="auto"/>
                        <w:right w:val="none" w:sz="0" w:space="0" w:color="auto"/>
                      </w:divBdr>
                      <w:divsChild>
                        <w:div w:id="769355760">
                          <w:marLeft w:val="0"/>
                          <w:marRight w:val="0"/>
                          <w:marTop w:val="0"/>
                          <w:marBottom w:val="0"/>
                          <w:divBdr>
                            <w:top w:val="none" w:sz="0" w:space="0" w:color="auto"/>
                            <w:left w:val="none" w:sz="0" w:space="0" w:color="auto"/>
                            <w:bottom w:val="none" w:sz="0" w:space="0" w:color="auto"/>
                            <w:right w:val="none" w:sz="0" w:space="0" w:color="auto"/>
                          </w:divBdr>
                          <w:divsChild>
                            <w:div w:id="1244029109">
                              <w:marLeft w:val="0"/>
                              <w:marRight w:val="0"/>
                              <w:marTop w:val="0"/>
                              <w:marBottom w:val="0"/>
                              <w:divBdr>
                                <w:top w:val="none" w:sz="0" w:space="0" w:color="auto"/>
                                <w:left w:val="none" w:sz="0" w:space="0" w:color="auto"/>
                                <w:bottom w:val="none" w:sz="0" w:space="0" w:color="auto"/>
                                <w:right w:val="none" w:sz="0" w:space="0" w:color="auto"/>
                              </w:divBdr>
                              <w:divsChild>
                                <w:div w:id="298607782">
                                  <w:marLeft w:val="0"/>
                                  <w:marRight w:val="0"/>
                                  <w:marTop w:val="0"/>
                                  <w:marBottom w:val="0"/>
                                  <w:divBdr>
                                    <w:top w:val="none" w:sz="0" w:space="0" w:color="auto"/>
                                    <w:left w:val="none" w:sz="0" w:space="0" w:color="auto"/>
                                    <w:bottom w:val="none" w:sz="0" w:space="0" w:color="auto"/>
                                    <w:right w:val="none" w:sz="0" w:space="0" w:color="auto"/>
                                  </w:divBdr>
                                  <w:divsChild>
                                    <w:div w:id="793405054">
                                      <w:marLeft w:val="0"/>
                                      <w:marRight w:val="0"/>
                                      <w:marTop w:val="0"/>
                                      <w:marBottom w:val="0"/>
                                      <w:divBdr>
                                        <w:top w:val="none" w:sz="0" w:space="0" w:color="auto"/>
                                        <w:left w:val="none" w:sz="0" w:space="0" w:color="auto"/>
                                        <w:bottom w:val="none" w:sz="0" w:space="0" w:color="auto"/>
                                        <w:right w:val="none" w:sz="0" w:space="0" w:color="auto"/>
                                      </w:divBdr>
                                      <w:divsChild>
                                        <w:div w:id="388647005">
                                          <w:marLeft w:val="0"/>
                                          <w:marRight w:val="0"/>
                                          <w:marTop w:val="0"/>
                                          <w:marBottom w:val="0"/>
                                          <w:divBdr>
                                            <w:top w:val="none" w:sz="0" w:space="0" w:color="auto"/>
                                            <w:left w:val="none" w:sz="0" w:space="0" w:color="auto"/>
                                            <w:bottom w:val="none" w:sz="0" w:space="0" w:color="auto"/>
                                            <w:right w:val="none" w:sz="0" w:space="0" w:color="auto"/>
                                          </w:divBdr>
                                          <w:divsChild>
                                            <w:div w:id="231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15157">
      <w:bodyDiv w:val="1"/>
      <w:marLeft w:val="0"/>
      <w:marRight w:val="0"/>
      <w:marTop w:val="0"/>
      <w:marBottom w:val="0"/>
      <w:divBdr>
        <w:top w:val="none" w:sz="0" w:space="0" w:color="auto"/>
        <w:left w:val="none" w:sz="0" w:space="0" w:color="auto"/>
        <w:bottom w:val="none" w:sz="0" w:space="0" w:color="auto"/>
        <w:right w:val="none" w:sz="0" w:space="0" w:color="auto"/>
      </w:divBdr>
    </w:div>
    <w:div w:id="936521974">
      <w:bodyDiv w:val="1"/>
      <w:marLeft w:val="0"/>
      <w:marRight w:val="0"/>
      <w:marTop w:val="0"/>
      <w:marBottom w:val="0"/>
      <w:divBdr>
        <w:top w:val="none" w:sz="0" w:space="0" w:color="auto"/>
        <w:left w:val="none" w:sz="0" w:space="0" w:color="auto"/>
        <w:bottom w:val="none" w:sz="0" w:space="0" w:color="auto"/>
        <w:right w:val="none" w:sz="0" w:space="0" w:color="auto"/>
      </w:divBdr>
    </w:div>
    <w:div w:id="1004940982">
      <w:bodyDiv w:val="1"/>
      <w:marLeft w:val="0"/>
      <w:marRight w:val="0"/>
      <w:marTop w:val="0"/>
      <w:marBottom w:val="0"/>
      <w:divBdr>
        <w:top w:val="none" w:sz="0" w:space="0" w:color="auto"/>
        <w:left w:val="none" w:sz="0" w:space="0" w:color="auto"/>
        <w:bottom w:val="none" w:sz="0" w:space="0" w:color="auto"/>
        <w:right w:val="none" w:sz="0" w:space="0" w:color="auto"/>
      </w:divBdr>
    </w:div>
    <w:div w:id="1018849862">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28550418">
      <w:bodyDiv w:val="1"/>
      <w:marLeft w:val="0"/>
      <w:marRight w:val="0"/>
      <w:marTop w:val="0"/>
      <w:marBottom w:val="0"/>
      <w:divBdr>
        <w:top w:val="none" w:sz="0" w:space="0" w:color="auto"/>
        <w:left w:val="none" w:sz="0" w:space="0" w:color="auto"/>
        <w:bottom w:val="none" w:sz="0" w:space="0" w:color="auto"/>
        <w:right w:val="none" w:sz="0" w:space="0" w:color="auto"/>
      </w:divBdr>
      <w:divsChild>
        <w:div w:id="1373993230">
          <w:marLeft w:val="0"/>
          <w:marRight w:val="0"/>
          <w:marTop w:val="0"/>
          <w:marBottom w:val="0"/>
          <w:divBdr>
            <w:top w:val="none" w:sz="0" w:space="0" w:color="auto"/>
            <w:left w:val="none" w:sz="0" w:space="0" w:color="auto"/>
            <w:bottom w:val="none" w:sz="0" w:space="0" w:color="auto"/>
            <w:right w:val="none" w:sz="0" w:space="0" w:color="auto"/>
          </w:divBdr>
          <w:divsChild>
            <w:div w:id="279842502">
              <w:marLeft w:val="0"/>
              <w:marRight w:val="0"/>
              <w:marTop w:val="0"/>
              <w:marBottom w:val="0"/>
              <w:divBdr>
                <w:top w:val="none" w:sz="0" w:space="0" w:color="auto"/>
                <w:left w:val="none" w:sz="0" w:space="0" w:color="auto"/>
                <w:bottom w:val="none" w:sz="0" w:space="0" w:color="auto"/>
                <w:right w:val="none" w:sz="0" w:space="0" w:color="auto"/>
              </w:divBdr>
              <w:divsChild>
                <w:div w:id="1554538059">
                  <w:marLeft w:val="0"/>
                  <w:marRight w:val="0"/>
                  <w:marTop w:val="0"/>
                  <w:marBottom w:val="0"/>
                  <w:divBdr>
                    <w:top w:val="none" w:sz="0" w:space="0" w:color="auto"/>
                    <w:left w:val="none" w:sz="0" w:space="0" w:color="auto"/>
                    <w:bottom w:val="none" w:sz="0" w:space="0" w:color="auto"/>
                    <w:right w:val="none" w:sz="0" w:space="0" w:color="auto"/>
                  </w:divBdr>
                  <w:divsChild>
                    <w:div w:id="690649619">
                      <w:marLeft w:val="0"/>
                      <w:marRight w:val="0"/>
                      <w:marTop w:val="0"/>
                      <w:marBottom w:val="0"/>
                      <w:divBdr>
                        <w:top w:val="none" w:sz="0" w:space="0" w:color="auto"/>
                        <w:left w:val="none" w:sz="0" w:space="0" w:color="auto"/>
                        <w:bottom w:val="none" w:sz="0" w:space="0" w:color="auto"/>
                        <w:right w:val="none" w:sz="0" w:space="0" w:color="auto"/>
                      </w:divBdr>
                      <w:divsChild>
                        <w:div w:id="418452185">
                          <w:marLeft w:val="0"/>
                          <w:marRight w:val="0"/>
                          <w:marTop w:val="0"/>
                          <w:marBottom w:val="0"/>
                          <w:divBdr>
                            <w:top w:val="none" w:sz="0" w:space="0" w:color="auto"/>
                            <w:left w:val="none" w:sz="0" w:space="0" w:color="auto"/>
                            <w:bottom w:val="none" w:sz="0" w:space="0" w:color="auto"/>
                            <w:right w:val="none" w:sz="0" w:space="0" w:color="auto"/>
                          </w:divBdr>
                          <w:divsChild>
                            <w:div w:id="422529820">
                              <w:marLeft w:val="0"/>
                              <w:marRight w:val="0"/>
                              <w:marTop w:val="0"/>
                              <w:marBottom w:val="0"/>
                              <w:divBdr>
                                <w:top w:val="none" w:sz="0" w:space="0" w:color="auto"/>
                                <w:left w:val="none" w:sz="0" w:space="0" w:color="auto"/>
                                <w:bottom w:val="none" w:sz="0" w:space="0" w:color="auto"/>
                                <w:right w:val="none" w:sz="0" w:space="0" w:color="auto"/>
                              </w:divBdr>
                              <w:divsChild>
                                <w:div w:id="1206261956">
                                  <w:marLeft w:val="0"/>
                                  <w:marRight w:val="0"/>
                                  <w:marTop w:val="0"/>
                                  <w:marBottom w:val="0"/>
                                  <w:divBdr>
                                    <w:top w:val="none" w:sz="0" w:space="0" w:color="auto"/>
                                    <w:left w:val="none" w:sz="0" w:space="0" w:color="auto"/>
                                    <w:bottom w:val="none" w:sz="0" w:space="0" w:color="auto"/>
                                    <w:right w:val="none" w:sz="0" w:space="0" w:color="auto"/>
                                  </w:divBdr>
                                  <w:divsChild>
                                    <w:div w:id="1114129948">
                                      <w:marLeft w:val="0"/>
                                      <w:marRight w:val="0"/>
                                      <w:marTop w:val="0"/>
                                      <w:marBottom w:val="0"/>
                                      <w:divBdr>
                                        <w:top w:val="none" w:sz="0" w:space="0" w:color="auto"/>
                                        <w:left w:val="none" w:sz="0" w:space="0" w:color="auto"/>
                                        <w:bottom w:val="none" w:sz="0" w:space="0" w:color="auto"/>
                                        <w:right w:val="none" w:sz="0" w:space="0" w:color="auto"/>
                                      </w:divBdr>
                                      <w:divsChild>
                                        <w:div w:id="1834754946">
                                          <w:marLeft w:val="0"/>
                                          <w:marRight w:val="0"/>
                                          <w:marTop w:val="0"/>
                                          <w:marBottom w:val="0"/>
                                          <w:divBdr>
                                            <w:top w:val="none" w:sz="0" w:space="0" w:color="auto"/>
                                            <w:left w:val="none" w:sz="0" w:space="0" w:color="auto"/>
                                            <w:bottom w:val="none" w:sz="0" w:space="0" w:color="auto"/>
                                            <w:right w:val="none" w:sz="0" w:space="0" w:color="auto"/>
                                          </w:divBdr>
                                          <w:divsChild>
                                            <w:div w:id="15972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173370">
      <w:bodyDiv w:val="1"/>
      <w:marLeft w:val="0"/>
      <w:marRight w:val="0"/>
      <w:marTop w:val="0"/>
      <w:marBottom w:val="0"/>
      <w:divBdr>
        <w:top w:val="none" w:sz="0" w:space="0" w:color="auto"/>
        <w:left w:val="none" w:sz="0" w:space="0" w:color="auto"/>
        <w:bottom w:val="none" w:sz="0" w:space="0" w:color="auto"/>
        <w:right w:val="none" w:sz="0" w:space="0" w:color="auto"/>
      </w:divBdr>
    </w:div>
    <w:div w:id="1358121513">
      <w:bodyDiv w:val="1"/>
      <w:marLeft w:val="0"/>
      <w:marRight w:val="0"/>
      <w:marTop w:val="0"/>
      <w:marBottom w:val="0"/>
      <w:divBdr>
        <w:top w:val="none" w:sz="0" w:space="0" w:color="auto"/>
        <w:left w:val="none" w:sz="0" w:space="0" w:color="auto"/>
        <w:bottom w:val="none" w:sz="0" w:space="0" w:color="auto"/>
        <w:right w:val="none" w:sz="0" w:space="0" w:color="auto"/>
      </w:divBdr>
    </w:div>
    <w:div w:id="1382095768">
      <w:bodyDiv w:val="1"/>
      <w:marLeft w:val="0"/>
      <w:marRight w:val="0"/>
      <w:marTop w:val="0"/>
      <w:marBottom w:val="0"/>
      <w:divBdr>
        <w:top w:val="none" w:sz="0" w:space="0" w:color="auto"/>
        <w:left w:val="none" w:sz="0" w:space="0" w:color="auto"/>
        <w:bottom w:val="none" w:sz="0" w:space="0" w:color="auto"/>
        <w:right w:val="none" w:sz="0" w:space="0" w:color="auto"/>
      </w:divBdr>
    </w:div>
    <w:div w:id="1387410707">
      <w:bodyDiv w:val="1"/>
      <w:marLeft w:val="0"/>
      <w:marRight w:val="0"/>
      <w:marTop w:val="0"/>
      <w:marBottom w:val="0"/>
      <w:divBdr>
        <w:top w:val="none" w:sz="0" w:space="0" w:color="auto"/>
        <w:left w:val="none" w:sz="0" w:space="0" w:color="auto"/>
        <w:bottom w:val="none" w:sz="0" w:space="0" w:color="auto"/>
        <w:right w:val="none" w:sz="0" w:space="0" w:color="auto"/>
      </w:divBdr>
      <w:divsChild>
        <w:div w:id="1288195049">
          <w:marLeft w:val="0"/>
          <w:marRight w:val="0"/>
          <w:marTop w:val="0"/>
          <w:marBottom w:val="0"/>
          <w:divBdr>
            <w:top w:val="none" w:sz="0" w:space="0" w:color="auto"/>
            <w:left w:val="none" w:sz="0" w:space="0" w:color="auto"/>
            <w:bottom w:val="none" w:sz="0" w:space="0" w:color="auto"/>
            <w:right w:val="none" w:sz="0" w:space="0" w:color="auto"/>
          </w:divBdr>
          <w:divsChild>
            <w:div w:id="1880894859">
              <w:marLeft w:val="0"/>
              <w:marRight w:val="0"/>
              <w:marTop w:val="0"/>
              <w:marBottom w:val="0"/>
              <w:divBdr>
                <w:top w:val="none" w:sz="0" w:space="0" w:color="auto"/>
                <w:left w:val="none" w:sz="0" w:space="0" w:color="auto"/>
                <w:bottom w:val="none" w:sz="0" w:space="0" w:color="auto"/>
                <w:right w:val="none" w:sz="0" w:space="0" w:color="auto"/>
              </w:divBdr>
              <w:divsChild>
                <w:div w:id="128862122">
                  <w:marLeft w:val="0"/>
                  <w:marRight w:val="0"/>
                  <w:marTop w:val="0"/>
                  <w:marBottom w:val="0"/>
                  <w:divBdr>
                    <w:top w:val="none" w:sz="0" w:space="0" w:color="auto"/>
                    <w:left w:val="none" w:sz="0" w:space="0" w:color="auto"/>
                    <w:bottom w:val="none" w:sz="0" w:space="0" w:color="auto"/>
                    <w:right w:val="none" w:sz="0" w:space="0" w:color="auto"/>
                  </w:divBdr>
                  <w:divsChild>
                    <w:div w:id="2139644064">
                      <w:marLeft w:val="0"/>
                      <w:marRight w:val="0"/>
                      <w:marTop w:val="0"/>
                      <w:marBottom w:val="0"/>
                      <w:divBdr>
                        <w:top w:val="none" w:sz="0" w:space="0" w:color="auto"/>
                        <w:left w:val="none" w:sz="0" w:space="0" w:color="auto"/>
                        <w:bottom w:val="none" w:sz="0" w:space="0" w:color="auto"/>
                        <w:right w:val="none" w:sz="0" w:space="0" w:color="auto"/>
                      </w:divBdr>
                      <w:divsChild>
                        <w:div w:id="1623070271">
                          <w:marLeft w:val="0"/>
                          <w:marRight w:val="0"/>
                          <w:marTop w:val="0"/>
                          <w:marBottom w:val="0"/>
                          <w:divBdr>
                            <w:top w:val="none" w:sz="0" w:space="0" w:color="auto"/>
                            <w:left w:val="none" w:sz="0" w:space="0" w:color="auto"/>
                            <w:bottom w:val="none" w:sz="0" w:space="0" w:color="auto"/>
                            <w:right w:val="none" w:sz="0" w:space="0" w:color="auto"/>
                          </w:divBdr>
                          <w:divsChild>
                            <w:div w:id="128596772">
                              <w:marLeft w:val="0"/>
                              <w:marRight w:val="0"/>
                              <w:marTop w:val="0"/>
                              <w:marBottom w:val="0"/>
                              <w:divBdr>
                                <w:top w:val="none" w:sz="0" w:space="0" w:color="auto"/>
                                <w:left w:val="none" w:sz="0" w:space="0" w:color="auto"/>
                                <w:bottom w:val="none" w:sz="0" w:space="0" w:color="auto"/>
                                <w:right w:val="none" w:sz="0" w:space="0" w:color="auto"/>
                              </w:divBdr>
                              <w:divsChild>
                                <w:div w:id="393740615">
                                  <w:marLeft w:val="0"/>
                                  <w:marRight w:val="0"/>
                                  <w:marTop w:val="0"/>
                                  <w:marBottom w:val="0"/>
                                  <w:divBdr>
                                    <w:top w:val="none" w:sz="0" w:space="0" w:color="auto"/>
                                    <w:left w:val="none" w:sz="0" w:space="0" w:color="auto"/>
                                    <w:bottom w:val="none" w:sz="0" w:space="0" w:color="auto"/>
                                    <w:right w:val="none" w:sz="0" w:space="0" w:color="auto"/>
                                  </w:divBdr>
                                  <w:divsChild>
                                    <w:div w:id="2005862414">
                                      <w:marLeft w:val="0"/>
                                      <w:marRight w:val="0"/>
                                      <w:marTop w:val="0"/>
                                      <w:marBottom w:val="0"/>
                                      <w:divBdr>
                                        <w:top w:val="none" w:sz="0" w:space="0" w:color="auto"/>
                                        <w:left w:val="none" w:sz="0" w:space="0" w:color="auto"/>
                                        <w:bottom w:val="none" w:sz="0" w:space="0" w:color="auto"/>
                                        <w:right w:val="none" w:sz="0" w:space="0" w:color="auto"/>
                                      </w:divBdr>
                                      <w:divsChild>
                                        <w:div w:id="893002110">
                                          <w:marLeft w:val="0"/>
                                          <w:marRight w:val="0"/>
                                          <w:marTop w:val="0"/>
                                          <w:marBottom w:val="0"/>
                                          <w:divBdr>
                                            <w:top w:val="none" w:sz="0" w:space="0" w:color="auto"/>
                                            <w:left w:val="none" w:sz="0" w:space="0" w:color="auto"/>
                                            <w:bottom w:val="none" w:sz="0" w:space="0" w:color="auto"/>
                                            <w:right w:val="none" w:sz="0" w:space="0" w:color="auto"/>
                                          </w:divBdr>
                                          <w:divsChild>
                                            <w:div w:id="16616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833820">
      <w:bodyDiv w:val="1"/>
      <w:marLeft w:val="0"/>
      <w:marRight w:val="0"/>
      <w:marTop w:val="0"/>
      <w:marBottom w:val="0"/>
      <w:divBdr>
        <w:top w:val="none" w:sz="0" w:space="0" w:color="auto"/>
        <w:left w:val="none" w:sz="0" w:space="0" w:color="auto"/>
        <w:bottom w:val="none" w:sz="0" w:space="0" w:color="auto"/>
        <w:right w:val="none" w:sz="0" w:space="0" w:color="auto"/>
      </w:divBdr>
    </w:div>
    <w:div w:id="1623537529">
      <w:bodyDiv w:val="1"/>
      <w:marLeft w:val="0"/>
      <w:marRight w:val="0"/>
      <w:marTop w:val="0"/>
      <w:marBottom w:val="0"/>
      <w:divBdr>
        <w:top w:val="none" w:sz="0" w:space="0" w:color="auto"/>
        <w:left w:val="none" w:sz="0" w:space="0" w:color="auto"/>
        <w:bottom w:val="none" w:sz="0" w:space="0" w:color="auto"/>
        <w:right w:val="none" w:sz="0" w:space="0" w:color="auto"/>
      </w:divBdr>
      <w:divsChild>
        <w:div w:id="973753015">
          <w:marLeft w:val="0"/>
          <w:marRight w:val="0"/>
          <w:marTop w:val="0"/>
          <w:marBottom w:val="0"/>
          <w:divBdr>
            <w:top w:val="none" w:sz="0" w:space="0" w:color="auto"/>
            <w:left w:val="none" w:sz="0" w:space="0" w:color="auto"/>
            <w:bottom w:val="none" w:sz="0" w:space="0" w:color="auto"/>
            <w:right w:val="none" w:sz="0" w:space="0" w:color="auto"/>
          </w:divBdr>
          <w:divsChild>
            <w:div w:id="315039968">
              <w:marLeft w:val="0"/>
              <w:marRight w:val="0"/>
              <w:marTop w:val="0"/>
              <w:marBottom w:val="0"/>
              <w:divBdr>
                <w:top w:val="none" w:sz="0" w:space="0" w:color="auto"/>
                <w:left w:val="none" w:sz="0" w:space="0" w:color="auto"/>
                <w:bottom w:val="none" w:sz="0" w:space="0" w:color="auto"/>
                <w:right w:val="none" w:sz="0" w:space="0" w:color="auto"/>
              </w:divBdr>
              <w:divsChild>
                <w:div w:id="1989555671">
                  <w:marLeft w:val="0"/>
                  <w:marRight w:val="0"/>
                  <w:marTop w:val="0"/>
                  <w:marBottom w:val="0"/>
                  <w:divBdr>
                    <w:top w:val="none" w:sz="0" w:space="0" w:color="auto"/>
                    <w:left w:val="none" w:sz="0" w:space="0" w:color="auto"/>
                    <w:bottom w:val="none" w:sz="0" w:space="0" w:color="auto"/>
                    <w:right w:val="none" w:sz="0" w:space="0" w:color="auto"/>
                  </w:divBdr>
                  <w:divsChild>
                    <w:div w:id="1313870716">
                      <w:marLeft w:val="0"/>
                      <w:marRight w:val="0"/>
                      <w:marTop w:val="0"/>
                      <w:marBottom w:val="0"/>
                      <w:divBdr>
                        <w:top w:val="none" w:sz="0" w:space="0" w:color="auto"/>
                        <w:left w:val="none" w:sz="0" w:space="0" w:color="auto"/>
                        <w:bottom w:val="none" w:sz="0" w:space="0" w:color="auto"/>
                        <w:right w:val="none" w:sz="0" w:space="0" w:color="auto"/>
                      </w:divBdr>
                      <w:divsChild>
                        <w:div w:id="816799129">
                          <w:marLeft w:val="0"/>
                          <w:marRight w:val="0"/>
                          <w:marTop w:val="0"/>
                          <w:marBottom w:val="0"/>
                          <w:divBdr>
                            <w:top w:val="none" w:sz="0" w:space="0" w:color="auto"/>
                            <w:left w:val="none" w:sz="0" w:space="0" w:color="auto"/>
                            <w:bottom w:val="none" w:sz="0" w:space="0" w:color="auto"/>
                            <w:right w:val="none" w:sz="0" w:space="0" w:color="auto"/>
                          </w:divBdr>
                          <w:divsChild>
                            <w:div w:id="1016617271">
                              <w:marLeft w:val="0"/>
                              <w:marRight w:val="0"/>
                              <w:marTop w:val="0"/>
                              <w:marBottom w:val="0"/>
                              <w:divBdr>
                                <w:top w:val="none" w:sz="0" w:space="0" w:color="auto"/>
                                <w:left w:val="none" w:sz="0" w:space="0" w:color="auto"/>
                                <w:bottom w:val="none" w:sz="0" w:space="0" w:color="auto"/>
                                <w:right w:val="none" w:sz="0" w:space="0" w:color="auto"/>
                              </w:divBdr>
                              <w:divsChild>
                                <w:div w:id="1974169179">
                                  <w:marLeft w:val="0"/>
                                  <w:marRight w:val="0"/>
                                  <w:marTop w:val="0"/>
                                  <w:marBottom w:val="0"/>
                                  <w:divBdr>
                                    <w:top w:val="none" w:sz="0" w:space="0" w:color="auto"/>
                                    <w:left w:val="none" w:sz="0" w:space="0" w:color="auto"/>
                                    <w:bottom w:val="none" w:sz="0" w:space="0" w:color="auto"/>
                                    <w:right w:val="none" w:sz="0" w:space="0" w:color="auto"/>
                                  </w:divBdr>
                                  <w:divsChild>
                                    <w:div w:id="1207375503">
                                      <w:marLeft w:val="0"/>
                                      <w:marRight w:val="0"/>
                                      <w:marTop w:val="0"/>
                                      <w:marBottom w:val="0"/>
                                      <w:divBdr>
                                        <w:top w:val="none" w:sz="0" w:space="0" w:color="auto"/>
                                        <w:left w:val="none" w:sz="0" w:space="0" w:color="auto"/>
                                        <w:bottom w:val="none" w:sz="0" w:space="0" w:color="auto"/>
                                        <w:right w:val="none" w:sz="0" w:space="0" w:color="auto"/>
                                      </w:divBdr>
                                      <w:divsChild>
                                        <w:div w:id="1550919651">
                                          <w:marLeft w:val="0"/>
                                          <w:marRight w:val="0"/>
                                          <w:marTop w:val="0"/>
                                          <w:marBottom w:val="0"/>
                                          <w:divBdr>
                                            <w:top w:val="none" w:sz="0" w:space="0" w:color="auto"/>
                                            <w:left w:val="none" w:sz="0" w:space="0" w:color="auto"/>
                                            <w:bottom w:val="none" w:sz="0" w:space="0" w:color="auto"/>
                                            <w:right w:val="none" w:sz="0" w:space="0" w:color="auto"/>
                                          </w:divBdr>
                                          <w:divsChild>
                                            <w:div w:id="60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1872">
      <w:bodyDiv w:val="1"/>
      <w:marLeft w:val="0"/>
      <w:marRight w:val="0"/>
      <w:marTop w:val="0"/>
      <w:marBottom w:val="0"/>
      <w:divBdr>
        <w:top w:val="none" w:sz="0" w:space="0" w:color="auto"/>
        <w:left w:val="none" w:sz="0" w:space="0" w:color="auto"/>
        <w:bottom w:val="none" w:sz="0" w:space="0" w:color="auto"/>
        <w:right w:val="none" w:sz="0" w:space="0" w:color="auto"/>
      </w:divBdr>
    </w:div>
    <w:div w:id="1925531107">
      <w:bodyDiv w:val="1"/>
      <w:marLeft w:val="0"/>
      <w:marRight w:val="0"/>
      <w:marTop w:val="0"/>
      <w:marBottom w:val="0"/>
      <w:divBdr>
        <w:top w:val="none" w:sz="0" w:space="0" w:color="auto"/>
        <w:left w:val="none" w:sz="0" w:space="0" w:color="auto"/>
        <w:bottom w:val="none" w:sz="0" w:space="0" w:color="auto"/>
        <w:right w:val="none" w:sz="0" w:space="0" w:color="auto"/>
      </w:divBdr>
    </w:div>
    <w:div w:id="192892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68</Pages>
  <Words>15944</Words>
  <Characters>90884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Micheal Victor</cp:lastModifiedBy>
  <cp:revision>37</cp:revision>
  <cp:lastPrinted>2025-06-02T09:20:00Z</cp:lastPrinted>
  <dcterms:created xsi:type="dcterms:W3CDTF">2022-12-31T15:59:00Z</dcterms:created>
  <dcterms:modified xsi:type="dcterms:W3CDTF">2025-06-02T09:23:00Z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