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299C" w14:textId="77777777" w:rsidR="005E3EBD" w:rsidRDefault="005E3EBD" w:rsidP="00E209B7">
      <w:pPr>
        <w:spacing w:after="0" w:line="480" w:lineRule="auto"/>
        <w:jc w:val="center"/>
        <w:rPr>
          <w:rFonts w:ascii="Times New Roman" w:hAnsi="Times New Roman" w:cs="Times New Roman"/>
          <w:b/>
          <w:sz w:val="24"/>
          <w:szCs w:val="24"/>
        </w:rPr>
      </w:pPr>
      <w:r w:rsidRPr="005E3EBD">
        <w:rPr>
          <w:rFonts w:ascii="Times New Roman" w:hAnsi="Times New Roman" w:cs="Times New Roman"/>
          <w:b/>
          <w:sz w:val="24"/>
          <w:szCs w:val="24"/>
        </w:rPr>
        <w:t>Comprehensive Assessments of Soil Microbes in Kwara State Polytechnic Commercial Farm.</w:t>
      </w:r>
    </w:p>
    <w:p w14:paraId="55451D1D" w14:textId="77777777" w:rsidR="005E3EBD" w:rsidRDefault="005E3EBD" w:rsidP="00E209B7">
      <w:pPr>
        <w:spacing w:after="0" w:line="480" w:lineRule="auto"/>
        <w:jc w:val="center"/>
        <w:rPr>
          <w:rFonts w:ascii="Times New Roman" w:hAnsi="Times New Roman" w:cs="Times New Roman"/>
          <w:b/>
          <w:sz w:val="24"/>
          <w:szCs w:val="24"/>
        </w:rPr>
      </w:pPr>
    </w:p>
    <w:p w14:paraId="577ABA66" w14:textId="77777777" w:rsidR="0064751E" w:rsidRPr="00535D4A" w:rsidRDefault="00E209B7" w:rsidP="00E209B7">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One</w:t>
      </w:r>
    </w:p>
    <w:p w14:paraId="1A4DC53B"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1.1 Background of the Study</w:t>
      </w:r>
    </w:p>
    <w:p w14:paraId="34942AAC"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microorganisms are fundamental to the health and productivity of terrestrial ecosystems. They are involved in critical processes such as organic matter decomposition, nutrient cycling, and the formation of soil structure, which collectively contribute to soil fertility and plant growth (Van Elsas et al., 2007). The microbial community in the soil comprises a diverse array of organisms, including bacteria, fungi, archaea, protozoa, and viruses, each playing unique roles in maintaining soil health and ecosystem functionality (Torsvik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Øvreås, 2002). In agricultural systems, particularly in tropical regions like Kwara State, Nigeria, the dynamics of soil microbial communities are essential for sustainable farming practices, as they directly influence crop yield and soil quality (Obayelu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Alabi, 2014).</w:t>
      </w:r>
    </w:p>
    <w:p w14:paraId="3335D1D7" w14:textId="77777777" w:rsidR="0064751E"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Kwara State Polytechnic's commercial farm serves as a microcosm of the agricultural landscape in the region, characterized by diverse cropping systems and varying management practices. However, there is a notable lack of comprehensive data regarding the composition, diversity, and functional roles of soil microbes in this specific agroecosystem. Understanding the microbial community structure and its relationship with soil physicochemical properties is crucial for developing effective soil management strategies that enhance agricultural productivity and sustainability.</w:t>
      </w:r>
    </w:p>
    <w:p w14:paraId="32BFF847" w14:textId="77777777" w:rsidR="00C77F4B" w:rsidRDefault="00C77F4B" w:rsidP="0068276F">
      <w:pPr>
        <w:spacing w:after="0" w:line="480" w:lineRule="auto"/>
        <w:jc w:val="both"/>
        <w:rPr>
          <w:rFonts w:ascii="Times New Roman" w:hAnsi="Times New Roman" w:cs="Times New Roman"/>
          <w:sz w:val="24"/>
          <w:szCs w:val="24"/>
        </w:rPr>
      </w:pPr>
    </w:p>
    <w:p w14:paraId="09A48719" w14:textId="77777777" w:rsidR="00C77F4B" w:rsidRDefault="00C77F4B" w:rsidP="0068276F">
      <w:pPr>
        <w:spacing w:after="0" w:line="480" w:lineRule="auto"/>
        <w:jc w:val="both"/>
        <w:rPr>
          <w:rFonts w:ascii="Times New Roman" w:hAnsi="Times New Roman" w:cs="Times New Roman"/>
          <w:sz w:val="24"/>
          <w:szCs w:val="24"/>
        </w:rPr>
      </w:pPr>
    </w:p>
    <w:p w14:paraId="07DF929E"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1.2 Statement of the Problem</w:t>
      </w:r>
    </w:p>
    <w:p w14:paraId="27086448"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Despite the recognized importance of soil microbes in agricultural productivity, there is a significant gap in knowledge regarding their diversity and functional roles within the soils of Kwara State Polytechnic commercial farm. This lack of information limits the ability to optimize soil fertility management and implement practices that promote sustainable agriculture. Additionally, environmental factors such as land use changes, climate variability, and soil erosion can alter microbial communities, further complicating soil health assessments. Therefore, a comprehensive assessment of soil microbes is essential to inform effective soil management practices and enhance the farm's productivity and resilience.</w:t>
      </w:r>
    </w:p>
    <w:p w14:paraId="07FBF06E"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1.3 Objectives of the Study</w:t>
      </w:r>
    </w:p>
    <w:p w14:paraId="6743705E"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primary objective of this study is to conduct a comprehensive assessment of soil microbial diversity and abundance at Kwara State Polytechnic commercial farm. The specific objectives include:</w:t>
      </w:r>
    </w:p>
    <w:p w14:paraId="213AC022"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1. To characterize the microbial populations present in soil samples from different farm sites.</w:t>
      </w:r>
    </w:p>
    <w:p w14:paraId="65E9A719"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2. To identify key microbial groups involved in nutrient cycling and their functional roles.</w:t>
      </w:r>
    </w:p>
    <w:p w14:paraId="4FBC669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3. To assess the influence of soil physicochemical properties on microbial diversity and activity.</w:t>
      </w:r>
    </w:p>
    <w:p w14:paraId="09B96A88"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4. To provide recommendations for improving soil management based on microbial community profiles.</w:t>
      </w:r>
    </w:p>
    <w:p w14:paraId="2938A08D"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1.4 Significance of the Study</w:t>
      </w:r>
    </w:p>
    <w:p w14:paraId="7C73FD16"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findings from this study will provide foundational data on soil microbial ecosystems within Kwara State Polytechnic commercial farm, contributing to sustainable agricultural development. By elucidating the relationships between soil microbes and soil health, this research can guide farm managers and policymakers in adopting practices that enhance beneficial microbial functions, ultimately improving crop yields and soil quality. Furthermore, this study will build local capacity in microbial soil science, supporting further scientific investigations in the region and fostering a deeper understanding of soil health dynamics.</w:t>
      </w:r>
    </w:p>
    <w:p w14:paraId="08C13A38" w14:textId="77777777" w:rsidR="00732EE8" w:rsidRPr="00535D4A" w:rsidRDefault="00732EE8" w:rsidP="0068276F">
      <w:pPr>
        <w:spacing w:after="0" w:line="480" w:lineRule="auto"/>
        <w:jc w:val="both"/>
        <w:rPr>
          <w:rFonts w:ascii="Times New Roman" w:hAnsi="Times New Roman" w:cs="Times New Roman"/>
          <w:sz w:val="24"/>
          <w:szCs w:val="24"/>
        </w:rPr>
      </w:pPr>
    </w:p>
    <w:p w14:paraId="77E3282B" w14:textId="77777777" w:rsidR="00732EE8" w:rsidRPr="00535D4A" w:rsidRDefault="00732EE8" w:rsidP="00732EE8">
      <w:pPr>
        <w:spacing w:after="0" w:line="480" w:lineRule="auto"/>
        <w:jc w:val="center"/>
        <w:rPr>
          <w:rFonts w:ascii="Times New Roman" w:hAnsi="Times New Roman" w:cs="Times New Roman"/>
          <w:b/>
          <w:sz w:val="24"/>
          <w:szCs w:val="24"/>
        </w:rPr>
      </w:pPr>
    </w:p>
    <w:p w14:paraId="6088F1CE" w14:textId="77777777" w:rsidR="00732EE8" w:rsidRPr="00535D4A" w:rsidRDefault="00732EE8" w:rsidP="00732EE8">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Two</w:t>
      </w:r>
    </w:p>
    <w:p w14:paraId="00B1532B" w14:textId="77777777" w:rsidR="0064751E" w:rsidRPr="00535D4A" w:rsidRDefault="0064751E" w:rsidP="00444D0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Literature Review</w:t>
      </w:r>
    </w:p>
    <w:p w14:paraId="2DD0383E" w14:textId="77777777" w:rsidR="0064751E" w:rsidRPr="00535D4A" w:rsidRDefault="0064751E" w:rsidP="0068276F">
      <w:pPr>
        <w:spacing w:after="0" w:line="480" w:lineRule="auto"/>
        <w:jc w:val="both"/>
        <w:rPr>
          <w:rFonts w:ascii="Times New Roman" w:hAnsi="Times New Roman" w:cs="Times New Roman"/>
          <w:sz w:val="24"/>
          <w:szCs w:val="24"/>
        </w:rPr>
      </w:pPr>
    </w:p>
    <w:p w14:paraId="280A6F07"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2.1 Soil Microbial Communities and Their Roles</w:t>
      </w:r>
    </w:p>
    <w:p w14:paraId="33522FFB"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microbial communities are essential for the functioning of terrestrial ecosystems, as they mediate various biogeochemical processes. Bacteria and fungi are the predominant groups within these communities, with bacteria often outnumbering fungi in terms of abundance (Torsvik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Øvreås, 2002). These microorganisms play critical roles in organic matter decomposition, nutrient cycling, and the suppression of soilborne pathogens. For instance, bacteria are primarily responsible for the mineralization of organic nitrogen, while fungi contribute to the breakdown of complex organic compounds, facilitating nutrient availability for plants (Garbeva et al., 2004). The diversity and composition of soil microbial communities are closely linked to soil health, reflecting the soil's capacity to sustain productive agriculture (Fierer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Jackson, 2006).</w:t>
      </w:r>
    </w:p>
    <w:p w14:paraId="73077680"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2.2 Factors Influencing Soil Microbial Diversity</w:t>
      </w:r>
    </w:p>
    <w:p w14:paraId="005A0B8C" w14:textId="77777777" w:rsidR="00DF3061" w:rsidRPr="00DF3061" w:rsidRDefault="0064751E" w:rsidP="00DF3061">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microbial diversity is influenced by a myriad of abiotic and biotic factors. Key soil parameters such as pH, moisture content, organic matter, texture, and nutrient availability significantly affect microbial community structure and function (Rousk et al., 2009). For example, acidic soils often harbor distinct microbial communities compared to neutral or alkaline soils, as different taxa exhibit varying tolerances to pH levels (Bardgett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Van Der Putten, 2014). </w:t>
      </w:r>
      <w:r w:rsidR="00DF3061" w:rsidRPr="00DF3061">
        <w:rPr>
          <w:rFonts w:ascii="Times New Roman" w:hAnsi="Times New Roman" w:cs="Times New Roman"/>
          <w:sz w:val="24"/>
          <w:szCs w:val="24"/>
        </w:rPr>
        <w:t>Land use practices play a significant role in shaping the microbial dynamics within soil ecosystems. These practices encompass a variety of agricultural techniques, including tillage, crop rotation, and the application of agrochemicals. Each of these practices can have profound effects on the composition and functional capabilities of microbial communities in the soil. For instance, tillage can disrupt soil structure and alter the habitat available for microorganisms, potentially leading to a decline in microbial diversity. Similarly, crop rotation can influence the types of plants grown in succession, which in turn affects the microbial populations that thrive in response to different root exudates and organic matter inputs. The application of agrochemicals, such as fertilizers and pesticides, can also significantly impact microbial communities by either promoting certain beneficial microbes or inhibiting others that are essential for nutrient cycling and soil health (Hartmann et al., 2015).</w:t>
      </w:r>
    </w:p>
    <w:p w14:paraId="1979991B" w14:textId="77777777" w:rsidR="00DF3061" w:rsidRPr="00DF3061" w:rsidRDefault="00DF3061" w:rsidP="00DF3061">
      <w:pPr>
        <w:spacing w:after="0" w:line="480" w:lineRule="auto"/>
        <w:jc w:val="both"/>
        <w:rPr>
          <w:rFonts w:ascii="Times New Roman" w:hAnsi="Times New Roman" w:cs="Times New Roman"/>
          <w:sz w:val="24"/>
          <w:szCs w:val="24"/>
        </w:rPr>
      </w:pPr>
      <w:r w:rsidRPr="00DF3061">
        <w:rPr>
          <w:rFonts w:ascii="Times New Roman" w:hAnsi="Times New Roman" w:cs="Times New Roman"/>
          <w:sz w:val="24"/>
          <w:szCs w:val="24"/>
        </w:rPr>
        <w:t>In tropical soils, which are often characterized by frequent weathering and nutrient depletion, understanding the implications of these land use practices is particularly crucial. Tropical soils typically have lower organic matter content and are more susceptible to erosion and nutrient leaching. Therefore, effective management strategies that consider microbial dynamics are essential for maintaining soil health and enhancing agricultural productivity in these regions. By fostering a better understanding of how land use practices influence microbial communities, farmers and land managers can implement more sustainable agricultural practices that not only improve crop yields but also promote long-term soil health and ecosystem resilience (Bardgett and Van Der Putten, 2014).</w:t>
      </w:r>
    </w:p>
    <w:p w14:paraId="68F370D5"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2.3 Importance of Microbial Assessments in Agriculture</w:t>
      </w:r>
    </w:p>
    <w:p w14:paraId="5E3C8349"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Assessing the diversity and abundance of soil microbes is essential for gaining a comprehensive understanding of soil health and resilience. Soil microorganisms play critical roles in various ecological processes, including nutrient cycling, organic matter decomposition, and the maintenance of soil structure. Therefore, a thorough evaluation of microbial communities can provide valuable insights into the overall functioning of soil ecosystems.</w:t>
      </w:r>
    </w:p>
    <w:p w14:paraId="528566C1"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Recent advances in molecular techniques, particularly high-throughput sequencing, have significantly transformed the field of microbial ecology. These innovative methods allow researchers to analyze complex microbial communities with unprecedented resolution, enabling the identification of previously uncharacterized taxa that were difficult to detect using traditional culture-based approaches. High-throughput sequencing facilitates the exploration of the vast diversity of microbial life in soil, revealing not only the presence of different species but also their functional roles within the ecosystem (Schmidt et al., 2011). This capability is particularly important for understanding how microbial communities respond to various environmental changes, such as shifts in climate, land use practices, and soil management strategies.</w:t>
      </w:r>
    </w:p>
    <w:p w14:paraId="62C3CEC8"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 xml:space="preserve">Moreover, such assessments of microbial diversity and abundance can help identify bioindicators of soil quality. </w:t>
      </w:r>
      <w:r w:rsidR="00A17805" w:rsidRPr="005D389E">
        <w:rPr>
          <w:rFonts w:ascii="Times New Roman" w:hAnsi="Times New Roman" w:cs="Times New Roman"/>
          <w:sz w:val="24"/>
          <w:szCs w:val="24"/>
        </w:rPr>
        <w:t>Bio indicators</w:t>
      </w:r>
      <w:r w:rsidRPr="005D389E">
        <w:rPr>
          <w:rFonts w:ascii="Times New Roman" w:hAnsi="Times New Roman" w:cs="Times New Roman"/>
          <w:sz w:val="24"/>
          <w:szCs w:val="24"/>
        </w:rPr>
        <w:t xml:space="preserve"> are specific microbial taxa or community characteristics that reflect the health and functionality of the soil ecosystem. By monitoring these indicators, land managers and farmers can gain insights into the impacts of their agricultural practices on soil health, allowing for more informed decision-making regarding soil management. Ultimately, understanding the dynamics of soil microbial communities is crucial for developing sustainable agricultural practices that enhance soil resilience and productivity in the face of environmental challenges.</w:t>
      </w:r>
    </w:p>
    <w:p w14:paraId="0CE0B23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For instance, a diverse microbial community is often associated with enhanced soil fertility and resilience against pests and diseases (Siciliano et al., 2014). By understanding the microbial dynamics in agricultural soils, farmers can implement management practices that promote beneficial microbes, thereby improving nutrient use efficiency and crop health.</w:t>
      </w:r>
    </w:p>
    <w:p w14:paraId="23229100"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2.4 Previous Studies in Nigeria</w:t>
      </w:r>
    </w:p>
    <w:p w14:paraId="00216161"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Numerous studies have investigated microbial diversity in various agricultural soils throughout Nigeria, revealing important insights into how different practices and amendments influence soil health. For instance, Akinola et al. (2017) conducted research that demonstrated the positive effects of organic amendments on bacterial diversity in the tropical soils of southwestern Nigeria. Their findings indicated that the addition of organic materials, such as compost and manure, not only enhanced the overall microbial diversity but also improved soil structure and nutrient availability. This increase in bacterial diversity is crucial, as a more diverse microbial community can enhance ecosystem functions, including nutrient cycling and disease suppression, ultimately contributing to improved soil health and agricultural productivity.</w:t>
      </w:r>
    </w:p>
    <w:p w14:paraId="1BA17871"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In a related study, Ojo et al. (2018) examined the effects of various land use practices on soil microbial communities across different agricultural systems. Their research highlighted that agroforestry systems, which integrate trees and shrubs with crops, supported significantly higher microbial diversity compared to traditional monoculture systems. The presence of diverse plant species in agroforestry systems creates a more complex habitat, providing varied root exudates and organic matter inputs that foster a rich microbial community. This finding underscores the importance of sustainable land management practices, as higher microbial diversity is often associated with greater resilience to environmental stressors and improved soil functionality.</w:t>
      </w:r>
    </w:p>
    <w:p w14:paraId="1C96555B"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Together, these studies illustrate the critical role of management practices and organic amendments in shaping microbial diversity in agricultural soils. By promoting practices that enhance microbial diversity, farmers can improve soil health, increase agricultural productivity, and contribute to sustainable land use in Nigeria.</w:t>
      </w:r>
    </w:p>
    <w:p w14:paraId="4E553EC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However, comprehensive microbial profiling that combines physicochemical analyses and microbial community characterization specific to Kwara State Polytechnic commercial farm remains absent. This highlights the novelty and necessity of this research, as it aims to fill the existing knowledge gap and provide a detailed understanding of soil microbial dynamics in this unique </w:t>
      </w:r>
      <w:r w:rsidR="00D04FA5" w:rsidRPr="00535D4A">
        <w:rPr>
          <w:rFonts w:ascii="Times New Roman" w:hAnsi="Times New Roman" w:cs="Times New Roman"/>
          <w:sz w:val="24"/>
          <w:szCs w:val="24"/>
        </w:rPr>
        <w:t>agro ecosystem</w:t>
      </w:r>
      <w:r w:rsidRPr="00535D4A">
        <w:rPr>
          <w:rFonts w:ascii="Times New Roman" w:hAnsi="Times New Roman" w:cs="Times New Roman"/>
          <w:sz w:val="24"/>
          <w:szCs w:val="24"/>
        </w:rPr>
        <w:t>.</w:t>
      </w:r>
    </w:p>
    <w:p w14:paraId="375727E6" w14:textId="77777777" w:rsidR="0064751E" w:rsidRDefault="0064751E" w:rsidP="0068276F">
      <w:pPr>
        <w:spacing w:after="0" w:line="480" w:lineRule="auto"/>
        <w:jc w:val="both"/>
        <w:rPr>
          <w:rFonts w:ascii="Times New Roman" w:hAnsi="Times New Roman" w:cs="Times New Roman"/>
          <w:sz w:val="24"/>
          <w:szCs w:val="24"/>
        </w:rPr>
      </w:pPr>
    </w:p>
    <w:p w14:paraId="25A26BD6" w14:textId="77777777" w:rsidR="00FA4190" w:rsidRDefault="00FA4190" w:rsidP="0068276F">
      <w:pPr>
        <w:spacing w:after="0" w:line="480" w:lineRule="auto"/>
        <w:jc w:val="both"/>
        <w:rPr>
          <w:rFonts w:ascii="Times New Roman" w:hAnsi="Times New Roman" w:cs="Times New Roman"/>
          <w:sz w:val="24"/>
          <w:szCs w:val="24"/>
        </w:rPr>
      </w:pPr>
    </w:p>
    <w:p w14:paraId="630FBCF1" w14:textId="77777777" w:rsidR="00FA4190" w:rsidRDefault="00FA4190" w:rsidP="0068276F">
      <w:pPr>
        <w:spacing w:after="0" w:line="480" w:lineRule="auto"/>
        <w:jc w:val="both"/>
        <w:rPr>
          <w:rFonts w:ascii="Times New Roman" w:hAnsi="Times New Roman" w:cs="Times New Roman"/>
          <w:sz w:val="24"/>
          <w:szCs w:val="24"/>
        </w:rPr>
      </w:pPr>
    </w:p>
    <w:p w14:paraId="6DD05F56" w14:textId="77777777" w:rsidR="00FA4190" w:rsidRDefault="00FA4190" w:rsidP="0068276F">
      <w:pPr>
        <w:spacing w:after="0" w:line="480" w:lineRule="auto"/>
        <w:jc w:val="both"/>
        <w:rPr>
          <w:rFonts w:ascii="Times New Roman" w:hAnsi="Times New Roman" w:cs="Times New Roman"/>
          <w:sz w:val="24"/>
          <w:szCs w:val="24"/>
        </w:rPr>
      </w:pPr>
    </w:p>
    <w:p w14:paraId="6DE654C2" w14:textId="77777777" w:rsidR="00FA4190" w:rsidRDefault="00FA4190" w:rsidP="0068276F">
      <w:pPr>
        <w:spacing w:after="0" w:line="480" w:lineRule="auto"/>
        <w:jc w:val="both"/>
        <w:rPr>
          <w:rFonts w:ascii="Times New Roman" w:hAnsi="Times New Roman" w:cs="Times New Roman"/>
          <w:sz w:val="24"/>
          <w:szCs w:val="24"/>
        </w:rPr>
      </w:pPr>
    </w:p>
    <w:p w14:paraId="384E93AF" w14:textId="77777777" w:rsidR="00FA4190" w:rsidRDefault="00FA4190" w:rsidP="0068276F">
      <w:pPr>
        <w:spacing w:after="0" w:line="480" w:lineRule="auto"/>
        <w:jc w:val="both"/>
        <w:rPr>
          <w:rFonts w:ascii="Times New Roman" w:hAnsi="Times New Roman" w:cs="Times New Roman"/>
          <w:sz w:val="24"/>
          <w:szCs w:val="24"/>
        </w:rPr>
      </w:pPr>
    </w:p>
    <w:p w14:paraId="39846822" w14:textId="77777777" w:rsidR="00FA4190" w:rsidRDefault="00FA4190" w:rsidP="0068276F">
      <w:pPr>
        <w:spacing w:after="0" w:line="480" w:lineRule="auto"/>
        <w:jc w:val="both"/>
        <w:rPr>
          <w:rFonts w:ascii="Times New Roman" w:hAnsi="Times New Roman" w:cs="Times New Roman"/>
          <w:sz w:val="24"/>
          <w:szCs w:val="24"/>
        </w:rPr>
      </w:pPr>
    </w:p>
    <w:p w14:paraId="279BA5BD" w14:textId="77777777" w:rsidR="00FA4190" w:rsidRDefault="00FA4190" w:rsidP="0068276F">
      <w:pPr>
        <w:spacing w:after="0" w:line="480" w:lineRule="auto"/>
        <w:jc w:val="both"/>
        <w:rPr>
          <w:rFonts w:ascii="Times New Roman" w:hAnsi="Times New Roman" w:cs="Times New Roman"/>
          <w:sz w:val="24"/>
          <w:szCs w:val="24"/>
        </w:rPr>
      </w:pPr>
    </w:p>
    <w:p w14:paraId="1931FEC8" w14:textId="77777777" w:rsidR="00FA4190" w:rsidRDefault="00FA4190" w:rsidP="0068276F">
      <w:pPr>
        <w:spacing w:after="0" w:line="480" w:lineRule="auto"/>
        <w:jc w:val="both"/>
        <w:rPr>
          <w:rFonts w:ascii="Times New Roman" w:hAnsi="Times New Roman" w:cs="Times New Roman"/>
          <w:sz w:val="24"/>
          <w:szCs w:val="24"/>
        </w:rPr>
      </w:pPr>
    </w:p>
    <w:p w14:paraId="2E07FE32" w14:textId="77777777" w:rsidR="00FA4190" w:rsidRDefault="00FA4190" w:rsidP="0068276F">
      <w:pPr>
        <w:spacing w:after="0" w:line="480" w:lineRule="auto"/>
        <w:jc w:val="both"/>
        <w:rPr>
          <w:rFonts w:ascii="Times New Roman" w:hAnsi="Times New Roman" w:cs="Times New Roman"/>
          <w:sz w:val="24"/>
          <w:szCs w:val="24"/>
        </w:rPr>
      </w:pPr>
    </w:p>
    <w:p w14:paraId="03AF9F35" w14:textId="77777777" w:rsidR="00FA4190" w:rsidRDefault="00FA4190" w:rsidP="0068276F">
      <w:pPr>
        <w:spacing w:after="0" w:line="480" w:lineRule="auto"/>
        <w:jc w:val="both"/>
        <w:rPr>
          <w:rFonts w:ascii="Times New Roman" w:hAnsi="Times New Roman" w:cs="Times New Roman"/>
          <w:sz w:val="24"/>
          <w:szCs w:val="24"/>
        </w:rPr>
      </w:pPr>
    </w:p>
    <w:p w14:paraId="037B5BF8" w14:textId="77777777" w:rsidR="00FA4190" w:rsidRDefault="00FA4190" w:rsidP="0068276F">
      <w:pPr>
        <w:spacing w:after="0" w:line="480" w:lineRule="auto"/>
        <w:jc w:val="both"/>
        <w:rPr>
          <w:rFonts w:ascii="Times New Roman" w:hAnsi="Times New Roman" w:cs="Times New Roman"/>
          <w:sz w:val="24"/>
          <w:szCs w:val="24"/>
        </w:rPr>
      </w:pPr>
    </w:p>
    <w:p w14:paraId="2E83F6E9" w14:textId="77777777" w:rsidR="00FA4190" w:rsidRDefault="00FA4190" w:rsidP="0068276F">
      <w:pPr>
        <w:spacing w:after="0" w:line="480" w:lineRule="auto"/>
        <w:jc w:val="both"/>
        <w:rPr>
          <w:rFonts w:ascii="Times New Roman" w:hAnsi="Times New Roman" w:cs="Times New Roman"/>
          <w:sz w:val="24"/>
          <w:szCs w:val="24"/>
        </w:rPr>
      </w:pPr>
    </w:p>
    <w:p w14:paraId="17A41CDE" w14:textId="77777777" w:rsidR="00FA4190" w:rsidRDefault="00FA4190" w:rsidP="0068276F">
      <w:pPr>
        <w:spacing w:after="0" w:line="480" w:lineRule="auto"/>
        <w:jc w:val="both"/>
        <w:rPr>
          <w:rFonts w:ascii="Times New Roman" w:hAnsi="Times New Roman" w:cs="Times New Roman"/>
          <w:sz w:val="24"/>
          <w:szCs w:val="24"/>
        </w:rPr>
      </w:pPr>
    </w:p>
    <w:p w14:paraId="0DF42A6C" w14:textId="77777777" w:rsidR="00FA4190" w:rsidRDefault="00FA4190" w:rsidP="0068276F">
      <w:pPr>
        <w:spacing w:after="0" w:line="480" w:lineRule="auto"/>
        <w:jc w:val="both"/>
        <w:rPr>
          <w:rFonts w:ascii="Times New Roman" w:hAnsi="Times New Roman" w:cs="Times New Roman"/>
          <w:sz w:val="24"/>
          <w:szCs w:val="24"/>
        </w:rPr>
      </w:pPr>
    </w:p>
    <w:p w14:paraId="6B0C266E" w14:textId="77777777" w:rsidR="00FA4190" w:rsidRDefault="00FA4190" w:rsidP="0068276F">
      <w:pPr>
        <w:spacing w:after="0" w:line="480" w:lineRule="auto"/>
        <w:jc w:val="both"/>
        <w:rPr>
          <w:rFonts w:ascii="Times New Roman" w:hAnsi="Times New Roman" w:cs="Times New Roman"/>
          <w:sz w:val="24"/>
          <w:szCs w:val="24"/>
        </w:rPr>
      </w:pPr>
    </w:p>
    <w:p w14:paraId="4C2B48D0" w14:textId="77777777" w:rsidR="00FA4190" w:rsidRDefault="00FA4190" w:rsidP="0068276F">
      <w:pPr>
        <w:spacing w:after="0" w:line="480" w:lineRule="auto"/>
        <w:jc w:val="both"/>
        <w:rPr>
          <w:rFonts w:ascii="Times New Roman" w:hAnsi="Times New Roman" w:cs="Times New Roman"/>
          <w:sz w:val="24"/>
          <w:szCs w:val="24"/>
        </w:rPr>
      </w:pPr>
    </w:p>
    <w:p w14:paraId="33954155" w14:textId="77777777" w:rsidR="00FA4190" w:rsidRDefault="00FA4190" w:rsidP="0068276F">
      <w:pPr>
        <w:spacing w:after="0" w:line="480" w:lineRule="auto"/>
        <w:jc w:val="both"/>
        <w:rPr>
          <w:rFonts w:ascii="Times New Roman" w:hAnsi="Times New Roman" w:cs="Times New Roman"/>
          <w:sz w:val="24"/>
          <w:szCs w:val="24"/>
        </w:rPr>
      </w:pPr>
    </w:p>
    <w:p w14:paraId="7FF837B0" w14:textId="77777777" w:rsidR="00C14914" w:rsidRPr="00535D4A" w:rsidRDefault="00C14914"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Three</w:t>
      </w:r>
    </w:p>
    <w:p w14:paraId="707D44A9" w14:textId="77777777" w:rsidR="0064751E" w:rsidRPr="00535D4A" w:rsidRDefault="0064751E"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Materials and Methods</w:t>
      </w:r>
    </w:p>
    <w:p w14:paraId="10BFECA0" w14:textId="77777777" w:rsidR="0064751E" w:rsidRPr="00535D4A" w:rsidRDefault="0064751E" w:rsidP="0068276F">
      <w:pPr>
        <w:spacing w:after="0" w:line="480" w:lineRule="auto"/>
        <w:jc w:val="both"/>
        <w:rPr>
          <w:rFonts w:ascii="Times New Roman" w:hAnsi="Times New Roman" w:cs="Times New Roman"/>
          <w:b/>
          <w:sz w:val="24"/>
          <w:szCs w:val="24"/>
        </w:rPr>
      </w:pPr>
    </w:p>
    <w:p w14:paraId="2DE578E3"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3.1 Study Area</w:t>
      </w:r>
    </w:p>
    <w:p w14:paraId="575B703C"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study was conducted at the Kwara State Polytechnic commercial farm, located in Ilorin, Kwara State, Nigeria (latitude 8.5°N, longitude 4.5°E). The farm is situated in a tropical climate zone characterized by distinct wet and dry seasons, with an average annual rainfall of approximately 1,200 mm. The farm supports diverse crop production systems, including maize, cassava, and vegetables, making it an ideal site for assessing soil microbial communities.</w:t>
      </w:r>
    </w:p>
    <w:p w14:paraId="69ED8A7B"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3.2 Soil Sampling</w:t>
      </w:r>
    </w:p>
    <w:p w14:paraId="58E684F9"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samples were collected from multiple locations within the commercial farm, representing different crop fields and land use types. A systematic sampling approach was employed, with samples taken from the topsoil (020 cm depth) to capture the active root zone where microbial activity is highest. At each site, five subsamples were collected using a soil auger, mixed thoroughly to create a composite sample, and placed in sterile containers. The samples were labeled and transported to the laboratory for analysis, ensuring that they were kept cool to preserve microbial viability.</w:t>
      </w:r>
    </w:p>
    <w:p w14:paraId="1E881AB4"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3.3 Soil Physicochemical Analysis</w:t>
      </w:r>
    </w:p>
    <w:p w14:paraId="6675217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physicochemical properties were analyzed following standard laboratory protocols. Soil pH was measured using a glass electrode pH meter in both distilled water and KCl solution (Thomas, 1996). Electrical conductivity (EC) was determined using a conductivity meter, and organic matter content was assessed using the WalkleyBlack method (Nelson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Sommers, 1996). Total nitrogen was quantified using the Kjeldahl method, while available phosphorus was measured using the Olsen method (Olsen et al., 1954). Exchangeable bases (sodium, potassium, calcium, and magnesium) were extracted using ammonium acetate and analyzed using atomic absorption spectrophotometry (Gee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Bauder, 1986).</w:t>
      </w:r>
    </w:p>
    <w:p w14:paraId="369297CB"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 Microbial Enumeration and Identification</w:t>
      </w:r>
    </w:p>
    <w:p w14:paraId="30D6295A"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3.4.1 Culture</w:t>
      </w:r>
      <w:r w:rsidR="00A24507" w:rsidRPr="00535D4A">
        <w:rPr>
          <w:rFonts w:ascii="Times New Roman" w:hAnsi="Times New Roman" w:cs="Times New Roman"/>
          <w:b/>
          <w:sz w:val="24"/>
          <w:szCs w:val="24"/>
        </w:rPr>
        <w:t xml:space="preserve"> </w:t>
      </w:r>
      <w:r w:rsidRPr="00535D4A">
        <w:rPr>
          <w:rFonts w:ascii="Times New Roman" w:hAnsi="Times New Roman" w:cs="Times New Roman"/>
          <w:b/>
          <w:sz w:val="24"/>
          <w:szCs w:val="24"/>
        </w:rPr>
        <w:t>Based Methods</w:t>
      </w:r>
    </w:p>
    <w:p w14:paraId="22FD3D09"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quantify culturable bacteria and fungi, serial dilution and plating methods were employed. Soil samples were diluted in sterile saline solution, and aliquots were plated on selective media. Nutrient Agar was used for bacterial enumeration, while Potato Dextrose Agar was utilized for fungal counts. Plates were incubated at 28°C for 48 hours for bacteria and 57 days for fungi. Colony counts were expressed as colonyforming units (CFU) per gram of dry soil.</w:t>
      </w:r>
    </w:p>
    <w:p w14:paraId="681B45DA"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3.4.2 Molecular Techniques</w:t>
      </w:r>
    </w:p>
    <w:p w14:paraId="7953B640"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assess the diversity of microbial communities, DNA extraction from soil samples was performed using a soil DNA extraction kit following the manufacturer's instructions. Polymerase chain reaction (PCR) was conducted to amplify the bacterial 16S rRNA gene and fungal internal transcribed spacer (ITS) regions using specific primers. The PCR products were purified and sequenced using Sanger sequencing technology. Bioinformatics analyses were performed to identify microbial taxa and assess diversity indices using software such as QIIME and Mothur.</w:t>
      </w:r>
    </w:p>
    <w:p w14:paraId="1B83B155" w14:textId="77777777" w:rsidR="0064751E" w:rsidRDefault="0064751E" w:rsidP="0068276F">
      <w:pPr>
        <w:spacing w:after="0" w:line="480" w:lineRule="auto"/>
        <w:jc w:val="both"/>
        <w:rPr>
          <w:rFonts w:ascii="Times New Roman" w:hAnsi="Times New Roman" w:cs="Times New Roman"/>
          <w:sz w:val="24"/>
          <w:szCs w:val="24"/>
        </w:rPr>
      </w:pPr>
    </w:p>
    <w:p w14:paraId="2636DBED" w14:textId="77777777" w:rsidR="00535D4A" w:rsidRDefault="00535D4A" w:rsidP="0068276F">
      <w:pPr>
        <w:spacing w:after="0" w:line="480" w:lineRule="auto"/>
        <w:jc w:val="both"/>
        <w:rPr>
          <w:rFonts w:ascii="Times New Roman" w:hAnsi="Times New Roman" w:cs="Times New Roman"/>
          <w:sz w:val="24"/>
          <w:szCs w:val="24"/>
        </w:rPr>
      </w:pPr>
    </w:p>
    <w:p w14:paraId="219FE8F8" w14:textId="77777777" w:rsidR="00535D4A" w:rsidRDefault="00535D4A" w:rsidP="0068276F">
      <w:pPr>
        <w:spacing w:after="0" w:line="480" w:lineRule="auto"/>
        <w:jc w:val="both"/>
        <w:rPr>
          <w:rFonts w:ascii="Times New Roman" w:hAnsi="Times New Roman" w:cs="Times New Roman"/>
          <w:sz w:val="24"/>
          <w:szCs w:val="24"/>
        </w:rPr>
      </w:pPr>
    </w:p>
    <w:p w14:paraId="0EB92BB8" w14:textId="77777777" w:rsidR="00535D4A" w:rsidRDefault="00535D4A" w:rsidP="0068276F">
      <w:pPr>
        <w:spacing w:after="0" w:line="480" w:lineRule="auto"/>
        <w:jc w:val="both"/>
        <w:rPr>
          <w:rFonts w:ascii="Times New Roman" w:hAnsi="Times New Roman" w:cs="Times New Roman"/>
          <w:sz w:val="24"/>
          <w:szCs w:val="24"/>
        </w:rPr>
      </w:pPr>
    </w:p>
    <w:p w14:paraId="70CED91B" w14:textId="77777777" w:rsidR="00535D4A" w:rsidRDefault="00535D4A" w:rsidP="0068276F">
      <w:pPr>
        <w:spacing w:after="0" w:line="480" w:lineRule="auto"/>
        <w:jc w:val="both"/>
        <w:rPr>
          <w:rFonts w:ascii="Times New Roman" w:hAnsi="Times New Roman" w:cs="Times New Roman"/>
          <w:sz w:val="24"/>
          <w:szCs w:val="24"/>
        </w:rPr>
      </w:pPr>
    </w:p>
    <w:p w14:paraId="4A6BC18A" w14:textId="77777777" w:rsidR="00467B4A" w:rsidRDefault="00467B4A" w:rsidP="00467B4A">
      <w:pPr>
        <w:spacing w:after="0" w:line="240" w:lineRule="auto"/>
        <w:rPr>
          <w:rFonts w:ascii="Times New Roman" w:hAnsi="Times New Roman" w:cs="Times New Roman"/>
          <w:sz w:val="24"/>
          <w:szCs w:val="24"/>
        </w:rPr>
      </w:pPr>
    </w:p>
    <w:p w14:paraId="22ECB828" w14:textId="77777777" w:rsidR="00781687" w:rsidRPr="00535D4A" w:rsidRDefault="00781687" w:rsidP="00467B4A">
      <w:pPr>
        <w:spacing w:after="0" w:line="240" w:lineRule="auto"/>
        <w:rPr>
          <w:rFonts w:ascii="Times New Roman" w:hAnsi="Times New Roman" w:cs="Times New Roman"/>
          <w:sz w:val="24"/>
          <w:szCs w:val="24"/>
        </w:rPr>
      </w:pPr>
    </w:p>
    <w:p w14:paraId="6E619505" w14:textId="77777777" w:rsidR="00535D4A" w:rsidRDefault="00535D4A" w:rsidP="00535D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309ECD64" w14:textId="77777777" w:rsidR="00535D4A" w:rsidRDefault="0006588C" w:rsidP="000658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00896BF2">
        <w:rPr>
          <w:rFonts w:ascii="Times New Roman" w:hAnsi="Times New Roman" w:cs="Times New Roman"/>
          <w:b/>
          <w:sz w:val="24"/>
          <w:szCs w:val="24"/>
        </w:rPr>
        <w:t>Results</w:t>
      </w:r>
    </w:p>
    <w:p w14:paraId="573A3072" w14:textId="77777777" w:rsidR="00896BF2" w:rsidRDefault="00896BF2" w:rsidP="00896BF2">
      <w:pPr>
        <w:spacing w:after="0" w:line="240" w:lineRule="auto"/>
        <w:jc w:val="center"/>
        <w:rPr>
          <w:rFonts w:ascii="Times New Roman" w:hAnsi="Times New Roman" w:cs="Times New Roman"/>
          <w:b/>
          <w:sz w:val="24"/>
          <w:szCs w:val="24"/>
        </w:rPr>
      </w:pPr>
    </w:p>
    <w:p w14:paraId="6E616B50" w14:textId="77777777" w:rsidR="00467B4A" w:rsidRPr="00535D4A" w:rsidRDefault="00467B4A" w:rsidP="00467B4A">
      <w:pPr>
        <w:spacing w:after="0" w:line="240" w:lineRule="auto"/>
        <w:rPr>
          <w:rFonts w:ascii="Times New Roman" w:hAnsi="Times New Roman" w:cs="Times New Roman"/>
          <w:b/>
          <w:sz w:val="24"/>
          <w:szCs w:val="24"/>
        </w:rPr>
      </w:pPr>
      <w:r w:rsidRPr="00535D4A">
        <w:rPr>
          <w:rFonts w:ascii="Times New Roman" w:hAnsi="Times New Roman" w:cs="Times New Roman"/>
          <w:b/>
          <w:sz w:val="24"/>
          <w:szCs w:val="24"/>
        </w:rPr>
        <w:t>Table 1: Bacterial Load in Soil Samples (cfu/g)</w:t>
      </w:r>
    </w:p>
    <w:tbl>
      <w:tblPr>
        <w:tblStyle w:val="TableGrid"/>
        <w:tblW w:w="9537" w:type="dxa"/>
        <w:tblLook w:val="04A0" w:firstRow="1" w:lastRow="0" w:firstColumn="1" w:lastColumn="0" w:noHBand="0" w:noVBand="1"/>
      </w:tblPr>
      <w:tblGrid>
        <w:gridCol w:w="3383"/>
        <w:gridCol w:w="6154"/>
      </w:tblGrid>
      <w:tr w:rsidR="00467B4A" w:rsidRPr="00535D4A" w14:paraId="32133063" w14:textId="77777777" w:rsidTr="00467B4A">
        <w:trPr>
          <w:trHeight w:val="192"/>
        </w:trPr>
        <w:tc>
          <w:tcPr>
            <w:tcW w:w="3383" w:type="dxa"/>
          </w:tcPr>
          <w:p w14:paraId="2A5EDD7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6154" w:type="dxa"/>
          </w:tcPr>
          <w:p w14:paraId="1462EC6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Total Heterotrophic Bacteria (cfu/g)</w:t>
            </w:r>
          </w:p>
        </w:tc>
      </w:tr>
      <w:tr w:rsidR="00467B4A" w:rsidRPr="00535D4A" w14:paraId="482CD5D4" w14:textId="77777777" w:rsidTr="00467B4A">
        <w:trPr>
          <w:trHeight w:val="455"/>
        </w:trPr>
        <w:tc>
          <w:tcPr>
            <w:tcW w:w="3383" w:type="dxa"/>
          </w:tcPr>
          <w:p w14:paraId="2534161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 xml:space="preserve">F-2 </w:t>
            </w:r>
          </w:p>
        </w:tc>
        <w:tc>
          <w:tcPr>
            <w:tcW w:w="6154" w:type="dxa"/>
          </w:tcPr>
          <w:p w14:paraId="5A3F445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2.1 ×10</w:t>
            </w:r>
            <w:r w:rsidRPr="00535D4A">
              <w:rPr>
                <w:rFonts w:ascii="Times New Roman" w:hAnsi="Times New Roman" w:cs="Times New Roman"/>
                <w:sz w:val="24"/>
                <w:szCs w:val="24"/>
                <w:vertAlign w:val="superscript"/>
              </w:rPr>
              <w:t>4</w:t>
            </w:r>
          </w:p>
        </w:tc>
      </w:tr>
      <w:tr w:rsidR="00467B4A" w:rsidRPr="00535D4A" w14:paraId="3E0EB4F4" w14:textId="77777777" w:rsidTr="00467B4A">
        <w:trPr>
          <w:trHeight w:val="597"/>
        </w:trPr>
        <w:tc>
          <w:tcPr>
            <w:tcW w:w="3383" w:type="dxa"/>
          </w:tcPr>
          <w:p w14:paraId="7B14104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6154" w:type="dxa"/>
          </w:tcPr>
          <w:p w14:paraId="4BC0C9E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7.8 ×10</w:t>
            </w:r>
            <w:r w:rsidRPr="00535D4A">
              <w:rPr>
                <w:rFonts w:ascii="Times New Roman" w:hAnsi="Times New Roman" w:cs="Times New Roman"/>
                <w:sz w:val="24"/>
                <w:szCs w:val="24"/>
                <w:vertAlign w:val="superscript"/>
              </w:rPr>
              <w:t>6</w:t>
            </w:r>
          </w:p>
        </w:tc>
      </w:tr>
    </w:tbl>
    <w:p w14:paraId="5540CF27" w14:textId="77777777" w:rsidR="00467B4A" w:rsidRPr="00535D4A" w:rsidRDefault="00467B4A" w:rsidP="00467B4A">
      <w:pPr>
        <w:pStyle w:val="Heading2"/>
        <w:rPr>
          <w:rFonts w:ascii="Times New Roman" w:hAnsi="Times New Roman" w:cs="Times New Roman"/>
          <w:color w:val="auto"/>
          <w:sz w:val="24"/>
          <w:szCs w:val="24"/>
        </w:rPr>
      </w:pPr>
      <w:r w:rsidRPr="00535D4A">
        <w:rPr>
          <w:rFonts w:ascii="Times New Roman" w:hAnsi="Times New Roman" w:cs="Times New Roman"/>
          <w:color w:val="auto"/>
          <w:sz w:val="24"/>
          <w:szCs w:val="24"/>
        </w:rPr>
        <w:t>Table 2: Distribution of Probable Bacteria in Soil Type</w:t>
      </w:r>
    </w:p>
    <w:tbl>
      <w:tblPr>
        <w:tblStyle w:val="TableGrid"/>
        <w:tblW w:w="9554" w:type="dxa"/>
        <w:tblLook w:val="04A0" w:firstRow="1" w:lastRow="0" w:firstColumn="1" w:lastColumn="0" w:noHBand="0" w:noVBand="1"/>
      </w:tblPr>
      <w:tblGrid>
        <w:gridCol w:w="4777"/>
        <w:gridCol w:w="4777"/>
      </w:tblGrid>
      <w:tr w:rsidR="00467B4A" w:rsidRPr="00535D4A" w14:paraId="1DD7F084" w14:textId="77777777" w:rsidTr="00467B4A">
        <w:trPr>
          <w:trHeight w:val="558"/>
        </w:trPr>
        <w:tc>
          <w:tcPr>
            <w:tcW w:w="4777" w:type="dxa"/>
          </w:tcPr>
          <w:p w14:paraId="3257F531" w14:textId="77777777" w:rsidR="00467B4A" w:rsidRPr="00535D4A" w:rsidRDefault="00467B4A" w:rsidP="00EF430A">
            <w:pPr>
              <w:rPr>
                <w:rFonts w:ascii="Times New Roman" w:hAnsi="Times New Roman" w:cs="Times New Roman"/>
                <w:sz w:val="24"/>
                <w:szCs w:val="24"/>
              </w:rPr>
            </w:pPr>
          </w:p>
          <w:p w14:paraId="73663376"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4777" w:type="dxa"/>
          </w:tcPr>
          <w:p w14:paraId="32D12DD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Probable Bacterial Islates</w:t>
            </w:r>
          </w:p>
        </w:tc>
      </w:tr>
      <w:tr w:rsidR="00467B4A" w:rsidRPr="00535D4A" w14:paraId="49AC61B7" w14:textId="77777777" w:rsidTr="00467B4A">
        <w:trPr>
          <w:trHeight w:val="558"/>
        </w:trPr>
        <w:tc>
          <w:tcPr>
            <w:tcW w:w="4777" w:type="dxa"/>
          </w:tcPr>
          <w:p w14:paraId="0032AAE9" w14:textId="77777777" w:rsidR="00467B4A" w:rsidRPr="00535D4A" w:rsidRDefault="00467B4A" w:rsidP="00EF430A">
            <w:pPr>
              <w:rPr>
                <w:rFonts w:ascii="Times New Roman" w:hAnsi="Times New Roman" w:cs="Times New Roman"/>
                <w:sz w:val="24"/>
                <w:szCs w:val="24"/>
              </w:rPr>
            </w:pPr>
          </w:p>
          <w:p w14:paraId="32D34D8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F-2</w:t>
            </w:r>
          </w:p>
        </w:tc>
        <w:tc>
          <w:tcPr>
            <w:tcW w:w="4777" w:type="dxa"/>
          </w:tcPr>
          <w:p w14:paraId="6F527701"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 Micrococcus luteus</w:t>
            </w:r>
          </w:p>
        </w:tc>
      </w:tr>
      <w:tr w:rsidR="00467B4A" w:rsidRPr="00535D4A" w14:paraId="447F4C18" w14:textId="77777777" w:rsidTr="00467B4A">
        <w:trPr>
          <w:trHeight w:val="575"/>
        </w:trPr>
        <w:tc>
          <w:tcPr>
            <w:tcW w:w="4777" w:type="dxa"/>
          </w:tcPr>
          <w:p w14:paraId="752D8929" w14:textId="77777777" w:rsidR="00467B4A" w:rsidRPr="00535D4A" w:rsidRDefault="00467B4A" w:rsidP="00EF430A">
            <w:pPr>
              <w:rPr>
                <w:rFonts w:ascii="Times New Roman" w:hAnsi="Times New Roman" w:cs="Times New Roman"/>
                <w:sz w:val="24"/>
                <w:szCs w:val="24"/>
              </w:rPr>
            </w:pPr>
          </w:p>
          <w:p w14:paraId="6EF3E85F" w14:textId="77777777" w:rsidR="00467B4A" w:rsidRPr="00535D4A" w:rsidRDefault="00467B4A" w:rsidP="00EF430A">
            <w:pPr>
              <w:rPr>
                <w:rFonts w:ascii="Times New Roman" w:hAnsi="Times New Roman" w:cs="Times New Roman"/>
                <w:sz w:val="24"/>
                <w:szCs w:val="24"/>
              </w:rPr>
            </w:pPr>
          </w:p>
        </w:tc>
        <w:tc>
          <w:tcPr>
            <w:tcW w:w="4777" w:type="dxa"/>
          </w:tcPr>
          <w:p w14:paraId="1E2675BB"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aeruginosa, Staphylococcus spp</w:t>
            </w:r>
          </w:p>
        </w:tc>
      </w:tr>
      <w:tr w:rsidR="00467B4A" w:rsidRPr="00535D4A" w14:paraId="3299C881" w14:textId="77777777" w:rsidTr="00467B4A">
        <w:trPr>
          <w:trHeight w:val="558"/>
        </w:trPr>
        <w:tc>
          <w:tcPr>
            <w:tcW w:w="4777" w:type="dxa"/>
          </w:tcPr>
          <w:p w14:paraId="6297014B" w14:textId="77777777" w:rsidR="00467B4A" w:rsidRPr="00535D4A" w:rsidRDefault="00467B4A" w:rsidP="00EF430A">
            <w:pPr>
              <w:rPr>
                <w:rFonts w:ascii="Times New Roman" w:hAnsi="Times New Roman" w:cs="Times New Roman"/>
                <w:sz w:val="24"/>
                <w:szCs w:val="24"/>
              </w:rPr>
            </w:pPr>
          </w:p>
          <w:p w14:paraId="56198C8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4777" w:type="dxa"/>
          </w:tcPr>
          <w:p w14:paraId="2D305781"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 Azotobacter spp.</w:t>
            </w:r>
          </w:p>
        </w:tc>
      </w:tr>
      <w:tr w:rsidR="00467B4A" w:rsidRPr="00535D4A" w14:paraId="567BF0BF" w14:textId="77777777" w:rsidTr="00467B4A">
        <w:trPr>
          <w:trHeight w:val="558"/>
        </w:trPr>
        <w:tc>
          <w:tcPr>
            <w:tcW w:w="4777" w:type="dxa"/>
          </w:tcPr>
          <w:p w14:paraId="50ADD222" w14:textId="77777777" w:rsidR="00467B4A" w:rsidRPr="00535D4A" w:rsidRDefault="00467B4A" w:rsidP="00EF430A">
            <w:pPr>
              <w:rPr>
                <w:rFonts w:ascii="Times New Roman" w:hAnsi="Times New Roman" w:cs="Times New Roman"/>
                <w:sz w:val="24"/>
                <w:szCs w:val="24"/>
              </w:rPr>
            </w:pPr>
          </w:p>
          <w:p w14:paraId="376330F4" w14:textId="77777777" w:rsidR="00467B4A" w:rsidRPr="00535D4A" w:rsidRDefault="00467B4A" w:rsidP="00EF430A">
            <w:pPr>
              <w:rPr>
                <w:rFonts w:ascii="Times New Roman" w:hAnsi="Times New Roman" w:cs="Times New Roman"/>
                <w:sz w:val="24"/>
                <w:szCs w:val="24"/>
              </w:rPr>
            </w:pPr>
          </w:p>
        </w:tc>
        <w:tc>
          <w:tcPr>
            <w:tcW w:w="4777" w:type="dxa"/>
          </w:tcPr>
          <w:p w14:paraId="7359C8DE"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Rhizobium spp., Pseudomonas fluorescens</w:t>
            </w:r>
          </w:p>
        </w:tc>
      </w:tr>
      <w:tr w:rsidR="00467B4A" w:rsidRPr="00535D4A" w14:paraId="6C047210" w14:textId="77777777" w:rsidTr="00467B4A">
        <w:trPr>
          <w:trHeight w:val="558"/>
        </w:trPr>
        <w:tc>
          <w:tcPr>
            <w:tcW w:w="4777" w:type="dxa"/>
          </w:tcPr>
          <w:p w14:paraId="6BCFB237" w14:textId="77777777" w:rsidR="00467B4A" w:rsidRPr="00535D4A" w:rsidRDefault="00467B4A" w:rsidP="00EF430A">
            <w:pPr>
              <w:rPr>
                <w:rFonts w:ascii="Times New Roman" w:hAnsi="Times New Roman" w:cs="Times New Roman"/>
                <w:sz w:val="24"/>
                <w:szCs w:val="24"/>
              </w:rPr>
            </w:pPr>
          </w:p>
          <w:p w14:paraId="19F4D83A" w14:textId="77777777" w:rsidR="00467B4A" w:rsidRPr="00535D4A" w:rsidRDefault="00467B4A" w:rsidP="00EF430A">
            <w:pPr>
              <w:rPr>
                <w:rFonts w:ascii="Times New Roman" w:hAnsi="Times New Roman" w:cs="Times New Roman"/>
                <w:sz w:val="24"/>
                <w:szCs w:val="24"/>
              </w:rPr>
            </w:pPr>
          </w:p>
        </w:tc>
        <w:tc>
          <w:tcPr>
            <w:tcW w:w="4777" w:type="dxa"/>
          </w:tcPr>
          <w:p w14:paraId="6117E04A"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Enterobacter cloacae, Escherichia coli</w:t>
            </w:r>
          </w:p>
        </w:tc>
      </w:tr>
    </w:tbl>
    <w:p w14:paraId="0198C155" w14:textId="77777777" w:rsidR="00467B4A" w:rsidRPr="00535D4A" w:rsidRDefault="00467B4A" w:rsidP="00467B4A">
      <w:pPr>
        <w:pStyle w:val="Heading1"/>
        <w:rPr>
          <w:rFonts w:ascii="Times New Roman" w:hAnsi="Times New Roman" w:cs="Times New Roman"/>
          <w:color w:val="auto"/>
          <w:sz w:val="24"/>
          <w:szCs w:val="24"/>
        </w:rPr>
      </w:pPr>
      <w:r w:rsidRPr="00535D4A">
        <w:rPr>
          <w:rFonts w:ascii="Times New Roman" w:hAnsi="Times New Roman" w:cs="Times New Roman"/>
          <w:color w:val="auto"/>
          <w:sz w:val="24"/>
          <w:szCs w:val="24"/>
        </w:rPr>
        <w:t>Table 3:  Biochemical Characterization of Bacterial Isolates</w:t>
      </w:r>
    </w:p>
    <w:tbl>
      <w:tblPr>
        <w:tblStyle w:val="TableGrid"/>
        <w:tblW w:w="9606" w:type="dxa"/>
        <w:tblLook w:val="04A0" w:firstRow="1" w:lastRow="0" w:firstColumn="1" w:lastColumn="0" w:noHBand="0" w:noVBand="1"/>
      </w:tblPr>
      <w:tblGrid>
        <w:gridCol w:w="1770"/>
        <w:gridCol w:w="1122"/>
        <w:gridCol w:w="1119"/>
        <w:gridCol w:w="1119"/>
        <w:gridCol w:w="1119"/>
        <w:gridCol w:w="1119"/>
        <w:gridCol w:w="1119"/>
        <w:gridCol w:w="1119"/>
      </w:tblGrid>
      <w:tr w:rsidR="00467B4A" w:rsidRPr="00535D4A" w14:paraId="2A2BE0C5" w14:textId="77777777" w:rsidTr="00467B4A">
        <w:trPr>
          <w:trHeight w:val="485"/>
        </w:trPr>
        <w:tc>
          <w:tcPr>
            <w:tcW w:w="1770" w:type="dxa"/>
          </w:tcPr>
          <w:p w14:paraId="5C3D948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Bacterial Isolate</w:t>
            </w:r>
          </w:p>
        </w:tc>
        <w:tc>
          <w:tcPr>
            <w:tcW w:w="1122" w:type="dxa"/>
          </w:tcPr>
          <w:p w14:paraId="4178A15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Gram Reaction</w:t>
            </w:r>
          </w:p>
        </w:tc>
        <w:tc>
          <w:tcPr>
            <w:tcW w:w="1119" w:type="dxa"/>
          </w:tcPr>
          <w:p w14:paraId="4BD1794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Catalase</w:t>
            </w:r>
          </w:p>
        </w:tc>
        <w:tc>
          <w:tcPr>
            <w:tcW w:w="1119" w:type="dxa"/>
          </w:tcPr>
          <w:p w14:paraId="3E26F60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Oxidase</w:t>
            </w:r>
          </w:p>
        </w:tc>
        <w:tc>
          <w:tcPr>
            <w:tcW w:w="1119" w:type="dxa"/>
          </w:tcPr>
          <w:p w14:paraId="77BA5FA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Indole</w:t>
            </w:r>
          </w:p>
        </w:tc>
        <w:tc>
          <w:tcPr>
            <w:tcW w:w="1119" w:type="dxa"/>
          </w:tcPr>
          <w:p w14:paraId="43F5AC4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Citrate</w:t>
            </w:r>
          </w:p>
        </w:tc>
        <w:tc>
          <w:tcPr>
            <w:tcW w:w="1119" w:type="dxa"/>
          </w:tcPr>
          <w:p w14:paraId="42DF8C7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Urease</w:t>
            </w:r>
          </w:p>
        </w:tc>
        <w:tc>
          <w:tcPr>
            <w:tcW w:w="1119" w:type="dxa"/>
          </w:tcPr>
          <w:p w14:paraId="151D900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Motility</w:t>
            </w:r>
          </w:p>
        </w:tc>
      </w:tr>
      <w:tr w:rsidR="00467B4A" w:rsidRPr="00535D4A" w14:paraId="640773F7" w14:textId="77777777" w:rsidTr="00467B4A">
        <w:trPr>
          <w:trHeight w:val="485"/>
        </w:trPr>
        <w:tc>
          <w:tcPr>
            <w:tcW w:w="1770" w:type="dxa"/>
          </w:tcPr>
          <w:p w14:paraId="705AB92F"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w:t>
            </w:r>
          </w:p>
        </w:tc>
        <w:tc>
          <w:tcPr>
            <w:tcW w:w="1122" w:type="dxa"/>
          </w:tcPr>
          <w:p w14:paraId="637F352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222848A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E7917A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68E00D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0C4275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025A3D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F0A951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4ACF7D5B" w14:textId="77777777" w:rsidTr="00467B4A">
        <w:trPr>
          <w:trHeight w:val="500"/>
        </w:trPr>
        <w:tc>
          <w:tcPr>
            <w:tcW w:w="1770" w:type="dxa"/>
          </w:tcPr>
          <w:p w14:paraId="0CF8C34B"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Micrococcus luteus</w:t>
            </w:r>
          </w:p>
        </w:tc>
        <w:tc>
          <w:tcPr>
            <w:tcW w:w="1122" w:type="dxa"/>
          </w:tcPr>
          <w:p w14:paraId="3E68D1B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564124A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C28F59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A62552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96AAFC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CE779D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739ADD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743B75CA" w14:textId="77777777" w:rsidTr="00467B4A">
        <w:trPr>
          <w:trHeight w:val="485"/>
        </w:trPr>
        <w:tc>
          <w:tcPr>
            <w:tcW w:w="1770" w:type="dxa"/>
          </w:tcPr>
          <w:p w14:paraId="1508DAE3"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aeruginosa</w:t>
            </w:r>
          </w:p>
        </w:tc>
        <w:tc>
          <w:tcPr>
            <w:tcW w:w="1122" w:type="dxa"/>
          </w:tcPr>
          <w:p w14:paraId="0FC1ED3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1DB70E8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2B55B4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27BDE3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50947A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010050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19CB79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0A2F3A7E" w14:textId="77777777" w:rsidTr="00467B4A">
        <w:trPr>
          <w:trHeight w:val="485"/>
        </w:trPr>
        <w:tc>
          <w:tcPr>
            <w:tcW w:w="1770" w:type="dxa"/>
          </w:tcPr>
          <w:p w14:paraId="2822C9C1"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Escherichia coli</w:t>
            </w:r>
          </w:p>
        </w:tc>
        <w:tc>
          <w:tcPr>
            <w:tcW w:w="1122" w:type="dxa"/>
          </w:tcPr>
          <w:p w14:paraId="59A2ACA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50C7788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F68EEA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797407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0904AD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A9372B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5A3DBA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0C00BB0B" w14:textId="77777777" w:rsidTr="00467B4A">
        <w:trPr>
          <w:trHeight w:val="485"/>
        </w:trPr>
        <w:tc>
          <w:tcPr>
            <w:tcW w:w="1770" w:type="dxa"/>
          </w:tcPr>
          <w:p w14:paraId="50E3A18E"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Enterobacter cloacae</w:t>
            </w:r>
          </w:p>
        </w:tc>
        <w:tc>
          <w:tcPr>
            <w:tcW w:w="1122" w:type="dxa"/>
          </w:tcPr>
          <w:p w14:paraId="47B99DC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36E5AE6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461B07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2BAA9E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E14EE5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40951C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4924F8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57434454" w14:textId="77777777" w:rsidTr="00467B4A">
        <w:trPr>
          <w:trHeight w:val="485"/>
        </w:trPr>
        <w:tc>
          <w:tcPr>
            <w:tcW w:w="1770" w:type="dxa"/>
          </w:tcPr>
          <w:p w14:paraId="13144ACC"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Staphylococcus aureus</w:t>
            </w:r>
          </w:p>
        </w:tc>
        <w:tc>
          <w:tcPr>
            <w:tcW w:w="1122" w:type="dxa"/>
          </w:tcPr>
          <w:p w14:paraId="0C8637A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14109B7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C29E43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E263CE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BFC032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E10B0D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15D66F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36D78F9C" w14:textId="77777777" w:rsidTr="00467B4A">
        <w:trPr>
          <w:trHeight w:val="485"/>
        </w:trPr>
        <w:tc>
          <w:tcPr>
            <w:tcW w:w="1770" w:type="dxa"/>
          </w:tcPr>
          <w:p w14:paraId="4AA1325E"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Azotobacter spp.</w:t>
            </w:r>
          </w:p>
        </w:tc>
        <w:tc>
          <w:tcPr>
            <w:tcW w:w="1122" w:type="dxa"/>
          </w:tcPr>
          <w:p w14:paraId="2516108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5A85A0E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3799F4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BE0EBF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ECA50C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3288E21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8566E7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4ED4EA05" w14:textId="77777777" w:rsidTr="00467B4A">
        <w:trPr>
          <w:trHeight w:val="242"/>
        </w:trPr>
        <w:tc>
          <w:tcPr>
            <w:tcW w:w="1770" w:type="dxa"/>
          </w:tcPr>
          <w:p w14:paraId="06AD341C"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Rhizobium spp.</w:t>
            </w:r>
          </w:p>
        </w:tc>
        <w:tc>
          <w:tcPr>
            <w:tcW w:w="1122" w:type="dxa"/>
          </w:tcPr>
          <w:p w14:paraId="3DB4C0E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5A58661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C52090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230341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E4C4B0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FE7F7A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113C76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000E30C6" w14:textId="77777777" w:rsidTr="00467B4A">
        <w:trPr>
          <w:trHeight w:val="485"/>
        </w:trPr>
        <w:tc>
          <w:tcPr>
            <w:tcW w:w="1770" w:type="dxa"/>
          </w:tcPr>
          <w:p w14:paraId="59229F7A"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fluorescens</w:t>
            </w:r>
          </w:p>
        </w:tc>
        <w:tc>
          <w:tcPr>
            <w:tcW w:w="1122" w:type="dxa"/>
          </w:tcPr>
          <w:p w14:paraId="204CE71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414AE43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121803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D40E2A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D44C3C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217038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7EF3D4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bl>
    <w:p w14:paraId="3B71D1F4" w14:textId="77777777" w:rsidR="00467B4A" w:rsidRPr="00535D4A" w:rsidRDefault="00467B4A" w:rsidP="00467B4A">
      <w:pPr>
        <w:rPr>
          <w:rFonts w:ascii="Times New Roman" w:hAnsi="Times New Roman" w:cs="Times New Roman"/>
          <w:sz w:val="24"/>
          <w:szCs w:val="24"/>
        </w:rPr>
      </w:pPr>
    </w:p>
    <w:p w14:paraId="1890560F" w14:textId="77777777" w:rsidR="00467B4A" w:rsidRPr="00535D4A" w:rsidRDefault="009F3141"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00467B4A" w:rsidRPr="00535D4A">
        <w:rPr>
          <w:rFonts w:ascii="Times New Roman" w:hAnsi="Times New Roman" w:cs="Times New Roman"/>
          <w:b/>
          <w:sz w:val="24"/>
          <w:szCs w:val="24"/>
        </w:rPr>
        <w:t xml:space="preserve"> Results Discussion</w:t>
      </w:r>
    </w:p>
    <w:p w14:paraId="74424B72"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assessment of soil microbial communities at Kwara State Polytechnic commercial farm revealed significant differences in bacterial loads and diversity between the two soil types sampled, F1 and F2. The total heterotrophic bacterial count was markedly higher in soil type F1 (7.8 × 10^6 cfu/g) compared to F2 (2.1 × 10^4 cfu/g) (Table 1). </w:t>
      </w:r>
      <w:r w:rsidR="00A163C4" w:rsidRPr="00A163C4">
        <w:rPr>
          <w:rFonts w:ascii="Times New Roman" w:hAnsi="Times New Roman" w:cs="Times New Roman"/>
          <w:sz w:val="24"/>
          <w:szCs w:val="24"/>
        </w:rPr>
        <w:t>This substantial difference in bacterial load indicates that soil type F1 may provide more favorable conditions for microbial proliferation. Several factors could contribute to this enhanced microbial activity, including a higher organic matter content, which serves as a vital source of nutrients and energy for bacteria. Organic matter not only supports microbial growth but also improves soil structure, enhancing aeration and water retention. Additionally, moisture levels are crucial for microbial metabolism; soils that maintain adequate moisture can sustain more active and diverse microbial communities. Furthermore, the availability of essential nutrients</w:t>
      </w:r>
      <w:r w:rsidR="00E6485E">
        <w:rPr>
          <w:rFonts w:ascii="Times New Roman" w:hAnsi="Times New Roman" w:cs="Times New Roman"/>
          <w:sz w:val="24"/>
          <w:szCs w:val="24"/>
        </w:rPr>
        <w:t xml:space="preserve"> </w:t>
      </w:r>
      <w:r w:rsidR="00A163C4" w:rsidRPr="00A163C4">
        <w:rPr>
          <w:rFonts w:ascii="Times New Roman" w:hAnsi="Times New Roman" w:cs="Times New Roman"/>
          <w:sz w:val="24"/>
          <w:szCs w:val="24"/>
        </w:rPr>
        <w:t>such as nitrogen, phosphorus, and potassium</w:t>
      </w:r>
      <w:r w:rsidR="00A163C4">
        <w:rPr>
          <w:rFonts w:ascii="Times New Roman" w:hAnsi="Times New Roman" w:cs="Times New Roman"/>
          <w:sz w:val="24"/>
          <w:szCs w:val="24"/>
        </w:rPr>
        <w:t xml:space="preserve"> </w:t>
      </w:r>
      <w:r w:rsidR="00A163C4" w:rsidRPr="00A163C4">
        <w:rPr>
          <w:rFonts w:ascii="Times New Roman" w:hAnsi="Times New Roman" w:cs="Times New Roman"/>
          <w:sz w:val="24"/>
          <w:szCs w:val="24"/>
        </w:rPr>
        <w:t>plays a critical role in supporting microbial growth and activity. These nutrients are necessary for various cellular processes, including reproduction and metabolism, and their presence can significantly influence the composition and abundance of microbial communities (Fierer and Jackson, 2006). Collectively, these factors suggest that soil type F1 is likely more conducive to fostering a robust and diverse microbial population, which is essential for maintaining soil health and supporting agricultural productivity.</w:t>
      </w:r>
      <w:r w:rsidR="00325D9D">
        <w:rPr>
          <w:rFonts w:ascii="Times New Roman" w:hAnsi="Times New Roman" w:cs="Times New Roman"/>
          <w:sz w:val="24"/>
          <w:szCs w:val="24"/>
        </w:rPr>
        <w:t xml:space="preserve"> </w:t>
      </w:r>
      <w:r w:rsidRPr="00535D4A">
        <w:rPr>
          <w:rFonts w:ascii="Times New Roman" w:hAnsi="Times New Roman" w:cs="Times New Roman"/>
          <w:sz w:val="24"/>
          <w:szCs w:val="24"/>
        </w:rPr>
        <w:t>The higher bacterial load in F1 indicates a more active microbial community, which is essential for processes such as nutrient cycling and organic matter decomposition, both of which are vital for maintaining soil fertility and supporting crop growth.</w:t>
      </w:r>
    </w:p>
    <w:p w14:paraId="2E5557FD"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distribution of probable bacterial isolates further highlights the diversity present in the soil samples. Soil type F1 was found to harbor beneficial bacteria such as Bacillus subtilis, Azotobacter spp., and Rhizobium spp., which are known for their roles in nitrogen fixation and plant growth promotion (Garbeva et al., 2004) (Table 2). For instance, Rhizobium spp. forms symbiotic relationships with legumes, enhancing nitrogen availability in the soil, which can benefit subsequent crops in rotation systems. In contrast, soil type F2 contained a more limited range of bacterial isolates, including Micrococcus luteus and Pseudomonas aeruginosa. While these bacteria can also be beneficial, they may not contribute as significantly to nutrient cycling as the isolates found in F1. The presence of Pseudomonas aeruginosa, although often recognized for its plant growth-promoting abilities, can also act as a pathogen under certain conditions, which raises concerns for crop health (Khan et al., 2015).</w:t>
      </w:r>
    </w:p>
    <w:p w14:paraId="1B1D5D41"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biochemical characterization of the bacterial isolates obtained from both soil types revealed a predominance of Gram-positive bacteria. Among the notable isolates identified were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and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(see Table 3). The presence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is particularly significant due to its well-documented ability to produce a variety of bioactive compounds, including antibiotics and enzymes, which can effectively suppress plant pathogens. This characteristic makes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 important player in promoting plant health and resilience against diseases.</w:t>
      </w:r>
    </w:p>
    <w:p w14:paraId="508F4002"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In addition to its pathogen-suppressing capabilities,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is also recognized for its role in enhancing soil fertility. It contributes to nutrient cycling by facilitating the breakdown of organic matter and improving nutrient availability for plants. The production of plant growth-promoting substances, such as phytohormones, further supports plant growth and development. These attributes highlight the potential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as a beneficial microbial agent in sustainable agricultural practices, where the enhancement of soil health and crop productivity is paramount (Siciliano et al., 2014).</w:t>
      </w:r>
    </w:p>
    <w:p w14:paraId="22976BD0"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identification of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while noteworthy, warrants further investigation due to its association with pathogenicity in humans and animals. Understanding the ecological roles and interactions of these bacterial isolates within the soil ecosystem is crucial for developing effective soil management strategies that leverage beneficial microbes while mitigating potential risks associated with pathogenic species.</w:t>
      </w:r>
    </w:p>
    <w:p w14:paraId="260FD14C"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This characteristic makes it a valuable asset in sustainable agriculture, as it can help reduce the reliance on chemical fertilizers and pesticides. However, the detection of Escherichia coli and Enterobacter cloacae in soil type F1 raises concerns regarding potential pathogenicity, especially in the context of maize and cassava farming. High loads of these organisms can lead to soil-borne diseases, which may adversely affect crop health and yield (Nwosu et al., 2018). The presence of pathogenic bacteria can lead to increased crop susceptibility to diseases, resulting in lower yields and higher production costs due to the need for disease management strategies.</w:t>
      </w:r>
    </w:p>
    <w:p w14:paraId="47DD1611" w14:textId="77777777" w:rsidR="00326023" w:rsidRPr="00326023" w:rsidRDefault="00467B4A" w:rsidP="00326023">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economic implications of microbial load in maize and cassava farming are significant. Beneficial bacteria can enhance nutrient availability, improve soil structure, and promote plant growth, leading to increased crop yields and profitability for farmers (Obayelu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Alabi, 2014). For example, the presence of Azotobacter spp. in soil type F1 can enhance nitrogen availability, which is crucial for maize and cassava, both of which are nitrogen-demanding crops. Conversely, an overload of pathogenic bacteria can result in crop diseases, reduced yields, and increased costs associated with pest and disease management. </w:t>
      </w:r>
      <w:r w:rsidR="00326023" w:rsidRPr="00326023">
        <w:rPr>
          <w:rFonts w:ascii="Times New Roman" w:hAnsi="Times New Roman" w:cs="Times New Roman"/>
          <w:sz w:val="24"/>
          <w:szCs w:val="24"/>
        </w:rPr>
        <w:t>For instance, </w:t>
      </w:r>
      <w:r w:rsidR="00326023" w:rsidRPr="00326023">
        <w:rPr>
          <w:rFonts w:ascii="Times New Roman" w:hAnsi="Times New Roman" w:cs="Times New Roman"/>
          <w:i/>
          <w:iCs/>
          <w:sz w:val="24"/>
          <w:szCs w:val="24"/>
        </w:rPr>
        <w:t>Pseudomonas aeruginosa</w:t>
      </w:r>
      <w:r w:rsidR="00326023" w:rsidRPr="00326023">
        <w:rPr>
          <w:rFonts w:ascii="Times New Roman" w:hAnsi="Times New Roman" w:cs="Times New Roman"/>
          <w:sz w:val="24"/>
          <w:szCs w:val="24"/>
        </w:rPr>
        <w:t> is a bacterium that exhibits a dual nature; while it can be beneficial in certain contexts—such as promoting plant growth through the production of plant growth-promoting hormones and enhancing nutrient availability—it can also act as a plant pathogen under specific environmental conditions. This pathogenic potential can lead to significant economic losses for farmers, particularly when </w:t>
      </w:r>
      <w:r w:rsidR="00326023" w:rsidRPr="00326023">
        <w:rPr>
          <w:rFonts w:ascii="Times New Roman" w:hAnsi="Times New Roman" w:cs="Times New Roman"/>
          <w:i/>
          <w:iCs/>
          <w:sz w:val="24"/>
          <w:szCs w:val="24"/>
        </w:rPr>
        <w:t>Pseudomonas aeruginosa</w:t>
      </w:r>
      <w:r w:rsidR="00326023" w:rsidRPr="00326023">
        <w:rPr>
          <w:rFonts w:ascii="Times New Roman" w:hAnsi="Times New Roman" w:cs="Times New Roman"/>
          <w:sz w:val="24"/>
          <w:szCs w:val="24"/>
        </w:rPr>
        <w:t> infects crops and causes diseases that reduce yield and quality (Khan et al., 2015).</w:t>
      </w:r>
    </w:p>
    <w:p w14:paraId="07A472A1" w14:textId="77777777"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The dual nature of some bacterial species, like </w:t>
      </w:r>
      <w:r w:rsidRPr="00326023">
        <w:rPr>
          <w:rFonts w:ascii="Times New Roman" w:hAnsi="Times New Roman" w:cs="Times New Roman"/>
          <w:i/>
          <w:iCs/>
          <w:sz w:val="24"/>
          <w:szCs w:val="24"/>
        </w:rPr>
        <w:t>Pseudomonas aeruginosa</w:t>
      </w:r>
      <w:r w:rsidRPr="00326023">
        <w:rPr>
          <w:rFonts w:ascii="Times New Roman" w:hAnsi="Times New Roman" w:cs="Times New Roman"/>
          <w:sz w:val="24"/>
          <w:szCs w:val="24"/>
        </w:rPr>
        <w:t>, underscores the importance of careful monitoring and management of microbial communities in agricultural settings. Effective management strategies should aim to maximize the beneficial aspects of these bacteria while minimizing the risks associated with their pathogenicity. This may involve practices such as regular soil testing, the use of crop rotation, and the application of biocontrol agents that can suppress harmful pathogens while promoting beneficial microbes.</w:t>
      </w:r>
    </w:p>
    <w:p w14:paraId="4ACE45E8" w14:textId="77777777"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Furthermore, understanding the specific environmental conditions that trigger the pathogenic behavior of such bacteria is crucial for developing targeted interventions. By fostering a balanced microbial ecosystem, farmers can enhance soil health and crop resilience, ultimately leading to more sustainable agricultural practices that mitigate the risks posed by potentially harmful microorganisms.</w:t>
      </w:r>
    </w:p>
    <w:p w14:paraId="665CB0B1" w14:textId="77777777" w:rsidR="00394C56" w:rsidRDefault="00394C56" w:rsidP="00326023">
      <w:pPr>
        <w:spacing w:after="0" w:line="480" w:lineRule="auto"/>
        <w:jc w:val="both"/>
        <w:rPr>
          <w:rFonts w:ascii="Times New Roman" w:hAnsi="Times New Roman" w:cs="Times New Roman"/>
          <w:b/>
          <w:sz w:val="24"/>
          <w:szCs w:val="24"/>
        </w:rPr>
      </w:pPr>
    </w:p>
    <w:p w14:paraId="0CF36739" w14:textId="77777777" w:rsidR="00394C56" w:rsidRDefault="00394C56" w:rsidP="00326023">
      <w:pPr>
        <w:spacing w:after="0" w:line="480" w:lineRule="auto"/>
        <w:jc w:val="both"/>
        <w:rPr>
          <w:rFonts w:ascii="Times New Roman" w:hAnsi="Times New Roman" w:cs="Times New Roman"/>
          <w:b/>
          <w:sz w:val="24"/>
          <w:szCs w:val="24"/>
        </w:rPr>
      </w:pPr>
    </w:p>
    <w:p w14:paraId="70CB9EEA" w14:textId="77777777" w:rsidR="00394C56" w:rsidRDefault="00394C56" w:rsidP="00326023">
      <w:pPr>
        <w:spacing w:after="0" w:line="480" w:lineRule="auto"/>
        <w:jc w:val="both"/>
        <w:rPr>
          <w:rFonts w:ascii="Times New Roman" w:hAnsi="Times New Roman" w:cs="Times New Roman"/>
          <w:b/>
          <w:sz w:val="24"/>
          <w:szCs w:val="24"/>
        </w:rPr>
      </w:pPr>
    </w:p>
    <w:p w14:paraId="4E9C7377" w14:textId="77777777" w:rsidR="00394C56" w:rsidRDefault="00394C56" w:rsidP="00326023">
      <w:pPr>
        <w:spacing w:after="0" w:line="480" w:lineRule="auto"/>
        <w:jc w:val="both"/>
        <w:rPr>
          <w:rFonts w:ascii="Times New Roman" w:hAnsi="Times New Roman" w:cs="Times New Roman"/>
          <w:b/>
          <w:sz w:val="24"/>
          <w:szCs w:val="24"/>
        </w:rPr>
      </w:pPr>
    </w:p>
    <w:p w14:paraId="63066AD4" w14:textId="77777777" w:rsidR="00394C56" w:rsidRDefault="00394C56" w:rsidP="00326023">
      <w:pPr>
        <w:spacing w:after="0" w:line="480" w:lineRule="auto"/>
        <w:jc w:val="both"/>
        <w:rPr>
          <w:rFonts w:ascii="Times New Roman" w:hAnsi="Times New Roman" w:cs="Times New Roman"/>
          <w:b/>
          <w:sz w:val="24"/>
          <w:szCs w:val="24"/>
        </w:rPr>
      </w:pPr>
    </w:p>
    <w:p w14:paraId="083D359D" w14:textId="77777777" w:rsidR="00394C56" w:rsidRDefault="00394C56" w:rsidP="00326023">
      <w:pPr>
        <w:spacing w:after="0" w:line="480" w:lineRule="auto"/>
        <w:jc w:val="both"/>
        <w:rPr>
          <w:rFonts w:ascii="Times New Roman" w:hAnsi="Times New Roman" w:cs="Times New Roman"/>
          <w:b/>
          <w:sz w:val="24"/>
          <w:szCs w:val="24"/>
        </w:rPr>
      </w:pPr>
    </w:p>
    <w:p w14:paraId="2F3E7F69" w14:textId="77777777" w:rsidR="00394C56" w:rsidRDefault="00394C56" w:rsidP="00326023">
      <w:pPr>
        <w:spacing w:after="0" w:line="480" w:lineRule="auto"/>
        <w:jc w:val="both"/>
        <w:rPr>
          <w:rFonts w:ascii="Times New Roman" w:hAnsi="Times New Roman" w:cs="Times New Roman"/>
          <w:b/>
          <w:sz w:val="24"/>
          <w:szCs w:val="24"/>
        </w:rPr>
      </w:pPr>
    </w:p>
    <w:p w14:paraId="0BAA9B8A" w14:textId="77777777" w:rsidR="00394C56" w:rsidRDefault="00394C56" w:rsidP="00326023">
      <w:pPr>
        <w:spacing w:after="0" w:line="480" w:lineRule="auto"/>
        <w:jc w:val="both"/>
        <w:rPr>
          <w:rFonts w:ascii="Times New Roman" w:hAnsi="Times New Roman" w:cs="Times New Roman"/>
          <w:b/>
          <w:sz w:val="24"/>
          <w:szCs w:val="24"/>
        </w:rPr>
      </w:pPr>
    </w:p>
    <w:p w14:paraId="2B1DC00C" w14:textId="77777777" w:rsidR="00394C56" w:rsidRDefault="00394C56" w:rsidP="00326023">
      <w:pPr>
        <w:spacing w:after="0" w:line="480" w:lineRule="auto"/>
        <w:jc w:val="both"/>
        <w:rPr>
          <w:rFonts w:ascii="Times New Roman" w:hAnsi="Times New Roman" w:cs="Times New Roman"/>
          <w:b/>
          <w:sz w:val="24"/>
          <w:szCs w:val="24"/>
        </w:rPr>
      </w:pPr>
    </w:p>
    <w:p w14:paraId="2F5D47B4" w14:textId="77777777" w:rsidR="00394C56" w:rsidRDefault="00394C56" w:rsidP="00326023">
      <w:pPr>
        <w:spacing w:after="0" w:line="480" w:lineRule="auto"/>
        <w:jc w:val="both"/>
        <w:rPr>
          <w:rFonts w:ascii="Times New Roman" w:hAnsi="Times New Roman" w:cs="Times New Roman"/>
          <w:b/>
          <w:sz w:val="24"/>
          <w:szCs w:val="24"/>
        </w:rPr>
      </w:pPr>
    </w:p>
    <w:p w14:paraId="289498D6" w14:textId="77777777" w:rsidR="00085E90" w:rsidRDefault="00085E90" w:rsidP="00394C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7B8186A" w14:textId="77777777" w:rsidR="00467B4A" w:rsidRPr="00535D4A" w:rsidRDefault="0064381E" w:rsidP="00467B4A">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 xml:space="preserve">5.0 </w:t>
      </w:r>
      <w:r w:rsidR="00467B4A" w:rsidRPr="00535D4A">
        <w:rPr>
          <w:rFonts w:ascii="Times New Roman" w:hAnsi="Times New Roman" w:cs="Times New Roman"/>
          <w:b/>
          <w:sz w:val="24"/>
          <w:szCs w:val="24"/>
        </w:rPr>
        <w:t>Conclusion</w:t>
      </w:r>
    </w:p>
    <w:p w14:paraId="1C8D9013" w14:textId="77777777" w:rsidR="00A902AD" w:rsidRPr="00A902AD" w:rsidRDefault="00467B4A" w:rsidP="00A902AD">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In conclusion, the comprehensive assessment of soil microbial communities at Kwara State Polytechnic commercial farm has highlighted the critical role of bacterial diversity in influencing soil health and agricultural productivity. </w:t>
      </w:r>
      <w:r w:rsidR="00A902AD" w:rsidRPr="00A902AD">
        <w:rPr>
          <w:rFonts w:ascii="Times New Roman" w:hAnsi="Times New Roman" w:cs="Times New Roman"/>
          <w:sz w:val="24"/>
          <w:szCs w:val="24"/>
        </w:rPr>
        <w:t>The higher bacterial load observed in soil type F1, along with the presence of beneficial bacterial isolates, indicates a more favorable environment for the cultivation of crops such as maize and cassava. The enhanced microbial activity in this soil type can contribute to improved nutrient availability, better soil structure, and increased resilience against environmental stressors, all of which are essential for the healthy growth of these staple crops.</w:t>
      </w:r>
    </w:p>
    <w:p w14:paraId="7DDCDC26"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However, the detection of potentially pathogenic bacteria within the same soil type highlights the importance of implementing careful management practices to mitigate the risks associated with soil-borne diseases. The presence of pathogens can pose significant threats to crop health, leading to reduced yields and economic losses for farmers. Therefore, it is crucial to adopt integrated soil management strategies that not only promote beneficial microbial communities but also monitor and control the populations of harmful bacteria.</w:t>
      </w:r>
    </w:p>
    <w:p w14:paraId="1CF6A74D"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Such management practices may include crop rotation, the use of resistant crop varieties, and the application of organic amendments that enhance soil health while suppressing pathogen populations. Additionally, regular soil testing and monitoring can help identify shifts in microbial communities, allowing for timely interventions to address any emerging threats. By balancing the benefits of a rich microbial community with the need to manage potential risks, farmers can optimize their agricultural practices, ensuring sustainable production of maize and cassava while safeguarding against soil-borne diseases.</w:t>
      </w:r>
    </w:p>
    <w:p w14:paraId="3D7CF470"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The findings underscore the critical importance of understanding microbial dynamics in agricultural soils as a means to enhance crop productivity and sustainability. By gaining insights into the composition, diversity, and functional roles of microbial communities, farmers and agricultural scientists can develop targeted strategies that optimize soil health and fertility.</w:t>
      </w:r>
    </w:p>
    <w:p w14:paraId="7DBA40C1"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Microbial dynamics play a pivotal role in various soil processes, including nutrient cycling, organic matter decomposition, and the suppression of soil-borne pathogens. A thorough understanding of these dynamics allows for the identification of beneficial microorganisms that can be harnessed to improve plant growth and resilience. For instance, promoting the activity of beneficial bacteria and fungi can lead to increased nutrient availability, improved soil structure, and enhanced water retention, all of which contribute to higher crop yields.</w:t>
      </w:r>
    </w:p>
    <w:p w14:paraId="6D5324AC"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Moreover, recognizing the interactions between different microbial species and their responses to environmental changes is essential for developing sustainable agricultural practices. This knowledge can inform decisions related to crop rotation, soil amendments, and pest management, ultimately leading to more resilient farming systems that can withstand the challenges posed by climate change and other stressors.</w:t>
      </w:r>
    </w:p>
    <w:p w14:paraId="29B2BE5E"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In summary, a comprehensive understanding of microbial dynamics in agricultural soils is vital for fostering sustainable practices that not only boost crop productivity but also promote long-term soil health and ecosystem stability.</w:t>
      </w:r>
    </w:p>
    <w:p w14:paraId="493DD492" w14:textId="77777777" w:rsidR="00467B4A" w:rsidRPr="00535D4A" w:rsidRDefault="004B7FA3"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sidR="00230407" w:rsidRPr="00535D4A">
        <w:rPr>
          <w:rFonts w:ascii="Times New Roman" w:hAnsi="Times New Roman" w:cs="Times New Roman"/>
          <w:b/>
          <w:sz w:val="24"/>
          <w:szCs w:val="24"/>
        </w:rPr>
        <w:t xml:space="preserve"> </w:t>
      </w:r>
      <w:r w:rsidR="00467B4A" w:rsidRPr="00535D4A">
        <w:rPr>
          <w:rFonts w:ascii="Times New Roman" w:hAnsi="Times New Roman" w:cs="Times New Roman"/>
          <w:b/>
          <w:sz w:val="24"/>
          <w:szCs w:val="24"/>
        </w:rPr>
        <w:t>Recommendations</w:t>
      </w:r>
    </w:p>
    <w:p w14:paraId="6410B642"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Management Practices: Implement integrated soil fertility management practices that promote beneficial microbial populations while minimizing the risks associated with pathogenic bacteria. This may include the use of organic amendments, crop rotation, and cover cropping to enhance soil health. For instance, incorporating legumes in crop rotations can enhance nitrogen fixation and improve soil microbial diversity.</w:t>
      </w:r>
    </w:p>
    <w:p w14:paraId="702CFE48" w14:textId="77777777" w:rsidR="0064381E" w:rsidRPr="00535D4A" w:rsidRDefault="00467B4A"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Regular Monitoring: Conduct regular soil microbial assessments to monitor changes in microbial communities and their impact on crop health. This will help in making informed decisions regarding soil</w:t>
      </w:r>
      <w:r w:rsidR="0064381E" w:rsidRPr="00535D4A">
        <w:rPr>
          <w:rFonts w:ascii="Times New Roman" w:hAnsi="Times New Roman" w:cs="Times New Roman"/>
          <w:sz w:val="24"/>
          <w:szCs w:val="24"/>
        </w:rPr>
        <w:t xml:space="preserve"> management and crop production strategies. Monitoring should include microbial population counts as well as identification of beneficial and pathogenic species to tailor interventions effectively.</w:t>
      </w:r>
    </w:p>
    <w:p w14:paraId="0923F71D" w14:textId="77777777" w:rsidR="0064381E"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Education and Training: Organize workshops and training programs for farmers and extension workers on the role of soil microbes in crop health, emphasizing practices that foster beneficial bacteria and minimize pathogenic risks. Awareness will encourage adoption of sustainable farming techniques.</w:t>
      </w:r>
    </w:p>
    <w:p w14:paraId="43CBB6AD" w14:textId="77777777" w:rsidR="0064381E"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Research and Development: Support further research into the functional roles of bacterial isolates identified, such as Bacillus subtilis, Azotobacter spp., and Rhizobium spp. This could facilitate development of microbial inoculants or biofertilizers adapted for local conditions, enhancing nutrient cycling and disease resistance.</w:t>
      </w:r>
    </w:p>
    <w:p w14:paraId="792BEBF4" w14:textId="77777777" w:rsidR="00064BA0"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Policy Support: Advocate for agricultural policies that prioritize sustainable soil health management and microbial biodiversity conservation. This includes funding for microbial soil studies, incentives for use of organic amendments, and regulations on pesticide use to preserve beneficial microorganisms.</w:t>
      </w:r>
    </w:p>
    <w:p w14:paraId="2507D911" w14:textId="77777777" w:rsidR="000A13D8" w:rsidRDefault="000A13D8" w:rsidP="0068276F">
      <w:pPr>
        <w:spacing w:after="0" w:line="480" w:lineRule="auto"/>
        <w:jc w:val="both"/>
        <w:rPr>
          <w:rFonts w:ascii="Times New Roman" w:hAnsi="Times New Roman" w:cs="Times New Roman"/>
          <w:sz w:val="24"/>
          <w:szCs w:val="24"/>
        </w:rPr>
      </w:pPr>
    </w:p>
    <w:p w14:paraId="391F2A88" w14:textId="77777777" w:rsidR="00955163" w:rsidRDefault="00955163" w:rsidP="0068276F">
      <w:pPr>
        <w:spacing w:after="0" w:line="480" w:lineRule="auto"/>
        <w:jc w:val="both"/>
        <w:rPr>
          <w:rFonts w:ascii="Times New Roman" w:hAnsi="Times New Roman" w:cs="Times New Roman"/>
          <w:sz w:val="24"/>
          <w:szCs w:val="24"/>
        </w:rPr>
      </w:pPr>
    </w:p>
    <w:p w14:paraId="7BAF7693" w14:textId="77777777" w:rsidR="00955163" w:rsidRDefault="00955163" w:rsidP="0068276F">
      <w:pPr>
        <w:spacing w:after="0" w:line="480" w:lineRule="auto"/>
        <w:jc w:val="both"/>
        <w:rPr>
          <w:rFonts w:ascii="Times New Roman" w:hAnsi="Times New Roman" w:cs="Times New Roman"/>
          <w:sz w:val="24"/>
          <w:szCs w:val="24"/>
        </w:rPr>
      </w:pPr>
    </w:p>
    <w:p w14:paraId="1564D712" w14:textId="77777777" w:rsidR="00955163" w:rsidRDefault="00955163" w:rsidP="0068276F">
      <w:pPr>
        <w:spacing w:after="0" w:line="480" w:lineRule="auto"/>
        <w:jc w:val="both"/>
        <w:rPr>
          <w:rFonts w:ascii="Times New Roman" w:hAnsi="Times New Roman" w:cs="Times New Roman"/>
          <w:sz w:val="24"/>
          <w:szCs w:val="24"/>
        </w:rPr>
      </w:pPr>
    </w:p>
    <w:p w14:paraId="589B9625" w14:textId="77777777" w:rsidR="00955163" w:rsidRDefault="00955163" w:rsidP="0068276F">
      <w:pPr>
        <w:spacing w:after="0" w:line="480" w:lineRule="auto"/>
        <w:jc w:val="both"/>
        <w:rPr>
          <w:rFonts w:ascii="Times New Roman" w:hAnsi="Times New Roman" w:cs="Times New Roman"/>
          <w:sz w:val="24"/>
          <w:szCs w:val="24"/>
        </w:rPr>
      </w:pPr>
    </w:p>
    <w:p w14:paraId="63DBE3A7" w14:textId="77777777" w:rsidR="00955163" w:rsidRDefault="00955163" w:rsidP="0068276F">
      <w:pPr>
        <w:spacing w:after="0" w:line="480" w:lineRule="auto"/>
        <w:jc w:val="both"/>
        <w:rPr>
          <w:rFonts w:ascii="Times New Roman" w:hAnsi="Times New Roman" w:cs="Times New Roman"/>
          <w:sz w:val="24"/>
          <w:szCs w:val="24"/>
        </w:rPr>
      </w:pPr>
    </w:p>
    <w:p w14:paraId="05B9722F" w14:textId="77777777" w:rsidR="00955163" w:rsidRDefault="00955163" w:rsidP="0068276F">
      <w:pPr>
        <w:spacing w:after="0" w:line="480" w:lineRule="auto"/>
        <w:jc w:val="both"/>
        <w:rPr>
          <w:rFonts w:ascii="Times New Roman" w:hAnsi="Times New Roman" w:cs="Times New Roman"/>
          <w:sz w:val="24"/>
          <w:szCs w:val="24"/>
        </w:rPr>
      </w:pPr>
    </w:p>
    <w:p w14:paraId="365E39DC" w14:textId="77777777" w:rsidR="00955163" w:rsidRDefault="00955163" w:rsidP="0068276F">
      <w:pPr>
        <w:spacing w:after="0" w:line="480" w:lineRule="auto"/>
        <w:jc w:val="both"/>
        <w:rPr>
          <w:rFonts w:ascii="Times New Roman" w:hAnsi="Times New Roman" w:cs="Times New Roman"/>
          <w:sz w:val="24"/>
          <w:szCs w:val="24"/>
        </w:rPr>
      </w:pPr>
    </w:p>
    <w:p w14:paraId="57DE7D05" w14:textId="77777777" w:rsidR="00233B9C" w:rsidRDefault="00233B9C" w:rsidP="0068276F">
      <w:pPr>
        <w:spacing w:after="0" w:line="480" w:lineRule="auto"/>
        <w:jc w:val="both"/>
        <w:rPr>
          <w:rFonts w:ascii="Times New Roman" w:hAnsi="Times New Roman" w:cs="Times New Roman"/>
          <w:sz w:val="24"/>
          <w:szCs w:val="24"/>
        </w:rPr>
      </w:pPr>
    </w:p>
    <w:p w14:paraId="0D6F0954" w14:textId="77777777" w:rsidR="00233B9C" w:rsidRDefault="00233B9C" w:rsidP="0068276F">
      <w:pPr>
        <w:spacing w:after="0" w:line="480" w:lineRule="auto"/>
        <w:jc w:val="both"/>
        <w:rPr>
          <w:rFonts w:ascii="Times New Roman" w:hAnsi="Times New Roman" w:cs="Times New Roman"/>
          <w:sz w:val="24"/>
          <w:szCs w:val="24"/>
        </w:rPr>
      </w:pPr>
    </w:p>
    <w:p w14:paraId="77C58D31" w14:textId="77777777" w:rsidR="00233B9C" w:rsidRDefault="00233B9C" w:rsidP="0068276F">
      <w:pPr>
        <w:spacing w:after="0" w:line="480" w:lineRule="auto"/>
        <w:jc w:val="both"/>
        <w:rPr>
          <w:rFonts w:ascii="Times New Roman" w:hAnsi="Times New Roman" w:cs="Times New Roman"/>
          <w:sz w:val="24"/>
          <w:szCs w:val="24"/>
        </w:rPr>
      </w:pPr>
    </w:p>
    <w:p w14:paraId="70C67B0C" w14:textId="77777777" w:rsidR="00955163" w:rsidRPr="00955163" w:rsidRDefault="00955163" w:rsidP="00955163">
      <w:pPr>
        <w:spacing w:after="0" w:line="480" w:lineRule="auto"/>
        <w:jc w:val="both"/>
        <w:rPr>
          <w:rFonts w:ascii="Times New Roman" w:hAnsi="Times New Roman" w:cs="Times New Roman"/>
          <w:b/>
          <w:bCs/>
          <w:sz w:val="24"/>
          <w:szCs w:val="24"/>
        </w:rPr>
      </w:pPr>
      <w:r w:rsidRPr="00955163">
        <w:rPr>
          <w:rFonts w:ascii="Times New Roman" w:hAnsi="Times New Roman" w:cs="Times New Roman"/>
          <w:b/>
          <w:bCs/>
          <w:sz w:val="24"/>
          <w:szCs w:val="24"/>
        </w:rPr>
        <w:t>References</w:t>
      </w:r>
    </w:p>
    <w:p w14:paraId="096B6AEE"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Akinola, J. O., Ojo,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Olatunji, A. A. (2017). Influence of organic amendments on soil bacterial diversity in southwestern Nigeria. </w:t>
      </w:r>
      <w:r w:rsidRPr="00955163">
        <w:rPr>
          <w:rFonts w:ascii="Times New Roman" w:hAnsi="Times New Roman" w:cs="Times New Roman"/>
          <w:i/>
          <w:iCs/>
          <w:sz w:val="24"/>
          <w:szCs w:val="24"/>
        </w:rPr>
        <w:t>International Journal of Soil Science</w:t>
      </w:r>
      <w:r w:rsidRPr="00955163">
        <w:rPr>
          <w:rFonts w:ascii="Times New Roman" w:hAnsi="Times New Roman" w:cs="Times New Roman"/>
          <w:sz w:val="24"/>
          <w:szCs w:val="24"/>
        </w:rPr>
        <w:t>, 12(4), 134-142. https://doi.org/10.3923/ijss.2017.134.142</w:t>
      </w:r>
    </w:p>
    <w:p w14:paraId="78F1F1C4"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Bardgett, R. D.,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Der Putten, W. H. (2014). Belowground biodiversity and ecosystem functioning.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515(7528), 505-511. https://doi.org/10.1038/nature13855</w:t>
      </w:r>
    </w:p>
    <w:p w14:paraId="74D4ED14"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Fierer, N.,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Jackson, R. B. (2006). The diversity and biogeography of soil bacterial communities.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103(3), 626-631. https://doi.org/10.1073/pnas.0507535103</w:t>
      </w:r>
    </w:p>
    <w:p w14:paraId="2798024A"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Garbeva, P., van Veen, J.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Elsas, J. D. (2004). Microbial diversity in soil: selection of microbial populations by plant and soil type and implications for disease suppressiveness. </w:t>
      </w:r>
      <w:r w:rsidRPr="00955163">
        <w:rPr>
          <w:rFonts w:ascii="Times New Roman" w:hAnsi="Times New Roman" w:cs="Times New Roman"/>
          <w:i/>
          <w:iCs/>
          <w:sz w:val="24"/>
          <w:szCs w:val="24"/>
        </w:rPr>
        <w:t>Annual Review of Phytopathology</w:t>
      </w:r>
      <w:r w:rsidRPr="00955163">
        <w:rPr>
          <w:rFonts w:ascii="Times New Roman" w:hAnsi="Times New Roman" w:cs="Times New Roman"/>
          <w:sz w:val="24"/>
          <w:szCs w:val="24"/>
        </w:rPr>
        <w:t>, 42, 243-270. https://doi.org/10.1146/annurev.phyto.42.040104.110202</w:t>
      </w:r>
    </w:p>
    <w:p w14:paraId="0D9CABA0"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Hartmann, M., et al. (2015). Resistance and resilience of the forest soil microbiome to logging-associated compaction.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9(1), 226-240. https://doi.org/10.1038/ismej.2014.118</w:t>
      </w:r>
    </w:p>
    <w:p w14:paraId="4E70CB54"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Nwosu, J. C., Eze, C.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Okeke, C. U. (2018). The role of sodium in soil salinity and its effect on crop production. </w:t>
      </w:r>
      <w:r w:rsidRPr="00955163">
        <w:rPr>
          <w:rFonts w:ascii="Times New Roman" w:hAnsi="Times New Roman" w:cs="Times New Roman"/>
          <w:i/>
          <w:iCs/>
          <w:sz w:val="24"/>
          <w:szCs w:val="24"/>
        </w:rPr>
        <w:t>Journal of Agricultural Science and Technology</w:t>
      </w:r>
      <w:r w:rsidRPr="00955163">
        <w:rPr>
          <w:rFonts w:ascii="Times New Roman" w:hAnsi="Times New Roman" w:cs="Times New Roman"/>
          <w:sz w:val="24"/>
          <w:szCs w:val="24"/>
        </w:rPr>
        <w:t>, 8(2), 67-75.</w:t>
      </w:r>
    </w:p>
    <w:p w14:paraId="583523D1"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Obayelu,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Alabi, S. O. (2014). Farmers’ perceptions and economic analysis of soil fertility management in Southwestern Nigeria. </w:t>
      </w:r>
      <w:r w:rsidRPr="00955163">
        <w:rPr>
          <w:rFonts w:ascii="Times New Roman" w:hAnsi="Times New Roman" w:cs="Times New Roman"/>
          <w:i/>
          <w:iCs/>
          <w:sz w:val="24"/>
          <w:szCs w:val="24"/>
        </w:rPr>
        <w:t>Nigerian Journal of Soil Science</w:t>
      </w:r>
      <w:r w:rsidRPr="00955163">
        <w:rPr>
          <w:rFonts w:ascii="Times New Roman" w:hAnsi="Times New Roman" w:cs="Times New Roman"/>
          <w:sz w:val="24"/>
          <w:szCs w:val="24"/>
        </w:rPr>
        <w:t>, 24(1), 22-34.</w:t>
      </w:r>
    </w:p>
    <w:p w14:paraId="09ABDBA6"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Rousk, J., et al. (2009). Soil bacterial and fungal communities across a pH gradient in an arable soil.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4(10), 1340-1351. https://doi.org/10.1038/ismej.2009.65</w:t>
      </w:r>
    </w:p>
    <w:p w14:paraId="2116372A"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Schmidt, M. W. I., et al. (2011). Persistence of soil organic matter as an ecosystem property.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478(7367), 49-56. https://doi.org/10.1038/nature10386</w:t>
      </w:r>
    </w:p>
    <w:p w14:paraId="6C4F0126"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Siciliano, S. D., et al. (2014). Defining microbial community metrics for soil health diagnostics. </w:t>
      </w:r>
      <w:r w:rsidRPr="00955163">
        <w:rPr>
          <w:rFonts w:ascii="Times New Roman" w:hAnsi="Times New Roman" w:cs="Times New Roman"/>
          <w:i/>
          <w:iCs/>
          <w:sz w:val="24"/>
          <w:szCs w:val="24"/>
        </w:rPr>
        <w:t>Applied Soil Ecology</w:t>
      </w:r>
      <w:r w:rsidRPr="00955163">
        <w:rPr>
          <w:rFonts w:ascii="Times New Roman" w:hAnsi="Times New Roman" w:cs="Times New Roman"/>
          <w:sz w:val="24"/>
          <w:szCs w:val="24"/>
        </w:rPr>
        <w:t>, 97, 38-44. https://doi.org/10.1016/j.apsoil.2015.08.001</w:t>
      </w:r>
    </w:p>
    <w:p w14:paraId="2DEC062B"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Torsvik, V.,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Øvreås, L. (2002). Microbial diversity and function in soil: from genes to ecosystems. </w:t>
      </w:r>
      <w:r w:rsidRPr="00955163">
        <w:rPr>
          <w:rFonts w:ascii="Times New Roman" w:hAnsi="Times New Roman" w:cs="Times New Roman"/>
          <w:i/>
          <w:iCs/>
          <w:sz w:val="24"/>
          <w:szCs w:val="24"/>
        </w:rPr>
        <w:t>Current Opinion in Microbiology</w:t>
      </w:r>
      <w:r w:rsidRPr="00955163">
        <w:rPr>
          <w:rFonts w:ascii="Times New Roman" w:hAnsi="Times New Roman" w:cs="Times New Roman"/>
          <w:sz w:val="24"/>
          <w:szCs w:val="24"/>
        </w:rPr>
        <w:t>, 5(3), 240-245. https://doi.org/10.1016/S1369-5042(02)00324-7</w:t>
      </w:r>
    </w:p>
    <w:p w14:paraId="52B560BC"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Van Elsas, J. D., et al. (2007). Microbial diversity determines the invasion of soil by a bacterial pathogen.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104(52), 20380-20385. https://doi.org/10.1073/pnas.0709926105</w:t>
      </w:r>
    </w:p>
    <w:p w14:paraId="134CE038"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Olsen, S. R., Cole, C. V., Watanabe, F. S.,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Dean, L. A. (1954). Estimation of available phosphorus in soils by extraction with sodium bicarbonate. </w:t>
      </w:r>
      <w:r w:rsidRPr="00955163">
        <w:rPr>
          <w:rFonts w:ascii="Times New Roman" w:hAnsi="Times New Roman" w:cs="Times New Roman"/>
          <w:i/>
          <w:iCs/>
          <w:sz w:val="24"/>
          <w:szCs w:val="24"/>
        </w:rPr>
        <w:t>USDA Circular</w:t>
      </w:r>
      <w:r w:rsidRPr="00955163">
        <w:rPr>
          <w:rFonts w:ascii="Times New Roman" w:hAnsi="Times New Roman" w:cs="Times New Roman"/>
          <w:sz w:val="24"/>
          <w:szCs w:val="24"/>
        </w:rPr>
        <w:t>, 939, 1-19.</w:t>
      </w:r>
    </w:p>
    <w:p w14:paraId="0742889B"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Gee, G. W.,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Bauder, J. W. (1986). Particle-size analysis.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383-411). Soil Science Society of America, Inc.</w:t>
      </w:r>
    </w:p>
    <w:p w14:paraId="1E7F67FF"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Thomas, G. W. (1996). Soil pH and Soil Acidity.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475-490). Soil Science Society of America, Inc.</w:t>
      </w:r>
    </w:p>
    <w:p w14:paraId="18C55245" w14:textId="77777777" w:rsidR="00955163" w:rsidRDefault="00955163" w:rsidP="00C443E7">
      <w:pPr>
        <w:spacing w:after="0" w:line="480" w:lineRule="auto"/>
        <w:ind w:left="1170" w:hanging="1170"/>
        <w:jc w:val="both"/>
        <w:rPr>
          <w:rFonts w:ascii="Times New Roman" w:hAnsi="Times New Roman" w:cs="Times New Roman"/>
          <w:sz w:val="24"/>
          <w:szCs w:val="24"/>
        </w:rPr>
      </w:pPr>
    </w:p>
    <w:p w14:paraId="64F1D01F" w14:textId="77777777" w:rsidR="00955163" w:rsidRDefault="00955163" w:rsidP="00C443E7">
      <w:pPr>
        <w:spacing w:after="0" w:line="480" w:lineRule="auto"/>
        <w:ind w:left="1170" w:hanging="1170"/>
        <w:jc w:val="both"/>
        <w:rPr>
          <w:rFonts w:ascii="Times New Roman" w:hAnsi="Times New Roman" w:cs="Times New Roman"/>
          <w:sz w:val="24"/>
          <w:szCs w:val="24"/>
        </w:rPr>
      </w:pPr>
    </w:p>
    <w:p w14:paraId="2BCA11CD" w14:textId="77777777" w:rsidR="00955163" w:rsidRPr="00535D4A" w:rsidRDefault="00955163" w:rsidP="00C443E7">
      <w:pPr>
        <w:spacing w:after="0" w:line="480" w:lineRule="auto"/>
        <w:ind w:left="1170" w:hanging="1170"/>
        <w:jc w:val="both"/>
        <w:rPr>
          <w:rFonts w:ascii="Times New Roman" w:hAnsi="Times New Roman" w:cs="Times New Roman"/>
          <w:sz w:val="24"/>
          <w:szCs w:val="24"/>
        </w:rPr>
      </w:pPr>
    </w:p>
    <w:sectPr w:rsidR="00955163" w:rsidRPr="0053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1E"/>
    <w:rsid w:val="00022B22"/>
    <w:rsid w:val="000545E8"/>
    <w:rsid w:val="00064BA0"/>
    <w:rsid w:val="0006588C"/>
    <w:rsid w:val="00077935"/>
    <w:rsid w:val="00085E90"/>
    <w:rsid w:val="000A13D8"/>
    <w:rsid w:val="000D6777"/>
    <w:rsid w:val="0010550A"/>
    <w:rsid w:val="00230407"/>
    <w:rsid w:val="00233B9C"/>
    <w:rsid w:val="002F4710"/>
    <w:rsid w:val="00325D2E"/>
    <w:rsid w:val="00325D9D"/>
    <w:rsid w:val="00326023"/>
    <w:rsid w:val="00394C56"/>
    <w:rsid w:val="004375DC"/>
    <w:rsid w:val="00444D04"/>
    <w:rsid w:val="00467B4A"/>
    <w:rsid w:val="004B7FA3"/>
    <w:rsid w:val="00535D4A"/>
    <w:rsid w:val="005D389E"/>
    <w:rsid w:val="005E3EBD"/>
    <w:rsid w:val="0064381E"/>
    <w:rsid w:val="0064751E"/>
    <w:rsid w:val="0068276F"/>
    <w:rsid w:val="006F5EB5"/>
    <w:rsid w:val="006F6EC8"/>
    <w:rsid w:val="007051F5"/>
    <w:rsid w:val="00732EE8"/>
    <w:rsid w:val="00781687"/>
    <w:rsid w:val="007B0F2A"/>
    <w:rsid w:val="00896BF2"/>
    <w:rsid w:val="00912C4D"/>
    <w:rsid w:val="00955163"/>
    <w:rsid w:val="009C110D"/>
    <w:rsid w:val="009F3141"/>
    <w:rsid w:val="00A163C4"/>
    <w:rsid w:val="00A17805"/>
    <w:rsid w:val="00A24507"/>
    <w:rsid w:val="00A902AD"/>
    <w:rsid w:val="00C14914"/>
    <w:rsid w:val="00C42F05"/>
    <w:rsid w:val="00C443E7"/>
    <w:rsid w:val="00C77F4B"/>
    <w:rsid w:val="00D04FA5"/>
    <w:rsid w:val="00DF3061"/>
    <w:rsid w:val="00DF32F1"/>
    <w:rsid w:val="00E06791"/>
    <w:rsid w:val="00E209B7"/>
    <w:rsid w:val="00E6485E"/>
    <w:rsid w:val="00EE283C"/>
    <w:rsid w:val="00F256A5"/>
    <w:rsid w:val="00F65EFC"/>
    <w:rsid w:val="00FA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CFE5"/>
  <w15:chartTrackingRefBased/>
  <w15:docId w15:val="{F75A29B1-0AA1-4B3D-81EE-231CE20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B4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67B4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55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B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67B4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5516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8634">
      <w:bodyDiv w:val="1"/>
      <w:marLeft w:val="0"/>
      <w:marRight w:val="0"/>
      <w:marTop w:val="0"/>
      <w:marBottom w:val="0"/>
      <w:divBdr>
        <w:top w:val="none" w:sz="0" w:space="0" w:color="auto"/>
        <w:left w:val="none" w:sz="0" w:space="0" w:color="auto"/>
        <w:bottom w:val="none" w:sz="0" w:space="0" w:color="auto"/>
        <w:right w:val="none" w:sz="0" w:space="0" w:color="auto"/>
      </w:divBdr>
    </w:div>
    <w:div w:id="252862488">
      <w:bodyDiv w:val="1"/>
      <w:marLeft w:val="0"/>
      <w:marRight w:val="0"/>
      <w:marTop w:val="0"/>
      <w:marBottom w:val="0"/>
      <w:divBdr>
        <w:top w:val="none" w:sz="0" w:space="0" w:color="auto"/>
        <w:left w:val="none" w:sz="0" w:space="0" w:color="auto"/>
        <w:bottom w:val="none" w:sz="0" w:space="0" w:color="auto"/>
        <w:right w:val="none" w:sz="0" w:space="0" w:color="auto"/>
      </w:divBdr>
    </w:div>
    <w:div w:id="497959579">
      <w:bodyDiv w:val="1"/>
      <w:marLeft w:val="0"/>
      <w:marRight w:val="0"/>
      <w:marTop w:val="0"/>
      <w:marBottom w:val="0"/>
      <w:divBdr>
        <w:top w:val="none" w:sz="0" w:space="0" w:color="auto"/>
        <w:left w:val="none" w:sz="0" w:space="0" w:color="auto"/>
        <w:bottom w:val="none" w:sz="0" w:space="0" w:color="auto"/>
        <w:right w:val="none" w:sz="0" w:space="0" w:color="auto"/>
      </w:divBdr>
    </w:div>
    <w:div w:id="699404350">
      <w:bodyDiv w:val="1"/>
      <w:marLeft w:val="0"/>
      <w:marRight w:val="0"/>
      <w:marTop w:val="0"/>
      <w:marBottom w:val="0"/>
      <w:divBdr>
        <w:top w:val="none" w:sz="0" w:space="0" w:color="auto"/>
        <w:left w:val="none" w:sz="0" w:space="0" w:color="auto"/>
        <w:bottom w:val="none" w:sz="0" w:space="0" w:color="auto"/>
        <w:right w:val="none" w:sz="0" w:space="0" w:color="auto"/>
      </w:divBdr>
    </w:div>
    <w:div w:id="933123266">
      <w:bodyDiv w:val="1"/>
      <w:marLeft w:val="0"/>
      <w:marRight w:val="0"/>
      <w:marTop w:val="0"/>
      <w:marBottom w:val="0"/>
      <w:divBdr>
        <w:top w:val="none" w:sz="0" w:space="0" w:color="auto"/>
        <w:left w:val="none" w:sz="0" w:space="0" w:color="auto"/>
        <w:bottom w:val="none" w:sz="0" w:space="0" w:color="auto"/>
        <w:right w:val="none" w:sz="0" w:space="0" w:color="auto"/>
      </w:divBdr>
    </w:div>
    <w:div w:id="1227305820">
      <w:bodyDiv w:val="1"/>
      <w:marLeft w:val="0"/>
      <w:marRight w:val="0"/>
      <w:marTop w:val="0"/>
      <w:marBottom w:val="0"/>
      <w:divBdr>
        <w:top w:val="none" w:sz="0" w:space="0" w:color="auto"/>
        <w:left w:val="none" w:sz="0" w:space="0" w:color="auto"/>
        <w:bottom w:val="none" w:sz="0" w:space="0" w:color="auto"/>
        <w:right w:val="none" w:sz="0" w:space="0" w:color="auto"/>
      </w:divBdr>
    </w:div>
    <w:div w:id="1473213311">
      <w:bodyDiv w:val="1"/>
      <w:marLeft w:val="0"/>
      <w:marRight w:val="0"/>
      <w:marTop w:val="0"/>
      <w:marBottom w:val="0"/>
      <w:divBdr>
        <w:top w:val="none" w:sz="0" w:space="0" w:color="auto"/>
        <w:left w:val="none" w:sz="0" w:space="0" w:color="auto"/>
        <w:bottom w:val="none" w:sz="0" w:space="0" w:color="auto"/>
        <w:right w:val="none" w:sz="0" w:space="0" w:color="auto"/>
      </w:divBdr>
    </w:div>
    <w:div w:id="1477725354">
      <w:bodyDiv w:val="1"/>
      <w:marLeft w:val="0"/>
      <w:marRight w:val="0"/>
      <w:marTop w:val="0"/>
      <w:marBottom w:val="0"/>
      <w:divBdr>
        <w:top w:val="none" w:sz="0" w:space="0" w:color="auto"/>
        <w:left w:val="none" w:sz="0" w:space="0" w:color="auto"/>
        <w:bottom w:val="none" w:sz="0" w:space="0" w:color="auto"/>
        <w:right w:val="none" w:sz="0" w:space="0" w:color="auto"/>
      </w:divBdr>
    </w:div>
    <w:div w:id="17611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4605</Words>
  <Characters>26252</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Table 2: Distribution of Probable Bacteria in Soil Type</vt:lpstr>
      <vt:lpstr>Table 3:  Biochemical Characterization of Bacterial Isolates</vt:lpstr>
      <vt: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Ahmod Alkinzeez</cp:lastModifiedBy>
  <cp:revision>2</cp:revision>
  <dcterms:created xsi:type="dcterms:W3CDTF">2025-06-20T13:43:00Z</dcterms:created>
  <dcterms:modified xsi:type="dcterms:W3CDTF">2025-06-20T13:43:00Z</dcterms:modified>
</cp:coreProperties>
</file>