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0F583">
      <w:pPr>
        <w:jc w:val="center"/>
        <w:rPr>
          <w:rFonts w:ascii="Times New Roman" w:hAnsi="Times New Roman" w:cs="Times New Roman"/>
          <w:b/>
          <w:bCs/>
          <w:sz w:val="28"/>
          <w:szCs w:val="28"/>
        </w:rPr>
      </w:pPr>
      <w:r>
        <w:rPr>
          <w:rFonts w:ascii="Times New Roman" w:hAnsi="Times New Roman" w:eastAsia="Times New Roman" w:cs="Times New Roman"/>
          <w:b/>
          <w:bCs/>
          <w:sz w:val="28"/>
          <w:szCs w:val="28"/>
          <w:lang w:eastAsia="en-GB"/>
        </w:rPr>
        <w:t>PERCEPTION OF KWARA STATE STUDENTS TOWARDS NIGERIA STUDENT’S LOAN SCHEME</w:t>
      </w:r>
    </w:p>
    <w:p w14:paraId="2FC471DB">
      <w:pPr>
        <w:spacing w:after="0" w:line="240" w:lineRule="auto"/>
        <w:rPr>
          <w:sz w:val="20"/>
          <w:szCs w:val="20"/>
        </w:rPr>
      </w:pPr>
    </w:p>
    <w:p w14:paraId="06A6D554">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6C28329D">
      <w:pPr>
        <w:spacing w:line="360" w:lineRule="auto"/>
        <w:jc w:val="center"/>
        <w:rPr>
          <w:rFonts w:hint="default" w:ascii="Times New Roman" w:hAnsi="Times New Roman" w:cs="Times New Roman"/>
          <w:b/>
          <w:bCs w:val="0"/>
          <w:sz w:val="24"/>
          <w:szCs w:val="24"/>
        </w:rPr>
      </w:pPr>
    </w:p>
    <w:p w14:paraId="41327FCE">
      <w:pPr>
        <w:spacing w:line="360" w:lineRule="auto"/>
        <w:jc w:val="center"/>
        <w:rPr>
          <w:rFonts w:ascii="Times New Roman" w:hAnsi="Times New Roman" w:cs="Times New Roman"/>
          <w:b/>
          <w:sz w:val="24"/>
          <w:szCs w:val="24"/>
        </w:rPr>
      </w:pPr>
      <w:r>
        <w:rPr>
          <w:rFonts w:hint="default" w:ascii="Times New Roman" w:hAnsi="Times New Roman" w:cs="Times New Roman"/>
          <w:b/>
          <w:bCs w:val="0"/>
          <w:sz w:val="24"/>
          <w:szCs w:val="24"/>
          <w:lang w:val="en-US"/>
        </w:rPr>
        <w:t>ABIODUN BLESSING AYOMIDE</w:t>
      </w:r>
    </w:p>
    <w:p w14:paraId="0C4B2B83">
      <w:pPr>
        <w:spacing w:line="36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ND/23/LIS/FT/</w:t>
      </w:r>
      <w:r>
        <w:rPr>
          <w:rFonts w:hint="default" w:ascii="Times New Roman" w:hAnsi="Times New Roman" w:cs="Times New Roman"/>
          <w:b/>
          <w:sz w:val="24"/>
          <w:szCs w:val="24"/>
          <w:lang w:val="en-US"/>
        </w:rPr>
        <w:t>0051</w:t>
      </w:r>
    </w:p>
    <w:p w14:paraId="59DE45D9">
      <w:pPr>
        <w:spacing w:line="360" w:lineRule="auto"/>
        <w:jc w:val="center"/>
        <w:rPr>
          <w:rFonts w:hint="default" w:ascii="Times New Roman" w:hAnsi="Times New Roman" w:cs="Times New Roman"/>
          <w:b/>
          <w:bCs w:val="0"/>
          <w:sz w:val="24"/>
          <w:szCs w:val="24"/>
        </w:rPr>
      </w:pPr>
    </w:p>
    <w:p w14:paraId="2AE6C711">
      <w:pPr>
        <w:spacing w:line="360" w:lineRule="auto"/>
        <w:jc w:val="center"/>
        <w:rPr>
          <w:rFonts w:hint="default" w:ascii="Times New Roman" w:hAnsi="Times New Roman" w:cs="Times New Roman"/>
          <w:b/>
          <w:bCs w:val="0"/>
          <w:sz w:val="24"/>
          <w:szCs w:val="24"/>
        </w:rPr>
      </w:pPr>
      <w:bookmarkStart w:id="63" w:name="_GoBack"/>
      <w:bookmarkEnd w:id="63"/>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both"/>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663B9532">
      <w:pPr>
        <w:spacing w:line="240" w:lineRule="auto"/>
        <w:jc w:val="center"/>
        <w:rPr>
          <w:rFonts w:ascii="Times New Roman" w:hAnsi="Times New Roman"/>
          <w:b/>
          <w:bCs/>
          <w:color w:val="000000"/>
          <w:sz w:val="28"/>
          <w:szCs w:val="28"/>
        </w:rPr>
      </w:pPr>
    </w:p>
    <w:p w14:paraId="4AA8BE28">
      <w:pPr>
        <w:spacing w:line="240" w:lineRule="auto"/>
        <w:jc w:val="center"/>
        <w:rPr>
          <w:rFonts w:ascii="Times New Roman" w:hAnsi="Times New Roman"/>
          <w:b/>
          <w:bCs/>
          <w:color w:val="000000"/>
          <w:sz w:val="28"/>
          <w:szCs w:val="28"/>
        </w:rPr>
      </w:pPr>
    </w:p>
    <w:p w14:paraId="6B8BC4CF">
      <w:pPr>
        <w:spacing w:line="240" w:lineRule="auto"/>
        <w:jc w:val="center"/>
        <w:rPr>
          <w:rFonts w:ascii="Times New Roman" w:hAnsi="Times New Roman"/>
          <w:b/>
          <w:bCs/>
          <w:color w:val="000000"/>
          <w:sz w:val="28"/>
          <w:szCs w:val="28"/>
        </w:rPr>
      </w:pPr>
    </w:p>
    <w:p w14:paraId="1CEFC606">
      <w:pPr>
        <w:pStyle w:val="2"/>
        <w:spacing w:line="480" w:lineRule="auto"/>
        <w:jc w:val="center"/>
        <w:rPr>
          <w:rFonts w:hint="default" w:ascii="Times New Roman" w:hAnsi="Times New Roman"/>
          <w:bCs w:val="0"/>
          <w:color w:val="000000"/>
          <w:lang w:val="en-US"/>
        </w:rPr>
      </w:pPr>
      <w:bookmarkStart w:id="0" w:name="_Toc170816627"/>
      <w:bookmarkStart w:id="1" w:name="_Toc83967119"/>
      <w:bookmarkStart w:id="2" w:name="_Toc83967057"/>
      <w:r>
        <w:rPr>
          <w:rFonts w:ascii="Times New Roman" w:hAnsi="Times New Roman"/>
          <w:bCs w:val="0"/>
          <w:color w:val="000000"/>
        </w:rPr>
        <w:t>JUNE, 202</w:t>
      </w:r>
      <w:bookmarkEnd w:id="0"/>
      <w:bookmarkEnd w:id="1"/>
      <w:bookmarkEnd w:id="2"/>
      <w:r>
        <w:rPr>
          <w:rFonts w:hint="default" w:ascii="Times New Roman" w:hAnsi="Times New Roman"/>
          <w:bCs w:val="0"/>
          <w:color w:val="000000"/>
          <w:lang w:val="en-US"/>
        </w:rPr>
        <w:t>5</w:t>
      </w:r>
    </w:p>
    <w:p w14:paraId="65B65F14">
      <w:pPr>
        <w:jc w:val="center"/>
        <w:rPr>
          <w:rFonts w:ascii="Times New Roman" w:hAnsi="Times New Roman" w:cs="Times New Roman"/>
          <w:b/>
          <w:sz w:val="28"/>
          <w:szCs w:val="28"/>
        </w:rPr>
      </w:pPr>
    </w:p>
    <w:p w14:paraId="494B2EA8">
      <w:pPr>
        <w:rPr>
          <w:rFonts w:ascii="Times New Roman" w:hAnsi="Times New Roman" w:cs="Times New Roman"/>
          <w:b/>
          <w:sz w:val="28"/>
          <w:szCs w:val="28"/>
        </w:rPr>
      </w:pPr>
      <w:r>
        <w:rPr>
          <w:rFonts w:ascii="Times New Roman" w:hAnsi="Times New Roman" w:cs="Times New Roman"/>
          <w:b/>
          <w:sz w:val="28"/>
          <w:szCs w:val="28"/>
        </w:rPr>
        <w:br w:type="page"/>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3B0FA632">
      <w:pPr>
        <w:spacing w:line="360" w:lineRule="auto"/>
        <w:jc w:val="center"/>
        <w:rPr>
          <w:rFonts w:hint="default" w:ascii="Times New Roman" w:hAnsi="Times New Roman" w:cs="Times New Roman"/>
          <w:b/>
          <w:bCs w:val="0"/>
          <w:sz w:val="24"/>
          <w:szCs w:val="24"/>
        </w:rPr>
      </w:pPr>
    </w:p>
    <w:p w14:paraId="20484196">
      <w:pPr>
        <w:spacing w:line="360" w:lineRule="auto"/>
        <w:jc w:val="center"/>
        <w:rPr>
          <w:rFonts w:hint="default" w:ascii="Times New Roman" w:hAnsi="Times New Roman" w:cs="Times New Roman"/>
          <w:b/>
          <w:bCs w:val="0"/>
          <w:sz w:val="24"/>
          <w:szCs w:val="24"/>
        </w:rPr>
      </w:pPr>
    </w:p>
    <w:p w14:paraId="5AEAF750">
      <w:pPr>
        <w:spacing w:line="360" w:lineRule="auto"/>
        <w:jc w:val="both"/>
        <w:rPr>
          <w:rFonts w:hint="default" w:ascii="Times New Roman" w:hAnsi="Times New Roman" w:cs="Times New Roman"/>
          <w:b/>
          <w:bCs w:val="0"/>
          <w:sz w:val="24"/>
          <w:szCs w:val="24"/>
        </w:rPr>
      </w:pPr>
    </w:p>
    <w:p w14:paraId="49822169">
      <w:pPr>
        <w:spacing w:line="360" w:lineRule="auto"/>
        <w:jc w:val="center"/>
        <w:rPr>
          <w:rFonts w:hint="default" w:ascii="Times New Roman" w:hAnsi="Times New Roman" w:cs="Times New Roman"/>
          <w:b/>
          <w:bCs w:val="0"/>
          <w:sz w:val="24"/>
          <w:szCs w:val="24"/>
        </w:rPr>
      </w:pPr>
    </w:p>
    <w:p w14:paraId="71EEB5CB">
      <w:pPr>
        <w:spacing w:line="360" w:lineRule="auto"/>
        <w:jc w:val="center"/>
        <w:rPr>
          <w:rFonts w:hint="default" w:ascii="Times New Roman" w:hAnsi="Times New Roman" w:cs="Times New Roman"/>
          <w:b/>
          <w:bCs w:val="0"/>
          <w:sz w:val="24"/>
          <w:szCs w:val="24"/>
        </w:rPr>
      </w:pPr>
    </w:p>
    <w:p w14:paraId="5917144A">
      <w:pPr>
        <w:spacing w:line="360" w:lineRule="auto"/>
        <w:jc w:val="center"/>
        <w:rPr>
          <w:rFonts w:hint="default" w:ascii="Times New Roman" w:hAnsi="Times New Roman" w:cs="Times New Roman"/>
          <w:b/>
          <w:bCs w:val="0"/>
          <w:sz w:val="24"/>
          <w:szCs w:val="24"/>
        </w:rPr>
      </w:pPr>
    </w:p>
    <w:p w14:paraId="6F2EE475">
      <w:pPr>
        <w:spacing w:line="360" w:lineRule="auto"/>
        <w:jc w:val="center"/>
        <w:rPr>
          <w:rFonts w:hint="default" w:ascii="Times New Roman" w:hAnsi="Times New Roman" w:cs="Times New Roman"/>
          <w:b/>
          <w:bCs w:val="0"/>
          <w:sz w:val="24"/>
          <w:szCs w:val="24"/>
        </w:rPr>
      </w:pPr>
    </w:p>
    <w:p w14:paraId="52C3EDE7">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1884DF3E">
      <w:pPr>
        <w:spacing w:line="360" w:lineRule="auto"/>
        <w:jc w:val="both"/>
        <w:rPr>
          <w:rFonts w:hint="default" w:ascii="Times New Roman" w:hAnsi="Times New Roman" w:cs="Times New Roman"/>
          <w:b w:val="0"/>
          <w:bCs/>
          <w:sz w:val="24"/>
          <w:szCs w:val="24"/>
        </w:rPr>
      </w:pPr>
    </w:p>
    <w:p w14:paraId="6AFFD56F">
      <w:pPr>
        <w:spacing w:line="360" w:lineRule="auto"/>
        <w:jc w:val="both"/>
        <w:rPr>
          <w:rFonts w:hint="default" w:ascii="Times New Roman" w:hAnsi="Times New Roman" w:cs="Times New Roman"/>
          <w:b w:val="0"/>
          <w:bCs/>
          <w:sz w:val="24"/>
          <w:szCs w:val="24"/>
        </w:rPr>
      </w:pPr>
    </w:p>
    <w:p w14:paraId="33AA0B9F">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5360C1E0">
      <w:pPr>
        <w:spacing w:line="360" w:lineRule="auto"/>
        <w:jc w:val="both"/>
        <w:rPr>
          <w:rFonts w:hint="default" w:ascii="Times New Roman" w:hAnsi="Times New Roman" w:cs="Times New Roman"/>
          <w:b w:val="0"/>
          <w:bCs/>
          <w:sz w:val="24"/>
          <w:szCs w:val="24"/>
        </w:rPr>
      </w:pPr>
    </w:p>
    <w:p w14:paraId="5E235607">
      <w:pPr>
        <w:spacing w:line="360" w:lineRule="auto"/>
        <w:jc w:val="both"/>
        <w:rPr>
          <w:rFonts w:hint="default" w:ascii="Times New Roman" w:hAnsi="Times New Roman" w:cs="Times New Roman"/>
          <w:b w:val="0"/>
          <w:bCs/>
          <w:sz w:val="24"/>
          <w:szCs w:val="24"/>
        </w:rPr>
      </w:pPr>
    </w:p>
    <w:p w14:paraId="4D23E625">
      <w:pPr>
        <w:spacing w:line="360" w:lineRule="auto"/>
        <w:jc w:val="both"/>
        <w:rPr>
          <w:rFonts w:hint="default" w:ascii="Times New Roman" w:hAnsi="Times New Roman" w:cs="Times New Roman"/>
          <w:b w:val="0"/>
          <w:bCs/>
          <w:sz w:val="24"/>
          <w:szCs w:val="24"/>
        </w:rPr>
      </w:pPr>
    </w:p>
    <w:p w14:paraId="50B05F61">
      <w:pPr>
        <w:spacing w:line="360" w:lineRule="auto"/>
        <w:jc w:val="both"/>
        <w:rPr>
          <w:rFonts w:hint="default" w:ascii="Times New Roman" w:hAnsi="Times New Roman" w:cs="Times New Roman"/>
          <w:b w:val="0"/>
          <w:bCs/>
          <w:sz w:val="24"/>
          <w:szCs w:val="24"/>
        </w:rPr>
      </w:pPr>
    </w:p>
    <w:p w14:paraId="07290756">
      <w:pPr>
        <w:spacing w:line="360" w:lineRule="auto"/>
        <w:jc w:val="both"/>
        <w:rPr>
          <w:rFonts w:hint="default" w:ascii="Times New Roman" w:hAnsi="Times New Roman" w:cs="Times New Roman"/>
          <w:b w:val="0"/>
          <w:bCs/>
          <w:sz w:val="24"/>
          <w:szCs w:val="24"/>
        </w:rPr>
      </w:pPr>
    </w:p>
    <w:p w14:paraId="0F5C39F9">
      <w:pPr>
        <w:spacing w:line="360" w:lineRule="auto"/>
        <w:jc w:val="both"/>
        <w:rPr>
          <w:rFonts w:hint="default" w:ascii="Times New Roman" w:hAnsi="Times New Roman" w:cs="Times New Roman"/>
          <w:b w:val="0"/>
          <w:bCs/>
          <w:sz w:val="24"/>
          <w:szCs w:val="24"/>
        </w:rPr>
      </w:pPr>
    </w:p>
    <w:p w14:paraId="38BBA42A">
      <w:pPr>
        <w:spacing w:line="360" w:lineRule="auto"/>
        <w:jc w:val="both"/>
        <w:rPr>
          <w:rFonts w:hint="default" w:ascii="Times New Roman" w:hAnsi="Times New Roman" w:cs="Times New Roman"/>
          <w:b w:val="0"/>
          <w:bCs/>
          <w:sz w:val="24"/>
          <w:szCs w:val="24"/>
        </w:rPr>
      </w:pPr>
    </w:p>
    <w:p w14:paraId="3AD41836">
      <w:pPr>
        <w:spacing w:line="360" w:lineRule="auto"/>
        <w:jc w:val="both"/>
        <w:rPr>
          <w:rFonts w:hint="default" w:ascii="Times New Roman" w:hAnsi="Times New Roman" w:cs="Times New Roman"/>
          <w:b w:val="0"/>
          <w:bCs/>
          <w:sz w:val="24"/>
          <w:szCs w:val="24"/>
        </w:rPr>
      </w:pPr>
    </w:p>
    <w:p w14:paraId="6FDA76D5">
      <w:pPr>
        <w:spacing w:line="360" w:lineRule="auto"/>
        <w:jc w:val="both"/>
        <w:rPr>
          <w:rFonts w:hint="default" w:ascii="Times New Roman" w:hAnsi="Times New Roman" w:cs="Times New Roman"/>
          <w:b w:val="0"/>
          <w:bCs/>
          <w:sz w:val="24"/>
          <w:szCs w:val="24"/>
        </w:rPr>
      </w:pPr>
    </w:p>
    <w:p w14:paraId="7078A305">
      <w:pPr>
        <w:spacing w:line="360" w:lineRule="auto"/>
        <w:jc w:val="both"/>
        <w:rPr>
          <w:rFonts w:hint="default" w:ascii="Times New Roman" w:hAnsi="Times New Roman" w:cs="Times New Roman"/>
          <w:b w:val="0"/>
          <w:bCs/>
          <w:sz w:val="24"/>
          <w:szCs w:val="24"/>
        </w:rPr>
      </w:pPr>
    </w:p>
    <w:p w14:paraId="45BD25AE">
      <w:pPr>
        <w:spacing w:line="360" w:lineRule="auto"/>
        <w:jc w:val="both"/>
        <w:rPr>
          <w:rFonts w:hint="default" w:ascii="Times New Roman" w:hAnsi="Times New Roman" w:cs="Times New Roman"/>
          <w:b w:val="0"/>
          <w:bCs/>
          <w:sz w:val="24"/>
          <w:szCs w:val="24"/>
        </w:rPr>
      </w:pPr>
    </w:p>
    <w:p w14:paraId="669D036E">
      <w:pPr>
        <w:spacing w:line="360" w:lineRule="auto"/>
        <w:jc w:val="both"/>
        <w:rPr>
          <w:rFonts w:hint="default" w:ascii="Times New Roman" w:hAnsi="Times New Roman" w:cs="Times New Roman"/>
          <w:b w:val="0"/>
          <w:bCs/>
          <w:sz w:val="24"/>
          <w:szCs w:val="24"/>
        </w:rPr>
      </w:pPr>
    </w:p>
    <w:p w14:paraId="14EE119A">
      <w:pPr>
        <w:spacing w:line="360" w:lineRule="auto"/>
        <w:jc w:val="both"/>
        <w:rPr>
          <w:rFonts w:hint="default" w:ascii="Times New Roman" w:hAnsi="Times New Roman" w:cs="Times New Roman"/>
          <w:b w:val="0"/>
          <w:bCs/>
          <w:sz w:val="24"/>
          <w:szCs w:val="24"/>
        </w:rPr>
      </w:pPr>
    </w:p>
    <w:p w14:paraId="26302185">
      <w:pPr>
        <w:spacing w:line="360" w:lineRule="auto"/>
        <w:jc w:val="both"/>
        <w:rPr>
          <w:rFonts w:hint="default" w:ascii="Times New Roman" w:hAnsi="Times New Roman" w:cs="Times New Roman"/>
          <w:b w:val="0"/>
          <w:bCs/>
          <w:sz w:val="24"/>
          <w:szCs w:val="24"/>
        </w:rPr>
      </w:pPr>
    </w:p>
    <w:p w14:paraId="25930CF4">
      <w:pPr>
        <w:spacing w:line="360" w:lineRule="auto"/>
        <w:jc w:val="both"/>
        <w:rPr>
          <w:rFonts w:hint="default" w:ascii="Times New Roman" w:hAnsi="Times New Roman" w:cs="Times New Roman"/>
          <w:b w:val="0"/>
          <w:bCs/>
          <w:sz w:val="24"/>
          <w:szCs w:val="24"/>
        </w:rPr>
      </w:pPr>
    </w:p>
    <w:p w14:paraId="74B387A6">
      <w:pPr>
        <w:spacing w:line="360" w:lineRule="auto"/>
        <w:jc w:val="both"/>
        <w:rPr>
          <w:rFonts w:hint="default" w:ascii="Times New Roman" w:hAnsi="Times New Roman" w:cs="Times New Roman"/>
          <w:b w:val="0"/>
          <w:bCs/>
          <w:sz w:val="24"/>
          <w:szCs w:val="24"/>
        </w:rPr>
      </w:pPr>
    </w:p>
    <w:p w14:paraId="054C2630">
      <w:pPr>
        <w:spacing w:line="360" w:lineRule="auto"/>
        <w:jc w:val="both"/>
        <w:rPr>
          <w:rFonts w:hint="default" w:ascii="Times New Roman" w:hAnsi="Times New Roman" w:cs="Times New Roman"/>
          <w:b w:val="0"/>
          <w:bCs/>
          <w:sz w:val="24"/>
          <w:szCs w:val="24"/>
        </w:rPr>
      </w:pPr>
    </w:p>
    <w:p w14:paraId="5351C73A">
      <w:pPr>
        <w:spacing w:line="360" w:lineRule="auto"/>
        <w:jc w:val="both"/>
        <w:rPr>
          <w:rFonts w:hint="default" w:ascii="Times New Roman" w:hAnsi="Times New Roman" w:cs="Times New Roman"/>
          <w:b w:val="0"/>
          <w:bCs/>
          <w:sz w:val="24"/>
          <w:szCs w:val="24"/>
        </w:rPr>
      </w:pPr>
    </w:p>
    <w:p w14:paraId="5B715781">
      <w:pPr>
        <w:spacing w:line="360" w:lineRule="auto"/>
        <w:jc w:val="both"/>
        <w:rPr>
          <w:rFonts w:hint="default" w:ascii="Times New Roman" w:hAnsi="Times New Roman" w:cs="Times New Roman"/>
          <w:b w:val="0"/>
          <w:bCs/>
          <w:sz w:val="24"/>
          <w:szCs w:val="24"/>
        </w:rPr>
      </w:pPr>
    </w:p>
    <w:p w14:paraId="002120CC">
      <w:pPr>
        <w:spacing w:line="360" w:lineRule="auto"/>
        <w:jc w:val="both"/>
        <w:rPr>
          <w:rFonts w:hint="default" w:ascii="Times New Roman" w:hAnsi="Times New Roman" w:cs="Times New Roman"/>
          <w:b w:val="0"/>
          <w:bCs/>
          <w:sz w:val="24"/>
          <w:szCs w:val="24"/>
        </w:rPr>
      </w:pPr>
    </w:p>
    <w:p w14:paraId="11919116">
      <w:pPr>
        <w:spacing w:line="360" w:lineRule="auto"/>
        <w:jc w:val="both"/>
        <w:rPr>
          <w:rFonts w:hint="default" w:ascii="Times New Roman" w:hAnsi="Times New Roman" w:cs="Times New Roman"/>
          <w:b w:val="0"/>
          <w:bCs/>
          <w:sz w:val="24"/>
          <w:szCs w:val="24"/>
        </w:rPr>
      </w:pPr>
    </w:p>
    <w:p w14:paraId="6F45910C">
      <w:pPr>
        <w:spacing w:line="360" w:lineRule="auto"/>
        <w:jc w:val="both"/>
        <w:rPr>
          <w:rFonts w:hint="default" w:ascii="Times New Roman" w:hAnsi="Times New Roman" w:cs="Times New Roman"/>
          <w:b w:val="0"/>
          <w:bCs/>
          <w:sz w:val="24"/>
          <w:szCs w:val="24"/>
        </w:rPr>
      </w:pPr>
    </w:p>
    <w:p w14:paraId="7B70CE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w:t>
      </w:r>
      <w:r>
        <w:rPr>
          <w:rFonts w:hint="default" w:ascii="Times New Roman" w:hAnsi="Times New Roman" w:cs="Times New Roman"/>
          <w:sz w:val="24"/>
          <w:szCs w:val="24"/>
          <w:lang w:val="en-US"/>
        </w:rPr>
        <w:t>, Mr and Mrs Abiodun</w:t>
      </w:r>
      <w:r>
        <w:rPr>
          <w:rFonts w:ascii="Times New Roman" w:hAnsi="Times New Roman" w:cs="Times New Roman"/>
          <w:sz w:val="24"/>
          <w:szCs w:val="24"/>
        </w:rPr>
        <w:t xml:space="preserve">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6C970BD6">
      <w:pPr>
        <w:jc w:val="center"/>
        <w:rPr>
          <w:rFonts w:ascii="Times New Roman" w:hAnsi="Times New Roman" w:cs="Times New Roman"/>
          <w:b/>
          <w:sz w:val="28"/>
          <w:szCs w:val="28"/>
        </w:rPr>
      </w:pPr>
    </w:p>
    <w:p w14:paraId="6E2D7DE9">
      <w:pPr>
        <w:widowControl/>
        <w:jc w:val="left"/>
        <w:rPr>
          <w:rFonts w:ascii="Times New Roman" w:hAnsi="Times New Roman" w:eastAsia="Times New Roman" w:cs="Times New Roman"/>
          <w:b/>
          <w:bCs/>
          <w:kern w:val="0"/>
          <w:sz w:val="28"/>
          <w:szCs w:val="28"/>
        </w:rPr>
      </w:pPr>
      <w:bookmarkStart w:id="3" w:name="_Toc83913754"/>
      <w:r>
        <w:rPr>
          <w:rFonts w:ascii="Times New Roman" w:hAnsi="Times New Roman"/>
        </w:rPr>
        <w:br w:type="page"/>
      </w:r>
    </w:p>
    <w:bookmarkEnd w:id="3"/>
    <w:p w14:paraId="38252D87">
      <w:pPr>
        <w:pStyle w:val="12"/>
        <w:spacing w:before="0" w:line="480" w:lineRule="auto"/>
        <w:jc w:val="center"/>
        <w:outlineLvl w:val="0"/>
        <w:rPr>
          <w:rFonts w:ascii="Times New Roman" w:hAnsi="Times New Roman"/>
          <w:color w:val="auto"/>
          <w:sz w:val="24"/>
          <w:szCs w:val="24"/>
        </w:rPr>
      </w:pPr>
      <w:r>
        <w:rPr>
          <w:rFonts w:ascii="Times New Roman" w:hAnsi="Times New Roman"/>
          <w:color w:val="auto"/>
        </w:rPr>
        <w:br w:type="page"/>
      </w:r>
      <w:bookmarkStart w:id="4" w:name="_Toc170896399"/>
      <w:r>
        <w:rPr>
          <w:rFonts w:ascii="Times New Roman" w:hAnsi="Times New Roman"/>
          <w:color w:val="auto"/>
        </w:rPr>
        <w:t>TABLE OF CONTENT</w:t>
      </w:r>
      <w:bookmarkEnd w:id="4"/>
    </w:p>
    <w:p w14:paraId="6F77718C">
      <w:pPr>
        <w:pStyle w:val="10"/>
        <w:rPr>
          <w:rFonts w:ascii="Times New Roman" w:hAnsi="Times New Roman" w:eastAsiaTheme="minorEastAsia"/>
          <w:kern w:val="2"/>
          <w:sz w:val="24"/>
          <w:szCs w:val="24"/>
          <w14:ligatures w14:val="standardContextual"/>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fldChar w:fldCharType="begin"/>
      </w:r>
      <w:r>
        <w:instrText xml:space="preserve"> HYPERLINK \l "_Toc170896395" </w:instrText>
      </w:r>
      <w:r>
        <w:fldChar w:fldCharType="separate"/>
      </w:r>
      <w:r>
        <w:rPr>
          <w:rStyle w:val="7"/>
          <w:rFonts w:ascii="Times New Roman" w:hAnsi="Times New Roman"/>
          <w:sz w:val="24"/>
          <w:szCs w:val="24"/>
        </w:rPr>
        <w:t>FRONT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_Toc170896395 \h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44BEB4A">
      <w:pPr>
        <w:pStyle w:val="10"/>
        <w:rPr>
          <w:rFonts w:ascii="Times New Roman" w:hAnsi="Times New Roman" w:eastAsiaTheme="minorEastAsia"/>
          <w:kern w:val="2"/>
          <w:sz w:val="24"/>
          <w:szCs w:val="24"/>
          <w14:ligatures w14:val="standardContextual"/>
        </w:rPr>
      </w:pPr>
      <w:r>
        <w:fldChar w:fldCharType="begin"/>
      </w:r>
      <w:r>
        <w:instrText xml:space="preserve"> HYPERLINK \l "_Toc170896396" </w:instrText>
      </w:r>
      <w:r>
        <w:fldChar w:fldCharType="separate"/>
      </w:r>
      <w:r>
        <w:rPr>
          <w:rStyle w:val="7"/>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_Toc170896396 \h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7F8E5138">
      <w:pPr>
        <w:pStyle w:val="10"/>
        <w:rPr>
          <w:rFonts w:ascii="Times New Roman" w:hAnsi="Times New Roman" w:eastAsiaTheme="minorEastAsia"/>
          <w:kern w:val="2"/>
          <w:sz w:val="24"/>
          <w:szCs w:val="24"/>
          <w14:ligatures w14:val="standardContextual"/>
        </w:rPr>
      </w:pPr>
      <w:r>
        <w:fldChar w:fldCharType="begin"/>
      </w:r>
      <w:r>
        <w:instrText xml:space="preserve"> HYPERLINK \l "_Toc170896397" </w:instrText>
      </w:r>
      <w:r>
        <w:fldChar w:fldCharType="separate"/>
      </w:r>
      <w:r>
        <w:rPr>
          <w:rStyle w:val="7"/>
          <w:rFonts w:ascii="Times New Roman" w:hAnsi="Times New Roman"/>
          <w:sz w:val="24"/>
          <w:szCs w:val="24"/>
        </w:rPr>
        <w:t>DECLARATION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_Toc170896397 \h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11CEBB4C">
      <w:pPr>
        <w:pStyle w:val="10"/>
        <w:rPr>
          <w:rFonts w:ascii="Times New Roman" w:hAnsi="Times New Roman" w:eastAsiaTheme="minorEastAsia"/>
          <w:kern w:val="2"/>
          <w:sz w:val="24"/>
          <w:szCs w:val="24"/>
          <w14:ligatures w14:val="standardContextual"/>
        </w:rPr>
      </w:pPr>
      <w:r>
        <w:fldChar w:fldCharType="begin"/>
      </w:r>
      <w:r>
        <w:instrText xml:space="preserve"> HYPERLINK \l "_Toc170896398" </w:instrText>
      </w:r>
      <w:r>
        <w:fldChar w:fldCharType="separate"/>
      </w:r>
      <w:r>
        <w:rPr>
          <w:rStyle w:val="7"/>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_Toc170896398 \h </w:instrText>
      </w:r>
      <w:r>
        <w:rPr>
          <w:rFonts w:ascii="Times New Roman" w:hAnsi="Times New Roman"/>
          <w:sz w:val="24"/>
          <w:szCs w:val="24"/>
        </w:rPr>
        <w:fldChar w:fldCharType="separate"/>
      </w:r>
      <w:r>
        <w:rPr>
          <w:rFonts w:ascii="Times New Roman" w:hAnsi="Times New Roman"/>
          <w:sz w:val="24"/>
          <w:szCs w:val="24"/>
        </w:rPr>
        <w:t>v</w:t>
      </w:r>
      <w:r>
        <w:rPr>
          <w:rFonts w:ascii="Times New Roman" w:hAnsi="Times New Roman"/>
          <w:sz w:val="24"/>
          <w:szCs w:val="24"/>
        </w:rPr>
        <w:fldChar w:fldCharType="end"/>
      </w:r>
      <w:r>
        <w:rPr>
          <w:rFonts w:ascii="Times New Roman" w:hAnsi="Times New Roman"/>
          <w:sz w:val="24"/>
          <w:szCs w:val="24"/>
        </w:rPr>
        <w:fldChar w:fldCharType="end"/>
      </w:r>
    </w:p>
    <w:p w14:paraId="42F40017">
      <w:pPr>
        <w:pStyle w:val="10"/>
        <w:rPr>
          <w:rFonts w:ascii="Times New Roman" w:hAnsi="Times New Roman" w:eastAsiaTheme="minorEastAsia"/>
          <w:kern w:val="2"/>
          <w:sz w:val="24"/>
          <w:szCs w:val="24"/>
          <w14:ligatures w14:val="standardContextual"/>
        </w:rPr>
      </w:pPr>
      <w:r>
        <w:fldChar w:fldCharType="begin"/>
      </w:r>
      <w:r>
        <w:instrText xml:space="preserve"> HYPERLINK \l "_Toc170896399" </w:instrText>
      </w:r>
      <w:r>
        <w:fldChar w:fldCharType="separate"/>
      </w:r>
      <w:r>
        <w:rPr>
          <w:rStyle w:val="7"/>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_Toc170896399 \h </w:instrText>
      </w:r>
      <w:r>
        <w:rPr>
          <w:rFonts w:ascii="Times New Roman" w:hAnsi="Times New Roman"/>
          <w:sz w:val="24"/>
          <w:szCs w:val="24"/>
        </w:rPr>
        <w:fldChar w:fldCharType="separate"/>
      </w:r>
      <w:r>
        <w:rPr>
          <w:rFonts w:ascii="Times New Roman" w:hAnsi="Times New Roman"/>
          <w:sz w:val="24"/>
          <w:szCs w:val="24"/>
        </w:rPr>
        <w:t>vii</w:t>
      </w:r>
      <w:r>
        <w:rPr>
          <w:rFonts w:ascii="Times New Roman" w:hAnsi="Times New Roman"/>
          <w:sz w:val="24"/>
          <w:szCs w:val="24"/>
        </w:rPr>
        <w:fldChar w:fldCharType="end"/>
      </w:r>
      <w:r>
        <w:rPr>
          <w:rFonts w:ascii="Times New Roman" w:hAnsi="Times New Roman"/>
          <w:sz w:val="24"/>
          <w:szCs w:val="24"/>
        </w:rPr>
        <w:fldChar w:fldCharType="end"/>
      </w:r>
    </w:p>
    <w:p w14:paraId="25B45603">
      <w:pPr>
        <w:pStyle w:val="10"/>
        <w:rPr>
          <w:rFonts w:ascii="Times New Roman" w:hAnsi="Times New Roman" w:eastAsiaTheme="minorEastAsia"/>
          <w:kern w:val="2"/>
          <w:sz w:val="24"/>
          <w:szCs w:val="24"/>
          <w14:ligatures w14:val="standardContextual"/>
        </w:rPr>
      </w:pPr>
      <w:r>
        <w:fldChar w:fldCharType="begin"/>
      </w:r>
      <w:r>
        <w:instrText xml:space="preserve"> HYPERLINK \l "_Toc170896400" </w:instrText>
      </w:r>
      <w:r>
        <w:fldChar w:fldCharType="separate"/>
      </w:r>
      <w:r>
        <w:rPr>
          <w:rStyle w:val="7"/>
          <w:rFonts w:ascii="Times New Roman" w:hAnsi="Times New Roman" w:eastAsia="Batang"/>
          <w:sz w:val="24"/>
          <w:szCs w:val="24"/>
        </w:rPr>
        <w:t>LIST OF TABLES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_Toc170896400 \h </w:instrText>
      </w:r>
      <w:r>
        <w:rPr>
          <w:rFonts w:ascii="Times New Roman" w:hAnsi="Times New Roman"/>
          <w:sz w:val="24"/>
          <w:szCs w:val="24"/>
        </w:rPr>
        <w:fldChar w:fldCharType="separate"/>
      </w:r>
      <w:r>
        <w:rPr>
          <w:rFonts w:ascii="Times New Roman" w:hAnsi="Times New Roman"/>
          <w:sz w:val="24"/>
          <w:szCs w:val="24"/>
        </w:rPr>
        <w:t>ix</w:t>
      </w:r>
      <w:r>
        <w:rPr>
          <w:rFonts w:ascii="Times New Roman" w:hAnsi="Times New Roman"/>
          <w:sz w:val="24"/>
          <w:szCs w:val="24"/>
        </w:rPr>
        <w:fldChar w:fldCharType="end"/>
      </w:r>
      <w:r>
        <w:rPr>
          <w:rFonts w:ascii="Times New Roman" w:hAnsi="Times New Roman"/>
          <w:sz w:val="24"/>
          <w:szCs w:val="24"/>
        </w:rPr>
        <w:fldChar w:fldCharType="end"/>
      </w:r>
    </w:p>
    <w:p w14:paraId="12547AE6">
      <w:pPr>
        <w:pStyle w:val="10"/>
        <w:rPr>
          <w:rFonts w:ascii="Times New Roman" w:hAnsi="Times New Roman" w:eastAsiaTheme="minorEastAsia"/>
          <w:kern w:val="2"/>
          <w:sz w:val="24"/>
          <w:szCs w:val="24"/>
          <w14:ligatures w14:val="standardContextual"/>
        </w:rPr>
      </w:pPr>
      <w:r>
        <w:fldChar w:fldCharType="begin"/>
      </w:r>
      <w:r>
        <w:instrText xml:space="preserve"> HYPERLINK \l "_Toc170896401" </w:instrText>
      </w:r>
      <w:r>
        <w:fldChar w:fldCharType="separate"/>
      </w:r>
      <w:r>
        <w:rPr>
          <w:rStyle w:val="7"/>
          <w:rFonts w:ascii="Times New Roman" w:hAnsi="Times New Roman"/>
          <w:iCs/>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_Toc170896401 \h </w:instrText>
      </w:r>
      <w:r>
        <w:rPr>
          <w:rFonts w:ascii="Times New Roman" w:hAnsi="Times New Roman"/>
          <w:sz w:val="24"/>
          <w:szCs w:val="24"/>
        </w:rPr>
        <w:fldChar w:fldCharType="separate"/>
      </w:r>
      <w:r>
        <w:rPr>
          <w:rFonts w:ascii="Times New Roman" w:hAnsi="Times New Roman"/>
          <w:sz w:val="24"/>
          <w:szCs w:val="24"/>
        </w:rPr>
        <w:t>x</w:t>
      </w:r>
      <w:r>
        <w:rPr>
          <w:rFonts w:ascii="Times New Roman" w:hAnsi="Times New Roman"/>
          <w:sz w:val="24"/>
          <w:szCs w:val="24"/>
        </w:rPr>
        <w:fldChar w:fldCharType="end"/>
      </w:r>
      <w:r>
        <w:rPr>
          <w:rFonts w:ascii="Times New Roman" w:hAnsi="Times New Roman"/>
          <w:sz w:val="24"/>
          <w:szCs w:val="24"/>
        </w:rPr>
        <w:fldChar w:fldCharType="end"/>
      </w:r>
    </w:p>
    <w:p w14:paraId="4DFB79CF">
      <w:pPr>
        <w:pStyle w:val="10"/>
        <w:rPr>
          <w:rFonts w:ascii="Times New Roman" w:hAnsi="Times New Roman" w:eastAsiaTheme="minorEastAsia"/>
          <w:kern w:val="2"/>
          <w:sz w:val="24"/>
          <w:szCs w:val="24"/>
          <w14:ligatures w14:val="standardContextual"/>
        </w:rPr>
      </w:pPr>
      <w:r>
        <w:fldChar w:fldCharType="begin"/>
      </w:r>
      <w:r>
        <w:instrText xml:space="preserve"> HYPERLINK \l "_Toc170896402" </w:instrText>
      </w:r>
      <w:r>
        <w:fldChar w:fldCharType="separate"/>
      </w:r>
      <w:r>
        <w:rPr>
          <w:rStyle w:val="7"/>
          <w:rFonts w:ascii="Times New Roman" w:hAnsi="Times New Roman"/>
          <w:b/>
          <w:bCs/>
          <w:sz w:val="24"/>
          <w:szCs w:val="24"/>
        </w:rPr>
        <w:t>CHAPTER</w:t>
      </w:r>
      <w:r>
        <w:rPr>
          <w:rStyle w:val="7"/>
          <w:rFonts w:ascii="Times New Roman" w:hAnsi="Times New Roman"/>
          <w:sz w:val="24"/>
          <w:szCs w:val="24"/>
        </w:rPr>
        <w:t xml:space="preserve"> </w:t>
      </w:r>
      <w:r>
        <w:rPr>
          <w:rStyle w:val="7"/>
          <w:rFonts w:ascii="Times New Roman" w:hAnsi="Times New Roman"/>
          <w:b/>
          <w:bCs/>
          <w:sz w:val="24"/>
          <w:szCs w:val="24"/>
        </w:rPr>
        <w:t>ONE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_Toc170896402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437CD324">
      <w:pPr>
        <w:pStyle w:val="10"/>
        <w:rPr>
          <w:rFonts w:ascii="Times New Roman" w:hAnsi="Times New Roman" w:eastAsiaTheme="minorEastAsia"/>
          <w:kern w:val="2"/>
          <w:sz w:val="24"/>
          <w:szCs w:val="24"/>
          <w14:ligatures w14:val="standardContextual"/>
        </w:rPr>
      </w:pPr>
      <w:r>
        <w:fldChar w:fldCharType="begin"/>
      </w:r>
      <w:r>
        <w:instrText xml:space="preserve"> HYPERLINK \l "_Toc170896403" </w:instrText>
      </w:r>
      <w:r>
        <w:fldChar w:fldCharType="separate"/>
      </w:r>
      <w:r>
        <w:rPr>
          <w:rStyle w:val="7"/>
          <w:rFonts w:ascii="Times New Roman" w:hAnsi="Times New Roman"/>
          <w:b/>
          <w:bCs/>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_Toc170896403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26BCD6DC">
      <w:pPr>
        <w:pStyle w:val="10"/>
        <w:rPr>
          <w:rFonts w:ascii="Times New Roman" w:hAnsi="Times New Roman" w:eastAsiaTheme="minorEastAsia"/>
          <w:kern w:val="2"/>
          <w:sz w:val="24"/>
          <w:szCs w:val="24"/>
          <w14:ligatures w14:val="standardContextual"/>
        </w:rPr>
      </w:pPr>
      <w:r>
        <w:fldChar w:fldCharType="begin"/>
      </w:r>
      <w:r>
        <w:instrText xml:space="preserve"> HYPERLINK \l "_Toc170896404" </w:instrText>
      </w:r>
      <w:r>
        <w:fldChar w:fldCharType="separate"/>
      </w:r>
      <w:r>
        <w:rPr>
          <w:rStyle w:val="7"/>
          <w:rFonts w:ascii="Times New Roman" w:hAnsi="Times New Roman"/>
          <w:sz w:val="24"/>
          <w:szCs w:val="24"/>
        </w:rPr>
        <w:t xml:space="preserve">1.1 </w:t>
      </w:r>
      <w:r>
        <w:rPr>
          <w:rStyle w:val="7"/>
          <w:rFonts w:ascii="Times New Roman" w:hAnsi="Times New Roman"/>
          <w:sz w:val="24"/>
          <w:szCs w:val="24"/>
        </w:rPr>
        <w:tab/>
      </w:r>
      <w:r>
        <w:rPr>
          <w:rStyle w:val="7"/>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_Toc170896404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358B740A">
      <w:pPr>
        <w:pStyle w:val="10"/>
        <w:rPr>
          <w:rFonts w:ascii="Times New Roman" w:hAnsi="Times New Roman" w:eastAsiaTheme="minorEastAsia"/>
          <w:kern w:val="2"/>
          <w:sz w:val="24"/>
          <w:szCs w:val="24"/>
          <w14:ligatures w14:val="standardContextual"/>
        </w:rPr>
      </w:pPr>
      <w:r>
        <w:fldChar w:fldCharType="begin"/>
      </w:r>
      <w:r>
        <w:instrText xml:space="preserve"> HYPERLINK \l "_Toc170896405" </w:instrText>
      </w:r>
      <w:r>
        <w:fldChar w:fldCharType="separate"/>
      </w:r>
      <w:r>
        <w:rPr>
          <w:rStyle w:val="7"/>
          <w:rFonts w:ascii="Times New Roman" w:hAnsi="Times New Roman"/>
          <w:sz w:val="24"/>
          <w:szCs w:val="24"/>
        </w:rPr>
        <w:t xml:space="preserve">1.3 </w:t>
      </w:r>
      <w:r>
        <w:rPr>
          <w:rStyle w:val="7"/>
          <w:rFonts w:ascii="Times New Roman" w:hAnsi="Times New Roman"/>
          <w:sz w:val="24"/>
          <w:szCs w:val="24"/>
        </w:rPr>
        <w:tab/>
      </w:r>
      <w:r>
        <w:rPr>
          <w:rStyle w:val="7"/>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_Toc170896405 \h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41EF6D5D">
      <w:pPr>
        <w:pStyle w:val="10"/>
        <w:rPr>
          <w:rFonts w:ascii="Times New Roman" w:hAnsi="Times New Roman" w:eastAsiaTheme="minorEastAsia"/>
          <w:kern w:val="2"/>
          <w:sz w:val="24"/>
          <w:szCs w:val="24"/>
          <w14:ligatures w14:val="standardContextual"/>
        </w:rPr>
      </w:pPr>
      <w:r>
        <w:fldChar w:fldCharType="begin"/>
      </w:r>
      <w:r>
        <w:instrText xml:space="preserve"> HYPERLINK \l "_Toc170896406" </w:instrText>
      </w:r>
      <w:r>
        <w:fldChar w:fldCharType="separate"/>
      </w:r>
      <w:r>
        <w:rPr>
          <w:rStyle w:val="7"/>
          <w:rFonts w:ascii="Times New Roman" w:hAnsi="Times New Roman"/>
          <w:sz w:val="24"/>
          <w:szCs w:val="24"/>
        </w:rPr>
        <w:t>1.4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_Toc170896406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19435870">
      <w:pPr>
        <w:pStyle w:val="10"/>
        <w:rPr>
          <w:rFonts w:ascii="Times New Roman" w:hAnsi="Times New Roman" w:eastAsiaTheme="minorEastAsia"/>
          <w:kern w:val="2"/>
          <w:sz w:val="24"/>
          <w:szCs w:val="24"/>
          <w14:ligatures w14:val="standardContextual"/>
        </w:rPr>
      </w:pPr>
      <w:r>
        <w:fldChar w:fldCharType="begin"/>
      </w:r>
      <w:r>
        <w:instrText xml:space="preserve"> HYPERLINK \l "_Toc170896407" </w:instrText>
      </w:r>
      <w:r>
        <w:fldChar w:fldCharType="separate"/>
      </w:r>
      <w:r>
        <w:rPr>
          <w:rStyle w:val="7"/>
          <w:rFonts w:ascii="Times New Roman" w:hAnsi="Times New Roman"/>
          <w:sz w:val="24"/>
          <w:szCs w:val="24"/>
        </w:rPr>
        <w:t xml:space="preserve">1.5 </w:t>
      </w:r>
      <w:r>
        <w:rPr>
          <w:rStyle w:val="7"/>
          <w:rFonts w:ascii="Times New Roman" w:hAnsi="Times New Roman"/>
          <w:sz w:val="24"/>
          <w:szCs w:val="24"/>
        </w:rPr>
        <w:tab/>
      </w:r>
      <w:r>
        <w:rPr>
          <w:rStyle w:val="7"/>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_Toc170896407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7A47763">
      <w:pPr>
        <w:pStyle w:val="10"/>
        <w:rPr>
          <w:rFonts w:ascii="Times New Roman" w:hAnsi="Times New Roman" w:eastAsiaTheme="minorEastAsia"/>
          <w:kern w:val="2"/>
          <w:sz w:val="24"/>
          <w:szCs w:val="24"/>
          <w14:ligatures w14:val="standardContextual"/>
        </w:rPr>
      </w:pPr>
      <w:r>
        <w:fldChar w:fldCharType="begin"/>
      </w:r>
      <w:r>
        <w:instrText xml:space="preserve"> HYPERLINK \l "_Toc170896408" </w:instrText>
      </w:r>
      <w:r>
        <w:fldChar w:fldCharType="separate"/>
      </w:r>
      <w:r>
        <w:rPr>
          <w:rStyle w:val="7"/>
          <w:rFonts w:ascii="Times New Roman" w:hAnsi="Times New Roman"/>
          <w:sz w:val="24"/>
          <w:szCs w:val="24"/>
        </w:rPr>
        <w:t xml:space="preserve">1.6 </w:t>
      </w:r>
      <w:r>
        <w:rPr>
          <w:rStyle w:val="7"/>
          <w:rFonts w:ascii="Times New Roman" w:hAnsi="Times New Roman"/>
          <w:sz w:val="24"/>
          <w:szCs w:val="24"/>
        </w:rPr>
        <w:tab/>
      </w:r>
      <w:r>
        <w:rPr>
          <w:rStyle w:val="7"/>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_Toc170896408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0B84DB5F">
      <w:pPr>
        <w:pStyle w:val="10"/>
        <w:rPr>
          <w:rFonts w:ascii="Times New Roman" w:hAnsi="Times New Roman" w:eastAsiaTheme="minorEastAsia"/>
          <w:kern w:val="2"/>
          <w:sz w:val="24"/>
          <w:szCs w:val="24"/>
          <w14:ligatures w14:val="standardContextual"/>
        </w:rPr>
      </w:pPr>
      <w:r>
        <w:fldChar w:fldCharType="begin"/>
      </w:r>
      <w:r>
        <w:instrText xml:space="preserve"> HYPERLINK \l "_Toc170896409" </w:instrText>
      </w:r>
      <w:r>
        <w:fldChar w:fldCharType="separate"/>
      </w:r>
      <w:r>
        <w:rPr>
          <w:rStyle w:val="7"/>
          <w:rFonts w:ascii="Times New Roman" w:hAnsi="Times New Roman"/>
          <w:sz w:val="24"/>
          <w:szCs w:val="24"/>
        </w:rPr>
        <w:t xml:space="preserve">1.7 </w:t>
      </w:r>
      <w:r>
        <w:rPr>
          <w:rStyle w:val="7"/>
          <w:rFonts w:ascii="Times New Roman" w:hAnsi="Times New Roman"/>
          <w:sz w:val="24"/>
          <w:szCs w:val="24"/>
        </w:rPr>
        <w:tab/>
      </w:r>
      <w:r>
        <w:rPr>
          <w:rStyle w:val="7"/>
          <w:rFonts w:ascii="Times New Roman" w:hAnsi="Times New Roman"/>
          <w:sz w:val="24"/>
          <w:szCs w:val="24"/>
        </w:rPr>
        <w:t>operational Definition of Terms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_Toc170896409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02E08D27">
      <w:pPr>
        <w:pStyle w:val="10"/>
        <w:rPr>
          <w:rFonts w:ascii="Times New Roman" w:hAnsi="Times New Roman" w:eastAsiaTheme="minorEastAsia"/>
          <w:kern w:val="2"/>
          <w:sz w:val="24"/>
          <w:szCs w:val="24"/>
          <w14:ligatures w14:val="standardContextual"/>
        </w:rPr>
      </w:pPr>
      <w:r>
        <w:fldChar w:fldCharType="begin"/>
      </w:r>
      <w:r>
        <w:instrText xml:space="preserve"> HYPERLINK \l "_Toc170896410" </w:instrText>
      </w:r>
      <w:r>
        <w:fldChar w:fldCharType="separate"/>
      </w:r>
      <w:r>
        <w:rPr>
          <w:rStyle w:val="7"/>
          <w:rFonts w:ascii="Times New Roman" w:hAnsi="Times New Roman"/>
          <w:b/>
          <w:bCs/>
          <w:sz w:val="24"/>
          <w:szCs w:val="24"/>
        </w:rPr>
        <w:t>CHAPTER</w:t>
      </w:r>
      <w:r>
        <w:rPr>
          <w:rStyle w:val="7"/>
          <w:rFonts w:ascii="Times New Roman" w:hAnsi="Times New Roman"/>
          <w:sz w:val="24"/>
          <w:szCs w:val="24"/>
        </w:rPr>
        <w:t xml:space="preserve"> </w:t>
      </w:r>
      <w:r>
        <w:rPr>
          <w:rStyle w:val="7"/>
          <w:rFonts w:ascii="Times New Roman" w:hAnsi="Times New Roman"/>
          <w:b/>
          <w:bCs/>
          <w:sz w:val="24"/>
          <w:szCs w:val="24"/>
        </w:rPr>
        <w:t>TWO</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_Toc170896410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B93C923">
      <w:pPr>
        <w:pStyle w:val="10"/>
        <w:rPr>
          <w:rFonts w:ascii="Times New Roman" w:hAnsi="Times New Roman" w:eastAsiaTheme="minorEastAsia"/>
          <w:kern w:val="2"/>
          <w:sz w:val="24"/>
          <w:szCs w:val="24"/>
          <w14:ligatures w14:val="standardContextual"/>
        </w:rPr>
      </w:pPr>
      <w:r>
        <w:fldChar w:fldCharType="begin"/>
      </w:r>
      <w:r>
        <w:instrText xml:space="preserve"> HYPERLINK \l "_Toc170896411" </w:instrText>
      </w:r>
      <w:r>
        <w:fldChar w:fldCharType="separate"/>
      </w:r>
      <w:r>
        <w:rPr>
          <w:rStyle w:val="7"/>
          <w:rFonts w:ascii="Times New Roman" w:hAnsi="Times New Roman"/>
          <w:b/>
          <w:bCs/>
          <w:sz w:val="24"/>
          <w:szCs w:val="24"/>
        </w:rPr>
        <w:t>LITERATURE</w:t>
      </w:r>
      <w:r>
        <w:rPr>
          <w:rStyle w:val="7"/>
          <w:rFonts w:ascii="Times New Roman" w:hAnsi="Times New Roman"/>
          <w:sz w:val="24"/>
          <w:szCs w:val="24"/>
        </w:rPr>
        <w:t xml:space="preserve"> </w:t>
      </w:r>
      <w:r>
        <w:rPr>
          <w:rStyle w:val="7"/>
          <w:rFonts w:ascii="Times New Roman" w:hAnsi="Times New Roman"/>
          <w:b/>
          <w:bCs/>
          <w:sz w:val="24"/>
          <w:szCs w:val="24"/>
        </w:rPr>
        <w:t>REVIEW</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_Toc170896411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6F9837DA">
      <w:pPr>
        <w:pStyle w:val="10"/>
        <w:rPr>
          <w:rFonts w:ascii="Times New Roman" w:hAnsi="Times New Roman" w:eastAsiaTheme="minorEastAsia"/>
          <w:kern w:val="2"/>
          <w:sz w:val="24"/>
          <w:szCs w:val="24"/>
          <w14:ligatures w14:val="standardContextual"/>
        </w:rPr>
      </w:pPr>
      <w:r>
        <w:fldChar w:fldCharType="begin"/>
      </w:r>
      <w:r>
        <w:instrText xml:space="preserve"> HYPERLINK \l "_Toc170896412" </w:instrText>
      </w:r>
      <w:r>
        <w:fldChar w:fldCharType="separate"/>
      </w:r>
      <w:r>
        <w:rPr>
          <w:rStyle w:val="7"/>
          <w:rFonts w:ascii="Times New Roman" w:hAnsi="Times New Roman"/>
          <w:sz w:val="24"/>
          <w:szCs w:val="24"/>
        </w:rPr>
        <w:t>2.1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_Toc170896412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3DA3ABF1">
      <w:pPr>
        <w:pStyle w:val="10"/>
        <w:rPr>
          <w:rFonts w:ascii="Times New Roman" w:hAnsi="Times New Roman" w:eastAsiaTheme="minorEastAsia"/>
          <w:kern w:val="2"/>
          <w:sz w:val="24"/>
          <w:szCs w:val="24"/>
          <w14:ligatures w14:val="standardContextual"/>
        </w:rPr>
      </w:pPr>
      <w:r>
        <w:fldChar w:fldCharType="begin"/>
      </w:r>
      <w:r>
        <w:instrText xml:space="preserve"> HYPERLINK \l "_Toc170896413" </w:instrText>
      </w:r>
      <w:r>
        <w:fldChar w:fldCharType="separate"/>
      </w:r>
      <w:r>
        <w:rPr>
          <w:rStyle w:val="7"/>
          <w:rFonts w:ascii="Times New Roman" w:hAnsi="Times New Roman"/>
          <w:sz w:val="24"/>
          <w:szCs w:val="24"/>
        </w:rPr>
        <w:t>2.2</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Perception of student towards the educational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_Toc170896413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4B081F3B">
      <w:pPr>
        <w:pStyle w:val="10"/>
        <w:rPr>
          <w:rFonts w:ascii="Times New Roman" w:hAnsi="Times New Roman" w:eastAsiaTheme="minorEastAsia"/>
          <w:kern w:val="2"/>
          <w:sz w:val="24"/>
          <w:szCs w:val="24"/>
          <w14:ligatures w14:val="standardContextual"/>
        </w:rPr>
      </w:pPr>
      <w:r>
        <w:fldChar w:fldCharType="begin"/>
      </w:r>
      <w:r>
        <w:instrText xml:space="preserve"> HYPERLINK \l "_Toc170896414" </w:instrText>
      </w:r>
      <w:r>
        <w:fldChar w:fldCharType="separate"/>
      </w:r>
      <w:r>
        <w:rPr>
          <w:rStyle w:val="7"/>
          <w:rFonts w:ascii="Times New Roman" w:hAnsi="Times New Roman"/>
          <w:sz w:val="24"/>
          <w:szCs w:val="24"/>
        </w:rPr>
        <w:t>2.2.1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Concept of Students Loans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_Toc170896414 \h </w:instrText>
      </w:r>
      <w:r>
        <w:rPr>
          <w:rFonts w:ascii="Times New Roman" w:hAnsi="Times New Roman"/>
          <w:sz w:val="24"/>
          <w:szCs w:val="24"/>
        </w:rPr>
        <w:fldChar w:fldCharType="separate"/>
      </w:r>
      <w:r>
        <w:rPr>
          <w:rFonts w:ascii="Times New Roman" w:hAnsi="Times New Roman"/>
          <w:sz w:val="24"/>
          <w:szCs w:val="24"/>
        </w:rPr>
        <w:t>12</w:t>
      </w:r>
      <w:r>
        <w:rPr>
          <w:rFonts w:ascii="Times New Roman" w:hAnsi="Times New Roman"/>
          <w:sz w:val="24"/>
          <w:szCs w:val="24"/>
        </w:rPr>
        <w:fldChar w:fldCharType="end"/>
      </w:r>
      <w:r>
        <w:rPr>
          <w:rFonts w:ascii="Times New Roman" w:hAnsi="Times New Roman"/>
          <w:sz w:val="24"/>
          <w:szCs w:val="24"/>
        </w:rPr>
        <w:fldChar w:fldCharType="end"/>
      </w:r>
    </w:p>
    <w:p w14:paraId="11A2FCBE">
      <w:pPr>
        <w:pStyle w:val="10"/>
        <w:rPr>
          <w:rFonts w:ascii="Times New Roman" w:hAnsi="Times New Roman" w:eastAsiaTheme="minorEastAsia"/>
          <w:kern w:val="2"/>
          <w:sz w:val="24"/>
          <w:szCs w:val="24"/>
          <w14:ligatures w14:val="standardContextual"/>
        </w:rPr>
      </w:pPr>
      <w:r>
        <w:fldChar w:fldCharType="begin"/>
      </w:r>
      <w:r>
        <w:instrText xml:space="preserve"> HYPERLINK \l "_Toc170896415" </w:instrText>
      </w:r>
      <w:r>
        <w:fldChar w:fldCharType="separate"/>
      </w:r>
      <w:r>
        <w:rPr>
          <w:rStyle w:val="7"/>
          <w:rFonts w:ascii="Times New Roman" w:hAnsi="Times New Roman"/>
          <w:sz w:val="24"/>
          <w:szCs w:val="24"/>
        </w:rPr>
        <w:t>2.3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Criteria for Accessing student loan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_Toc170896415 \h </w:instrText>
      </w:r>
      <w:r>
        <w:rPr>
          <w:rFonts w:ascii="Times New Roman" w:hAnsi="Times New Roman"/>
          <w:sz w:val="24"/>
          <w:szCs w:val="24"/>
        </w:rPr>
        <w:fldChar w:fldCharType="separate"/>
      </w:r>
      <w:r>
        <w:rPr>
          <w:rFonts w:ascii="Times New Roman" w:hAnsi="Times New Roman"/>
          <w:sz w:val="24"/>
          <w:szCs w:val="24"/>
        </w:rPr>
        <w:t>19</w:t>
      </w:r>
      <w:r>
        <w:rPr>
          <w:rFonts w:ascii="Times New Roman" w:hAnsi="Times New Roman"/>
          <w:sz w:val="24"/>
          <w:szCs w:val="24"/>
        </w:rPr>
        <w:fldChar w:fldCharType="end"/>
      </w:r>
      <w:r>
        <w:rPr>
          <w:rFonts w:ascii="Times New Roman" w:hAnsi="Times New Roman"/>
          <w:sz w:val="24"/>
          <w:szCs w:val="24"/>
        </w:rPr>
        <w:fldChar w:fldCharType="end"/>
      </w:r>
    </w:p>
    <w:p w14:paraId="34C6C47D">
      <w:pPr>
        <w:pStyle w:val="10"/>
        <w:rPr>
          <w:rFonts w:ascii="Times New Roman" w:hAnsi="Times New Roman" w:eastAsiaTheme="minorEastAsia"/>
          <w:kern w:val="2"/>
          <w:sz w:val="24"/>
          <w:szCs w:val="24"/>
          <w14:ligatures w14:val="standardContextual"/>
        </w:rPr>
      </w:pPr>
      <w:r>
        <w:fldChar w:fldCharType="begin"/>
      </w:r>
      <w:r>
        <w:instrText xml:space="preserve"> HYPERLINK \l "_Toc170896416" </w:instrText>
      </w:r>
      <w:r>
        <w:fldChar w:fldCharType="separate"/>
      </w:r>
      <w:r>
        <w:rPr>
          <w:rStyle w:val="7"/>
          <w:rFonts w:ascii="Times New Roman" w:hAnsi="Times New Roman"/>
          <w:sz w:val="24"/>
          <w:szCs w:val="24"/>
        </w:rPr>
        <w:t xml:space="preserve">2.3.1 </w:t>
      </w:r>
      <w:r>
        <w:rPr>
          <w:rStyle w:val="7"/>
          <w:rFonts w:ascii="Times New Roman" w:hAnsi="Times New Roman"/>
          <w:sz w:val="24"/>
          <w:szCs w:val="24"/>
        </w:rPr>
        <w:tab/>
      </w:r>
      <w:r>
        <w:rPr>
          <w:rStyle w:val="7"/>
          <w:rFonts w:ascii="Times New Roman" w:hAnsi="Times New Roman"/>
          <w:sz w:val="24"/>
          <w:szCs w:val="24"/>
        </w:rPr>
        <w:t>Students Loans (Access to Higher Education) Act was established in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_Toc170896416 \h </w:instrText>
      </w:r>
      <w:r>
        <w:rPr>
          <w:rFonts w:ascii="Times New Roman" w:hAnsi="Times New Roman"/>
          <w:sz w:val="24"/>
          <w:szCs w:val="24"/>
        </w:rPr>
        <w:fldChar w:fldCharType="separate"/>
      </w:r>
      <w:r>
        <w:rPr>
          <w:rFonts w:ascii="Times New Roman" w:hAnsi="Times New Roman"/>
          <w:sz w:val="24"/>
          <w:szCs w:val="24"/>
        </w:rPr>
        <w:t>19</w:t>
      </w:r>
      <w:r>
        <w:rPr>
          <w:rFonts w:ascii="Times New Roman" w:hAnsi="Times New Roman"/>
          <w:sz w:val="24"/>
          <w:szCs w:val="24"/>
        </w:rPr>
        <w:fldChar w:fldCharType="end"/>
      </w:r>
      <w:r>
        <w:rPr>
          <w:rFonts w:ascii="Times New Roman" w:hAnsi="Times New Roman"/>
          <w:sz w:val="24"/>
          <w:szCs w:val="24"/>
        </w:rPr>
        <w:fldChar w:fldCharType="end"/>
      </w:r>
    </w:p>
    <w:p w14:paraId="486CC37B">
      <w:pPr>
        <w:pStyle w:val="10"/>
        <w:rPr>
          <w:rFonts w:ascii="Times New Roman" w:hAnsi="Times New Roman" w:eastAsiaTheme="minorEastAsia"/>
          <w:kern w:val="2"/>
          <w:sz w:val="24"/>
          <w:szCs w:val="24"/>
          <w14:ligatures w14:val="standardContextual"/>
        </w:rPr>
      </w:pPr>
      <w:r>
        <w:fldChar w:fldCharType="begin"/>
      </w:r>
      <w:r>
        <w:instrText xml:space="preserve"> HYPERLINK \l "_Toc170896417" </w:instrText>
      </w:r>
      <w:r>
        <w:fldChar w:fldCharType="separate"/>
      </w:r>
      <w:r>
        <w:rPr>
          <w:rStyle w:val="7"/>
          <w:rFonts w:ascii="Times New Roman" w:hAnsi="Times New Roman"/>
          <w:sz w:val="24"/>
          <w:szCs w:val="24"/>
        </w:rPr>
        <w:t xml:space="preserve">2.3.2 </w:t>
      </w:r>
      <w:r>
        <w:rPr>
          <w:rStyle w:val="7"/>
          <w:rFonts w:ascii="Times New Roman" w:hAnsi="Times New Roman"/>
          <w:sz w:val="24"/>
          <w:szCs w:val="24"/>
        </w:rPr>
        <w:tab/>
      </w:r>
      <w:r>
        <w:rPr>
          <w:rStyle w:val="7"/>
          <w:rFonts w:ascii="Times New Roman" w:hAnsi="Times New Roman"/>
          <w:sz w:val="24"/>
          <w:szCs w:val="24"/>
        </w:rPr>
        <w:t>Students Loans (Access to Higher Education) (Repeal and Re-enactment) Act, 2024</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_Toc170896417 \h </w:instrText>
      </w:r>
      <w:r>
        <w:rPr>
          <w:rFonts w:ascii="Times New Roman" w:hAnsi="Times New Roman"/>
          <w:sz w:val="24"/>
          <w:szCs w:val="24"/>
        </w:rPr>
        <w:fldChar w:fldCharType="separate"/>
      </w:r>
      <w:r>
        <w:rPr>
          <w:rFonts w:ascii="Times New Roman" w:hAnsi="Times New Roman"/>
          <w:sz w:val="24"/>
          <w:szCs w:val="24"/>
        </w:rPr>
        <w:t>28</w:t>
      </w:r>
      <w:r>
        <w:rPr>
          <w:rFonts w:ascii="Times New Roman" w:hAnsi="Times New Roman"/>
          <w:sz w:val="24"/>
          <w:szCs w:val="24"/>
        </w:rPr>
        <w:fldChar w:fldCharType="end"/>
      </w:r>
      <w:r>
        <w:rPr>
          <w:rFonts w:ascii="Times New Roman" w:hAnsi="Times New Roman"/>
          <w:sz w:val="24"/>
          <w:szCs w:val="24"/>
        </w:rPr>
        <w:fldChar w:fldCharType="end"/>
      </w:r>
    </w:p>
    <w:p w14:paraId="0F9417E2">
      <w:pPr>
        <w:pStyle w:val="10"/>
        <w:rPr>
          <w:rFonts w:ascii="Times New Roman" w:hAnsi="Times New Roman" w:eastAsiaTheme="minorEastAsia"/>
          <w:kern w:val="2"/>
          <w:sz w:val="24"/>
          <w:szCs w:val="24"/>
          <w14:ligatures w14:val="standardContextual"/>
        </w:rPr>
      </w:pPr>
      <w:r>
        <w:fldChar w:fldCharType="begin"/>
      </w:r>
      <w:r>
        <w:instrText xml:space="preserve"> HYPERLINK \l "_Toc170896418" </w:instrText>
      </w:r>
      <w:r>
        <w:fldChar w:fldCharType="separate"/>
      </w:r>
      <w:r>
        <w:rPr>
          <w:rStyle w:val="7"/>
          <w:rFonts w:ascii="Times New Roman" w:hAnsi="Times New Roman"/>
          <w:sz w:val="24"/>
          <w:szCs w:val="24"/>
        </w:rPr>
        <w:t>2.3.3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Scope and Structure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_Toc170896418 \h </w:instrText>
      </w:r>
      <w:r>
        <w:rPr>
          <w:rFonts w:ascii="Times New Roman" w:hAnsi="Times New Roman"/>
          <w:sz w:val="24"/>
          <w:szCs w:val="24"/>
        </w:rPr>
        <w:fldChar w:fldCharType="separate"/>
      </w:r>
      <w:r>
        <w:rPr>
          <w:rFonts w:ascii="Times New Roman" w:hAnsi="Times New Roman"/>
          <w:sz w:val="24"/>
          <w:szCs w:val="24"/>
        </w:rPr>
        <w:t>29</w:t>
      </w:r>
      <w:r>
        <w:rPr>
          <w:rFonts w:ascii="Times New Roman" w:hAnsi="Times New Roman"/>
          <w:sz w:val="24"/>
          <w:szCs w:val="24"/>
        </w:rPr>
        <w:fldChar w:fldCharType="end"/>
      </w:r>
      <w:r>
        <w:rPr>
          <w:rFonts w:ascii="Times New Roman" w:hAnsi="Times New Roman"/>
          <w:sz w:val="24"/>
          <w:szCs w:val="24"/>
        </w:rPr>
        <w:fldChar w:fldCharType="end"/>
      </w:r>
    </w:p>
    <w:p w14:paraId="3F64F68B">
      <w:pPr>
        <w:pStyle w:val="10"/>
        <w:rPr>
          <w:rFonts w:ascii="Times New Roman" w:hAnsi="Times New Roman" w:eastAsiaTheme="minorEastAsia"/>
          <w:kern w:val="2"/>
          <w:sz w:val="24"/>
          <w:szCs w:val="24"/>
          <w14:ligatures w14:val="standardContextual"/>
        </w:rPr>
      </w:pPr>
      <w:r>
        <w:fldChar w:fldCharType="begin"/>
      </w:r>
      <w:r>
        <w:instrText xml:space="preserve"> HYPERLINK \l "_Toc170896419" </w:instrText>
      </w:r>
      <w:r>
        <w:fldChar w:fldCharType="separate"/>
      </w:r>
      <w:r>
        <w:rPr>
          <w:rStyle w:val="7"/>
          <w:rFonts w:ascii="Times New Roman" w:hAnsi="Times New Roman"/>
          <w:sz w:val="24"/>
          <w:szCs w:val="24"/>
        </w:rPr>
        <w:t xml:space="preserve">2.3.4 </w:t>
      </w:r>
      <w:r>
        <w:rPr>
          <w:rStyle w:val="7"/>
          <w:rFonts w:ascii="Times New Roman" w:hAnsi="Times New Roman"/>
          <w:sz w:val="24"/>
          <w:szCs w:val="24"/>
        </w:rPr>
        <w:tab/>
      </w:r>
      <w:r>
        <w:rPr>
          <w:rStyle w:val="7"/>
          <w:rFonts w:ascii="Times New Roman" w:hAnsi="Times New Roman"/>
          <w:sz w:val="24"/>
          <w:szCs w:val="24"/>
        </w:rPr>
        <w:t>Key Provisions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_Toc170896419 \h </w:instrText>
      </w:r>
      <w:r>
        <w:rPr>
          <w:rFonts w:ascii="Times New Roman" w:hAnsi="Times New Roman"/>
          <w:sz w:val="24"/>
          <w:szCs w:val="24"/>
        </w:rPr>
        <w:fldChar w:fldCharType="separate"/>
      </w:r>
      <w:r>
        <w:rPr>
          <w:rFonts w:ascii="Times New Roman" w:hAnsi="Times New Roman"/>
          <w:sz w:val="24"/>
          <w:szCs w:val="24"/>
        </w:rPr>
        <w:t>30</w:t>
      </w:r>
      <w:r>
        <w:rPr>
          <w:rFonts w:ascii="Times New Roman" w:hAnsi="Times New Roman"/>
          <w:sz w:val="24"/>
          <w:szCs w:val="24"/>
        </w:rPr>
        <w:fldChar w:fldCharType="end"/>
      </w:r>
      <w:r>
        <w:rPr>
          <w:rFonts w:ascii="Times New Roman" w:hAnsi="Times New Roman"/>
          <w:sz w:val="24"/>
          <w:szCs w:val="24"/>
        </w:rPr>
        <w:fldChar w:fldCharType="end"/>
      </w:r>
    </w:p>
    <w:p w14:paraId="1F530A3D">
      <w:pPr>
        <w:pStyle w:val="10"/>
        <w:rPr>
          <w:rFonts w:ascii="Times New Roman" w:hAnsi="Times New Roman" w:eastAsiaTheme="minorEastAsia"/>
          <w:kern w:val="2"/>
          <w:sz w:val="24"/>
          <w:szCs w:val="24"/>
          <w14:ligatures w14:val="standardContextual"/>
        </w:rPr>
      </w:pPr>
      <w:r>
        <w:fldChar w:fldCharType="begin"/>
      </w:r>
      <w:r>
        <w:instrText xml:space="preserve"> HYPERLINK \l "_Toc170896420" </w:instrText>
      </w:r>
      <w:r>
        <w:fldChar w:fldCharType="separate"/>
      </w:r>
      <w:r>
        <w:rPr>
          <w:rStyle w:val="7"/>
          <w:rFonts w:ascii="Times New Roman" w:hAnsi="Times New Roman"/>
          <w:sz w:val="24"/>
          <w:szCs w:val="24"/>
        </w:rPr>
        <w:t xml:space="preserve">2.4 </w:t>
      </w:r>
      <w:r>
        <w:rPr>
          <w:rStyle w:val="7"/>
          <w:rFonts w:ascii="Times New Roman" w:hAnsi="Times New Roman"/>
          <w:sz w:val="24"/>
          <w:szCs w:val="24"/>
        </w:rPr>
        <w:tab/>
      </w:r>
      <w:r>
        <w:rPr>
          <w:rStyle w:val="7"/>
          <w:rFonts w:ascii="Times New Roman" w:hAnsi="Times New Roman"/>
          <w:sz w:val="24"/>
          <w:szCs w:val="24"/>
        </w:rPr>
        <w:t>Awareness of Educational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_Toc170896420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4FBC9489">
      <w:pPr>
        <w:pStyle w:val="10"/>
        <w:rPr>
          <w:rFonts w:ascii="Times New Roman" w:hAnsi="Times New Roman" w:eastAsiaTheme="minorEastAsia"/>
          <w:kern w:val="2"/>
          <w:sz w:val="24"/>
          <w:szCs w:val="24"/>
          <w14:ligatures w14:val="standardContextual"/>
        </w:rPr>
      </w:pPr>
      <w:r>
        <w:fldChar w:fldCharType="begin"/>
      </w:r>
      <w:r>
        <w:instrText xml:space="preserve"> HYPERLINK \l "_Toc170896421" </w:instrText>
      </w:r>
      <w:r>
        <w:fldChar w:fldCharType="separate"/>
      </w:r>
      <w:r>
        <w:rPr>
          <w:rStyle w:val="7"/>
          <w:rFonts w:ascii="Times New Roman" w:hAnsi="Times New Roman"/>
          <w:sz w:val="24"/>
          <w:szCs w:val="24"/>
        </w:rPr>
        <w:t xml:space="preserve">2.4.1 </w:t>
      </w:r>
      <w:r>
        <w:rPr>
          <w:rStyle w:val="7"/>
          <w:rFonts w:ascii="Times New Roman" w:hAnsi="Times New Roman"/>
          <w:sz w:val="24"/>
          <w:szCs w:val="24"/>
        </w:rPr>
        <w:tab/>
      </w:r>
      <w:r>
        <w:rPr>
          <w:rStyle w:val="7"/>
          <w:rFonts w:ascii="Times New Roman" w:hAnsi="Times New Roman"/>
          <w:sz w:val="24"/>
          <w:szCs w:val="24"/>
        </w:rPr>
        <w:t>Nigerian Students Loan Board (NSLB) 1972 - 1992</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_Toc170896421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109B2576">
      <w:pPr>
        <w:pStyle w:val="10"/>
        <w:rPr>
          <w:rFonts w:ascii="Times New Roman" w:hAnsi="Times New Roman" w:eastAsiaTheme="minorEastAsia"/>
          <w:kern w:val="2"/>
          <w:sz w:val="24"/>
          <w:szCs w:val="24"/>
          <w14:ligatures w14:val="standardContextual"/>
        </w:rPr>
      </w:pPr>
      <w:r>
        <w:fldChar w:fldCharType="begin"/>
      </w:r>
      <w:r>
        <w:instrText xml:space="preserve"> HYPERLINK \l "_Toc170896422" </w:instrText>
      </w:r>
      <w:r>
        <w:fldChar w:fldCharType="separate"/>
      </w:r>
      <w:r>
        <w:rPr>
          <w:rStyle w:val="7"/>
          <w:rFonts w:ascii="Times New Roman" w:hAnsi="Times New Roman"/>
          <w:sz w:val="24"/>
          <w:szCs w:val="24"/>
        </w:rPr>
        <w:t xml:space="preserve">2.4.2 </w:t>
      </w:r>
      <w:r>
        <w:rPr>
          <w:rStyle w:val="7"/>
          <w:rFonts w:ascii="Times New Roman" w:hAnsi="Times New Roman"/>
          <w:sz w:val="24"/>
          <w:szCs w:val="24"/>
        </w:rPr>
        <w:tab/>
      </w:r>
      <w:r>
        <w:rPr>
          <w:rStyle w:val="7"/>
          <w:rFonts w:ascii="Times New Roman" w:hAnsi="Times New Roman"/>
          <w:sz w:val="24"/>
          <w:szCs w:val="24"/>
        </w:rPr>
        <w:t>Nigerian Education Bank (EDUBANK) (1993 - 2023)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_Toc170896422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2AF8E39B">
      <w:pPr>
        <w:pStyle w:val="10"/>
        <w:rPr>
          <w:rFonts w:ascii="Times New Roman" w:hAnsi="Times New Roman" w:eastAsiaTheme="minorEastAsia"/>
          <w:kern w:val="2"/>
          <w:sz w:val="24"/>
          <w:szCs w:val="24"/>
          <w14:ligatures w14:val="standardContextual"/>
        </w:rPr>
      </w:pPr>
      <w:r>
        <w:fldChar w:fldCharType="begin"/>
      </w:r>
      <w:r>
        <w:instrText xml:space="preserve"> HYPERLINK \l "_Toc170896423" </w:instrText>
      </w:r>
      <w:r>
        <w:fldChar w:fldCharType="separate"/>
      </w:r>
      <w:r>
        <w:rPr>
          <w:rStyle w:val="7"/>
          <w:rFonts w:ascii="Times New Roman" w:hAnsi="Times New Roman"/>
          <w:sz w:val="24"/>
          <w:szCs w:val="24"/>
        </w:rPr>
        <w:t xml:space="preserve">2.4.3 </w:t>
      </w:r>
      <w:r>
        <w:rPr>
          <w:rStyle w:val="7"/>
          <w:rFonts w:ascii="Times New Roman" w:hAnsi="Times New Roman"/>
          <w:sz w:val="24"/>
          <w:szCs w:val="24"/>
        </w:rPr>
        <w:tab/>
      </w:r>
      <w:r>
        <w:rPr>
          <w:rStyle w:val="7"/>
          <w:rFonts w:ascii="Times New Roman" w:hAnsi="Times New Roman"/>
          <w:sz w:val="24"/>
          <w:szCs w:val="24"/>
        </w:rPr>
        <w:t>Nigerian Education Loan Fund (NELF)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_Toc170896423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Fonts w:ascii="Times New Roman" w:hAnsi="Times New Roman"/>
          <w:sz w:val="24"/>
          <w:szCs w:val="24"/>
        </w:rPr>
        <w:fldChar w:fldCharType="end"/>
      </w:r>
    </w:p>
    <w:p w14:paraId="29406C94">
      <w:pPr>
        <w:pStyle w:val="10"/>
        <w:rPr>
          <w:rFonts w:ascii="Times New Roman" w:hAnsi="Times New Roman" w:eastAsiaTheme="minorEastAsia"/>
          <w:kern w:val="2"/>
          <w:sz w:val="24"/>
          <w:szCs w:val="24"/>
          <w14:ligatures w14:val="standardContextual"/>
        </w:rPr>
      </w:pPr>
      <w:r>
        <w:fldChar w:fldCharType="begin"/>
      </w:r>
      <w:r>
        <w:instrText xml:space="preserve"> HYPERLINK \l "_Toc170896424" </w:instrText>
      </w:r>
      <w:r>
        <w:fldChar w:fldCharType="separate"/>
      </w:r>
      <w:r>
        <w:rPr>
          <w:rStyle w:val="7"/>
          <w:rFonts w:ascii="Times New Roman" w:hAnsi="Times New Roman"/>
          <w:sz w:val="24"/>
          <w:szCs w:val="24"/>
        </w:rPr>
        <w:t>2.4.4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Students Loans (Access to Higher Education) (Repeal and Re-enactment) Act, 2024</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_Toc170896424 \h </w:instrText>
      </w:r>
      <w:r>
        <w:rPr>
          <w:rFonts w:ascii="Times New Roman" w:hAnsi="Times New Roman"/>
          <w:sz w:val="24"/>
          <w:szCs w:val="24"/>
        </w:rPr>
        <w:fldChar w:fldCharType="separate"/>
      </w:r>
      <w:r>
        <w:rPr>
          <w:rFonts w:ascii="Times New Roman" w:hAnsi="Times New Roman"/>
          <w:sz w:val="24"/>
          <w:szCs w:val="24"/>
        </w:rPr>
        <w:t>36</w:t>
      </w:r>
      <w:r>
        <w:rPr>
          <w:rFonts w:ascii="Times New Roman" w:hAnsi="Times New Roman"/>
          <w:sz w:val="24"/>
          <w:szCs w:val="24"/>
        </w:rPr>
        <w:fldChar w:fldCharType="end"/>
      </w:r>
      <w:r>
        <w:rPr>
          <w:rFonts w:ascii="Times New Roman" w:hAnsi="Times New Roman"/>
          <w:sz w:val="24"/>
          <w:szCs w:val="24"/>
        </w:rPr>
        <w:fldChar w:fldCharType="end"/>
      </w:r>
    </w:p>
    <w:p w14:paraId="2792373E">
      <w:pPr>
        <w:pStyle w:val="10"/>
        <w:rPr>
          <w:rFonts w:ascii="Times New Roman" w:hAnsi="Times New Roman" w:eastAsiaTheme="minorEastAsia"/>
          <w:kern w:val="2"/>
          <w:sz w:val="24"/>
          <w:szCs w:val="24"/>
          <w14:ligatures w14:val="standardContextual"/>
        </w:rPr>
      </w:pPr>
      <w:r>
        <w:fldChar w:fldCharType="begin"/>
      </w:r>
      <w:r>
        <w:instrText xml:space="preserve"> HYPERLINK \l "_Toc170896425" </w:instrText>
      </w:r>
      <w:r>
        <w:fldChar w:fldCharType="separate"/>
      </w:r>
      <w:r>
        <w:rPr>
          <w:rStyle w:val="7"/>
          <w:rFonts w:ascii="Times New Roman" w:hAnsi="Times New Roman"/>
          <w:sz w:val="24"/>
          <w:szCs w:val="24"/>
        </w:rPr>
        <w:t xml:space="preserve">2.4.5 </w:t>
      </w:r>
      <w:r>
        <w:rPr>
          <w:rStyle w:val="7"/>
          <w:rFonts w:ascii="Times New Roman" w:hAnsi="Times New Roman"/>
          <w:sz w:val="24"/>
          <w:szCs w:val="24"/>
        </w:rPr>
        <w:tab/>
      </w:r>
      <w:r>
        <w:rPr>
          <w:rStyle w:val="7"/>
          <w:rFonts w:ascii="Times New Roman" w:hAnsi="Times New Roman"/>
          <w:sz w:val="24"/>
          <w:szCs w:val="24"/>
        </w:rPr>
        <w:t>Differences between the current 2023 Act and the 2024 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_Toc170896425 \h </w:instrText>
      </w:r>
      <w:r>
        <w:rPr>
          <w:rFonts w:ascii="Times New Roman" w:hAnsi="Times New Roman"/>
          <w:sz w:val="24"/>
          <w:szCs w:val="24"/>
        </w:rPr>
        <w:fldChar w:fldCharType="separate"/>
      </w:r>
      <w:r>
        <w:rPr>
          <w:rFonts w:ascii="Times New Roman" w:hAnsi="Times New Roman"/>
          <w:sz w:val="24"/>
          <w:szCs w:val="24"/>
        </w:rPr>
        <w:t>37</w:t>
      </w:r>
      <w:r>
        <w:rPr>
          <w:rFonts w:ascii="Times New Roman" w:hAnsi="Times New Roman"/>
          <w:sz w:val="24"/>
          <w:szCs w:val="24"/>
        </w:rPr>
        <w:fldChar w:fldCharType="end"/>
      </w:r>
      <w:r>
        <w:rPr>
          <w:rFonts w:ascii="Times New Roman" w:hAnsi="Times New Roman"/>
          <w:sz w:val="24"/>
          <w:szCs w:val="24"/>
        </w:rPr>
        <w:fldChar w:fldCharType="end"/>
      </w:r>
    </w:p>
    <w:p w14:paraId="2F5E1852">
      <w:pPr>
        <w:pStyle w:val="10"/>
        <w:rPr>
          <w:rFonts w:ascii="Times New Roman" w:hAnsi="Times New Roman" w:eastAsiaTheme="minorEastAsia"/>
          <w:kern w:val="2"/>
          <w:sz w:val="24"/>
          <w:szCs w:val="24"/>
          <w14:ligatures w14:val="standardContextual"/>
        </w:rPr>
      </w:pPr>
      <w:r>
        <w:fldChar w:fldCharType="begin"/>
      </w:r>
      <w:r>
        <w:instrText xml:space="preserve"> HYPERLINK \l "_Toc170896426" </w:instrText>
      </w:r>
      <w:r>
        <w:fldChar w:fldCharType="separate"/>
      </w:r>
      <w:r>
        <w:rPr>
          <w:rStyle w:val="7"/>
          <w:rFonts w:ascii="Times New Roman" w:hAnsi="Times New Roman"/>
          <w:sz w:val="24"/>
          <w:szCs w:val="24"/>
        </w:rPr>
        <w:t xml:space="preserve">2.6 </w:t>
      </w:r>
      <w:r>
        <w:rPr>
          <w:rStyle w:val="7"/>
          <w:rFonts w:ascii="Times New Roman" w:hAnsi="Times New Roman"/>
          <w:sz w:val="24"/>
          <w:szCs w:val="24"/>
        </w:rPr>
        <w:tab/>
      </w:r>
      <w:r>
        <w:rPr>
          <w:rStyle w:val="7"/>
          <w:rFonts w:ascii="Times New Roman" w:hAnsi="Times New Roman"/>
          <w:sz w:val="24"/>
          <w:szCs w:val="24"/>
        </w:rPr>
        <w:t>Challenges affecting the implementation of student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_Toc170896426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Fonts w:ascii="Times New Roman" w:hAnsi="Times New Roman"/>
          <w:sz w:val="24"/>
          <w:szCs w:val="24"/>
        </w:rPr>
        <w:fldChar w:fldCharType="end"/>
      </w:r>
    </w:p>
    <w:p w14:paraId="47D7D09D">
      <w:pPr>
        <w:pStyle w:val="10"/>
        <w:rPr>
          <w:rFonts w:ascii="Times New Roman" w:hAnsi="Times New Roman" w:eastAsiaTheme="minorEastAsia"/>
          <w:kern w:val="2"/>
          <w:sz w:val="24"/>
          <w:szCs w:val="24"/>
          <w14:ligatures w14:val="standardContextual"/>
        </w:rPr>
      </w:pPr>
      <w:r>
        <w:fldChar w:fldCharType="begin"/>
      </w:r>
      <w:r>
        <w:instrText xml:space="preserve"> HYPERLINK \l "_Toc170896427" </w:instrText>
      </w:r>
      <w:r>
        <w:fldChar w:fldCharType="separate"/>
      </w:r>
      <w:r>
        <w:rPr>
          <w:rStyle w:val="7"/>
          <w:rFonts w:ascii="Times New Roman" w:hAnsi="Times New Roman"/>
          <w:sz w:val="24"/>
          <w:szCs w:val="24"/>
          <w:lang w:val="en"/>
        </w:rPr>
        <w:t>CHAPTER THREE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_Toc170896427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3D6AF42C">
      <w:pPr>
        <w:pStyle w:val="10"/>
        <w:rPr>
          <w:rFonts w:ascii="Times New Roman" w:hAnsi="Times New Roman" w:eastAsiaTheme="minorEastAsia"/>
          <w:b/>
          <w:bCs/>
          <w:kern w:val="2"/>
          <w:sz w:val="24"/>
          <w:szCs w:val="24"/>
          <w14:ligatures w14:val="standardContextual"/>
        </w:rPr>
      </w:pPr>
      <w:r>
        <w:fldChar w:fldCharType="begin"/>
      </w:r>
      <w:r>
        <w:instrText xml:space="preserve"> HYPERLINK \l "_Toc170896428" </w:instrText>
      </w:r>
      <w:r>
        <w:fldChar w:fldCharType="separate"/>
      </w:r>
      <w:r>
        <w:rPr>
          <w:rStyle w:val="7"/>
          <w:rFonts w:ascii="Times New Roman" w:hAnsi="Times New Roman"/>
          <w:b/>
          <w:bCs/>
          <w:sz w:val="24"/>
          <w:szCs w:val="24"/>
          <w:lang w:val="en"/>
        </w:rPr>
        <w:t>RESEARCH METHODOLOGY</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_Toc170896428 \h </w:instrText>
      </w:r>
      <w:r>
        <w:rPr>
          <w:rFonts w:ascii="Times New Roman" w:hAnsi="Times New Roman"/>
          <w:b/>
          <w:bCs/>
          <w:sz w:val="24"/>
          <w:szCs w:val="24"/>
        </w:rPr>
        <w:fldChar w:fldCharType="separate"/>
      </w:r>
      <w:r>
        <w:rPr>
          <w:rFonts w:ascii="Times New Roman" w:hAnsi="Times New Roman"/>
          <w:b/>
          <w:bCs/>
          <w:sz w:val="24"/>
          <w:szCs w:val="24"/>
        </w:rPr>
        <w:t>58</w:t>
      </w:r>
      <w:r>
        <w:rPr>
          <w:rFonts w:ascii="Times New Roman" w:hAnsi="Times New Roman"/>
          <w:b/>
          <w:bCs/>
          <w:sz w:val="24"/>
          <w:szCs w:val="24"/>
        </w:rPr>
        <w:fldChar w:fldCharType="end"/>
      </w:r>
      <w:r>
        <w:rPr>
          <w:rFonts w:ascii="Times New Roman" w:hAnsi="Times New Roman"/>
          <w:b/>
          <w:bCs/>
          <w:sz w:val="24"/>
          <w:szCs w:val="24"/>
        </w:rPr>
        <w:fldChar w:fldCharType="end"/>
      </w:r>
    </w:p>
    <w:p w14:paraId="4B260D5B">
      <w:pPr>
        <w:pStyle w:val="10"/>
        <w:rPr>
          <w:rFonts w:ascii="Times New Roman" w:hAnsi="Times New Roman" w:eastAsiaTheme="minorEastAsia"/>
          <w:kern w:val="2"/>
          <w:sz w:val="24"/>
          <w:szCs w:val="24"/>
          <w14:ligatures w14:val="standardContextual"/>
        </w:rPr>
      </w:pPr>
      <w:r>
        <w:fldChar w:fldCharType="begin"/>
      </w:r>
      <w:r>
        <w:instrText xml:space="preserve"> HYPERLINK \l "_Toc170896429" </w:instrText>
      </w:r>
      <w:r>
        <w:fldChar w:fldCharType="separate"/>
      </w:r>
      <w:r>
        <w:rPr>
          <w:rStyle w:val="7"/>
          <w:rFonts w:ascii="Times New Roman" w:hAnsi="Times New Roman"/>
          <w:sz w:val="24"/>
          <w:szCs w:val="24"/>
          <w:lang w:val="en"/>
        </w:rPr>
        <w:t>3.1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_Toc170896429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0DDB3FF1">
      <w:pPr>
        <w:pStyle w:val="10"/>
        <w:rPr>
          <w:rFonts w:ascii="Times New Roman" w:hAnsi="Times New Roman" w:eastAsiaTheme="minorEastAsia"/>
          <w:kern w:val="2"/>
          <w:sz w:val="24"/>
          <w:szCs w:val="24"/>
          <w14:ligatures w14:val="standardContextual"/>
        </w:rPr>
      </w:pPr>
      <w:r>
        <w:fldChar w:fldCharType="begin"/>
      </w:r>
      <w:r>
        <w:instrText xml:space="preserve"> HYPERLINK \l "_Toc170896430" </w:instrText>
      </w:r>
      <w:r>
        <w:fldChar w:fldCharType="separate"/>
      </w:r>
      <w:r>
        <w:rPr>
          <w:rStyle w:val="7"/>
          <w:rFonts w:ascii="Times New Roman" w:hAnsi="Times New Roman"/>
          <w:sz w:val="24"/>
          <w:szCs w:val="24"/>
        </w:rPr>
        <w:t>3.2</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Research Design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_Toc170896430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2F30B8E6">
      <w:pPr>
        <w:pStyle w:val="10"/>
        <w:rPr>
          <w:rFonts w:ascii="Times New Roman" w:hAnsi="Times New Roman" w:eastAsiaTheme="minorEastAsia"/>
          <w:kern w:val="2"/>
          <w:sz w:val="24"/>
          <w:szCs w:val="24"/>
          <w14:ligatures w14:val="standardContextual"/>
        </w:rPr>
      </w:pPr>
      <w:r>
        <w:fldChar w:fldCharType="begin"/>
      </w:r>
      <w:r>
        <w:instrText xml:space="preserve"> HYPERLINK \l "_Toc170896431" </w:instrText>
      </w:r>
      <w:r>
        <w:fldChar w:fldCharType="separate"/>
      </w:r>
      <w:r>
        <w:rPr>
          <w:rStyle w:val="7"/>
          <w:rFonts w:ascii="Times New Roman" w:hAnsi="Times New Roman"/>
          <w:sz w:val="24"/>
          <w:szCs w:val="24"/>
        </w:rPr>
        <w:t>3.3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_Toc170896431 \h </w:instrText>
      </w:r>
      <w:r>
        <w:rPr>
          <w:rFonts w:ascii="Times New Roman" w:hAnsi="Times New Roman"/>
          <w:sz w:val="24"/>
          <w:szCs w:val="24"/>
        </w:rPr>
        <w:fldChar w:fldCharType="separate"/>
      </w:r>
      <w:r>
        <w:rPr>
          <w:rFonts w:ascii="Times New Roman" w:hAnsi="Times New Roman"/>
          <w:sz w:val="24"/>
          <w:szCs w:val="24"/>
        </w:rPr>
        <w:t>59</w:t>
      </w:r>
      <w:r>
        <w:rPr>
          <w:rFonts w:ascii="Times New Roman" w:hAnsi="Times New Roman"/>
          <w:sz w:val="24"/>
          <w:szCs w:val="24"/>
        </w:rPr>
        <w:fldChar w:fldCharType="end"/>
      </w:r>
      <w:r>
        <w:rPr>
          <w:rFonts w:ascii="Times New Roman" w:hAnsi="Times New Roman"/>
          <w:sz w:val="24"/>
          <w:szCs w:val="24"/>
        </w:rPr>
        <w:fldChar w:fldCharType="end"/>
      </w:r>
    </w:p>
    <w:p w14:paraId="7B3219CE">
      <w:pPr>
        <w:pStyle w:val="10"/>
        <w:rPr>
          <w:rFonts w:ascii="Times New Roman" w:hAnsi="Times New Roman" w:eastAsiaTheme="minorEastAsia"/>
          <w:kern w:val="2"/>
          <w:sz w:val="24"/>
          <w:szCs w:val="24"/>
          <w14:ligatures w14:val="standardContextual"/>
        </w:rPr>
      </w:pPr>
      <w:r>
        <w:fldChar w:fldCharType="begin"/>
      </w:r>
      <w:r>
        <w:instrText xml:space="preserve"> HYPERLINK \l "_Toc170896432" </w:instrText>
      </w:r>
      <w:r>
        <w:fldChar w:fldCharType="separate"/>
      </w:r>
      <w:r>
        <w:rPr>
          <w:rStyle w:val="7"/>
          <w:rFonts w:ascii="Times New Roman" w:hAnsi="Times New Roman"/>
          <w:sz w:val="24"/>
          <w:szCs w:val="24"/>
        </w:rPr>
        <w:t>3.4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_Toc170896432 \h </w:instrText>
      </w:r>
      <w:r>
        <w:rPr>
          <w:rFonts w:ascii="Times New Roman" w:hAnsi="Times New Roman"/>
          <w:sz w:val="24"/>
          <w:szCs w:val="24"/>
        </w:rPr>
        <w:fldChar w:fldCharType="separate"/>
      </w:r>
      <w:r>
        <w:rPr>
          <w:rFonts w:ascii="Times New Roman" w:hAnsi="Times New Roman"/>
          <w:sz w:val="24"/>
          <w:szCs w:val="24"/>
        </w:rPr>
        <w:t>59</w:t>
      </w:r>
      <w:r>
        <w:rPr>
          <w:rFonts w:ascii="Times New Roman" w:hAnsi="Times New Roman"/>
          <w:sz w:val="24"/>
          <w:szCs w:val="24"/>
        </w:rPr>
        <w:fldChar w:fldCharType="end"/>
      </w:r>
      <w:r>
        <w:rPr>
          <w:rFonts w:ascii="Times New Roman" w:hAnsi="Times New Roman"/>
          <w:sz w:val="24"/>
          <w:szCs w:val="24"/>
        </w:rPr>
        <w:fldChar w:fldCharType="end"/>
      </w:r>
    </w:p>
    <w:p w14:paraId="4C14F443">
      <w:pPr>
        <w:pStyle w:val="10"/>
        <w:rPr>
          <w:rFonts w:ascii="Times New Roman" w:hAnsi="Times New Roman" w:eastAsiaTheme="minorEastAsia"/>
          <w:kern w:val="2"/>
          <w:sz w:val="24"/>
          <w:szCs w:val="24"/>
          <w14:ligatures w14:val="standardContextual"/>
        </w:rPr>
      </w:pPr>
      <w:r>
        <w:fldChar w:fldCharType="begin"/>
      </w:r>
      <w:r>
        <w:instrText xml:space="preserve"> HYPERLINK \l "_Toc170896433" </w:instrText>
      </w:r>
      <w:r>
        <w:fldChar w:fldCharType="separate"/>
      </w:r>
      <w:r>
        <w:rPr>
          <w:rStyle w:val="7"/>
          <w:rFonts w:ascii="Times New Roman" w:hAnsi="Times New Roman"/>
          <w:sz w:val="24"/>
          <w:szCs w:val="24"/>
        </w:rPr>
        <w:t>3.5</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Instrumentation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_Toc170896433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5AEB9511">
      <w:pPr>
        <w:pStyle w:val="10"/>
        <w:rPr>
          <w:rFonts w:ascii="Times New Roman" w:hAnsi="Times New Roman" w:eastAsiaTheme="minorEastAsia"/>
          <w:kern w:val="2"/>
          <w:sz w:val="24"/>
          <w:szCs w:val="24"/>
          <w14:ligatures w14:val="standardContextual"/>
        </w:rPr>
      </w:pPr>
      <w:r>
        <w:fldChar w:fldCharType="begin"/>
      </w:r>
      <w:r>
        <w:instrText xml:space="preserve"> HYPERLINK \l "_Toc170896434" </w:instrText>
      </w:r>
      <w:r>
        <w:fldChar w:fldCharType="separate"/>
      </w:r>
      <w:r>
        <w:rPr>
          <w:rStyle w:val="7"/>
          <w:rFonts w:ascii="Times New Roman" w:hAnsi="Times New Roman"/>
          <w:sz w:val="24"/>
          <w:szCs w:val="24"/>
        </w:rPr>
        <w:t>3.6</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Validity of Research Instrument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_Toc170896434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1AC28824">
      <w:pPr>
        <w:pStyle w:val="10"/>
        <w:rPr>
          <w:rFonts w:ascii="Times New Roman" w:hAnsi="Times New Roman" w:eastAsiaTheme="minorEastAsia"/>
          <w:kern w:val="2"/>
          <w:sz w:val="24"/>
          <w:szCs w:val="24"/>
          <w14:ligatures w14:val="standardContextual"/>
        </w:rPr>
      </w:pPr>
      <w:r>
        <w:fldChar w:fldCharType="begin"/>
      </w:r>
      <w:r>
        <w:instrText xml:space="preserve"> HYPERLINK \l "_Toc170896435" </w:instrText>
      </w:r>
      <w:r>
        <w:fldChar w:fldCharType="separate"/>
      </w:r>
      <w:r>
        <w:rPr>
          <w:rStyle w:val="7"/>
          <w:rFonts w:ascii="Times New Roman" w:hAnsi="Times New Roman"/>
          <w:sz w:val="24"/>
          <w:szCs w:val="24"/>
          <w:lang w:val="en"/>
        </w:rPr>
        <w:t xml:space="preserve">3.7 </w:t>
      </w:r>
      <w:r>
        <w:rPr>
          <w:rStyle w:val="7"/>
          <w:rFonts w:ascii="Times New Roman" w:hAnsi="Times New Roman"/>
          <w:sz w:val="24"/>
          <w:szCs w:val="24"/>
          <w:lang w:val="en"/>
        </w:rPr>
        <w:tab/>
      </w:r>
      <w:r>
        <w:rPr>
          <w:rStyle w:val="7"/>
          <w:rFonts w:ascii="Times New Roman" w:hAnsi="Times New Roman"/>
          <w:sz w:val="24"/>
          <w:szCs w:val="24"/>
          <w:lang w:val="en"/>
        </w:rPr>
        <w:t>Procedure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_Toc170896435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33ED9430">
      <w:pPr>
        <w:pStyle w:val="10"/>
        <w:rPr>
          <w:rFonts w:ascii="Times New Roman" w:hAnsi="Times New Roman" w:eastAsiaTheme="minorEastAsia"/>
          <w:kern w:val="2"/>
          <w:sz w:val="24"/>
          <w:szCs w:val="24"/>
          <w14:ligatures w14:val="standardContextual"/>
        </w:rPr>
      </w:pPr>
      <w:r>
        <w:fldChar w:fldCharType="begin"/>
      </w:r>
      <w:r>
        <w:instrText xml:space="preserve"> HYPERLINK \l "_Toc170896436" </w:instrText>
      </w:r>
      <w:r>
        <w:fldChar w:fldCharType="separate"/>
      </w:r>
      <w:r>
        <w:rPr>
          <w:rStyle w:val="7"/>
          <w:rFonts w:ascii="Times New Roman" w:hAnsi="Times New Roman"/>
          <w:sz w:val="24"/>
          <w:szCs w:val="24"/>
        </w:rPr>
        <w:t xml:space="preserve">3.8 </w:t>
      </w:r>
      <w:r>
        <w:rPr>
          <w:rStyle w:val="7"/>
          <w:rFonts w:ascii="Times New Roman" w:hAnsi="Times New Roman"/>
          <w:sz w:val="24"/>
          <w:szCs w:val="24"/>
        </w:rPr>
        <w:tab/>
      </w:r>
      <w:r>
        <w:rPr>
          <w:rStyle w:val="7"/>
          <w:rFonts w:ascii="Times New Roman" w:hAnsi="Times New Roman"/>
          <w:sz w:val="24"/>
          <w:szCs w:val="24"/>
          <w:lang w:val="en"/>
        </w:rPr>
        <w:t>Data Analysis Techniques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_Toc170896436 \h </w:instrText>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fldChar w:fldCharType="end"/>
      </w:r>
    </w:p>
    <w:p w14:paraId="3C5AB760">
      <w:pPr>
        <w:pStyle w:val="10"/>
        <w:rPr>
          <w:rFonts w:ascii="Times New Roman" w:hAnsi="Times New Roman" w:eastAsiaTheme="minorEastAsia"/>
          <w:kern w:val="2"/>
          <w:sz w:val="24"/>
          <w:szCs w:val="24"/>
          <w14:ligatures w14:val="standardContextual"/>
        </w:rPr>
      </w:pPr>
      <w:r>
        <w:fldChar w:fldCharType="begin"/>
      </w:r>
      <w:r>
        <w:instrText xml:space="preserve"> HYPERLINK \l "_Toc170896437" </w:instrText>
      </w:r>
      <w:r>
        <w:fldChar w:fldCharType="separate"/>
      </w:r>
      <w:r>
        <w:rPr>
          <w:rStyle w:val="7"/>
          <w:rFonts w:ascii="Times New Roman" w:hAnsi="Times New Roman" w:eastAsia="SimSun"/>
          <w:b/>
          <w:bCs/>
          <w:sz w:val="24"/>
          <w:szCs w:val="24"/>
        </w:rPr>
        <w:t>CHAPTER</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FOUR</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_Toc170896437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7F39B1B7">
      <w:pPr>
        <w:pStyle w:val="10"/>
        <w:rPr>
          <w:rFonts w:ascii="Times New Roman" w:hAnsi="Times New Roman" w:eastAsiaTheme="minorEastAsia"/>
          <w:kern w:val="2"/>
          <w:sz w:val="24"/>
          <w:szCs w:val="24"/>
          <w14:ligatures w14:val="standardContextual"/>
        </w:rPr>
      </w:pPr>
      <w:r>
        <w:fldChar w:fldCharType="begin"/>
      </w:r>
      <w:r>
        <w:instrText xml:space="preserve"> HYPERLINK \l "_Toc170896438" </w:instrText>
      </w:r>
      <w:r>
        <w:fldChar w:fldCharType="separate"/>
      </w:r>
      <w:r>
        <w:rPr>
          <w:rStyle w:val="7"/>
          <w:rFonts w:ascii="Times New Roman" w:hAnsi="Times New Roman" w:eastAsia="SimSun"/>
          <w:b/>
          <w:bCs/>
          <w:sz w:val="24"/>
          <w:szCs w:val="24"/>
        </w:rPr>
        <w:t>DATA</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ANALYSIS</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PRESENTATION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OF</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RESULTS</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AND</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DISCUSSION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OF</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_Toc170896438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6363C37F">
      <w:pPr>
        <w:pStyle w:val="10"/>
        <w:rPr>
          <w:rFonts w:ascii="Times New Roman" w:hAnsi="Times New Roman" w:eastAsiaTheme="minorEastAsia"/>
          <w:kern w:val="2"/>
          <w:sz w:val="24"/>
          <w:szCs w:val="24"/>
          <w14:ligatures w14:val="standardContextual"/>
        </w:rPr>
      </w:pPr>
      <w:r>
        <w:fldChar w:fldCharType="begin"/>
      </w:r>
      <w:r>
        <w:instrText xml:space="preserve"> HYPERLINK \l "_Toc170896439" </w:instrText>
      </w:r>
      <w:r>
        <w:fldChar w:fldCharType="separate"/>
      </w:r>
      <w:r>
        <w:rPr>
          <w:rStyle w:val="7"/>
          <w:rFonts w:ascii="Times New Roman" w:hAnsi="Times New Roman"/>
          <w:sz w:val="24"/>
          <w:szCs w:val="24"/>
        </w:rPr>
        <w:t xml:space="preserve">4.1 </w:t>
      </w:r>
      <w:r>
        <w:rPr>
          <w:rStyle w:val="7"/>
          <w:rFonts w:ascii="Times New Roman" w:hAnsi="Times New Roman"/>
          <w:sz w:val="24"/>
          <w:szCs w:val="24"/>
        </w:rPr>
        <w:tab/>
      </w:r>
      <w:r>
        <w:rPr>
          <w:rStyle w:val="7"/>
          <w:rFonts w:ascii="Times New Roman" w:hAnsi="Times New Roman" w:eastAsia="SimSu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_Toc170896439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054FCF75">
      <w:pPr>
        <w:pStyle w:val="10"/>
        <w:rPr>
          <w:rFonts w:ascii="Times New Roman" w:hAnsi="Times New Roman" w:eastAsiaTheme="minorEastAsia"/>
          <w:kern w:val="2"/>
          <w:sz w:val="24"/>
          <w:szCs w:val="24"/>
          <w14:ligatures w14:val="standardContextual"/>
        </w:rPr>
      </w:pPr>
      <w:r>
        <w:fldChar w:fldCharType="begin"/>
      </w:r>
      <w:r>
        <w:instrText xml:space="preserve"> HYPERLINK \l "_Toc170896440" </w:instrText>
      </w:r>
      <w:r>
        <w:fldChar w:fldCharType="separate"/>
      </w:r>
      <w:r>
        <w:rPr>
          <w:rStyle w:val="7"/>
          <w:rFonts w:ascii="Times New Roman" w:hAnsi="Times New Roman"/>
          <w:sz w:val="24"/>
          <w:szCs w:val="24"/>
        </w:rPr>
        <w:t xml:space="preserve">4.2 </w:t>
      </w:r>
      <w:r>
        <w:rPr>
          <w:rStyle w:val="7"/>
          <w:rFonts w:ascii="Times New Roman" w:hAnsi="Times New Roman"/>
          <w:sz w:val="24"/>
          <w:szCs w:val="24"/>
        </w:rPr>
        <w:tab/>
      </w:r>
      <w:r>
        <w:rPr>
          <w:rStyle w:val="7"/>
          <w:rFonts w:ascii="Times New Roman" w:hAnsi="Times New Roman" w:eastAsia="SimSun"/>
          <w:sz w:val="24"/>
          <w:szCs w:val="24"/>
        </w:rPr>
        <w:t>Response Rate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_Toc170896440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61D679B1">
      <w:pPr>
        <w:pStyle w:val="10"/>
        <w:rPr>
          <w:rFonts w:ascii="Times New Roman" w:hAnsi="Times New Roman" w:eastAsiaTheme="minorEastAsia"/>
          <w:kern w:val="2"/>
          <w:sz w:val="24"/>
          <w:szCs w:val="24"/>
          <w14:ligatures w14:val="standardContextual"/>
        </w:rPr>
      </w:pPr>
      <w:r>
        <w:fldChar w:fldCharType="begin"/>
      </w:r>
      <w:r>
        <w:instrText xml:space="preserve"> HYPERLINK \l "_Toc170896441" </w:instrText>
      </w:r>
      <w:r>
        <w:fldChar w:fldCharType="separate"/>
      </w:r>
      <w:r>
        <w:rPr>
          <w:rStyle w:val="7"/>
          <w:rFonts w:ascii="Times New Roman" w:hAnsi="Times New Roman" w:eastAsia="Roboto"/>
          <w:sz w:val="24"/>
          <w:szCs w:val="24"/>
        </w:rPr>
        <w:t xml:space="preserve">4.3 </w:t>
      </w:r>
      <w:r>
        <w:rPr>
          <w:rStyle w:val="7"/>
          <w:rFonts w:ascii="Times New Roman" w:hAnsi="Times New Roman" w:eastAsia="Roboto"/>
          <w:sz w:val="24"/>
          <w:szCs w:val="24"/>
        </w:rPr>
        <w:tab/>
      </w:r>
      <w:r>
        <w:rPr>
          <w:rStyle w:val="7"/>
          <w:rFonts w:ascii="Times New Roman" w:hAnsi="Times New Roman" w:eastAsia="Roboto"/>
          <w:sz w:val="24"/>
          <w:szCs w:val="24"/>
        </w:rPr>
        <w:t>Demographic Information of the Respondents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_Toc170896441 \h </w:instrText>
      </w:r>
      <w:r>
        <w:rPr>
          <w:rFonts w:ascii="Times New Roman" w:hAnsi="Times New Roman"/>
          <w:sz w:val="24"/>
          <w:szCs w:val="24"/>
        </w:rPr>
        <w:fldChar w:fldCharType="separate"/>
      </w:r>
      <w:r>
        <w:rPr>
          <w:rFonts w:ascii="Times New Roman" w:hAnsi="Times New Roman"/>
          <w:sz w:val="24"/>
          <w:szCs w:val="24"/>
        </w:rPr>
        <w:t>64</w:t>
      </w:r>
      <w:r>
        <w:rPr>
          <w:rFonts w:ascii="Times New Roman" w:hAnsi="Times New Roman"/>
          <w:sz w:val="24"/>
          <w:szCs w:val="24"/>
        </w:rPr>
        <w:fldChar w:fldCharType="end"/>
      </w:r>
      <w:r>
        <w:rPr>
          <w:rFonts w:ascii="Times New Roman" w:hAnsi="Times New Roman"/>
          <w:sz w:val="24"/>
          <w:szCs w:val="24"/>
        </w:rPr>
        <w:fldChar w:fldCharType="end"/>
      </w:r>
    </w:p>
    <w:p w14:paraId="7C07725C">
      <w:pPr>
        <w:pStyle w:val="10"/>
        <w:rPr>
          <w:rFonts w:ascii="Times New Roman" w:hAnsi="Times New Roman" w:eastAsiaTheme="minorEastAsia"/>
          <w:kern w:val="2"/>
          <w:sz w:val="24"/>
          <w:szCs w:val="24"/>
          <w14:ligatures w14:val="standardContextual"/>
        </w:rPr>
      </w:pPr>
      <w:r>
        <w:fldChar w:fldCharType="begin"/>
      </w:r>
      <w:r>
        <w:instrText xml:space="preserve"> HYPERLINK \l "_Toc170896442" </w:instrText>
      </w:r>
      <w:r>
        <w:fldChar w:fldCharType="separate"/>
      </w:r>
      <w:r>
        <w:rPr>
          <w:rStyle w:val="7"/>
          <w:rFonts w:ascii="Times New Roman" w:hAnsi="Times New Roman"/>
          <w:sz w:val="24"/>
          <w:szCs w:val="24"/>
        </w:rPr>
        <w:t xml:space="preserve">4.4 </w:t>
      </w:r>
      <w:r>
        <w:rPr>
          <w:rStyle w:val="7"/>
          <w:rFonts w:ascii="Times New Roman" w:hAnsi="Times New Roman"/>
          <w:sz w:val="24"/>
          <w:szCs w:val="24"/>
        </w:rPr>
        <w:tab/>
      </w:r>
      <w:r>
        <w:rPr>
          <w:rStyle w:val="7"/>
          <w:rFonts w:ascii="Times New Roman" w:hAnsi="Times New Roman" w:eastAsia="SimSun"/>
          <w:sz w:val="24"/>
          <w:szCs w:val="24"/>
        </w:rPr>
        <w:t>Analysis and Presentation of Results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_Toc170896442 \h </w:instrText>
      </w:r>
      <w:r>
        <w:rPr>
          <w:rFonts w:ascii="Times New Roman" w:hAnsi="Times New Roman"/>
          <w:sz w:val="24"/>
          <w:szCs w:val="24"/>
        </w:rPr>
        <w:fldChar w:fldCharType="separate"/>
      </w:r>
      <w:r>
        <w:rPr>
          <w:rFonts w:ascii="Times New Roman" w:hAnsi="Times New Roman"/>
          <w:sz w:val="24"/>
          <w:szCs w:val="24"/>
        </w:rPr>
        <w:t>66</w:t>
      </w:r>
      <w:r>
        <w:rPr>
          <w:rFonts w:ascii="Times New Roman" w:hAnsi="Times New Roman"/>
          <w:sz w:val="24"/>
          <w:szCs w:val="24"/>
        </w:rPr>
        <w:fldChar w:fldCharType="end"/>
      </w:r>
      <w:r>
        <w:rPr>
          <w:rFonts w:ascii="Times New Roman" w:hAnsi="Times New Roman"/>
          <w:sz w:val="24"/>
          <w:szCs w:val="24"/>
        </w:rPr>
        <w:fldChar w:fldCharType="end"/>
      </w:r>
    </w:p>
    <w:p w14:paraId="44BB2550">
      <w:pPr>
        <w:pStyle w:val="10"/>
        <w:rPr>
          <w:rFonts w:ascii="Times New Roman" w:hAnsi="Times New Roman" w:eastAsiaTheme="minorEastAsia"/>
          <w:kern w:val="2"/>
          <w:sz w:val="24"/>
          <w:szCs w:val="24"/>
          <w14:ligatures w14:val="standardContextual"/>
        </w:rPr>
      </w:pPr>
      <w:r>
        <w:fldChar w:fldCharType="begin"/>
      </w:r>
      <w:r>
        <w:instrText xml:space="preserve"> HYPERLINK \l "_Toc170896443" </w:instrText>
      </w:r>
      <w:r>
        <w:fldChar w:fldCharType="separate"/>
      </w:r>
      <w:r>
        <w:rPr>
          <w:rStyle w:val="7"/>
          <w:rFonts w:ascii="Times New Roman" w:hAnsi="Times New Roman" w:eastAsia="SimSun"/>
          <w:b/>
          <w:bCs/>
          <w:sz w:val="24"/>
          <w:szCs w:val="24"/>
        </w:rPr>
        <w:t>CHAPTER</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FIVE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_Toc170896443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5A934B7F">
      <w:pPr>
        <w:pStyle w:val="10"/>
        <w:rPr>
          <w:rFonts w:ascii="Times New Roman" w:hAnsi="Times New Roman" w:eastAsiaTheme="minorEastAsia"/>
          <w:kern w:val="2"/>
          <w:sz w:val="24"/>
          <w:szCs w:val="24"/>
          <w14:ligatures w14:val="standardContextual"/>
        </w:rPr>
      </w:pPr>
      <w:r>
        <w:fldChar w:fldCharType="begin"/>
      </w:r>
      <w:r>
        <w:instrText xml:space="preserve"> HYPERLINK \l "_Toc170896444" </w:instrText>
      </w:r>
      <w:r>
        <w:fldChar w:fldCharType="separate"/>
      </w:r>
      <w:r>
        <w:rPr>
          <w:rStyle w:val="7"/>
          <w:rFonts w:ascii="Times New Roman" w:hAnsi="Times New Roman" w:eastAsia="SimSun"/>
          <w:b/>
          <w:bCs/>
          <w:sz w:val="24"/>
          <w:szCs w:val="24"/>
        </w:rPr>
        <w:t>SUMMARY</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CONCLUSION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AND</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RECOMMENDATIONS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_Toc170896444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5FC43461">
      <w:pPr>
        <w:pStyle w:val="10"/>
        <w:rPr>
          <w:rFonts w:ascii="Times New Roman" w:hAnsi="Times New Roman" w:eastAsiaTheme="minorEastAsia"/>
          <w:kern w:val="2"/>
          <w:sz w:val="24"/>
          <w:szCs w:val="24"/>
          <w14:ligatures w14:val="standardContextual"/>
        </w:rPr>
      </w:pPr>
      <w:r>
        <w:fldChar w:fldCharType="begin"/>
      </w:r>
      <w:r>
        <w:instrText xml:space="preserve"> HYPERLINK \l "_Toc170896445" </w:instrText>
      </w:r>
      <w:r>
        <w:fldChar w:fldCharType="separate"/>
      </w:r>
      <w:r>
        <w:rPr>
          <w:rStyle w:val="7"/>
          <w:rFonts w:ascii="Times New Roman" w:hAnsi="Times New Roman"/>
          <w:sz w:val="24"/>
          <w:szCs w:val="24"/>
        </w:rPr>
        <w:t xml:space="preserve">5.1 </w:t>
      </w:r>
      <w:r>
        <w:rPr>
          <w:rStyle w:val="7"/>
          <w:rFonts w:ascii="Times New Roman" w:hAnsi="Times New Roman"/>
          <w:sz w:val="24"/>
          <w:szCs w:val="24"/>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_Toc170896445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051A6700">
      <w:pPr>
        <w:pStyle w:val="10"/>
        <w:rPr>
          <w:rFonts w:ascii="Times New Roman" w:hAnsi="Times New Roman" w:eastAsiaTheme="minorEastAsia"/>
          <w:kern w:val="2"/>
          <w:sz w:val="24"/>
          <w:szCs w:val="24"/>
          <w14:ligatures w14:val="standardContextual"/>
        </w:rPr>
      </w:pPr>
      <w:r>
        <w:fldChar w:fldCharType="begin"/>
      </w:r>
      <w:r>
        <w:instrText xml:space="preserve"> HYPERLINK \l "_Toc170896446" </w:instrText>
      </w:r>
      <w:r>
        <w:fldChar w:fldCharType="separate"/>
      </w:r>
      <w:r>
        <w:rPr>
          <w:rStyle w:val="7"/>
          <w:rFonts w:ascii="Times New Roman" w:hAnsi="Times New Roman" w:eastAsia="SimSun"/>
          <w:sz w:val="24"/>
          <w:szCs w:val="24"/>
        </w:rPr>
        <w:t xml:space="preserve">5.2 </w:t>
      </w:r>
      <w:r>
        <w:rPr>
          <w:rStyle w:val="7"/>
          <w:rFonts w:ascii="Times New Roman" w:hAnsi="Times New Roman" w:eastAsia="SimSun"/>
          <w:sz w:val="24"/>
          <w:szCs w:val="24"/>
        </w:rPr>
        <w:tab/>
      </w:r>
      <w:r>
        <w:rPr>
          <w:rStyle w:val="7"/>
          <w:rFonts w:ascii="Times New Roman" w:hAnsi="Times New Roman" w:eastAsia="SimSun"/>
          <w:sz w:val="24"/>
          <w:szCs w:val="24"/>
        </w:rPr>
        <w:t>Summary of the 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_Toc170896446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60EE24D8">
      <w:pPr>
        <w:pStyle w:val="10"/>
        <w:rPr>
          <w:rFonts w:ascii="Times New Roman" w:hAnsi="Times New Roman" w:eastAsiaTheme="minorEastAsia"/>
          <w:kern w:val="2"/>
          <w:sz w:val="24"/>
          <w:szCs w:val="24"/>
          <w14:ligatures w14:val="standardContextual"/>
        </w:rPr>
      </w:pPr>
      <w:r>
        <w:fldChar w:fldCharType="begin"/>
      </w:r>
      <w:r>
        <w:instrText xml:space="preserve"> HYPERLINK \l "_Toc170896447" </w:instrText>
      </w:r>
      <w:r>
        <w:fldChar w:fldCharType="separate"/>
      </w:r>
      <w:r>
        <w:rPr>
          <w:rStyle w:val="7"/>
          <w:rFonts w:ascii="Times New Roman" w:hAnsi="Times New Roman" w:eastAsia="SimSun"/>
          <w:sz w:val="24"/>
          <w:szCs w:val="24"/>
        </w:rPr>
        <w:t xml:space="preserve">5.3 </w:t>
      </w:r>
      <w:r>
        <w:rPr>
          <w:rStyle w:val="7"/>
          <w:rFonts w:ascii="Times New Roman" w:hAnsi="Times New Roman" w:eastAsia="SimSun"/>
          <w:sz w:val="24"/>
          <w:szCs w:val="24"/>
        </w:rPr>
        <w:tab/>
      </w:r>
      <w:r>
        <w:rPr>
          <w:rStyle w:val="7"/>
          <w:rFonts w:ascii="Times New Roman" w:hAnsi="Times New Roman" w:eastAsia="SimSun"/>
          <w:sz w:val="24"/>
          <w:szCs w:val="24"/>
        </w:rPr>
        <w:t>Conclusion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_Toc170896447 \h </w:instrText>
      </w:r>
      <w:r>
        <w:rPr>
          <w:rFonts w:ascii="Times New Roman" w:hAnsi="Times New Roman"/>
          <w:sz w:val="24"/>
          <w:szCs w:val="24"/>
        </w:rPr>
        <w:fldChar w:fldCharType="separate"/>
      </w:r>
      <w:r>
        <w:rPr>
          <w:rFonts w:ascii="Times New Roman" w:hAnsi="Times New Roman"/>
          <w:sz w:val="24"/>
          <w:szCs w:val="24"/>
        </w:rPr>
        <w:t>75</w:t>
      </w:r>
      <w:r>
        <w:rPr>
          <w:rFonts w:ascii="Times New Roman" w:hAnsi="Times New Roman"/>
          <w:sz w:val="24"/>
          <w:szCs w:val="24"/>
        </w:rPr>
        <w:fldChar w:fldCharType="end"/>
      </w:r>
      <w:r>
        <w:rPr>
          <w:rFonts w:ascii="Times New Roman" w:hAnsi="Times New Roman"/>
          <w:sz w:val="24"/>
          <w:szCs w:val="24"/>
        </w:rPr>
        <w:fldChar w:fldCharType="end"/>
      </w:r>
    </w:p>
    <w:p w14:paraId="2B085500">
      <w:pPr>
        <w:pStyle w:val="10"/>
        <w:rPr>
          <w:rFonts w:ascii="Times New Roman" w:hAnsi="Times New Roman" w:eastAsiaTheme="minorEastAsia"/>
          <w:kern w:val="2"/>
          <w:sz w:val="24"/>
          <w:szCs w:val="24"/>
          <w14:ligatures w14:val="standardContextual"/>
        </w:rPr>
      </w:pPr>
      <w:r>
        <w:fldChar w:fldCharType="begin"/>
      </w:r>
      <w:r>
        <w:instrText xml:space="preserve"> HYPERLINK \l "_Toc170896448" </w:instrText>
      </w:r>
      <w:r>
        <w:fldChar w:fldCharType="separate"/>
      </w:r>
      <w:r>
        <w:rPr>
          <w:rStyle w:val="7"/>
          <w:rFonts w:ascii="Times New Roman" w:hAnsi="Times New Roman" w:eastAsia="SimSun"/>
          <w:sz w:val="24"/>
          <w:szCs w:val="24"/>
        </w:rPr>
        <w:t xml:space="preserve">5.4 </w:t>
      </w:r>
      <w:r>
        <w:rPr>
          <w:rStyle w:val="7"/>
          <w:rFonts w:ascii="Times New Roman" w:hAnsi="Times New Roman" w:eastAsia="SimSun"/>
          <w:sz w:val="24"/>
          <w:szCs w:val="24"/>
        </w:rPr>
        <w:tab/>
      </w:r>
      <w:r>
        <w:rPr>
          <w:rStyle w:val="7"/>
          <w:rFonts w:ascii="Times New Roman" w:hAnsi="Times New Roman" w:eastAsia="SimSun"/>
          <w:sz w:val="24"/>
          <w:szCs w:val="24"/>
        </w:rPr>
        <w:t>Recommendation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_Toc170896448 \h </w:instrText>
      </w:r>
      <w:r>
        <w:rPr>
          <w:rFonts w:ascii="Times New Roman" w:hAnsi="Times New Roman"/>
          <w:sz w:val="24"/>
          <w:szCs w:val="24"/>
        </w:rPr>
        <w:fldChar w:fldCharType="separate"/>
      </w:r>
      <w:r>
        <w:rPr>
          <w:rFonts w:ascii="Times New Roman" w:hAnsi="Times New Roman"/>
          <w:sz w:val="24"/>
          <w:szCs w:val="24"/>
        </w:rPr>
        <w:t>76</w:t>
      </w:r>
      <w:r>
        <w:rPr>
          <w:rFonts w:ascii="Times New Roman" w:hAnsi="Times New Roman"/>
          <w:sz w:val="24"/>
          <w:szCs w:val="24"/>
        </w:rPr>
        <w:fldChar w:fldCharType="end"/>
      </w:r>
      <w:r>
        <w:rPr>
          <w:rFonts w:ascii="Times New Roman" w:hAnsi="Times New Roman"/>
          <w:sz w:val="24"/>
          <w:szCs w:val="24"/>
        </w:rPr>
        <w:fldChar w:fldCharType="end"/>
      </w:r>
    </w:p>
    <w:p w14:paraId="79B1B55E">
      <w:pPr>
        <w:pStyle w:val="10"/>
        <w:rPr>
          <w:rFonts w:ascii="Times New Roman" w:hAnsi="Times New Roman" w:eastAsiaTheme="minorEastAsia"/>
          <w:kern w:val="2"/>
          <w:sz w:val="24"/>
          <w:szCs w:val="24"/>
          <w14:ligatures w14:val="standardContextual"/>
        </w:rPr>
      </w:pPr>
      <w:r>
        <w:fldChar w:fldCharType="begin"/>
      </w:r>
      <w:r>
        <w:instrText xml:space="preserve"> HYPERLINK \l "_Toc170896449" </w:instrText>
      </w:r>
      <w:r>
        <w:fldChar w:fldCharType="separate"/>
      </w:r>
      <w:r>
        <w:rPr>
          <w:rStyle w:val="7"/>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_Toc170896449 \h </w:instrText>
      </w:r>
      <w:r>
        <w:rPr>
          <w:rFonts w:ascii="Times New Roman" w:hAnsi="Times New Roman"/>
          <w:sz w:val="24"/>
          <w:szCs w:val="24"/>
        </w:rPr>
        <w:fldChar w:fldCharType="separate"/>
      </w:r>
      <w:r>
        <w:rPr>
          <w:rFonts w:ascii="Times New Roman" w:hAnsi="Times New Roman"/>
          <w:sz w:val="24"/>
          <w:szCs w:val="24"/>
        </w:rPr>
        <w:t>78</w:t>
      </w:r>
      <w:r>
        <w:rPr>
          <w:rFonts w:ascii="Times New Roman" w:hAnsi="Times New Roman"/>
          <w:sz w:val="24"/>
          <w:szCs w:val="24"/>
        </w:rPr>
        <w:fldChar w:fldCharType="end"/>
      </w:r>
      <w:r>
        <w:rPr>
          <w:rFonts w:ascii="Times New Roman" w:hAnsi="Times New Roman"/>
          <w:sz w:val="24"/>
          <w:szCs w:val="24"/>
        </w:rPr>
        <w:fldChar w:fldCharType="end"/>
      </w:r>
    </w:p>
    <w:p w14:paraId="3187C538">
      <w:pPr>
        <w:pStyle w:val="10"/>
        <w:rPr>
          <w:rFonts w:asciiTheme="minorHAnsi" w:hAnsiTheme="minorHAnsi" w:eastAsiaTheme="minorEastAsia" w:cstheme="minorBidi"/>
          <w:kern w:val="2"/>
          <w14:ligatures w14:val="standardContextual"/>
        </w:rPr>
      </w:pPr>
      <w:r>
        <w:fldChar w:fldCharType="begin"/>
      </w:r>
      <w:r>
        <w:instrText xml:space="preserve"> HYPERLINK \l "_Toc170896450" </w:instrText>
      </w:r>
      <w:r>
        <w:fldChar w:fldCharType="separate"/>
      </w:r>
      <w:r>
        <w:rPr>
          <w:rStyle w:val="7"/>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_Toc170896450 \h </w:instrText>
      </w:r>
      <w:r>
        <w:rPr>
          <w:rFonts w:ascii="Times New Roman" w:hAnsi="Times New Roman"/>
          <w:sz w:val="24"/>
          <w:szCs w:val="24"/>
        </w:rPr>
        <w:fldChar w:fldCharType="separate"/>
      </w:r>
      <w:r>
        <w:rPr>
          <w:rFonts w:ascii="Times New Roman" w:hAnsi="Times New Roman"/>
          <w:sz w:val="24"/>
          <w:szCs w:val="24"/>
        </w:rPr>
        <w:t>85</w:t>
      </w:r>
      <w:r>
        <w:rPr>
          <w:rFonts w:ascii="Times New Roman" w:hAnsi="Times New Roman"/>
          <w:sz w:val="24"/>
          <w:szCs w:val="24"/>
        </w:rPr>
        <w:fldChar w:fldCharType="end"/>
      </w:r>
      <w:r>
        <w:rPr>
          <w:rFonts w:ascii="Times New Roman" w:hAnsi="Times New Roman"/>
          <w:sz w:val="24"/>
          <w:szCs w:val="24"/>
        </w:rPr>
        <w:fldChar w:fldCharType="end"/>
      </w:r>
    </w:p>
    <w:p w14:paraId="371C4413">
      <w:pPr>
        <w:rPr>
          <w:rFonts w:ascii="Times New Roman" w:hAnsi="Times New Roman"/>
          <w:sz w:val="24"/>
        </w:rPr>
      </w:pPr>
      <w:r>
        <w:rPr>
          <w:rFonts w:ascii="Times New Roman" w:hAnsi="Times New Roman"/>
          <w:sz w:val="24"/>
        </w:rPr>
        <w:fldChar w:fldCharType="end"/>
      </w:r>
    </w:p>
    <w:p w14:paraId="69258704">
      <w:pPr>
        <w:spacing w:line="259" w:lineRule="auto"/>
        <w:rPr>
          <w:rStyle w:val="11"/>
          <w:rFonts w:hAnsi="Times New Roman"/>
        </w:rPr>
      </w:pPr>
      <w:r>
        <w:rPr>
          <w:rStyle w:val="11"/>
          <w:rFonts w:hAnsi="Times New Roman"/>
          <w:b w:val="0"/>
          <w:color w:val="auto"/>
          <w:szCs w:val="24"/>
        </w:rPr>
        <w:br w:type="page"/>
      </w:r>
    </w:p>
    <w:p w14:paraId="5FB99358">
      <w:pPr>
        <w:pStyle w:val="2"/>
        <w:spacing w:before="0" w:line="480" w:lineRule="auto"/>
        <w:jc w:val="center"/>
        <w:rPr>
          <w:rFonts w:ascii="Times New Roman" w:hAnsi="Times New Roman"/>
          <w:iCs/>
          <w:color w:val="auto"/>
          <w:sz w:val="24"/>
          <w:szCs w:val="24"/>
        </w:rPr>
      </w:pPr>
      <w:bookmarkStart w:id="5" w:name="_Toc170896401"/>
      <w:r>
        <w:rPr>
          <w:rFonts w:ascii="Times New Roman" w:hAnsi="Times New Roman"/>
          <w:iCs/>
          <w:color w:val="auto"/>
          <w:sz w:val="24"/>
          <w:szCs w:val="24"/>
        </w:rPr>
        <w:t>ABSTRACT</w:t>
      </w:r>
      <w:bookmarkEnd w:id="5"/>
    </w:p>
    <w:p w14:paraId="31925315">
      <w:pPr>
        <w:rPr>
          <w:rFonts w:ascii="Times New Roman" w:hAnsi="Times New Roman"/>
          <w:i/>
          <w:iCs/>
          <w:sz w:val="24"/>
        </w:rPr>
      </w:pPr>
      <w:r>
        <w:rPr>
          <w:rFonts w:ascii="Times New Roman" w:hAnsi="Times New Roman"/>
          <w:i/>
          <w:iCs/>
          <w:sz w:val="24"/>
        </w:rPr>
        <w:t xml:space="preserve">The study investigated the perception of Kwara State University Students towards Nigerian Students Loan Scheme; the objectives of the study are to determine the perception of KWASU students towards the educational loan scheme, determine the perception of KWASU student towards the criterial for accessing the loan, determine the level of awareness of the educational loan scheme by KWASU students, identify the benefit of students loan and investigate the challenges affecting the implementation of students loan scheme. The study adopted a descriptive survey research design with the population of 32,633 as the study population, which was the total population of KWASU students. The sample size of the study was 380 respondents representing the whole population which was recommended by Ransoft (Online Sample Calculator). Data was collected using a questionnaire </w:t>
      </w:r>
      <w:r>
        <w:rPr>
          <w:rStyle w:val="13"/>
          <w:rFonts w:hAnsi="Times New Roman" w:eastAsia="Calibri Light" w:cs="Times New Roman"/>
          <w:b w:val="0"/>
          <w:i/>
          <w:iCs/>
          <w:sz w:val="24"/>
          <w:szCs w:val="24"/>
        </w:rPr>
        <w:t xml:space="preserve">The data for the study was collected and presented and analyzed using simple percentage and frequency with the aids of questionnaire. The findings of the study revealed </w:t>
      </w:r>
      <w:r>
        <w:rPr>
          <w:rFonts w:ascii="Times New Roman" w:hAnsi="Times New Roman" w:eastAsia="Times New Roman" w:cs="Times New Roman"/>
          <w:i/>
          <w:iCs/>
          <w:sz w:val="24"/>
        </w:rPr>
        <w:t>that, student loans scheme promote equal opportunity by allowing students from diverse backgrounds to access higher education, student loans scheme increased your knowledge of personal finance and financial management, the burden of repaying loans has had a detrimental effect on mental well-being and managing loan payments becomes particularly challenging during economic difficulties, it</w:t>
      </w:r>
      <w:r>
        <w:rPr>
          <w:rFonts w:ascii="Times New Roman" w:hAnsi="Times New Roman" w:cs="Times New Roman"/>
          <w:i/>
          <w:iCs/>
          <w:sz w:val="24"/>
        </w:rPr>
        <w:t xml:space="preserve"> revealed that, the applicants must be a Nigerian citizen, applicant must have secured admission into any of the Nigerian universities, polytechnics, colleges of education or any vocational school established by the Federal Government or the Government of any state of the federation, students can apply  and receive loans subject to application and identity verification guidelines as provided by the fund, applicants to the Fund may apply for loans to cover tuition and other fees payable to the school and maintenance allowance payable to the student, the repayment plan starts two years after the National Youth Service Corps (NYSC) program, the findings also revealed that, most students are </w:t>
      </w:r>
      <w:r>
        <w:rPr>
          <w:rFonts w:ascii="Times New Roman" w:hAnsi="Times New Roman" w:eastAsia="Times New Roman" w:cs="Times New Roman"/>
          <w:i/>
          <w:iCs/>
          <w:kern w:val="0"/>
          <w:sz w:val="24"/>
          <w:lang w:eastAsia="en-US"/>
        </w:rPr>
        <w:t xml:space="preserve">aware that Nigerian offers an educational loan scheme for students and they are confident to their understanding of the educational loan scheme but students don't know </w:t>
      </w:r>
      <w:r>
        <w:rPr>
          <w:rFonts w:ascii="Times New Roman" w:hAnsi="Times New Roman" w:cs="Times New Roman"/>
          <w:i/>
          <w:iCs/>
          <w:sz w:val="24"/>
        </w:rPr>
        <w:t>where to find more information about the educational loan scheme if needed. The rate at which they come across information about the educational loan scheme is low, the findings on research question four revealed that, the benefits of student’s loan scheme increases access to higher education, reduced financial barriers, improved economic mobility, mitigating of student’s debt and long-term benefits, the findings also revealed, lack of national identification system, inefficient management and corruption, delay in loan disbursement, government policies and difficulty in recovering loans as the challenges affecting the implementation of the student loan scheme. While the study recommended that, s</w:t>
      </w:r>
      <w:r>
        <w:rPr>
          <w:rFonts w:ascii="Times New Roman" w:hAnsi="Times New Roman" w:eastAsia="SimSun" w:cs="Times New Roman"/>
          <w:i/>
          <w:iCs/>
          <w:sz w:val="24"/>
        </w:rPr>
        <w:t>tudents’ Loan Boards should expand its scope beyond payment of school fees, Board should relax its policy on provision of guarantors to access loan and concentrate on with holding certificates as collateral, the loan selection process should continuously be assessed or contrasted with that of the countries especially in the western world and other African countries, the Student Loan Board should put in place measures to ensure that loan scheme processes with fair, transparent and t</w:t>
      </w:r>
      <w:r>
        <w:rPr>
          <w:rFonts w:ascii="Times New Roman" w:hAnsi="Times New Roman" w:cs="Times New Roman"/>
          <w:i/>
          <w:iCs/>
          <w:sz w:val="24"/>
        </w:rPr>
        <w:t>he loan-granting body should step up measures to ensure that the students repay the loans.</w:t>
      </w:r>
    </w:p>
    <w:p w14:paraId="588B7826">
      <w:pPr>
        <w:widowControl/>
        <w:jc w:val="left"/>
        <w:rPr>
          <w:rFonts w:ascii="Times New Roman" w:hAnsi="Times New Roman"/>
          <w:i/>
          <w:iCs/>
          <w:sz w:val="24"/>
        </w:rPr>
      </w:pPr>
    </w:p>
    <w:p w14:paraId="3C620027">
      <w:pPr>
        <w:widowControl/>
        <w:jc w:val="left"/>
        <w:rPr>
          <w:rFonts w:ascii="Times New Roman" w:hAnsi="Times New Roman"/>
          <w:i/>
          <w:iCs/>
          <w:sz w:val="24"/>
        </w:rPr>
        <w:sectPr>
          <w:footerReference r:id="rId4" w:type="first"/>
          <w:footerReference r:id="rId3" w:type="default"/>
          <w:pgSz w:w="11906" w:h="16838"/>
          <w:pgMar w:top="1260" w:right="1440" w:bottom="1350" w:left="1440" w:header="851" w:footer="992" w:gutter="0"/>
          <w:pgNumType w:fmt="lowerRoman"/>
          <w:cols w:space="425" w:num="1"/>
          <w:titlePg/>
          <w:docGrid w:type="lines" w:linePitch="312" w:charSpace="0"/>
        </w:sectPr>
      </w:pPr>
    </w:p>
    <w:p w14:paraId="57D38A59">
      <w:pPr>
        <w:pStyle w:val="2"/>
        <w:spacing w:line="240" w:lineRule="auto"/>
        <w:jc w:val="center"/>
        <w:rPr>
          <w:rFonts w:ascii="Times New Roman" w:hAnsi="Times New Roman"/>
          <w:b w:val="0"/>
          <w:bCs w:val="0"/>
          <w:color w:val="auto"/>
          <w:sz w:val="24"/>
        </w:rPr>
      </w:pPr>
      <w:bookmarkStart w:id="6" w:name="_Toc170896402"/>
      <w:r>
        <w:rPr>
          <w:rFonts w:ascii="Times New Roman" w:hAnsi="Times New Roman"/>
          <w:color w:val="auto"/>
          <w:sz w:val="24"/>
        </w:rPr>
        <w:t>CHAPTER ONE</w:t>
      </w:r>
      <w:bookmarkEnd w:id="6"/>
    </w:p>
    <w:p w14:paraId="696F4B33">
      <w:pPr>
        <w:pStyle w:val="2"/>
        <w:spacing w:before="0" w:line="480" w:lineRule="auto"/>
        <w:jc w:val="center"/>
        <w:rPr>
          <w:rFonts w:ascii="Times New Roman" w:hAnsi="Times New Roman"/>
          <w:b w:val="0"/>
          <w:bCs w:val="0"/>
          <w:color w:val="auto"/>
          <w:sz w:val="24"/>
        </w:rPr>
      </w:pPr>
      <w:bookmarkStart w:id="7" w:name="_Toc170896403"/>
      <w:r>
        <w:rPr>
          <w:rFonts w:ascii="Times New Roman" w:hAnsi="Times New Roman"/>
          <w:color w:val="auto"/>
          <w:sz w:val="24"/>
        </w:rPr>
        <w:t>INTRODUCTION</w:t>
      </w:r>
      <w:bookmarkEnd w:id="7"/>
    </w:p>
    <w:p w14:paraId="6DA4DFAE">
      <w:pPr>
        <w:pStyle w:val="2"/>
        <w:spacing w:before="0" w:line="480" w:lineRule="auto"/>
        <w:rPr>
          <w:rFonts w:ascii="Times New Roman" w:hAnsi="Times New Roman"/>
          <w:b w:val="0"/>
          <w:color w:val="auto"/>
          <w:sz w:val="24"/>
        </w:rPr>
      </w:pPr>
      <w:bookmarkStart w:id="8" w:name="_Toc170896404"/>
      <w:r>
        <w:rPr>
          <w:rFonts w:ascii="Times New Roman" w:hAnsi="Times New Roman"/>
          <w:color w:val="auto"/>
          <w:sz w:val="24"/>
        </w:rPr>
        <w:t>1.1 Background to the Study</w:t>
      </w:r>
      <w:bookmarkEnd w:id="8"/>
    </w:p>
    <w:p w14:paraId="69261596">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Education is the transformation of manifesting human potentials, aimed to shape overall development of individuals, providing necessary tools to participate in day-to-day activities. It dispels ignorance and boosts moral values in the individuals. It forms the basis for lifelong learning and inspires confidence to face challenges, besides providing fundamental skills to become more independent and increases awareness (Norman &amp; Hyland, 2003). Education has a significant role in the economy. Higher education is an increasing paradigm. Higher education involves creation of intellects of world standards and also training of skilled human power at mass level without compromising on quality. The significance of education in facilitating social and economic progress is well recognized, it opens up opportunities leading to both individual and group entitlements (Harry &amp; Adam swift, 2009). Education is the most crucial input for empowering people, especially youth with skills and knowledge and giving them access to productive employment in future. Improvements in education have not only been expected to enhance efficiency but also augment the overall quality of life. Education is significant, because it enables us to take the right decisions and prevents losses.</w:t>
      </w:r>
    </w:p>
    <w:p w14:paraId="75171399">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 According to Justine Kimena, (2023), decision-making is an integral part of our life. Decisions have to be made throughout our lives and sometimes, decision-making can be a very tough and challenging process. It can leave us perplexed and often wondering, as to what is the right choice. An educated person is a confident person. Education fosters a positive outlook and allows us to believe in ourselves. Self-belief is the most wanted trait in a human being and education leads us towards relying on ourselves, making us believe that we are ready to take up the world. Abdulghani, (2014) stated in his research of the importance of education that higher education can be broadly summarized as the third level education. It takes place at universities and further Education colleges and normally includes undergraduate and postgraduate study. Higher education imparts in-depth knowledge and understanding so as to advance the students to new frontiers of knowledge in different walks of life. It broadens the intellectual power of the individual within narrow specialization, but also gives a wider perspective of the world around.</w:t>
      </w:r>
    </w:p>
    <w:p w14:paraId="1157DB4E">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 Higher education in India has expanded rapidly over the past two decades. This growth has been mainly driven by private sector initiatives. There are genuine concerns about many of them being substandard and exploitative. The regulatory system has failed to maintain standards or check exploitation. Instead, it resulted in erecting formidable entry barriers that generate undesirable rents. Voluntary accreditation seems to have no takers from amongst private providers and apparently serves little purpose for any of its stakeholders. Higher education has historically included economic development as part of its core mission. The colleges and universities serving the region have allocated fiscal, physical and human resources and created entrepreneurship systems within the institutions to advance economic development (Bimal Anjum, 2013). </w:t>
      </w:r>
    </w:p>
    <w:p w14:paraId="72850996">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Educational loans scheme are scheme aimed at providing financial support from the banking system to deserving and merit students for pursuing higher education. The main emphasis is that every meritorious student, though poor, is provided an opportunity to pursue education with the financial support from the banking system with affordable terms and conditions. By this way, the deserving student can claim the opportunity to pursue higher education with sufficient financial support from commercial banks. The difference in the educational loan from other modes of loans is used for the purpose of education (Fredrick Nwabufo, 2024). </w:t>
      </w:r>
    </w:p>
    <w:p w14:paraId="74CDBFEB">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According to Fredrick, (2024), the Nigeria loan scheme is expected to provide easy access to higher education for poor students through interest-free loan, it is expected to be accessible to all students seeking higher education in all public institution of higher learning in Nigeria regardless of gender, religion, tribe, position, or disability of any kind. It aims to improve the aim of higher education in Nigeria, by reducing financial constraint. Asides the fact that the Nigeria students loan scheme is interest-free, students also get a long period of time for repaying which is two (2) after the completion of their National youth service corps (NYSC). That is the students need not make repayment at the time of study and few years after the compliment of the course. The other advantages of the educational loan are that it will facilitate the student without money to study his course and to fulfill his dream. The educational loan provides an honest support for the student by serving them to pay the university fees, tuition fees, hostel fees, etc. Most of the students wish to do prestigious courses like Management, Engineering, Medical, Information Technology, etc. But they get turned off by the course fees. Professional education is costly compared to other courses in Nigeria. However, these issues may be resolved through student’s educational loan scheme.</w:t>
      </w:r>
    </w:p>
    <w:p w14:paraId="1448811A">
      <w:pPr>
        <w:widowControl/>
        <w:jc w:val="left"/>
        <w:rPr>
          <w:rFonts w:ascii="Times New Roman" w:hAnsi="Times New Roman" w:eastAsia="Times New Roman" w:cs="Times New Roman"/>
          <w:sz w:val="24"/>
        </w:rPr>
      </w:pPr>
      <w:r>
        <w:rPr>
          <w:rFonts w:ascii="Times New Roman" w:hAnsi="Times New Roman" w:eastAsia="Times New Roman" w:cs="Times New Roman"/>
          <w:sz w:val="24"/>
        </w:rPr>
        <w:br w:type="page"/>
      </w:r>
      <w:r>
        <w:rPr>
          <w:rFonts w:ascii="Times New Roman" w:hAnsi="Times New Roman" w:eastAsia="Times New Roman" w:cs="Times New Roman"/>
          <w:sz w:val="24"/>
        </w:rPr>
        <w:t>1.</w:t>
      </w:r>
      <w:r>
        <w:rPr>
          <w:rFonts w:ascii="Times New Roman" w:hAnsi="Times New Roman" w:eastAsia="Times New Roman" w:cs="Times New Roman"/>
          <w:b/>
          <w:sz w:val="24"/>
        </w:rPr>
        <w:t>2 Statement of the Problem</w:t>
      </w:r>
    </w:p>
    <w:p w14:paraId="3C8D771F">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is no news that students drop out of school due to financial reasons, while some other students can’t get to further into higher education due to this same financial reason. There are series of fliers circulating online day-by-day, to contribute money for students who are at the edge of dropping out or who got admission into higher institution but can’t pay school fee due to financial constraints in Nigeria. The Nigeria student loan scheme introduced is a very key solution to this problem. Though, there have been whispers that it is not exactly what students need. It is on this note this researcher intend to look into the scheme and see what the problem is. Could it be that the loan does not seem easily accessible, or the criteria for acquiring it is high. </w:t>
      </w:r>
    </w:p>
    <w:p w14:paraId="1A1FAE57">
      <w:pPr>
        <w:pStyle w:val="2"/>
        <w:spacing w:before="0" w:line="480" w:lineRule="auto"/>
        <w:rPr>
          <w:rFonts w:ascii="Times New Roman" w:hAnsi="Times New Roman"/>
          <w:color w:val="auto"/>
          <w:sz w:val="24"/>
        </w:rPr>
      </w:pPr>
      <w:bookmarkStart w:id="9" w:name="_Toc170896405"/>
      <w:r>
        <w:rPr>
          <w:rFonts w:ascii="Times New Roman" w:hAnsi="Times New Roman"/>
          <w:color w:val="auto"/>
          <w:sz w:val="24"/>
        </w:rPr>
        <w:t>1.3 Objectives of the Study</w:t>
      </w:r>
      <w:bookmarkEnd w:id="9"/>
    </w:p>
    <w:p w14:paraId="4C6FFD6C">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The main objective of this study is to investigate the perception of Kwara State students towards Nigeria student’s loan scheme. Specifically, this study intend to:</w:t>
      </w:r>
    </w:p>
    <w:p w14:paraId="7F59EC73">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determine the perception of KWASU students towards the educational loan scheme;</w:t>
      </w:r>
    </w:p>
    <w:p w14:paraId="37D0FE46">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determine the perception of KWASU students towards the criteria for accessing the loan;</w:t>
      </w:r>
    </w:p>
    <w:p w14:paraId="67B79F11">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determine the level of awareness of the educational loan scheme by KWASU students;</w:t>
      </w:r>
    </w:p>
    <w:p w14:paraId="0A5E2EA3">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identify the benefits of the student loan scheme; and </w:t>
      </w:r>
    </w:p>
    <w:p w14:paraId="6BD42D17">
      <w:pPr>
        <w:pStyle w:val="14"/>
        <w:numPr>
          <w:ilvl w:val="0"/>
          <w:numId w:val="1"/>
        </w:numPr>
        <w:spacing w:line="480" w:lineRule="auto"/>
        <w:rPr>
          <w:rFonts w:ascii="Times New Roman" w:hAnsi="Times New Roman" w:eastAsia="Times New Roman" w:cs="Times New Roman"/>
          <w:sz w:val="24"/>
        </w:rPr>
      </w:pPr>
      <w:r>
        <w:rPr>
          <w:rFonts w:ascii="Times New Roman" w:hAnsi="Times New Roman" w:eastAsia="Times New Roman" w:cs="Times New Roman"/>
          <w:sz w:val="24"/>
        </w:rPr>
        <w:t>Investigate the challenges affecting the implementation of the students loan scheme.</w:t>
      </w:r>
      <w:r>
        <w:rPr>
          <w:rFonts w:ascii="Times New Roman" w:hAnsi="Times New Roman" w:eastAsia="Times New Roman" w:cs="Times New Roman"/>
          <w:sz w:val="24"/>
        </w:rPr>
        <w:br w:type="page"/>
      </w:r>
    </w:p>
    <w:p w14:paraId="7AA7BAD0">
      <w:pPr>
        <w:pStyle w:val="14"/>
        <w:numPr>
          <w:ilvl w:val="1"/>
          <w:numId w:val="2"/>
        </w:numPr>
        <w:spacing w:line="480" w:lineRule="auto"/>
        <w:outlineLvl w:val="0"/>
        <w:rPr>
          <w:rFonts w:ascii="Times New Roman" w:hAnsi="Times New Roman" w:cs="Times New Roman"/>
          <w:b/>
          <w:sz w:val="24"/>
        </w:rPr>
      </w:pPr>
      <w:bookmarkStart w:id="10" w:name="_Toc170896406"/>
      <w:r>
        <w:rPr>
          <w:rFonts w:ascii="Times New Roman" w:hAnsi="Times New Roman" w:cs="Times New Roman"/>
          <w:b/>
          <w:sz w:val="24"/>
        </w:rPr>
        <w:t>Research Questions</w:t>
      </w:r>
      <w:bookmarkEnd w:id="10"/>
    </w:p>
    <w:p w14:paraId="0FB6A7E4">
      <w:pPr>
        <w:spacing w:line="480" w:lineRule="auto"/>
        <w:rPr>
          <w:rFonts w:ascii="Times New Roman" w:hAnsi="Times New Roman" w:cs="Times New Roman"/>
          <w:sz w:val="24"/>
        </w:rPr>
      </w:pPr>
      <w:r>
        <w:rPr>
          <w:rFonts w:ascii="Times New Roman" w:hAnsi="Times New Roman" w:cs="Times New Roman"/>
          <w:sz w:val="24"/>
        </w:rPr>
        <w:t>The following research questions were constructed by the researcher as a guide to this study;</w:t>
      </w:r>
    </w:p>
    <w:p w14:paraId="6D537FB6">
      <w:pPr>
        <w:pStyle w:val="14"/>
        <w:numPr>
          <w:ilvl w:val="0"/>
          <w:numId w:val="3"/>
        </w:numPr>
        <w:spacing w:line="480" w:lineRule="auto"/>
        <w:rPr>
          <w:rFonts w:ascii="Times New Roman" w:hAnsi="Times New Roman" w:cs="Times New Roman"/>
          <w:sz w:val="24"/>
        </w:rPr>
      </w:pPr>
      <w:r>
        <w:rPr>
          <w:rFonts w:ascii="Times New Roman" w:hAnsi="Times New Roman" w:cs="Times New Roman"/>
          <w:sz w:val="24"/>
        </w:rPr>
        <w:t>What is the perception of KWASU students toward the loan scheme?</w:t>
      </w:r>
    </w:p>
    <w:p w14:paraId="37575790">
      <w:pPr>
        <w:pStyle w:val="14"/>
        <w:numPr>
          <w:ilvl w:val="0"/>
          <w:numId w:val="3"/>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Examine the perception of KWASU students towards the criteria for accessing the loan.</w:t>
      </w:r>
    </w:p>
    <w:p w14:paraId="2CC6FF43">
      <w:pPr>
        <w:pStyle w:val="14"/>
        <w:numPr>
          <w:ilvl w:val="0"/>
          <w:numId w:val="3"/>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Examine the level of awareness of the educational loan scheme by KWASU students.</w:t>
      </w:r>
    </w:p>
    <w:p w14:paraId="693B7FE9">
      <w:pPr>
        <w:pStyle w:val="14"/>
        <w:numPr>
          <w:ilvl w:val="0"/>
          <w:numId w:val="3"/>
        </w:numPr>
        <w:spacing w:line="480" w:lineRule="auto"/>
        <w:rPr>
          <w:rFonts w:ascii="Times New Roman" w:hAnsi="Times New Roman" w:cs="Times New Roman"/>
          <w:sz w:val="24"/>
        </w:rPr>
      </w:pPr>
      <w:r>
        <w:rPr>
          <w:rFonts w:ascii="Times New Roman" w:hAnsi="Times New Roman" w:eastAsia="Times New Roman" w:cs="Times New Roman"/>
          <w:sz w:val="24"/>
          <w:lang w:eastAsia="en-GB"/>
        </w:rPr>
        <w:t>How do KWASU students think the educational loan scheme will be beneficial to Nigeria students?</w:t>
      </w:r>
    </w:p>
    <w:p w14:paraId="2AA6EDEE">
      <w:pPr>
        <w:pStyle w:val="14"/>
        <w:numPr>
          <w:ilvl w:val="0"/>
          <w:numId w:val="3"/>
        </w:numPr>
        <w:spacing w:line="480" w:lineRule="auto"/>
        <w:rPr>
          <w:rFonts w:ascii="Times New Roman" w:hAnsi="Times New Roman" w:cs="Times New Roman"/>
          <w:sz w:val="24"/>
        </w:rPr>
      </w:pPr>
      <w:r>
        <w:rPr>
          <w:rFonts w:ascii="Times New Roman" w:hAnsi="Times New Roman" w:cs="Times New Roman"/>
          <w:sz w:val="24"/>
        </w:rPr>
        <w:t>What are the challenges affecting the implementation of the students loan scheme?</w:t>
      </w:r>
    </w:p>
    <w:p w14:paraId="61028698">
      <w:pPr>
        <w:pStyle w:val="2"/>
        <w:spacing w:before="0" w:line="480" w:lineRule="auto"/>
        <w:rPr>
          <w:rFonts w:ascii="Times New Roman" w:hAnsi="Times New Roman"/>
          <w:color w:val="auto"/>
          <w:sz w:val="24"/>
        </w:rPr>
      </w:pPr>
      <w:bookmarkStart w:id="11" w:name="_Toc170896407"/>
      <w:r>
        <w:rPr>
          <w:rFonts w:ascii="Times New Roman" w:hAnsi="Times New Roman"/>
          <w:color w:val="auto"/>
          <w:sz w:val="24"/>
        </w:rPr>
        <w:t>1.5 Scope of the Study</w:t>
      </w:r>
      <w:bookmarkEnd w:id="11"/>
    </w:p>
    <w:p w14:paraId="38F26BD5">
      <w:pPr>
        <w:spacing w:line="480" w:lineRule="auto"/>
        <w:ind w:firstLine="720"/>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This study will be narrowed down to examine the perception of Kwara State University students towards Nigeria students loan scheme. The study will be limited to Kwara State University students alone. The population of the study will comprise students of all levels in different faculties of the University. </w:t>
      </w:r>
    </w:p>
    <w:p w14:paraId="214288AB">
      <w:pPr>
        <w:pStyle w:val="2"/>
        <w:spacing w:before="0" w:line="480" w:lineRule="auto"/>
        <w:rPr>
          <w:rFonts w:ascii="Times New Roman" w:hAnsi="Times New Roman"/>
          <w:b w:val="0"/>
          <w:color w:val="auto"/>
          <w:sz w:val="24"/>
        </w:rPr>
      </w:pPr>
      <w:bookmarkStart w:id="12" w:name="_Toc170896408"/>
      <w:r>
        <w:rPr>
          <w:rFonts w:ascii="Times New Roman" w:hAnsi="Times New Roman"/>
          <w:color w:val="auto"/>
          <w:sz w:val="24"/>
        </w:rPr>
        <w:t>1.6 Significance of the Study</w:t>
      </w:r>
      <w:bookmarkEnd w:id="12"/>
    </w:p>
    <w:p w14:paraId="1081CCC2">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The findings of this study might be of benefit to the students, parents, researchers and the society at large. </w:t>
      </w:r>
    </w:p>
    <w:p w14:paraId="5E98F0A3">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The results of this study is hoped to make students know the importance of higher Education, to bring the loan scheme to the awareness of students that don’t know about it, thereby reducing the level of drop out due to financial constraints. </w:t>
      </w:r>
    </w:p>
    <w:p w14:paraId="2C5485F7">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Parents want the best for their children, and providing them with sound educational background is one way to make sure they have successful futures. This project which is geared towards creating awareness of the loan scheme and fixing the loop holes in the scheme, will help the less privileged parents give their children the better education they envisioned. </w:t>
      </w:r>
    </w:p>
    <w:p w14:paraId="41A42C06">
      <w:pPr>
        <w:spacing w:line="480" w:lineRule="auto"/>
        <w:rPr>
          <w:rFonts w:ascii="Times New Roman" w:hAnsi="Times New Roman" w:eastAsia="Times New Roman" w:cs="Times New Roman"/>
          <w:sz w:val="24"/>
          <w:lang w:eastAsia="en-GB"/>
        </w:rPr>
      </w:pPr>
      <w:r>
        <w:rPr>
          <w:rFonts w:ascii="Times New Roman" w:hAnsi="Times New Roman" w:cs="Times New Roman"/>
          <w:sz w:val="24"/>
        </w:rPr>
        <w:t>This study will be useful to researchers for further research in order to strengthen the weaknesses of the loan scheme. It will be useful to the committee disbursing the loan by pointing out the loop holes in the loan scheme and suggesting how to fill in this loop holes for better accessibility.</w:t>
      </w:r>
    </w:p>
    <w:p w14:paraId="5239AD1B">
      <w:pPr>
        <w:spacing w:line="480" w:lineRule="auto"/>
        <w:rPr>
          <w:rFonts w:ascii="Times New Roman" w:hAnsi="Times New Roman" w:cs="Times New Roman"/>
          <w:sz w:val="24"/>
        </w:rPr>
      </w:pPr>
      <w:r>
        <w:rPr>
          <w:rFonts w:ascii="Times New Roman" w:hAnsi="Times New Roman" w:cs="Times New Roman"/>
          <w:sz w:val="24"/>
        </w:rPr>
        <w:t>To the society, Higher Education is very important in the society as it engage students in activities that helps students’ reason outside their comfort zones and acquire problem solving scheme. It helps students prepare themselves for the career they choose and create opportunities for better employment, it also helps students to gain exposure to other culture thereby gaining more understanding of the world and the society at large.</w:t>
      </w:r>
    </w:p>
    <w:p w14:paraId="09B2D73A">
      <w:pPr>
        <w:pStyle w:val="2"/>
        <w:spacing w:before="0" w:line="480" w:lineRule="auto"/>
        <w:jc w:val="both"/>
        <w:rPr>
          <w:rFonts w:ascii="Times New Roman" w:hAnsi="Times New Roman"/>
          <w:b w:val="0"/>
          <w:color w:val="auto"/>
          <w:sz w:val="24"/>
        </w:rPr>
      </w:pPr>
      <w:bookmarkStart w:id="13" w:name="_Toc170896409"/>
      <w:r>
        <w:rPr>
          <w:rFonts w:ascii="Times New Roman" w:hAnsi="Times New Roman"/>
          <w:color w:val="auto"/>
          <w:sz w:val="24"/>
        </w:rPr>
        <w:t>1.7 Operational Definition of Terms</w:t>
      </w:r>
      <w:bookmarkEnd w:id="13"/>
    </w:p>
    <w:p w14:paraId="2CF78D8F">
      <w:pPr>
        <w:spacing w:line="480" w:lineRule="auto"/>
        <w:rPr>
          <w:rFonts w:ascii="Times New Roman" w:hAnsi="Times New Roman" w:cs="Times New Roman"/>
          <w:b/>
          <w:sz w:val="24"/>
        </w:rPr>
      </w:pPr>
      <w:r>
        <w:rPr>
          <w:rFonts w:ascii="Times New Roman" w:hAnsi="Times New Roman" w:cs="Times New Roman"/>
          <w:b/>
          <w:sz w:val="24"/>
        </w:rPr>
        <w:t xml:space="preserve">Higher Education: </w:t>
      </w:r>
      <w:r>
        <w:rPr>
          <w:rFonts w:ascii="Times New Roman" w:hAnsi="Times New Roman" w:cs="Times New Roman"/>
          <w:sz w:val="24"/>
        </w:rPr>
        <w:t>This is tertiary education leading to the award of an academic degree</w:t>
      </w:r>
    </w:p>
    <w:p w14:paraId="2FFE7759">
      <w:pPr>
        <w:spacing w:line="480" w:lineRule="auto"/>
        <w:rPr>
          <w:rFonts w:ascii="Times New Roman" w:hAnsi="Times New Roman" w:cs="Times New Roman"/>
          <w:sz w:val="24"/>
        </w:rPr>
      </w:pPr>
      <w:r>
        <w:rPr>
          <w:rFonts w:ascii="Times New Roman" w:hAnsi="Times New Roman" w:cs="Times New Roman"/>
          <w:b/>
          <w:sz w:val="24"/>
        </w:rPr>
        <w:t xml:space="preserve">Loan Scheme: </w:t>
      </w:r>
      <w:r>
        <w:rPr>
          <w:rFonts w:ascii="Times New Roman" w:hAnsi="Times New Roman" w:cs="Times New Roman"/>
          <w:sz w:val="24"/>
        </w:rPr>
        <w:t>means a loan granted to</w:t>
      </w:r>
      <w:r>
        <w:rPr>
          <w:rFonts w:ascii="Times New Roman" w:hAnsi="Times New Roman" w:cs="Times New Roman"/>
          <w:b/>
          <w:sz w:val="24"/>
        </w:rPr>
        <w:t xml:space="preserve"> </w:t>
      </w:r>
      <w:r>
        <w:rPr>
          <w:rFonts w:ascii="Times New Roman" w:hAnsi="Times New Roman" w:cs="Times New Roman"/>
          <w:sz w:val="24"/>
        </w:rPr>
        <w:t xml:space="preserve">a beneficiary aimed at financing a set of pre-identifiable projects </w:t>
      </w:r>
    </w:p>
    <w:p w14:paraId="207A6A97">
      <w:pPr>
        <w:widowControl/>
        <w:jc w:val="left"/>
        <w:rPr>
          <w:rFonts w:ascii="Times New Roman" w:hAnsi="Times New Roman" w:cs="Times New Roman"/>
          <w:b/>
          <w:sz w:val="24"/>
        </w:rPr>
      </w:pPr>
      <w:r>
        <w:rPr>
          <w:rFonts w:ascii="Times New Roman" w:hAnsi="Times New Roman" w:cs="Times New Roman"/>
          <w:b/>
          <w:sz w:val="24"/>
        </w:rPr>
        <w:br w:type="page"/>
      </w:r>
    </w:p>
    <w:p w14:paraId="44C4E8FA">
      <w:pPr>
        <w:pStyle w:val="2"/>
        <w:spacing w:before="0" w:line="480" w:lineRule="auto"/>
        <w:jc w:val="center"/>
        <w:rPr>
          <w:rFonts w:ascii="Times New Roman" w:hAnsi="Times New Roman"/>
          <w:b w:val="0"/>
          <w:color w:val="auto"/>
          <w:sz w:val="24"/>
        </w:rPr>
      </w:pPr>
      <w:bookmarkStart w:id="14" w:name="_Toc170896410"/>
      <w:r>
        <w:rPr>
          <w:rFonts w:ascii="Times New Roman" w:hAnsi="Times New Roman"/>
          <w:color w:val="auto"/>
          <w:sz w:val="24"/>
        </w:rPr>
        <w:t>CHAPTER TWO</w:t>
      </w:r>
      <w:bookmarkEnd w:id="14"/>
    </w:p>
    <w:p w14:paraId="512A9044">
      <w:pPr>
        <w:pStyle w:val="2"/>
        <w:spacing w:before="0" w:line="480" w:lineRule="auto"/>
        <w:jc w:val="center"/>
        <w:rPr>
          <w:rFonts w:ascii="Times New Roman" w:hAnsi="Times New Roman"/>
          <w:b w:val="0"/>
          <w:color w:val="auto"/>
          <w:sz w:val="24"/>
        </w:rPr>
      </w:pPr>
      <w:bookmarkStart w:id="15" w:name="_Toc170896411"/>
      <w:r>
        <w:rPr>
          <w:rFonts w:ascii="Times New Roman" w:hAnsi="Times New Roman"/>
          <w:color w:val="auto"/>
          <w:sz w:val="24"/>
        </w:rPr>
        <w:t>LITERATURE REVIEW</w:t>
      </w:r>
      <w:bookmarkEnd w:id="15"/>
    </w:p>
    <w:p w14:paraId="2A8B404E">
      <w:pPr>
        <w:pStyle w:val="14"/>
        <w:numPr>
          <w:ilvl w:val="1"/>
          <w:numId w:val="4"/>
        </w:numPr>
        <w:spacing w:line="480" w:lineRule="auto"/>
        <w:outlineLvl w:val="0"/>
        <w:rPr>
          <w:rFonts w:ascii="Times New Roman" w:hAnsi="Times New Roman" w:cs="Times New Roman"/>
          <w:b/>
          <w:bCs/>
          <w:sz w:val="24"/>
        </w:rPr>
      </w:pPr>
      <w:bookmarkStart w:id="16" w:name="_Toc170896412"/>
      <w:r>
        <w:rPr>
          <w:rFonts w:ascii="Times New Roman" w:hAnsi="Times New Roman" w:cs="Times New Roman"/>
          <w:b/>
          <w:bCs/>
          <w:sz w:val="24"/>
        </w:rPr>
        <w:t>Introduction</w:t>
      </w:r>
      <w:bookmarkEnd w:id="16"/>
      <w:r>
        <w:rPr>
          <w:rFonts w:ascii="Times New Roman" w:hAnsi="Times New Roman" w:cs="Times New Roman"/>
          <w:b/>
          <w:bCs/>
          <w:sz w:val="24"/>
        </w:rPr>
        <w:t xml:space="preserve"> </w:t>
      </w:r>
    </w:p>
    <w:p w14:paraId="3CA38B35">
      <w:pPr>
        <w:spacing w:line="480" w:lineRule="auto"/>
        <w:rPr>
          <w:rFonts w:ascii="Times New Roman" w:hAnsi="Times New Roman" w:cs="Times New Roman"/>
          <w:sz w:val="24"/>
        </w:rPr>
      </w:pPr>
      <w:r>
        <w:rPr>
          <w:rFonts w:ascii="Times New Roman" w:hAnsi="Times New Roman" w:cs="Times New Roman"/>
          <w:sz w:val="24"/>
        </w:rPr>
        <w:t>This chapter deals with the review available literature on this study under the following sub-headings;</w:t>
      </w:r>
    </w:p>
    <w:p w14:paraId="3832FB17">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Perception of student towards the educational loan scheme </w:t>
      </w:r>
    </w:p>
    <w:p w14:paraId="08BB2E81">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Criteria for Accessing Students loan </w:t>
      </w:r>
    </w:p>
    <w:p w14:paraId="76010EE9">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Awareness of Educational loan scheme </w:t>
      </w:r>
    </w:p>
    <w:p w14:paraId="7ACF2CE0">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Benefit of the Students Loan Implementation in Nigeria</w:t>
      </w:r>
    </w:p>
    <w:p w14:paraId="4D89F926">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Challenges to the implementation of the Student Loan Act  </w:t>
      </w:r>
    </w:p>
    <w:p w14:paraId="37E6FF18">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Appraisal of the Reviewed Literature </w:t>
      </w:r>
    </w:p>
    <w:p w14:paraId="1204B0FA">
      <w:pPr>
        <w:pStyle w:val="2"/>
        <w:spacing w:before="0" w:line="480" w:lineRule="auto"/>
        <w:rPr>
          <w:rFonts w:ascii="Times New Roman" w:hAnsi="Times New Roman"/>
          <w:b w:val="0"/>
          <w:bCs w:val="0"/>
          <w:color w:val="auto"/>
          <w:sz w:val="24"/>
        </w:rPr>
      </w:pPr>
      <w:bookmarkStart w:id="17" w:name="_Toc170896413"/>
      <w:r>
        <w:rPr>
          <w:rFonts w:ascii="Times New Roman" w:hAnsi="Times New Roman"/>
          <w:color w:val="auto"/>
          <w:sz w:val="24"/>
        </w:rPr>
        <w:t>2.2</w:t>
      </w:r>
      <w:r>
        <w:rPr>
          <w:rFonts w:ascii="Times New Roman" w:hAnsi="Times New Roman"/>
          <w:color w:val="auto"/>
          <w:sz w:val="24"/>
        </w:rPr>
        <w:tab/>
      </w:r>
      <w:r>
        <w:rPr>
          <w:rFonts w:ascii="Times New Roman" w:hAnsi="Times New Roman"/>
          <w:color w:val="auto"/>
          <w:sz w:val="24"/>
        </w:rPr>
        <w:t xml:space="preserve">Perception of student towards the </w:t>
      </w:r>
      <w:r>
        <w:rPr>
          <w:rFonts w:ascii="Times New Roman" w:hAnsi="Times New Roman"/>
          <w:b w:val="0"/>
          <w:bCs w:val="0"/>
          <w:color w:val="auto"/>
          <w:sz w:val="24"/>
        </w:rPr>
        <w:t>educational</w:t>
      </w:r>
      <w:r>
        <w:rPr>
          <w:rFonts w:ascii="Times New Roman" w:hAnsi="Times New Roman"/>
          <w:color w:val="auto"/>
          <w:sz w:val="24"/>
        </w:rPr>
        <w:t xml:space="preserve"> loan scheme</w:t>
      </w:r>
      <w:bookmarkEnd w:id="17"/>
      <w:r>
        <w:rPr>
          <w:rFonts w:ascii="Times New Roman" w:hAnsi="Times New Roman"/>
          <w:color w:val="auto"/>
          <w:sz w:val="24"/>
        </w:rPr>
        <w:t xml:space="preserve"> </w:t>
      </w:r>
    </w:p>
    <w:p w14:paraId="590619EC">
      <w:pPr>
        <w:spacing w:line="480" w:lineRule="auto"/>
        <w:rPr>
          <w:rFonts w:ascii="Times New Roman" w:hAnsi="Times New Roman" w:cs="Times New Roman"/>
          <w:sz w:val="24"/>
        </w:rPr>
      </w:pPr>
      <w:r>
        <w:rPr>
          <w:rFonts w:ascii="Times New Roman" w:hAnsi="Times New Roman" w:cs="Times New Roman"/>
          <w:sz w:val="24"/>
        </w:rPr>
        <w:t>Higher education is the educational stage following post-basic education. It includes a variety of institutions, including as universities, polytechnics, colleges of education, and specialized centers. Higher education has been recognized as a potent tool for developing human capital, which affects the course of economic development (National Policy on Education, 2013). Higher education plays a role in training skilled personnel who can implement new technology and use innovative approaches to develop cost-efficient and successful firms and institutions (Oketch, 2016). However, a vital requirement for higher education's great potential in economic change is a framework of scaring financing to provide students with quality training and solid professional prospects (World Bank, 2010).</w:t>
      </w:r>
    </w:p>
    <w:p w14:paraId="5A1D47ED">
      <w:pPr>
        <w:spacing w:line="480" w:lineRule="auto"/>
        <w:rPr>
          <w:rFonts w:ascii="Times New Roman" w:hAnsi="Times New Roman" w:cs="Times New Roman"/>
          <w:sz w:val="24"/>
        </w:rPr>
      </w:pPr>
      <w:r>
        <w:rPr>
          <w:rFonts w:ascii="Times New Roman" w:hAnsi="Times New Roman" w:cs="Times New Roman"/>
          <w:sz w:val="24"/>
        </w:rPr>
        <w:t>In sub-Saharan Africa, higher-level institutions are confronted with the difficult policy task of finding a balance between the need to enhance educational standards and the growing societal demand for access to education, as noted by the World Bank (2010). Additionally, these institutions also face the issue of dealing with the rising cost per student, as highlighted by Johnston (2003). Various nations address the challenge of making higher education accessible and financially sustainable in different manners. Various measures are being implemented to tackle the financial difficulties in higher education, such as the enactment of laws and the development of plans. These measures include government and research grants, personal income of students and their families, loans, tax benefits, corporate investment strategies, and philanthropic donations. Public subsidies to higher education in numerous nations are provided through direct contributions from the government to high education institutions. This enables these schools to admit students at fees that are far lower than the economic expenses (Asian Development Bank, 2009).</w:t>
      </w:r>
    </w:p>
    <w:p w14:paraId="783E09D6">
      <w:pPr>
        <w:spacing w:line="480" w:lineRule="auto"/>
        <w:rPr>
          <w:rFonts w:ascii="Times New Roman" w:hAnsi="Times New Roman" w:cs="Times New Roman"/>
          <w:sz w:val="24"/>
        </w:rPr>
      </w:pPr>
      <w:r>
        <w:rPr>
          <w:rFonts w:ascii="Times New Roman" w:hAnsi="Times New Roman" w:cs="Times New Roman"/>
          <w:sz w:val="24"/>
        </w:rPr>
        <w:t xml:space="preserve">The growth of the higher education sector, together with competition from other government services, in a situation of limited budget, has necessitated the requirement for extra and different resources (Dente and Piraino, 2014). The increasing tuition fees have raised worries about the impact on college and university accessibility, particularly for individuals from medium and low-income households (Finnie, 2010). </w:t>
      </w:r>
    </w:p>
    <w:p w14:paraId="2C39A867">
      <w:pPr>
        <w:spacing w:line="480" w:lineRule="auto"/>
        <w:rPr>
          <w:rFonts w:ascii="Times New Roman" w:hAnsi="Times New Roman" w:cs="Times New Roman"/>
          <w:sz w:val="24"/>
        </w:rPr>
      </w:pPr>
      <w:r>
        <w:rPr>
          <w:rFonts w:ascii="Times New Roman" w:hAnsi="Times New Roman" w:cs="Times New Roman"/>
          <w:sz w:val="24"/>
        </w:rPr>
        <w:t xml:space="preserve">The tertiary education system in Nigeria encounters several obstacles, most notably in the area of money, which has a substantial effect on both the quality and accessibility of education. Typically, the budgetary allocations for education in underdeveloped nations, such as Nigeria, fall significantly short of UNESCO's recommendation of allocating 15-20% of the budget to education. Despite receiving the fourth highest allocation in the 2023 budget, amounting to NGN 1.08 trillion (USD 2.4 billion), which is 5.3% of the entire budget and 16% higher than the previous year's allocation, education funding still falls short of the recommended amount by UNESCO. This results in inadequate infrastructure, an obsolete curriculum, and non-remuneration of lecturers. From 2021 to 2023, tertiary institutions had prolonged closures lasting over 10 months due to frequent strike actions initiated by the Academic Staff Union of Universities. </w:t>
      </w:r>
    </w:p>
    <w:p w14:paraId="1D26E1BB">
      <w:pPr>
        <w:spacing w:line="480" w:lineRule="auto"/>
        <w:rPr>
          <w:rFonts w:ascii="Times New Roman" w:hAnsi="Times New Roman" w:cs="Times New Roman"/>
          <w:sz w:val="24"/>
        </w:rPr>
      </w:pPr>
      <w:r>
        <w:rPr>
          <w:rFonts w:ascii="Times New Roman" w:hAnsi="Times New Roman" w:cs="Times New Roman"/>
          <w:sz w:val="24"/>
        </w:rPr>
        <w:t>Presently, fewer than 50% of the 1.5 million candidates who undertake the Unified Tertiary Matriculation Examination (UTME), the entrance examinations for tertiary institutions, are granted admission. Although several candidates do not meet the minimum score requirement, numerous public institutions have a shortage of resources and infrastructure to accommodate all candidates. Out of the 1.8 million candidates that took the UTME in 2019, only 612,098, or 33.7%, were granted admission. According to data from the examination administering agency, the Joint Admission and Matriculation Board, there were 367,499 applicants for the college of medicine, which had 43,717 available positions. In the social sciences, there were 231,907 applicants for the 93,277 available positions, which was the same for other faculties.</w:t>
      </w:r>
    </w:p>
    <w:p w14:paraId="5E4B13AB">
      <w:pPr>
        <w:spacing w:line="480" w:lineRule="auto"/>
        <w:rPr>
          <w:rFonts w:ascii="Times New Roman" w:hAnsi="Times New Roman" w:cs="Times New Roman"/>
          <w:sz w:val="24"/>
        </w:rPr>
      </w:pPr>
      <w:r>
        <w:rPr>
          <w:rFonts w:ascii="Times New Roman" w:hAnsi="Times New Roman" w:cs="Times New Roman"/>
          <w:sz w:val="24"/>
        </w:rPr>
        <w:t>According to a 2019 study conducted by the Nigerian Universities Commission (NUC), over 94 percent of Nigerian undergraduates enrolled in public universities. Out of these, federal institutions accounted for 65 percent of the student enrollment, while state universities accounted for 29 percent. Private universities were attended by the remaining 6 percent of undergraduates. Since the 1980s, the Academic Staff Union of Universities (ASUU), a union representing Nigerian academics hired by the Federal Government, has regularly engaged in strikes that have significantly interrupted the academic schedule and impacted the lives of students. In 2022, ASUU initiated an eight-month strike, marking its 16th strike in a span of 23 years. The purpose of the strike was to express dissatisfaction with the government's inability to disburse funds that were designated for the regeneration of universities, as outlined in a 2009 agreement.</w:t>
      </w:r>
    </w:p>
    <w:p w14:paraId="6D099677">
      <w:pPr>
        <w:spacing w:line="480" w:lineRule="auto"/>
        <w:rPr>
          <w:rFonts w:ascii="Times New Roman" w:hAnsi="Times New Roman" w:cs="Times New Roman"/>
          <w:sz w:val="24"/>
        </w:rPr>
      </w:pPr>
      <w:r>
        <w:rPr>
          <w:rFonts w:ascii="Times New Roman" w:hAnsi="Times New Roman" w:cs="Times New Roman"/>
          <w:sz w:val="24"/>
        </w:rPr>
        <w:t>ASUU's concerns highlight the problem of inadequate salary for professors, especially at the highest income level. According to Onda (2021), Nigerian university professors receive a monthly wage of NGN 416,000, which renders the academic profession unappealing to highly skilled individuals. In 2017, the Executive Secretary of the Tertiary Education Trust Fund (TETFUND) voiced discontentment over research proposals from universities, highlighting a substantial deficiency in the quality of these submissions. More than 90 percent of the proposals were declared inadequate and ineligible for funding. This underscores the consequences of insufficient compensation on the workforce in academia.</w:t>
      </w:r>
    </w:p>
    <w:p w14:paraId="69FED5B5">
      <w:pPr>
        <w:spacing w:line="480" w:lineRule="auto"/>
        <w:rPr>
          <w:rFonts w:ascii="Times New Roman" w:hAnsi="Times New Roman" w:cs="Times New Roman"/>
          <w:sz w:val="24"/>
        </w:rPr>
      </w:pPr>
      <w:r>
        <w:rPr>
          <w:rFonts w:ascii="Times New Roman" w:hAnsi="Times New Roman" w:cs="Times New Roman"/>
          <w:sz w:val="24"/>
        </w:rPr>
        <w:t xml:space="preserve">Insufficient funding for public universities leads to the degradation of infrastructure. The students are subjected to poor living conditions, which include overcrowded hostel rooms, inadequate toilet facilities, infestations of bedbugs, and a shortage of lecture spaces and laboratories (Ojo et al., 2023). These problems have had a negative effect on the standard of higher education in Nigeria, resulting in a decline in the ability of graduates to secure employment and prompting demands for increased government financing and enhanced financial assistance for students. </w:t>
      </w:r>
    </w:p>
    <w:p w14:paraId="55A4C7E3">
      <w:pPr>
        <w:spacing w:line="480" w:lineRule="auto"/>
        <w:rPr>
          <w:rFonts w:ascii="Times New Roman" w:hAnsi="Times New Roman" w:cs="Times New Roman"/>
          <w:sz w:val="24"/>
        </w:rPr>
      </w:pPr>
      <w:r>
        <w:rPr>
          <w:rFonts w:ascii="Times New Roman" w:hAnsi="Times New Roman" w:cs="Times New Roman"/>
          <w:sz w:val="24"/>
        </w:rPr>
        <w:t>As stated by the University World News (2018), the main responsibility of a higher education institution is to engage in research, foster innovation, and strive for continuous improvement in academic quality. Higher education institutions are hindered by a significant, even critical, lack of financial resources. Under funding leads to deteriorated infrastructure and a shortage of lecturers. The funding strategies employed by universities should be designed to ensure long-term viability and environmental responsibility.</w:t>
      </w:r>
    </w:p>
    <w:p w14:paraId="775A8458">
      <w:pPr>
        <w:spacing w:line="480" w:lineRule="auto"/>
        <w:rPr>
          <w:rFonts w:ascii="Times New Roman" w:hAnsi="Times New Roman" w:cs="Times New Roman"/>
          <w:sz w:val="24"/>
        </w:rPr>
      </w:pPr>
      <w:r>
        <w:rPr>
          <w:rFonts w:ascii="Times New Roman" w:hAnsi="Times New Roman" w:cs="Times New Roman"/>
          <w:sz w:val="24"/>
        </w:rPr>
        <w:t>University funding is a crucial matter for national governments, as it allows them to exert influence over academic institutions and tackle important policy matters. The objective of the Federal Government in Nigeria, as outlined in the National Policy on Education (2013), is to ensure that education is accessible to all citizens at every level, with enough financial support from several sources. Although undergraduate tuition is provided at no cost in federal universities, students are accountable for paying for numerous additional charges, including as registration costs, sports fees, library fees, hostel maintenance fees, and laboratory expenses.</w:t>
      </w:r>
    </w:p>
    <w:p w14:paraId="4379BA68">
      <w:pPr>
        <w:spacing w:line="480" w:lineRule="auto"/>
        <w:rPr>
          <w:rFonts w:ascii="Times New Roman" w:hAnsi="Times New Roman" w:cs="Times New Roman"/>
          <w:sz w:val="24"/>
        </w:rPr>
      </w:pPr>
      <w:r>
        <w:rPr>
          <w:rFonts w:ascii="Times New Roman" w:hAnsi="Times New Roman" w:cs="Times New Roman"/>
          <w:sz w:val="24"/>
        </w:rPr>
        <w:t>In the past, the Federal Government (FG) allocated block grants to universities via the National Universities Commission (NUC). The grants were classified into two main components: capital and recurrent. Recurrent grants were further subdivided into Overhead and Personnel costs. At present, institutions get funding through legislative appropriation from the National Assembly, based on proposals and assessments made by several ministries and committees. The majority of the budget allotted to universities is mostly designated for staff expenditures. In the 2023 budget, the University of Ibadan was allocated NGN18.3 billion, with 95 percent of the funds designated for staff expenses. Just 3.5 percent of the budget was designated for capital expenditures, while the remaining 1.5 percent was used to cover overhead costs.</w:t>
      </w:r>
    </w:p>
    <w:p w14:paraId="6A3674DF">
      <w:pPr>
        <w:spacing w:line="480" w:lineRule="auto"/>
        <w:ind w:firstLine="720"/>
        <w:rPr>
          <w:rFonts w:ascii="Times New Roman" w:hAnsi="Times New Roman" w:cs="Times New Roman"/>
          <w:sz w:val="24"/>
        </w:rPr>
      </w:pPr>
    </w:p>
    <w:p w14:paraId="4489C850">
      <w:pPr>
        <w:spacing w:line="480" w:lineRule="auto"/>
        <w:rPr>
          <w:rFonts w:ascii="Times New Roman" w:hAnsi="Times New Roman" w:cs="Times New Roman"/>
          <w:sz w:val="24"/>
        </w:rPr>
      </w:pPr>
      <w:r>
        <w:rPr>
          <w:rFonts w:ascii="Times New Roman" w:hAnsi="Times New Roman" w:cs="Times New Roman"/>
          <w:sz w:val="24"/>
        </w:rPr>
        <w:t>The Tertiary Education Trust Fund (TETFUND) plays a vital role in financing public universities. The organization functions as an intervention agency, principally financed by a two percent education tax on firms' profits in Nigeria. Its main objective is to improve the tertiary education system by providing funds for capital projects, research, staff development, and infrastructure enhancement. According to TETFUND (2023) Universities were allocated NGN1.1 billion each, Polytechnics received NGN699 million each, and Colleges of Education were granted NGN800 million each. In addition to government money, which is the main source of finance, federal universities also earn income via student fees, investment returns, and endowments.</w:t>
      </w:r>
    </w:p>
    <w:p w14:paraId="1E6FD5D2">
      <w:pPr>
        <w:spacing w:line="480" w:lineRule="auto"/>
        <w:rPr>
          <w:rFonts w:ascii="Times New Roman" w:hAnsi="Times New Roman" w:cs="Times New Roman"/>
          <w:sz w:val="24"/>
        </w:rPr>
      </w:pPr>
      <w:r>
        <w:rPr>
          <w:rFonts w:ascii="Times New Roman" w:hAnsi="Times New Roman" w:cs="Times New Roman"/>
          <w:sz w:val="24"/>
        </w:rPr>
        <w:t xml:space="preserve">Tuition-free university education might be regarded as unfavorable from a fiscal policy perspective. This is due to the fact that it primarily advantages a privileged subset of individuals in comparison to the overall population, while substantial expenses are borne by an additional population of taxpayers. In addition, a significant number of students who have the financial means to pursue higher education usually come from households with middle to upper-income levels. This collective enrolls in public colleges without having to pay tuition fees, as the expenses are covered by taxes contributed by those with lesser incomes across the nation (Kivati, 2017). </w:t>
      </w:r>
    </w:p>
    <w:p w14:paraId="436A9096">
      <w:pPr>
        <w:pStyle w:val="2"/>
        <w:spacing w:before="0" w:line="480" w:lineRule="auto"/>
        <w:rPr>
          <w:rFonts w:ascii="Times New Roman" w:hAnsi="Times New Roman"/>
          <w:b w:val="0"/>
          <w:bCs w:val="0"/>
          <w:color w:val="auto"/>
          <w:sz w:val="24"/>
        </w:rPr>
      </w:pPr>
      <w:bookmarkStart w:id="18" w:name="_Toc170896414"/>
      <w:r>
        <w:rPr>
          <w:rFonts w:ascii="Times New Roman" w:hAnsi="Times New Roman"/>
          <w:color w:val="auto"/>
          <w:sz w:val="24"/>
        </w:rPr>
        <w:t>2.2.1</w:t>
      </w:r>
      <w:r>
        <w:rPr>
          <w:rFonts w:ascii="Times New Roman" w:hAnsi="Times New Roman"/>
          <w:color w:val="auto"/>
          <w:sz w:val="24"/>
        </w:rPr>
        <w:tab/>
      </w:r>
      <w:r>
        <w:rPr>
          <w:rFonts w:ascii="Times New Roman" w:hAnsi="Times New Roman"/>
          <w:color w:val="auto"/>
          <w:sz w:val="24"/>
        </w:rPr>
        <w:t>Concept of Students Loans scheme</w:t>
      </w:r>
      <w:bookmarkEnd w:id="18"/>
    </w:p>
    <w:p w14:paraId="1D3F679A">
      <w:pPr>
        <w:spacing w:line="480" w:lineRule="auto"/>
        <w:rPr>
          <w:rFonts w:ascii="Times New Roman" w:hAnsi="Times New Roman" w:cs="Times New Roman"/>
          <w:sz w:val="24"/>
        </w:rPr>
      </w:pPr>
      <w:r>
        <w:rPr>
          <w:rFonts w:ascii="Times New Roman" w:hAnsi="Times New Roman" w:cs="Times New Roman"/>
          <w:sz w:val="24"/>
        </w:rPr>
        <w:t xml:space="preserve">The student loan scheme is an organized system that makes it possible for tertiary institutions to finance their education through loan facilities that will be repaid after graduation in Nigeria. Students loan is a financial facility that higher institutions access to finance their education and after completion repay the loans to the financial institutions. Students' loans are financial service facilities that students in tertiary institutions can access to sponsor their education and after completion pay back the facilities (Ogunode et al., 2023). </w:t>
      </w:r>
    </w:p>
    <w:p w14:paraId="07D21FA2">
      <w:pPr>
        <w:spacing w:line="480" w:lineRule="auto"/>
        <w:rPr>
          <w:rFonts w:ascii="Times New Roman" w:hAnsi="Times New Roman" w:cs="Times New Roman"/>
          <w:sz w:val="24"/>
        </w:rPr>
      </w:pPr>
      <w:r>
        <w:rPr>
          <w:rFonts w:ascii="Times New Roman" w:hAnsi="Times New Roman" w:cs="Times New Roman"/>
          <w:sz w:val="24"/>
        </w:rPr>
        <w:t>Tertiary institutions student loan scheme is a global program with objectives of increasing accessing to tertiary education. The student loans are common forms of financial aid that help students cover the costs of their education. They typically involve borrowing money for tuition fee, books, living expenses, and miscellaneous expenditures. These loans are usually repaid with interest after the student completes their education or when they enter the workforce (Nganga, 2016)</w:t>
      </w:r>
    </w:p>
    <w:p w14:paraId="4721128D">
      <w:pPr>
        <w:spacing w:line="480" w:lineRule="auto"/>
        <w:rPr>
          <w:rFonts w:ascii="Times New Roman" w:hAnsi="Times New Roman" w:cs="Times New Roman"/>
          <w:sz w:val="24"/>
        </w:rPr>
      </w:pPr>
      <w:r>
        <w:rPr>
          <w:rFonts w:ascii="Times New Roman" w:hAnsi="Times New Roman" w:cs="Times New Roman"/>
          <w:sz w:val="24"/>
        </w:rPr>
        <w:t xml:space="preserve">There are different reasons for resorting to student loan. Government funded student loan scheme has multiple benefits ranging from easing the pressure on government budget to helping the students to study now and pay later after graduating and getting a gainful employment as a graduate as well as reducing the pressure on the family and public funds (Ogunode, et al, 2020). </w:t>
      </w:r>
    </w:p>
    <w:p w14:paraId="2851523D">
      <w:pPr>
        <w:spacing w:line="480" w:lineRule="auto"/>
        <w:rPr>
          <w:rFonts w:ascii="Times New Roman" w:hAnsi="Times New Roman" w:cs="Times New Roman"/>
          <w:sz w:val="24"/>
        </w:rPr>
      </w:pPr>
      <w:r>
        <w:rPr>
          <w:rFonts w:ascii="Times New Roman" w:hAnsi="Times New Roman" w:cs="Times New Roman"/>
          <w:sz w:val="24"/>
        </w:rPr>
        <w:t>Apart from the above reason, student loan schemes were introduced in African countries to cut the cost in public expenditure on higher education and transfer the costs to the major beneficiaries; enhance the quality of higher education to measure up with global best practices and make tertiary education more efficient and accessible to all (Ismail et al. 2010). There is no denying the fact that student loan schemes in Africa is being faced with several challenges which at the end affect adversely the noble intention for instituting the scheme; but if strategically and effectively implemented, the scheme remains the most viable and sustainable system of student financing (Kossey and Ishengoma, 2014).</w:t>
      </w:r>
    </w:p>
    <w:p w14:paraId="5FA26DA6">
      <w:pPr>
        <w:spacing w:line="480" w:lineRule="auto"/>
        <w:rPr>
          <w:rFonts w:ascii="Times New Roman" w:hAnsi="Times New Roman" w:cs="Times New Roman"/>
          <w:sz w:val="24"/>
        </w:rPr>
      </w:pPr>
    </w:p>
    <w:p w14:paraId="46387B47">
      <w:pPr>
        <w:spacing w:line="480" w:lineRule="auto"/>
        <w:rPr>
          <w:rFonts w:ascii="Times New Roman" w:hAnsi="Times New Roman" w:cs="Times New Roman"/>
          <w:sz w:val="24"/>
        </w:rPr>
      </w:pPr>
      <w:r>
        <w:rPr>
          <w:rFonts w:ascii="Times New Roman" w:hAnsi="Times New Roman" w:cs="Times New Roman"/>
          <w:sz w:val="24"/>
        </w:rPr>
        <w:t>All over the world, governments are concerned with how to finance their educational systems in the mist of scarce resources. As put forward by World Bank (2010), tertiary education has spelled out the case for knowledge- intensive growth and funding these institutions will become increasingly difficult in the years ahead as school enrolment continues to rise. Each country therefore, devised a unique approach to higher education development that enables it to meet their existing and expected challenges. The Institute for Higher Education Policy (2009) identifies a combination of the different strategies. The key among them cited include government and research grants, student/family personal income, loans, tax incentives, corporate investment strategies, and philanthropic gifts. In many countries, student loan programmes are an appropriate option for cost sharing (Asian Development Bank, 2009).</w:t>
      </w:r>
    </w:p>
    <w:p w14:paraId="1F075D24">
      <w:pPr>
        <w:spacing w:line="480" w:lineRule="auto"/>
        <w:rPr>
          <w:rFonts w:ascii="Times New Roman" w:hAnsi="Times New Roman" w:cs="Times New Roman"/>
          <w:sz w:val="24"/>
        </w:rPr>
      </w:pPr>
      <w:r>
        <w:rPr>
          <w:rFonts w:ascii="Times New Roman" w:hAnsi="Times New Roman" w:cs="Times New Roman"/>
          <w:sz w:val="24"/>
        </w:rPr>
        <w:t>On Monday 12 June, President Tinubu signed the Access to Higher Education Act 2023 into law in fulfilment of his campaign promise to institute a pilot student loan regime that will expand access to education regardless of backgrounds. Popularly known as the “Student Loan Act”, the Act seeks to provide access to interest-free loans to Nigerian students in tertiary institutions and establishes an Education Loan Fund to help Nigerians fund their higher education. The law is however silent on the minimum and maximum amount that can be obtained, limiting it only to payment of tuition fees- with an obligation to repay in installments two years after completing the National Youth Service Corps (NYSC) programme.</w:t>
      </w:r>
    </w:p>
    <w:p w14:paraId="3C9C2175">
      <w:pPr>
        <w:spacing w:line="480" w:lineRule="auto"/>
        <w:rPr>
          <w:rFonts w:ascii="Times New Roman" w:hAnsi="Times New Roman" w:cs="Times New Roman"/>
          <w:sz w:val="24"/>
        </w:rPr>
      </w:pPr>
      <w:r>
        <w:rPr>
          <w:rFonts w:ascii="Times New Roman" w:hAnsi="Times New Roman" w:cs="Times New Roman"/>
          <w:sz w:val="24"/>
        </w:rPr>
        <w:t>The bill seeks the establishment of the Nigerian Education Bank which shall have powers to supervise, coordinate, administer and monitor the management of student loans in Nigeria and receive applications for students loan through higher institutions in Nigeria on behalf of the applicants, screen the applications to ensure that all requirements for the grant of such loans under the Act were satisfied. (Ogunode et al 2023).</w:t>
      </w:r>
    </w:p>
    <w:p w14:paraId="349F6894">
      <w:pPr>
        <w:spacing w:line="480" w:lineRule="auto"/>
        <w:rPr>
          <w:rFonts w:ascii="Times New Roman" w:hAnsi="Times New Roman" w:cs="Times New Roman"/>
          <w:sz w:val="24"/>
        </w:rPr>
      </w:pPr>
      <w:r>
        <w:rPr>
          <w:rFonts w:ascii="Times New Roman" w:hAnsi="Times New Roman" w:cs="Times New Roman"/>
          <w:sz w:val="24"/>
        </w:rPr>
        <w:t>The bank shall also have the powers to approve and disburse the loan to qualified applicants; control, monitor and coordinate the students' loan account/fund and ensure compliance in respect of disbursement; monitor academic records of grantees of the loan to obtain information on their year of graduation, national service, employment to ensure that grantees of the loan commence repayment of the loan as at when due, among other functions. (Ogunode et al 2023). The bill also provides that not-withstanding anything to the contrary contained in other enactments, all students seeking higher education in any public institution of higher learning in Nigeria shall have an equal right to access the loan under this Act without any discrimination arising from gender, religion, tribe, position or disability of any kind (Orizu, 2022).</w:t>
      </w:r>
    </w:p>
    <w:p w14:paraId="63619BFE">
      <w:pPr>
        <w:spacing w:line="480" w:lineRule="auto"/>
        <w:rPr>
          <w:rFonts w:ascii="Times New Roman" w:hAnsi="Times New Roman" w:cs="Times New Roman"/>
          <w:sz w:val="24"/>
        </w:rPr>
      </w:pPr>
      <w:r>
        <w:rPr>
          <w:rFonts w:ascii="Times New Roman" w:hAnsi="Times New Roman" w:cs="Times New Roman"/>
          <w:sz w:val="24"/>
        </w:rPr>
        <w:t>The bill also proposed interest-free student loans for payment of tuition fees at universities, polytechnics, colleges of education and vocational schools established by federal or state governments. Eligibility applies to applicants with an income, or family income, less than N500,000 per annum (US$1,117), qualifying over 133 million Nigerians. Applicants require at least two guarantors. And they must begin repayment two years after completion of their National Youth Service Corps term.</w:t>
      </w:r>
    </w:p>
    <w:p w14:paraId="3F9995B8">
      <w:pPr>
        <w:spacing w:line="480" w:lineRule="auto"/>
        <w:rPr>
          <w:rFonts w:ascii="Times New Roman" w:hAnsi="Times New Roman" w:cs="Times New Roman"/>
          <w:sz w:val="24"/>
        </w:rPr>
      </w:pPr>
      <w:r>
        <w:rPr>
          <w:rFonts w:ascii="Times New Roman" w:hAnsi="Times New Roman" w:cs="Times New Roman"/>
          <w:sz w:val="24"/>
        </w:rPr>
        <w:t>According to World Bank, as many as 4 in 10 Nigerians live below the poverty line of USD 1.9 per day. Since 2016, Nigeria has maintained its status as the poverty capital of the world. Thus, tuition fees and related expenses are often unaffordable for a significant portion of the population. The resultant effect is that many qualified students are constrained from pursuing tertiary education. The Act solves for this and would likely see an increased enrolment for students who would otherwise be unable to afford it, leading to a more developed workforce and development of the country. While the loan provides an opportunity to pursue higher education, it also comes with a responsibility for repayment. Although the Act provides for repayment to commence two years after the completion of the mandatory NYSC program, unemployment is on the rise in Nigeria, with limited guarantees of employment post-graduation or even profitable self- employment ventures. Of 21 million Nigerians—one in five people in the labour force are underemployed and the unemployment rate is projected to rise to 40.6% compared to 37.7% in 2022. This may likely worsen the debt profile of students. So, the government must themselves play a role in enabling the sort of growth and investment that spurs job creation.</w:t>
      </w:r>
    </w:p>
    <w:p w14:paraId="0A3E718A">
      <w:pPr>
        <w:spacing w:line="480" w:lineRule="auto"/>
        <w:rPr>
          <w:rFonts w:ascii="Times New Roman" w:hAnsi="Times New Roman" w:cs="Times New Roman"/>
          <w:sz w:val="24"/>
        </w:rPr>
      </w:pPr>
      <w:r>
        <w:rPr>
          <w:rFonts w:ascii="Times New Roman" w:hAnsi="Times New Roman" w:cs="Times New Roman"/>
          <w:sz w:val="24"/>
        </w:rPr>
        <w:t>In advanced countries such as Germany, two main possibilities used nationally, are the mortgage-type and income contingent loans (Chapman and Mathias, 2011). Further analysis by Chapman and Mathias (2011) revealed that tuition fees at German universities could increase considerably with the use of an income contingent loan system. Hosein and Franklin (2011) explain that student‟s loan of any sort is deferred payment which includes income contingent loans and graduate taxes along with any conversational form of lending. This suggests that the term “student loan” collectively refers to diverse funding process in higher education. In the view of Dente and Piraino (2014), the expansion of higher educational institutions requires that governments discover alternative funding sources for universities. They articulated that universities might involve the students in meeting the higher education costs by increasing universities fund and reduction of public expenditure on universities. This suggests that one of the ways of funding higher education is cost reduction.</w:t>
      </w:r>
    </w:p>
    <w:p w14:paraId="400BAAF4">
      <w:pPr>
        <w:spacing w:line="480" w:lineRule="auto"/>
        <w:rPr>
          <w:rFonts w:ascii="Times New Roman" w:hAnsi="Times New Roman" w:cs="Times New Roman"/>
          <w:sz w:val="24"/>
        </w:rPr>
      </w:pPr>
      <w:r>
        <w:rPr>
          <w:rFonts w:ascii="Times New Roman" w:hAnsi="Times New Roman" w:cs="Times New Roman"/>
          <w:sz w:val="24"/>
        </w:rPr>
        <w:t>In Mozambique, a new higher education project financed by the World Bank included scholarship fund which was administered on provincial basis. Woodhall (2004) further pointed out that student loans were considered as an option but was not yet fully implemented because of lack of a definite strategy on re-payment. In Ghana, the state is responsible for tuition fees while other sources such as the student loan scheme have been made available for needed students (Okae-Adjei, 2012). State intervention has been through the establishment of GETFund to finance specific problems including the provision of physical infrastructure. Okae-Adjei(2012) further narrated the transformation in funding through student loan scheme from the Social Security and National Insurance Trust (SSNIT) to the Student Loan Trust Fund (SLTF). The modification of the student loan scheme from SSNIT to SLTF suggests the importance attached to the student loan scheme in financing higher education in Ghana. In Tanzania, the government established Higher Education Student Loan Board (HESLB) through an art of parliament to finance financial facilitation in terms of loans to eligible and needy students as a form of financing higher education (Ally, 2015). This makes student loan in Tanzania a successful mechanism for proving access to higher learning institutions (Nyahende, 2013).</w:t>
      </w:r>
    </w:p>
    <w:p w14:paraId="1CACAB5F">
      <w:pPr>
        <w:spacing w:line="480" w:lineRule="auto"/>
        <w:rPr>
          <w:rFonts w:ascii="Times New Roman" w:hAnsi="Times New Roman" w:cs="Times New Roman"/>
          <w:sz w:val="24"/>
        </w:rPr>
      </w:pPr>
      <w:r>
        <w:rPr>
          <w:rFonts w:ascii="Times New Roman" w:hAnsi="Times New Roman" w:cs="Times New Roman"/>
          <w:sz w:val="24"/>
        </w:rPr>
        <w:t>Empirical evidence from Kenya as reported by Gudo (2014) point out the main sources of financing higher education. They include grants from the government in the form of student loans and bursaries. Masaiti and Shen (2013) empirical evidence from Zambia support a system of using a student loan to finance the cost of higher education for needy students while allowing others to pay as in the case at Mulungushi University. Furthermore, some developing countries such as Ghana also rely on donor support in financing their education. Thompson and Casely-Hayford (2008) indicate that, donors such as the World Bank, European Union, United States of America, and the United Kingdom became increasingly involved in the provision of financial assistance in support of Ghana‟s education.</w:t>
      </w:r>
    </w:p>
    <w:p w14:paraId="4231B416">
      <w:pPr>
        <w:spacing w:line="480" w:lineRule="auto"/>
        <w:rPr>
          <w:rFonts w:ascii="Times New Roman" w:hAnsi="Times New Roman" w:cs="Times New Roman"/>
          <w:sz w:val="24"/>
        </w:rPr>
      </w:pPr>
      <w:r>
        <w:rPr>
          <w:rFonts w:ascii="Times New Roman" w:hAnsi="Times New Roman" w:cs="Times New Roman"/>
          <w:sz w:val="24"/>
        </w:rPr>
        <w:t>For equity and social efficiency reasons, Dente and Piraino (2014) believe that, access to higher education should be independent of students socio-economic background, but without financial aid, a student from a disadvantaged family might find it difficult to enjoy this basic right. A student loan policy is capable of solving the problem and avoids the regressive effect associated with free access to university at the same time. This suggests that student loan scheme is a strategy of uplifting the financially poor student by granting them access to quality education at the tertiary level. As a result, governments across the world provide student loans, allowing students to borrow against the lifetime welfare gains created by higher education institutions (Dynarski, 2014). According to Nyahende (2013) and more recently Ally (2015), the success of student loan scheme is noted through its relative advantage of increasing enrolment; thus granting many people access to higher education in Tanzania. This was effective since 2005 after the government has established a body for student loan regulation.</w:t>
      </w:r>
    </w:p>
    <w:p w14:paraId="5C0720E0">
      <w:pPr>
        <w:spacing w:line="480" w:lineRule="auto"/>
        <w:rPr>
          <w:rFonts w:ascii="Times New Roman" w:hAnsi="Times New Roman" w:cs="Times New Roman"/>
          <w:sz w:val="24"/>
        </w:rPr>
      </w:pPr>
      <w:r>
        <w:rPr>
          <w:rFonts w:ascii="Times New Roman" w:hAnsi="Times New Roman" w:cs="Times New Roman"/>
          <w:sz w:val="24"/>
        </w:rPr>
        <w:t xml:space="preserve">In Romania, student loans policy has facilitated the objectives of higher education objectives in terms of enrolment expansion, income generation, and programme choice (World Bank, 2008). This means that some students could not have been able to fund their tertiary education without accessing the student loans. In Ghana, students use the loans to purchase books, food, make photocopies and even pay their fees (Okai-Adjei, 2012). This implies that most basic needs of students are financed through the student loan scheme in Ghana. In agreement with this view point, Atuahene (2008) added that the new student loan policy in Ghana is very much welcomed by students due to its anticipated impact on making education more accessible to students from disadvantaged socio-economic backgrounds. Samuel et al (2012) empirical evidence from Sunyani Polytechnic (Ghana) suggests that beneficiaries of student loans spend the amount mostly on course of study and living expenses. </w:t>
      </w:r>
    </w:p>
    <w:p w14:paraId="104A6CCB">
      <w:pPr>
        <w:spacing w:line="480" w:lineRule="auto"/>
        <w:rPr>
          <w:rFonts w:ascii="Times New Roman" w:hAnsi="Times New Roman" w:cs="Times New Roman"/>
          <w:sz w:val="24"/>
        </w:rPr>
      </w:pPr>
      <w:r>
        <w:rPr>
          <w:rFonts w:ascii="Times New Roman" w:hAnsi="Times New Roman" w:cs="Times New Roman"/>
          <w:sz w:val="24"/>
        </w:rPr>
        <w:t>However, Ally (2015) experience from Tanzania suggests that student loan scheme has failed to support eligible students and needy poor students, and also failed to recover educational costs as expected. This suggests that some factors influence student access to student loan schemes but has not been discovered. This invariably will affect the extent to which the loan scheme can contribute to students successful financing of their cost of education at the highest level.</w:t>
      </w:r>
    </w:p>
    <w:p w14:paraId="1BBF1E48">
      <w:pPr>
        <w:pStyle w:val="2"/>
        <w:spacing w:before="0" w:line="480" w:lineRule="auto"/>
        <w:rPr>
          <w:rFonts w:ascii="Times New Roman" w:hAnsi="Times New Roman"/>
          <w:b w:val="0"/>
          <w:bCs w:val="0"/>
          <w:color w:val="auto"/>
          <w:sz w:val="24"/>
        </w:rPr>
      </w:pPr>
      <w:bookmarkStart w:id="19" w:name="_Toc170896415"/>
      <w:r>
        <w:rPr>
          <w:rFonts w:ascii="Times New Roman" w:hAnsi="Times New Roman"/>
          <w:color w:val="auto"/>
          <w:sz w:val="24"/>
        </w:rPr>
        <w:t>2.3</w:t>
      </w:r>
      <w:r>
        <w:rPr>
          <w:rFonts w:ascii="Times New Roman" w:hAnsi="Times New Roman"/>
          <w:color w:val="auto"/>
          <w:sz w:val="24"/>
        </w:rPr>
        <w:tab/>
      </w:r>
      <w:r>
        <w:rPr>
          <w:rFonts w:ascii="Times New Roman" w:hAnsi="Times New Roman"/>
          <w:color w:val="auto"/>
          <w:sz w:val="24"/>
        </w:rPr>
        <w:t>Criteria for Accessing student loan</w:t>
      </w:r>
      <w:bookmarkEnd w:id="19"/>
    </w:p>
    <w:p w14:paraId="0DF96BBA">
      <w:pPr>
        <w:pStyle w:val="2"/>
        <w:spacing w:before="0" w:line="480" w:lineRule="auto"/>
        <w:rPr>
          <w:rFonts w:ascii="Times New Roman" w:hAnsi="Times New Roman"/>
          <w:color w:val="auto"/>
          <w:sz w:val="24"/>
        </w:rPr>
      </w:pPr>
      <w:bookmarkStart w:id="20" w:name="_Toc170896416"/>
      <w:r>
        <w:rPr>
          <w:rFonts w:ascii="Times New Roman" w:hAnsi="Times New Roman"/>
          <w:color w:val="auto"/>
          <w:sz w:val="24"/>
        </w:rPr>
        <w:t>2.3.1 Students Loans (Access to Higher Education) Act was established in 2023</w:t>
      </w:r>
      <w:bookmarkEnd w:id="20"/>
      <w:r>
        <w:rPr>
          <w:rFonts w:ascii="Times New Roman" w:hAnsi="Times New Roman"/>
          <w:color w:val="auto"/>
          <w:sz w:val="24"/>
        </w:rPr>
        <w:t xml:space="preserve"> </w:t>
      </w:r>
    </w:p>
    <w:p w14:paraId="34A6818F">
      <w:pPr>
        <w:spacing w:line="480" w:lineRule="auto"/>
        <w:rPr>
          <w:rFonts w:ascii="Times New Roman" w:hAnsi="Times New Roman" w:cs="Times New Roman"/>
          <w:sz w:val="24"/>
        </w:rPr>
      </w:pPr>
      <w:r>
        <w:rPr>
          <w:rFonts w:ascii="Times New Roman" w:hAnsi="Times New Roman" w:cs="Times New Roman"/>
          <w:sz w:val="24"/>
        </w:rPr>
        <w:t>This Act provides easy access to higher education for Nigerians through students’ loan with a view to providing education for all Nigerians. This is an Act to repeal the Nigerian Education Bank Act Cap. N104, Laws of the Federation of Nigeria, 2004 and enact the Students Loans (Access to Higher Education) Act, 2023 to provide easy access to higher education for indigent Nigerians through interest free loans from the Nigerian Education Loan Fund established in this Act with a view to providing education for all Nigerians; and for related matters.</w:t>
      </w:r>
    </w:p>
    <w:p w14:paraId="72C50D42">
      <w:pPr>
        <w:spacing w:line="480" w:lineRule="auto"/>
        <w:rPr>
          <w:rFonts w:ascii="Times New Roman" w:hAnsi="Times New Roman" w:cs="Times New Roman"/>
          <w:sz w:val="24"/>
        </w:rPr>
      </w:pPr>
      <w:r>
        <w:rPr>
          <w:rFonts w:ascii="Times New Roman" w:hAnsi="Times New Roman" w:cs="Times New Roman"/>
          <w:sz w:val="24"/>
        </w:rPr>
        <w:t>ENACTED by the National Assembly of the Federal Republic of Nigeria.</w:t>
      </w:r>
    </w:p>
    <w:p w14:paraId="0C9A93AB">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Notwithstanding the provisions of any Act, enactment or Law, this Act shall apply to all matters pertaining to the application and grant of loans to Nigerians seeking higher education into institutions of higher learning in Nigeria through the Nigerian Education Loan Fund.</w:t>
      </w:r>
    </w:p>
    <w:p w14:paraId="211FAFCF">
      <w:pPr>
        <w:numPr>
          <w:ilvl w:val="0"/>
          <w:numId w:val="5"/>
        </w:numPr>
        <w:spacing w:line="480" w:lineRule="auto"/>
        <w:ind w:left="360" w:hanging="450"/>
        <w:rPr>
          <w:rFonts w:ascii="Times New Roman" w:hAnsi="Times New Roman" w:cs="Times New Roman"/>
          <w:sz w:val="24"/>
        </w:rPr>
      </w:pPr>
      <w:r>
        <w:rPr>
          <w:rFonts w:ascii="Times New Roman" w:hAnsi="Times New Roman" w:cs="Times New Roman"/>
          <w:sz w:val="24"/>
        </w:rPr>
        <w:t xml:space="preserve">Subject to the provisions of any other enactment, all students seeking higher education in any public institution of higher learning in Nigeria shall have equal right to access the loans under this Act without any discrimination arising from </w:t>
      </w:r>
      <w:r>
        <w:rPr>
          <w:rFonts w:ascii="Times New Roman" w:hAnsi="Times New Roman" w:cs="Times New Roman"/>
          <w:sz w:val="24"/>
        </w:rPr>
        <w:tab/>
      </w:r>
      <w:r>
        <w:rPr>
          <w:rFonts w:ascii="Times New Roman" w:hAnsi="Times New Roman" w:cs="Times New Roman"/>
          <w:sz w:val="24"/>
        </w:rPr>
        <w:t>gender, religion, tribe, position or disability of any kind.</w:t>
      </w:r>
    </w:p>
    <w:p w14:paraId="0CCF93FE">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The loans referred to in this Act shall be granted to students only for the payment of tuition fees.</w:t>
      </w:r>
    </w:p>
    <w:p w14:paraId="3EC48CED">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The grant of the loan to any student under this Act shall be subject to the students or applicants satisfying the requirements and conditions set out under this Act</w:t>
      </w:r>
    </w:p>
    <w:p w14:paraId="62C14B63">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 xml:space="preserve">(a) There is established the Nigerian Education Loan Fund (in this Act referred to as “the Fund”) which shall have the functions and powers conferred on it by this </w:t>
      </w:r>
      <w:r>
        <w:rPr>
          <w:rFonts w:ascii="Times New Roman" w:hAnsi="Times New Roman" w:cs="Times New Roman"/>
          <w:sz w:val="24"/>
        </w:rPr>
        <w:tab/>
      </w:r>
      <w:r>
        <w:rPr>
          <w:rFonts w:ascii="Times New Roman" w:hAnsi="Times New Roman" w:cs="Times New Roman"/>
          <w:sz w:val="24"/>
        </w:rPr>
        <w:t>Act.</w:t>
      </w:r>
    </w:p>
    <w:p w14:paraId="001C65D6">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Fund shall be domiciled with, managed and administered by the Central Bank of Nigeria through the money deposit banks in Nigeria for the purpose set out under section 6 of this Act</w:t>
      </w:r>
    </w:p>
    <w:p w14:paraId="2F8A9CB9">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Governor of the Central Bank of Nigeria shall set up a Special Committee to perform the functions of the Fund set out under section 6 of this Act.</w:t>
      </w:r>
    </w:p>
    <w:p w14:paraId="364239E5">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Chairman of the Committee shall be the Governor of the Central Bank of</w:t>
      </w:r>
      <w:r>
        <w:rPr>
          <w:rFonts w:ascii="Times New Roman" w:hAnsi="Times New Roman" w:cs="Times New Roman"/>
          <w:sz w:val="24"/>
        </w:rPr>
        <w:tab/>
      </w:r>
      <w:r>
        <w:rPr>
          <w:rFonts w:ascii="Times New Roman" w:hAnsi="Times New Roman" w:cs="Times New Roman"/>
          <w:sz w:val="24"/>
        </w:rPr>
        <w:t>Nigeria who shall appoint the Secretary of the Committee.</w:t>
      </w:r>
    </w:p>
    <w:p w14:paraId="70CE6E07">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 xml:space="preserve">Subject to the provisions of this Act, the Committee shall establish regulations and guidelines for the management, administration, disbursement and recoupment </w:t>
      </w:r>
      <w:r>
        <w:rPr>
          <w:rFonts w:ascii="Times New Roman" w:hAnsi="Times New Roman" w:cs="Times New Roman"/>
          <w:sz w:val="24"/>
        </w:rPr>
        <w:tab/>
      </w:r>
      <w:r>
        <w:rPr>
          <w:rFonts w:ascii="Times New Roman" w:hAnsi="Times New Roman" w:cs="Times New Roman"/>
          <w:sz w:val="24"/>
        </w:rPr>
        <w:t>of students’ loans under this Act, and all stakeholders including parents, students’</w:t>
      </w:r>
      <w:r>
        <w:rPr>
          <w:rFonts w:ascii="Times New Roman" w:hAnsi="Times New Roman" w:cs="Times New Roman"/>
          <w:sz w:val="24"/>
        </w:rPr>
        <w:tab/>
      </w:r>
      <w:r>
        <w:rPr>
          <w:rFonts w:ascii="Times New Roman" w:hAnsi="Times New Roman" w:cs="Times New Roman"/>
          <w:sz w:val="24"/>
        </w:rPr>
        <w:t>applicants, beneficiaries of the students’ loans and deposit banks shall comply with the regulations and guidelines.</w:t>
      </w:r>
    </w:p>
    <w:p w14:paraId="3A5FF3C3">
      <w:pPr>
        <w:numPr>
          <w:ilvl w:val="0"/>
          <w:numId w:val="5"/>
        </w:numPr>
        <w:spacing w:line="480" w:lineRule="auto"/>
        <w:ind w:left="0" w:firstLine="0"/>
        <w:rPr>
          <w:rFonts w:ascii="Times New Roman" w:hAnsi="Times New Roman" w:cs="Times New Roman"/>
          <w:sz w:val="24"/>
        </w:rPr>
      </w:pPr>
      <w:r>
        <w:rPr>
          <w:rFonts w:ascii="Times New Roman" w:hAnsi="Times New Roman" w:cs="Times New Roman"/>
          <w:sz w:val="24"/>
        </w:rPr>
        <w:t>The functions of the Fund are to-</w:t>
      </w:r>
    </w:p>
    <w:p w14:paraId="05064249">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implement the provisions of this Act;</w:t>
      </w:r>
    </w:p>
    <w:p w14:paraId="583E4B2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supervise, coordinate, administer, and monitor the management of the student’s loan in Nigeria;</w:t>
      </w:r>
    </w:p>
    <w:p w14:paraId="7DBF36A1">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receive applications for student’s loans through higher institutions in Nigeria on behalf of the applicants, screen the applications to ensure that all requirements for grant of students’ loans under this Act are satisfied in compliance with the provisions of this Act;</w:t>
      </w:r>
    </w:p>
    <w:p w14:paraId="037720D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approve and disburse loans to qualified applicants;</w:t>
      </w:r>
    </w:p>
    <w:p w14:paraId="5EB3240F">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control and monitor and coordinate the student’s loans account or Fund domicile with the Central Bank of Nigeria and ensure compliance in respect of disbursement;</w:t>
      </w:r>
    </w:p>
    <w:p w14:paraId="30E23E27">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monitor academic records of grantees of the loans to obtain information on their year of graduation, national service, employment and to ensure that grantees of the loans commence repayment of the loans as at when due;</w:t>
      </w:r>
    </w:p>
    <w:p w14:paraId="76AD62E6">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liaise with the employers of the grantees and conclude documentation with employers to ensure that the required sum to be deducted is deducted from the</w:t>
      </w:r>
      <w:r>
        <w:rPr>
          <w:rFonts w:ascii="Times New Roman" w:hAnsi="Times New Roman" w:cs="Times New Roman"/>
          <w:sz w:val="24"/>
        </w:rPr>
        <w:tab/>
      </w:r>
      <w:r>
        <w:rPr>
          <w:rFonts w:ascii="Times New Roman" w:hAnsi="Times New Roman" w:cs="Times New Roman"/>
          <w:sz w:val="24"/>
        </w:rPr>
        <w:t xml:space="preserve">grantees salary and remitted to the Fund or account as directed by </w:t>
      </w:r>
      <w:r>
        <w:rPr>
          <w:rFonts w:ascii="Times New Roman" w:hAnsi="Times New Roman" w:cs="Times New Roman"/>
          <w:sz w:val="24"/>
        </w:rPr>
        <w:tab/>
      </w:r>
      <w:r>
        <w:rPr>
          <w:rFonts w:ascii="Times New Roman" w:hAnsi="Times New Roman" w:cs="Times New Roman"/>
          <w:sz w:val="24"/>
        </w:rPr>
        <w:t>the Committee;</w:t>
      </w:r>
    </w:p>
    <w:p w14:paraId="4AE3322A">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 xml:space="preserve">provide financial advice on educational matters to institutions of higher </w:t>
      </w:r>
      <w:r>
        <w:rPr>
          <w:rFonts w:ascii="Times New Roman" w:hAnsi="Times New Roman" w:cs="Times New Roman"/>
          <w:sz w:val="24"/>
        </w:rPr>
        <w:tab/>
      </w:r>
      <w:r>
        <w:rPr>
          <w:rFonts w:ascii="Times New Roman" w:hAnsi="Times New Roman" w:cs="Times New Roman"/>
          <w:sz w:val="24"/>
        </w:rPr>
        <w:t>education, and to parents and educational investors;</w:t>
      </w:r>
    </w:p>
    <w:p w14:paraId="5A85520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ensure adequate security on any loan granted;</w:t>
      </w:r>
    </w:p>
    <w:p w14:paraId="048D269D">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engage and participate in other banking business;</w:t>
      </w:r>
    </w:p>
    <w:p w14:paraId="5DE9C17B">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exercise all legal rights toward recovering all loan and enforcing the provisions of this Act;</w:t>
      </w:r>
    </w:p>
    <w:p w14:paraId="5567B593">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quarterly issue a report to the President on the performance of the student’s loans;</w:t>
      </w:r>
    </w:p>
    <w:p w14:paraId="7DEAF11E">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 xml:space="preserve"> without prejudice to the provisions of this Act or any other enactment provide rules and guidelines including method of application to ensure better </w:t>
      </w:r>
      <w:r>
        <w:rPr>
          <w:rFonts w:ascii="Times New Roman" w:hAnsi="Times New Roman" w:cs="Times New Roman"/>
          <w:sz w:val="24"/>
        </w:rPr>
        <w:tab/>
      </w:r>
      <w:r>
        <w:rPr>
          <w:rFonts w:ascii="Times New Roman" w:hAnsi="Times New Roman" w:cs="Times New Roman"/>
          <w:sz w:val="24"/>
        </w:rPr>
        <w:t xml:space="preserve">performance at all times and prevent the emergence of ghost students </w:t>
      </w:r>
      <w:r>
        <w:rPr>
          <w:rFonts w:ascii="Times New Roman" w:hAnsi="Times New Roman" w:cs="Times New Roman"/>
          <w:sz w:val="24"/>
        </w:rPr>
        <w:tab/>
      </w:r>
      <w:r>
        <w:rPr>
          <w:rFonts w:ascii="Times New Roman" w:hAnsi="Times New Roman" w:cs="Times New Roman"/>
          <w:sz w:val="24"/>
        </w:rPr>
        <w:t>applications;</w:t>
      </w:r>
    </w:p>
    <w:p w14:paraId="26D61DF0">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employ and pay the staff of the Fund salaries and other benefits using the scale as applicable to industry of similar status;</w:t>
      </w:r>
    </w:p>
    <w:p w14:paraId="585A2F54">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enter into any negotiation, agreement and contractual relationship such as may be necessary or expedient for the performance of the functions of the Commission;</w:t>
      </w:r>
    </w:p>
    <w:p w14:paraId="3370FEFF">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conduct studies, researches, and investigations that may further the attainment of the goal and development of the students’ loans regime in Nigeria; and</w:t>
      </w:r>
    </w:p>
    <w:p w14:paraId="10F35CD9">
      <w:pPr>
        <w:spacing w:line="480" w:lineRule="auto"/>
        <w:ind w:left="420" w:firstLine="420"/>
        <w:rPr>
          <w:rFonts w:ascii="Times New Roman" w:hAnsi="Times New Roman" w:cs="Times New Roman"/>
          <w:sz w:val="24"/>
        </w:rPr>
      </w:pPr>
      <w:r>
        <w:rPr>
          <w:rFonts w:ascii="Times New Roman" w:hAnsi="Times New Roman" w:cs="Times New Roman"/>
          <w:sz w:val="24"/>
        </w:rPr>
        <w:t>(q) do anything necessary to be done to facilitate the performance of its functions.</w:t>
      </w:r>
    </w:p>
    <w:p w14:paraId="633DACFF">
      <w:pPr>
        <w:pStyle w:val="14"/>
        <w:numPr>
          <w:ilvl w:val="0"/>
          <w:numId w:val="5"/>
        </w:numPr>
        <w:spacing w:line="480" w:lineRule="auto"/>
        <w:rPr>
          <w:rFonts w:ascii="Times New Roman" w:hAnsi="Times New Roman" w:cs="Times New Roman"/>
          <w:sz w:val="24"/>
        </w:rPr>
      </w:pPr>
      <w:r>
        <w:rPr>
          <w:rFonts w:ascii="Times New Roman" w:hAnsi="Times New Roman" w:cs="Times New Roman"/>
          <w:sz w:val="24"/>
        </w:rPr>
        <w:t>There shall be for the Fund a Special Committee (in this Act referred to as “the Committee”) which shall be responsible for the performance of the functions of the Fund.</w:t>
      </w:r>
    </w:p>
    <w:p w14:paraId="5022AD5E">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Committee shall consist of —</w:t>
      </w:r>
    </w:p>
    <w:p w14:paraId="5D61DD37">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Governor of the Central Bank of Nigeria as the Chairman;</w:t>
      </w:r>
    </w:p>
    <w:p w14:paraId="0E7080AB">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Secretary of the Fund who shall be appointed by the Chairman;</w:t>
      </w:r>
    </w:p>
    <w:p w14:paraId="0D04D300">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Minister responsible for education;</w:t>
      </w:r>
    </w:p>
    <w:p w14:paraId="0D1F674B">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Chairman, National Universities Commission;</w:t>
      </w:r>
    </w:p>
    <w:p w14:paraId="08CA55E2">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Vice-Chancellors forum of all Nigeria Universities;</w:t>
      </w:r>
    </w:p>
    <w:p w14:paraId="554D63F7">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Rectors forums of all Nigerian Polytechnics and Provosts forum of all Colleges of Education in Nigeria;</w:t>
      </w:r>
    </w:p>
    <w:p w14:paraId="1500E2A9">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Minister responsible for finance or his representative;</w:t>
      </w:r>
    </w:p>
    <w:p w14:paraId="5E041E65">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Auditor-General for the Federation;</w:t>
      </w:r>
    </w:p>
    <w:p w14:paraId="5F0F00F3">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Nigerian Labour Congress;</w:t>
      </w:r>
    </w:p>
    <w:p w14:paraId="5DA45892">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Nigerian Bar Association; and</w:t>
      </w:r>
    </w:p>
    <w:p w14:paraId="04E6C145">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Academic Staff Union of Universities.</w:t>
      </w:r>
    </w:p>
    <w:p w14:paraId="23911A95">
      <w:pPr>
        <w:pStyle w:val="14"/>
        <w:numPr>
          <w:ilvl w:val="0"/>
          <w:numId w:val="5"/>
        </w:numPr>
        <w:spacing w:line="480" w:lineRule="auto"/>
        <w:rPr>
          <w:rFonts w:ascii="Times New Roman" w:hAnsi="Times New Roman" w:cs="Times New Roman"/>
          <w:sz w:val="24"/>
        </w:rPr>
      </w:pPr>
      <w:r>
        <w:rPr>
          <w:rFonts w:ascii="Times New Roman" w:hAnsi="Times New Roman" w:cs="Times New Roman"/>
          <w:sz w:val="24"/>
        </w:rPr>
        <w:t>Subject to the provisions of section 7 of this Act, the Chairman and members of the Board shall hold office for the term for which they hold their substantive offices and shall automatically be replaced by his successor: Provided that the appointment of the Secretary shall be at the pleasure of the Chairman of the Fund.</w:t>
      </w:r>
    </w:p>
    <w:p w14:paraId="10B5878B">
      <w:pPr>
        <w:numPr>
          <w:ilvl w:val="0"/>
          <w:numId w:val="5"/>
        </w:numPr>
        <w:spacing w:line="480" w:lineRule="auto"/>
        <w:ind w:left="0" w:firstLine="0"/>
        <w:rPr>
          <w:rFonts w:ascii="Times New Roman" w:hAnsi="Times New Roman" w:cs="Times New Roman"/>
          <w:sz w:val="24"/>
        </w:rPr>
      </w:pPr>
      <w:r>
        <w:rPr>
          <w:rFonts w:ascii="Times New Roman" w:hAnsi="Times New Roman" w:cs="Times New Roman"/>
          <w:sz w:val="24"/>
        </w:rPr>
        <w:t>(1) A person shall cease to hold office as a member of the Committee if he;</w:t>
      </w:r>
    </w:p>
    <w:p w14:paraId="1F1DA8EE">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dies;</w:t>
      </w:r>
    </w:p>
    <w:p w14:paraId="4FE6663C">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becomes bankrupt;</w:t>
      </w:r>
    </w:p>
    <w:p w14:paraId="54ECF957">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is convicted of a felony or any offence involving dishonesty or fraud;</w:t>
      </w:r>
    </w:p>
    <w:p w14:paraId="22266DE0">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becomes of unsound mind or is incapable for any reason of discharging his duties;</w:t>
      </w:r>
    </w:p>
    <w:p w14:paraId="3751FA19">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is guilty of serious misconduct in relations to his duties; or</w:t>
      </w:r>
    </w:p>
    <w:p w14:paraId="5EF4751C">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resigns his appointment by written notice under his hand to the president.</w:t>
      </w:r>
    </w:p>
    <w:p w14:paraId="633D9FD1">
      <w:pPr>
        <w:spacing w:line="480" w:lineRule="auto"/>
        <w:rPr>
          <w:rFonts w:ascii="Times New Roman" w:hAnsi="Times New Roman" w:cs="Times New Roman"/>
          <w:sz w:val="24"/>
        </w:rPr>
      </w:pPr>
      <w:r>
        <w:rPr>
          <w:rFonts w:ascii="Times New Roman" w:hAnsi="Times New Roman" w:cs="Times New Roman"/>
          <w:sz w:val="24"/>
        </w:rPr>
        <w:t xml:space="preserve">(2) Where there is a vacancy in the membership of the Committee as a result of any of the causes mentioned in subsection (1), it shall be filled by the person next in rank to the affected member pending the appointment of a </w:t>
      </w:r>
      <w:r>
        <w:rPr>
          <w:rFonts w:ascii="Times New Roman" w:hAnsi="Times New Roman" w:cs="Times New Roman"/>
          <w:sz w:val="24"/>
        </w:rPr>
        <w:tab/>
      </w:r>
      <w:r>
        <w:rPr>
          <w:rFonts w:ascii="Times New Roman" w:hAnsi="Times New Roman" w:cs="Times New Roman"/>
          <w:sz w:val="24"/>
        </w:rPr>
        <w:t>substantive successor to his office.</w:t>
      </w:r>
    </w:p>
    <w:p w14:paraId="4E28FD4D">
      <w:pPr>
        <w:numPr>
          <w:ilvl w:val="0"/>
          <w:numId w:val="5"/>
        </w:numPr>
        <w:spacing w:line="480" w:lineRule="auto"/>
        <w:rPr>
          <w:rFonts w:ascii="Times New Roman" w:hAnsi="Times New Roman" w:cs="Times New Roman"/>
          <w:sz w:val="24"/>
        </w:rPr>
      </w:pPr>
      <w:r>
        <w:rPr>
          <w:rFonts w:ascii="Times New Roman" w:hAnsi="Times New Roman" w:cs="Times New Roman"/>
          <w:sz w:val="24"/>
        </w:rPr>
        <w:t>The President shall have power to alter the decision of the Committee or give such directive to the Committee as he deems fit if he is satisfied that it is in the interest of the Committee or the public.</w:t>
      </w:r>
    </w:p>
    <w:p w14:paraId="158A4DCA">
      <w:pPr>
        <w:numPr>
          <w:ilvl w:val="0"/>
          <w:numId w:val="5"/>
        </w:numPr>
        <w:spacing w:line="480" w:lineRule="auto"/>
        <w:rPr>
          <w:rFonts w:ascii="Times New Roman" w:hAnsi="Times New Roman" w:cs="Times New Roman"/>
          <w:sz w:val="24"/>
        </w:rPr>
      </w:pPr>
      <w:r>
        <w:rPr>
          <w:rFonts w:ascii="Times New Roman" w:hAnsi="Times New Roman" w:cs="Times New Roman"/>
          <w:sz w:val="24"/>
        </w:rPr>
        <w:t>A member of the Committee shall be paid such allowances and expenses as may be determined by the Governor of the Central Bank of Nigeria.</w:t>
      </w:r>
    </w:p>
    <w:p w14:paraId="75D6F78D">
      <w:pPr>
        <w:numPr>
          <w:ilvl w:val="0"/>
          <w:numId w:val="5"/>
        </w:numPr>
        <w:spacing w:line="480" w:lineRule="auto"/>
        <w:rPr>
          <w:rFonts w:ascii="Times New Roman" w:hAnsi="Times New Roman" w:cs="Times New Roman"/>
          <w:sz w:val="24"/>
        </w:rPr>
      </w:pPr>
      <w:r>
        <w:rPr>
          <w:rFonts w:ascii="Times New Roman" w:hAnsi="Times New Roman" w:cs="Times New Roman"/>
          <w:sz w:val="24"/>
        </w:rPr>
        <w:t>The sources of the Fund shall consist of;</w:t>
      </w:r>
    </w:p>
    <w:p w14:paraId="52E3CCC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education bonds;</w:t>
      </w:r>
    </w:p>
    <w:p w14:paraId="08334E7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education endowment fund schemes;</w:t>
      </w:r>
    </w:p>
    <w:p w14:paraId="1373EAF9">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1% of all taxes, levels and duties accruing to the Government of the Federation from Federal Inland Revenue Service (FIRS), Nigerian Immigration Service and Nigerian Customs Service;</w:t>
      </w:r>
    </w:p>
    <w:p w14:paraId="610A213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1% of all profits accruing to the Government of the Federation arising from oil and other minerals;</w:t>
      </w:r>
    </w:p>
    <w:p w14:paraId="5CA8C46C">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all sums accruing to the Fund by way of donations, gifts, grant, endowment or otherwise; and</w:t>
      </w:r>
    </w:p>
    <w:p w14:paraId="518438BA">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other revenue accruing to the Fund from any other source.</w:t>
      </w:r>
    </w:p>
    <w:p w14:paraId="58811B13">
      <w:pPr>
        <w:numPr>
          <w:ilvl w:val="0"/>
          <w:numId w:val="5"/>
        </w:numPr>
        <w:spacing w:line="480" w:lineRule="auto"/>
        <w:rPr>
          <w:rFonts w:ascii="Times New Roman" w:hAnsi="Times New Roman" w:cs="Times New Roman"/>
          <w:sz w:val="24"/>
        </w:rPr>
      </w:pPr>
      <w:r>
        <w:rPr>
          <w:rFonts w:ascii="Times New Roman" w:hAnsi="Times New Roman" w:cs="Times New Roman"/>
          <w:sz w:val="24"/>
        </w:rPr>
        <w:t>The aims and objectives of the Fund shall be to;</w:t>
      </w:r>
    </w:p>
    <w:p w14:paraId="6BF88A22">
      <w:pPr>
        <w:pStyle w:val="14"/>
        <w:numPr>
          <w:ilvl w:val="0"/>
          <w:numId w:val="9"/>
        </w:numPr>
        <w:spacing w:line="480" w:lineRule="auto"/>
        <w:rPr>
          <w:rFonts w:ascii="Times New Roman" w:hAnsi="Times New Roman" w:cs="Times New Roman"/>
          <w:sz w:val="24"/>
        </w:rPr>
      </w:pPr>
      <w:r>
        <w:rPr>
          <w:rFonts w:ascii="Times New Roman" w:hAnsi="Times New Roman" w:cs="Times New Roman"/>
          <w:sz w:val="24"/>
        </w:rPr>
        <w:t xml:space="preserve">facilitate the mobilisation of funds to provide interest free loans to students of </w:t>
      </w:r>
      <w:r>
        <w:rPr>
          <w:rFonts w:ascii="Times New Roman" w:hAnsi="Times New Roman" w:cs="Times New Roman"/>
          <w:sz w:val="24"/>
        </w:rPr>
        <w:tab/>
      </w:r>
      <w:r>
        <w:rPr>
          <w:rFonts w:ascii="Times New Roman" w:hAnsi="Times New Roman" w:cs="Times New Roman"/>
          <w:sz w:val="24"/>
        </w:rPr>
        <w:t xml:space="preserve">institutions of higher learning in Nigeria for the payment of </w:t>
      </w:r>
      <w:r>
        <w:rPr>
          <w:rFonts w:ascii="Times New Roman" w:hAnsi="Times New Roman" w:cs="Times New Roman"/>
          <w:sz w:val="24"/>
        </w:rPr>
        <w:tab/>
      </w:r>
      <w:r>
        <w:rPr>
          <w:rFonts w:ascii="Times New Roman" w:hAnsi="Times New Roman" w:cs="Times New Roman"/>
          <w:sz w:val="24"/>
        </w:rPr>
        <w:t>tuition fees; and</w:t>
      </w:r>
    </w:p>
    <w:p w14:paraId="38D81936">
      <w:pPr>
        <w:pStyle w:val="14"/>
        <w:numPr>
          <w:ilvl w:val="0"/>
          <w:numId w:val="9"/>
        </w:numPr>
        <w:spacing w:line="480" w:lineRule="auto"/>
        <w:rPr>
          <w:rFonts w:ascii="Times New Roman" w:hAnsi="Times New Roman" w:cs="Times New Roman"/>
          <w:sz w:val="24"/>
        </w:rPr>
      </w:pPr>
      <w:r>
        <w:rPr>
          <w:rFonts w:ascii="Times New Roman" w:hAnsi="Times New Roman" w:cs="Times New Roman"/>
          <w:sz w:val="24"/>
        </w:rPr>
        <w:t>ensure constant supply of loans to qualified students’ applicants for the purpose of providing education to all Nigerians.</w:t>
      </w:r>
    </w:p>
    <w:p w14:paraId="554C04F5">
      <w:pPr>
        <w:numPr>
          <w:ilvl w:val="0"/>
          <w:numId w:val="5"/>
        </w:numPr>
        <w:spacing w:line="480" w:lineRule="auto"/>
        <w:rPr>
          <w:rFonts w:ascii="Times New Roman" w:hAnsi="Times New Roman" w:cs="Times New Roman"/>
          <w:sz w:val="24"/>
        </w:rPr>
      </w:pPr>
      <w:r>
        <w:rPr>
          <w:rFonts w:ascii="Times New Roman" w:hAnsi="Times New Roman" w:cs="Times New Roman"/>
          <w:sz w:val="24"/>
        </w:rPr>
        <w:t>Students applying for loan under this Act must apply as provided under section 17 of this Act on satisfaction of the following conditions;</w:t>
      </w:r>
    </w:p>
    <w:p w14:paraId="60670AC3">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 xml:space="preserve">applicant must have secured admission into any of the Nigerian universities, polytechnics, colleges of education or any vocational school established by the Federal Government or the Government of any state of the </w:t>
      </w:r>
      <w:r>
        <w:rPr>
          <w:rFonts w:ascii="Times New Roman" w:hAnsi="Times New Roman" w:cs="Times New Roman"/>
          <w:sz w:val="24"/>
        </w:rPr>
        <w:tab/>
      </w:r>
      <w:r>
        <w:rPr>
          <w:rFonts w:ascii="Times New Roman" w:hAnsi="Times New Roman" w:cs="Times New Roman"/>
          <w:sz w:val="24"/>
        </w:rPr>
        <w:t>federation.</w:t>
      </w:r>
    </w:p>
    <w:p w14:paraId="6C14B9EC">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applicant income or family income must be less than N500,000 Per-Anum;</w:t>
      </w:r>
    </w:p>
    <w:p w14:paraId="722D7FD4">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applicant must provide at least two guarantors, and each of the guarantors</w:t>
      </w:r>
    </w:p>
    <w:p w14:paraId="568DD3D6">
      <w:pPr>
        <w:spacing w:line="480" w:lineRule="auto"/>
        <w:ind w:left="420" w:firstLine="420"/>
        <w:rPr>
          <w:rFonts w:ascii="Times New Roman" w:hAnsi="Times New Roman" w:cs="Times New Roman"/>
          <w:sz w:val="24"/>
        </w:rPr>
      </w:pPr>
      <w:r>
        <w:rPr>
          <w:rFonts w:ascii="Times New Roman" w:hAnsi="Times New Roman" w:cs="Times New Roman"/>
          <w:sz w:val="24"/>
        </w:rPr>
        <w:t>shall be a;</w:t>
      </w:r>
    </w:p>
    <w:p w14:paraId="1A04A145">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civil servant of at least level 12 in the service,</w:t>
      </w:r>
    </w:p>
    <w:p w14:paraId="3EAB9674">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(ii) lawyer with at least 10 years post-call experience,</w:t>
      </w:r>
    </w:p>
    <w:p w14:paraId="57B7B76E">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(iii) judicial officer, or</w:t>
      </w:r>
    </w:p>
    <w:p w14:paraId="3E04E841">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(iv) justice of peace.</w:t>
      </w:r>
    </w:p>
    <w:p w14:paraId="5D4ED1AA">
      <w:pPr>
        <w:numPr>
          <w:ilvl w:val="0"/>
          <w:numId w:val="5"/>
        </w:numPr>
        <w:spacing w:line="480" w:lineRule="auto"/>
        <w:rPr>
          <w:rFonts w:ascii="Times New Roman" w:hAnsi="Times New Roman" w:cs="Times New Roman"/>
          <w:sz w:val="24"/>
        </w:rPr>
      </w:pPr>
      <w:r>
        <w:rPr>
          <w:rFonts w:ascii="Times New Roman" w:hAnsi="Times New Roman" w:cs="Times New Roman"/>
          <w:sz w:val="24"/>
        </w:rPr>
        <w:t>A student is disqualified from accessing the loan if;</w:t>
      </w:r>
    </w:p>
    <w:p w14:paraId="33CE4E9C">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is proven to have defaulted in respect of any previous loan granted by any organisation;</w:t>
      </w:r>
    </w:p>
    <w:p w14:paraId="0CAA8713">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has been found guilty of exam malpractice by any school authority;</w:t>
      </w:r>
    </w:p>
    <w:p w14:paraId="050C9390">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is convicted of a felony or any offence involving dishonesty or fraud;</w:t>
      </w:r>
    </w:p>
    <w:p w14:paraId="4E859C81">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has been convicted of drug offenses; or</w:t>
      </w:r>
    </w:p>
    <w:p w14:paraId="76D1EC9B">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any of the parents has defaulted in respect of student’s loan or any loan</w:t>
      </w:r>
    </w:p>
    <w:p w14:paraId="6E6EFE27">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granted to the person</w:t>
      </w:r>
    </w:p>
    <w:p w14:paraId="33190426">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All applications must be submitted through the applicant’s bank to the Chairman of the Committee established under this Act accompanied by a </w:t>
      </w:r>
      <w:r>
        <w:rPr>
          <w:rFonts w:ascii="Times New Roman" w:hAnsi="Times New Roman" w:cs="Times New Roman"/>
          <w:sz w:val="24"/>
        </w:rPr>
        <w:tab/>
      </w:r>
      <w:r>
        <w:rPr>
          <w:rFonts w:ascii="Times New Roman" w:hAnsi="Times New Roman" w:cs="Times New Roman"/>
          <w:sz w:val="24"/>
        </w:rPr>
        <w:t>cover letter signed by the vice-chancellor or rector or the head of the institution and the student’s affairs officer of the institution.</w:t>
      </w:r>
    </w:p>
    <w:p w14:paraId="61C0E185">
      <w:pPr>
        <w:spacing w:line="480" w:lineRule="auto"/>
        <w:ind w:firstLine="420"/>
        <w:rPr>
          <w:rFonts w:ascii="Times New Roman" w:hAnsi="Times New Roman" w:cs="Times New Roman"/>
          <w:sz w:val="24"/>
        </w:rPr>
      </w:pPr>
      <w:r>
        <w:rPr>
          <w:rFonts w:ascii="Times New Roman" w:hAnsi="Times New Roman" w:cs="Times New Roman"/>
          <w:sz w:val="24"/>
        </w:rPr>
        <w:t>(2) Each application shall be accompanied by;</w:t>
      </w:r>
    </w:p>
    <w:p w14:paraId="3F98A29A">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copy of the student’s admission letter;</w:t>
      </w:r>
    </w:p>
    <w:p w14:paraId="49D4304F">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a letter by the guarantors addressed to the Chairman of the Committee under this Act recommending the student for the loan and stating that he accepts liability in the event of default;</w:t>
      </w:r>
    </w:p>
    <w:p w14:paraId="6C4E3511">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two passport photographs from each of the guarantor’s, name of employer and evidence of being so employed by the named organisation;</w:t>
      </w:r>
    </w:p>
    <w:p w14:paraId="0F56BC5F">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particulars of guarantor’s business registration with the Corporate Affairs Commission or any other appropriate authority and his bankers, where the guarantor is self-employed.</w:t>
      </w:r>
    </w:p>
    <w:p w14:paraId="0D855145">
      <w:pPr>
        <w:spacing w:line="480" w:lineRule="auto"/>
        <w:ind w:left="360"/>
        <w:rPr>
          <w:rFonts w:ascii="Times New Roman" w:hAnsi="Times New Roman" w:cs="Times New Roman"/>
          <w:sz w:val="24"/>
        </w:rPr>
      </w:pPr>
      <w:r>
        <w:rPr>
          <w:rFonts w:ascii="Times New Roman" w:hAnsi="Times New Roman" w:cs="Times New Roman"/>
          <w:sz w:val="24"/>
        </w:rPr>
        <w:t>(3) The Committee shall communicate to the applicant on the status of his application within 14 days of the receipt of any application</w:t>
      </w:r>
    </w:p>
    <w:p w14:paraId="4E8B85DA">
      <w:pPr>
        <w:spacing w:line="480" w:lineRule="auto"/>
        <w:ind w:left="360"/>
        <w:rPr>
          <w:rFonts w:ascii="Times New Roman" w:hAnsi="Times New Roman" w:cs="Times New Roman"/>
          <w:sz w:val="24"/>
        </w:rPr>
      </w:pPr>
      <w:r>
        <w:rPr>
          <w:rFonts w:ascii="Times New Roman" w:hAnsi="Times New Roman" w:cs="Times New Roman"/>
          <w:sz w:val="24"/>
        </w:rPr>
        <w:t>(4) Disbursement shall be on availability of funds.</w:t>
      </w:r>
    </w:p>
    <w:p w14:paraId="599AE877">
      <w:pPr>
        <w:numPr>
          <w:ilvl w:val="0"/>
          <w:numId w:val="5"/>
        </w:numPr>
        <w:spacing w:line="480" w:lineRule="auto"/>
        <w:rPr>
          <w:rFonts w:ascii="Times New Roman" w:hAnsi="Times New Roman" w:cs="Times New Roman"/>
          <w:sz w:val="24"/>
        </w:rPr>
      </w:pPr>
      <w:r>
        <w:rPr>
          <w:rFonts w:ascii="Times New Roman" w:hAnsi="Times New Roman" w:cs="Times New Roman"/>
          <w:sz w:val="24"/>
        </w:rPr>
        <w:t>Processing of any applicant’s application and disbursement shall be made within 30 days of the application reaching the Chairman of the Committee subject to section 18 (4) of this Act</w:t>
      </w:r>
    </w:p>
    <w:p w14:paraId="26D50921">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Any beneficiary of the loan to which this Act refers shall commence repayment two years after completion of the National Youth Service Corps </w:t>
      </w:r>
      <w:r>
        <w:rPr>
          <w:rFonts w:ascii="Times New Roman" w:hAnsi="Times New Roman" w:cs="Times New Roman"/>
          <w:sz w:val="24"/>
        </w:rPr>
        <w:tab/>
      </w:r>
      <w:r>
        <w:rPr>
          <w:rFonts w:ascii="Times New Roman" w:hAnsi="Times New Roman" w:cs="Times New Roman"/>
          <w:sz w:val="24"/>
        </w:rPr>
        <w:t>programme.</w:t>
      </w:r>
    </w:p>
    <w:p w14:paraId="1D51F58A">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 xml:space="preserve">(2) Repayment shall be by direct deduction of 10% of the beneficiaries salary </w:t>
      </w:r>
      <w:r>
        <w:rPr>
          <w:rFonts w:ascii="Times New Roman" w:hAnsi="Times New Roman" w:cs="Times New Roman"/>
          <w:sz w:val="24"/>
        </w:rPr>
        <w:tab/>
      </w:r>
      <w:r>
        <w:rPr>
          <w:rFonts w:ascii="Times New Roman" w:hAnsi="Times New Roman" w:cs="Times New Roman"/>
          <w:sz w:val="24"/>
        </w:rPr>
        <w:t>at source by the employer and credited to the Fund</w:t>
      </w:r>
    </w:p>
    <w:p w14:paraId="2071E42D">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Any change of job shall be communicated to the Chairman of the Committee within 30 days of resuming with his new employer with details of the new job</w:t>
      </w:r>
    </w:p>
    <w:p w14:paraId="3A1F0BE6">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Where the beneficiary is self-employed, he shall remit 10% of his total profit monthly to the Fund</w:t>
      </w:r>
    </w:p>
    <w:p w14:paraId="1742C82D">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 xml:space="preserve">For the purpose of subsection (4), a self-employed person shall within 60 </w:t>
      </w:r>
      <w:r>
        <w:rPr>
          <w:rFonts w:ascii="Times New Roman" w:hAnsi="Times New Roman" w:cs="Times New Roman"/>
          <w:sz w:val="24"/>
        </w:rPr>
        <w:tab/>
      </w:r>
      <w:r>
        <w:rPr>
          <w:rFonts w:ascii="Times New Roman" w:hAnsi="Times New Roman" w:cs="Times New Roman"/>
          <w:sz w:val="24"/>
        </w:rPr>
        <w:t xml:space="preserve">days of assuming that status submit all information such as name of business, address and location, registration documents, if registered, name of bankers, </w:t>
      </w:r>
      <w:r>
        <w:rPr>
          <w:rFonts w:ascii="Times New Roman" w:hAnsi="Times New Roman" w:cs="Times New Roman"/>
          <w:sz w:val="24"/>
        </w:rPr>
        <w:tab/>
      </w:r>
      <w:r>
        <w:rPr>
          <w:rFonts w:ascii="Times New Roman" w:hAnsi="Times New Roman" w:cs="Times New Roman"/>
          <w:sz w:val="24"/>
        </w:rPr>
        <w:t>names of partners, name of directors and shareholders to the Committee</w:t>
      </w:r>
    </w:p>
    <w:p w14:paraId="5E76E51F">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Any one in default of the provisions of subsection (5), or found to be aiding the default of subsection (5), commits an offence and is liable on conviction to a fine of N500,000 or imprisonment for a term of two years or both.</w:t>
      </w:r>
    </w:p>
    <w:p w14:paraId="5668CA59">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The provisions of the Public Officer Protection Act shall apply in relation </w:t>
      </w:r>
      <w:r>
        <w:rPr>
          <w:rFonts w:ascii="Times New Roman" w:hAnsi="Times New Roman" w:cs="Times New Roman"/>
          <w:sz w:val="24"/>
        </w:rPr>
        <w:tab/>
      </w:r>
      <w:r>
        <w:rPr>
          <w:rFonts w:ascii="Times New Roman" w:hAnsi="Times New Roman" w:cs="Times New Roman"/>
          <w:sz w:val="24"/>
        </w:rPr>
        <w:t>to any suit instituted against any officer of the Committee established under this Act.</w:t>
      </w:r>
    </w:p>
    <w:p w14:paraId="2733F361">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A suit shall not be commenced against a member of the Committee or the Secretary before the expiration of a period of one month after writing a notice of intention to commence the suit which shall have been served on the Committee by the intending plaintiff or his agent.</w:t>
      </w:r>
    </w:p>
    <w:p w14:paraId="356B1363">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The notice referred to in subsection (2) shall state, the cause of action, particulars of claims the name and place of abode of the intending plaintiff and the relief, which he claims.</w:t>
      </w:r>
    </w:p>
    <w:p w14:paraId="688981B3">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A notice, summons, or other documents required or authorised to be served on the Committee under the provisions of this Act or any other law or enactment may be served by delivering it to the Secretary or by sending it by registered post and addressed to the Secretary at the head office of the Central Bank of Nigeria.</w:t>
      </w:r>
    </w:p>
    <w:p w14:paraId="58A88C96">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The Committee shall, not later than four months after the end of year, submit to the President a report on the activities of the Fund and its administration </w:t>
      </w:r>
      <w:r>
        <w:rPr>
          <w:rFonts w:ascii="Times New Roman" w:hAnsi="Times New Roman" w:cs="Times New Roman"/>
          <w:sz w:val="24"/>
        </w:rPr>
        <w:tab/>
      </w:r>
      <w:r>
        <w:rPr>
          <w:rFonts w:ascii="Times New Roman" w:hAnsi="Times New Roman" w:cs="Times New Roman"/>
          <w:sz w:val="24"/>
        </w:rPr>
        <w:t>during the immediate preceding year and shall include in the report the audited accounts of the Fund and the auditor’s comment on the report.</w:t>
      </w:r>
    </w:p>
    <w:p w14:paraId="33B496ED">
      <w:pPr>
        <w:numPr>
          <w:ilvl w:val="0"/>
          <w:numId w:val="5"/>
        </w:numPr>
        <w:spacing w:line="480" w:lineRule="auto"/>
        <w:rPr>
          <w:rFonts w:ascii="Times New Roman" w:hAnsi="Times New Roman" w:cs="Times New Roman"/>
          <w:sz w:val="24"/>
        </w:rPr>
      </w:pPr>
      <w:r>
        <w:rPr>
          <w:rFonts w:ascii="Times New Roman" w:hAnsi="Times New Roman" w:cs="Times New Roman"/>
          <w:sz w:val="24"/>
        </w:rPr>
        <w:t>(1) The Nigerian Education Bank Cap. N104 Laws of the Federation of Nigeria, 2004 is repealed.</w:t>
      </w:r>
    </w:p>
    <w:p w14:paraId="320EC276">
      <w:pPr>
        <w:spacing w:line="480" w:lineRule="auto"/>
        <w:ind w:left="420"/>
        <w:rPr>
          <w:rFonts w:ascii="Times New Roman" w:hAnsi="Times New Roman" w:cs="Times New Roman"/>
          <w:sz w:val="24"/>
        </w:rPr>
      </w:pPr>
      <w:r>
        <w:rPr>
          <w:rFonts w:ascii="Times New Roman" w:hAnsi="Times New Roman" w:cs="Times New Roman"/>
          <w:sz w:val="24"/>
        </w:rPr>
        <w:t xml:space="preserve">(2) All assets, funds, resources and other moveable or immovable properties which immediately before the commencement of this Act were vested in the repealed Act shall by virtue of this Act be vested in the Fund established </w:t>
      </w:r>
      <w:r>
        <w:rPr>
          <w:rFonts w:ascii="Times New Roman" w:hAnsi="Times New Roman" w:cs="Times New Roman"/>
          <w:sz w:val="24"/>
        </w:rPr>
        <w:tab/>
      </w:r>
      <w:r>
        <w:rPr>
          <w:rFonts w:ascii="Times New Roman" w:hAnsi="Times New Roman" w:cs="Times New Roman"/>
          <w:sz w:val="24"/>
        </w:rPr>
        <w:t>under this Act. (Students Loans (Access to Higher Education) Act, 2023).</w:t>
      </w:r>
    </w:p>
    <w:p w14:paraId="6E6AC97C">
      <w:pPr>
        <w:pStyle w:val="2"/>
        <w:spacing w:before="0" w:line="480" w:lineRule="auto"/>
        <w:rPr>
          <w:rFonts w:ascii="Times New Roman" w:hAnsi="Times New Roman"/>
          <w:b w:val="0"/>
          <w:bCs w:val="0"/>
          <w:color w:val="auto"/>
          <w:sz w:val="24"/>
        </w:rPr>
      </w:pPr>
      <w:bookmarkStart w:id="21" w:name="_Toc170896417"/>
      <w:r>
        <w:rPr>
          <w:rFonts w:ascii="Times New Roman" w:hAnsi="Times New Roman"/>
          <w:color w:val="auto"/>
          <w:sz w:val="24"/>
        </w:rPr>
        <w:t>2.3.2 Students Loans (Access to Higher Education) (Repeal and Re-enactment) Act, 2024</w:t>
      </w:r>
      <w:bookmarkEnd w:id="21"/>
    </w:p>
    <w:p w14:paraId="11C0826D">
      <w:pPr>
        <w:spacing w:line="480" w:lineRule="auto"/>
        <w:ind w:firstLine="720"/>
        <w:rPr>
          <w:rFonts w:ascii="Times New Roman" w:hAnsi="Times New Roman" w:cs="Times New Roman"/>
          <w:sz w:val="24"/>
        </w:rPr>
      </w:pPr>
      <w:r>
        <w:rPr>
          <w:rFonts w:ascii="Times New Roman" w:hAnsi="Times New Roman" w:cs="Times New Roman"/>
          <w:sz w:val="24"/>
        </w:rPr>
        <w:t>The Students Loans (Access to Higher Education) (Repeal and Re-Enactment) Act, 2024 was an Executive Bill to repeal the Student Loans (Access to Higher Education) Act 2023. The 2023 Act was signed into law on Monday, 12th June 2023 while the Executive Bill was passed by the Senate and the House of Representatives of the National Assembly on Wednesday, 20th March 2024. The Bill was signed into law by the President on 3rd April 2024. The new Act makes the following key</w:t>
      </w:r>
    </w:p>
    <w:p w14:paraId="21584420">
      <w:pPr>
        <w:spacing w:line="480" w:lineRule="auto"/>
        <w:rPr>
          <w:rFonts w:ascii="Times New Roman" w:hAnsi="Times New Roman" w:cs="Times New Roman"/>
          <w:sz w:val="24"/>
        </w:rPr>
      </w:pPr>
      <w:r>
        <w:rPr>
          <w:rFonts w:ascii="Times New Roman" w:hAnsi="Times New Roman" w:cs="Times New Roman"/>
          <w:sz w:val="24"/>
        </w:rPr>
        <w:t>provisions:</w:t>
      </w:r>
    </w:p>
    <w:p w14:paraId="523A3FC3">
      <w:pPr>
        <w:numPr>
          <w:ilvl w:val="0"/>
          <w:numId w:val="12"/>
        </w:numPr>
        <w:spacing w:line="480" w:lineRule="auto"/>
        <w:rPr>
          <w:rFonts w:ascii="Times New Roman" w:hAnsi="Times New Roman" w:cs="Times New Roman"/>
          <w:sz w:val="24"/>
        </w:rPr>
      </w:pPr>
      <w:r>
        <w:rPr>
          <w:rFonts w:ascii="Times New Roman" w:hAnsi="Times New Roman" w:cs="Times New Roman"/>
          <w:sz w:val="24"/>
        </w:rPr>
        <w:t>Makes the Nigerian Education Loan Fund a body corporate that can sue and be sued.</w:t>
      </w:r>
    </w:p>
    <w:p w14:paraId="1FAD0843">
      <w:pPr>
        <w:numPr>
          <w:ilvl w:val="0"/>
          <w:numId w:val="12"/>
        </w:numPr>
        <w:spacing w:line="480" w:lineRule="auto"/>
        <w:rPr>
          <w:rFonts w:ascii="Times New Roman" w:hAnsi="Times New Roman" w:cs="Times New Roman"/>
          <w:sz w:val="24"/>
        </w:rPr>
      </w:pPr>
      <w:r>
        <w:rPr>
          <w:rFonts w:ascii="Times New Roman" w:hAnsi="Times New Roman" w:cs="Times New Roman"/>
          <w:sz w:val="24"/>
        </w:rPr>
        <w:t>Sets up a new administrative structure comprising of a Board of Directors to be headed by a non-executive Chairman anda management team led by a Managing Director.</w:t>
      </w:r>
    </w:p>
    <w:p w14:paraId="4C22C5CF">
      <w:pPr>
        <w:numPr>
          <w:ilvl w:val="0"/>
          <w:numId w:val="12"/>
        </w:numPr>
        <w:spacing w:line="480" w:lineRule="auto"/>
        <w:rPr>
          <w:rFonts w:ascii="Times New Roman" w:hAnsi="Times New Roman" w:cs="Times New Roman"/>
          <w:sz w:val="24"/>
        </w:rPr>
      </w:pPr>
      <w:r>
        <w:rPr>
          <w:rFonts w:ascii="Times New Roman" w:hAnsi="Times New Roman" w:cs="Times New Roman"/>
          <w:sz w:val="24"/>
        </w:rPr>
        <w:t>Tasks the Fund with investing monies and maintaining a diversified pool of funds to support student loans.</w:t>
      </w:r>
    </w:p>
    <w:p w14:paraId="6D0B7D60">
      <w:pPr>
        <w:numPr>
          <w:ilvl w:val="0"/>
          <w:numId w:val="12"/>
        </w:numPr>
        <w:spacing w:line="480" w:lineRule="auto"/>
        <w:rPr>
          <w:rFonts w:ascii="Times New Roman" w:hAnsi="Times New Roman" w:cs="Times New Roman"/>
          <w:sz w:val="24"/>
        </w:rPr>
      </w:pPr>
      <w:r>
        <w:rPr>
          <w:rFonts w:ascii="Times New Roman" w:hAnsi="Times New Roman" w:cs="Times New Roman"/>
          <w:sz w:val="24"/>
        </w:rPr>
        <w:t>Extends loan coverage to student maintenance allowance or upkeep in addition to tuition fees.</w:t>
      </w:r>
    </w:p>
    <w:p w14:paraId="6CD5AA48">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provision stating that loans are interest fee.</w:t>
      </w:r>
    </w:p>
    <w:p w14:paraId="5BF28743">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the N500,000 individual/family annual income threshold to access a loan.</w:t>
      </w:r>
    </w:p>
    <w:p w14:paraId="023BFFF8">
      <w:pPr>
        <w:numPr>
          <w:ilvl w:val="0"/>
          <w:numId w:val="12"/>
        </w:numPr>
        <w:spacing w:line="480" w:lineRule="auto"/>
        <w:rPr>
          <w:rFonts w:ascii="Times New Roman" w:hAnsi="Times New Roman" w:cs="Times New Roman"/>
          <w:sz w:val="24"/>
        </w:rPr>
      </w:pPr>
      <w:r>
        <w:rPr>
          <w:rFonts w:ascii="Times New Roman" w:hAnsi="Times New Roman" w:cs="Times New Roman"/>
          <w:sz w:val="24"/>
        </w:rPr>
        <w:t xml:space="preserve"> Mandates national spread and inclusion in disbursement of loans.</w:t>
      </w:r>
    </w:p>
    <w:p w14:paraId="52D76C6A">
      <w:pPr>
        <w:numPr>
          <w:ilvl w:val="0"/>
          <w:numId w:val="12"/>
        </w:numPr>
        <w:spacing w:line="480" w:lineRule="auto"/>
        <w:rPr>
          <w:rFonts w:ascii="Times New Roman" w:hAnsi="Times New Roman" w:cs="Times New Roman"/>
          <w:sz w:val="24"/>
        </w:rPr>
      </w:pPr>
      <w:r>
        <w:rPr>
          <w:rFonts w:ascii="Times New Roman" w:hAnsi="Times New Roman" w:cs="Times New Roman"/>
          <w:sz w:val="24"/>
        </w:rPr>
        <w:t xml:space="preserve"> Allows for exemptions in loan repayment in cases of death, hardship or for reasons of equity.</w:t>
      </w:r>
    </w:p>
    <w:p w14:paraId="2D66F581">
      <w:pPr>
        <w:numPr>
          <w:ilvl w:val="0"/>
          <w:numId w:val="12"/>
        </w:numPr>
        <w:spacing w:line="480" w:lineRule="auto"/>
        <w:rPr>
          <w:rFonts w:ascii="Times New Roman" w:hAnsi="Times New Roman" w:cs="Times New Roman"/>
          <w:sz w:val="24"/>
        </w:rPr>
      </w:pPr>
      <w:r>
        <w:rPr>
          <w:rFonts w:ascii="Times New Roman" w:hAnsi="Times New Roman" w:cs="Times New Roman"/>
          <w:sz w:val="24"/>
        </w:rPr>
        <w:t>Dispenses with the application procedure in the current law including requirement of two loan guarantors. Directs the Board to outline the application procedure and criteria via regulations.</w:t>
      </w:r>
    </w:p>
    <w:p w14:paraId="61E51BEB">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provision that disqualifies any applicant whose parent had previously defaulted on a loan.</w:t>
      </w:r>
    </w:p>
    <w:p w14:paraId="2D6D0035">
      <w:pPr>
        <w:numPr>
          <w:ilvl w:val="0"/>
          <w:numId w:val="12"/>
        </w:numPr>
        <w:spacing w:line="480" w:lineRule="auto"/>
        <w:rPr>
          <w:rFonts w:ascii="Times New Roman" w:hAnsi="Times New Roman" w:cs="Times New Roman"/>
          <w:sz w:val="24"/>
        </w:rPr>
      </w:pPr>
      <w:r>
        <w:rPr>
          <w:rFonts w:ascii="Times New Roman" w:hAnsi="Times New Roman" w:cs="Times New Roman"/>
          <w:sz w:val="24"/>
        </w:rPr>
        <w:t>Restricts beneficiaries of previous government loans or scholarship schemes from accessing student loans.</w:t>
      </w:r>
    </w:p>
    <w:p w14:paraId="49ADB211">
      <w:pPr>
        <w:numPr>
          <w:ilvl w:val="0"/>
          <w:numId w:val="12"/>
        </w:numPr>
        <w:spacing w:line="480" w:lineRule="auto"/>
        <w:rPr>
          <w:rFonts w:ascii="Times New Roman" w:hAnsi="Times New Roman" w:cs="Times New Roman"/>
          <w:sz w:val="24"/>
        </w:rPr>
      </w:pPr>
      <w:r>
        <w:rPr>
          <w:rFonts w:ascii="Times New Roman" w:hAnsi="Times New Roman" w:cs="Times New Roman"/>
          <w:sz w:val="24"/>
        </w:rPr>
        <w:t>Imposes a statutory duty on employers to find out the student loan status of their employees under the threat of a fine and/or jail term. (Students Loans (Access to Higher Education) Act, 2024).</w:t>
      </w:r>
    </w:p>
    <w:p w14:paraId="27951496">
      <w:pPr>
        <w:pStyle w:val="2"/>
        <w:spacing w:before="0" w:line="480" w:lineRule="auto"/>
        <w:rPr>
          <w:rFonts w:ascii="Times New Roman" w:hAnsi="Times New Roman"/>
          <w:color w:val="auto"/>
          <w:sz w:val="24"/>
        </w:rPr>
      </w:pPr>
      <w:bookmarkStart w:id="22" w:name="_Toc170896418"/>
      <w:r>
        <w:rPr>
          <w:rFonts w:ascii="Times New Roman" w:hAnsi="Times New Roman"/>
          <w:color w:val="auto"/>
          <w:sz w:val="24"/>
        </w:rPr>
        <w:t>2.3.3</w:t>
      </w:r>
      <w:r>
        <w:rPr>
          <w:rFonts w:ascii="Times New Roman" w:hAnsi="Times New Roman"/>
          <w:color w:val="auto"/>
          <w:sz w:val="24"/>
        </w:rPr>
        <w:tab/>
      </w:r>
      <w:r>
        <w:rPr>
          <w:rFonts w:ascii="Times New Roman" w:hAnsi="Times New Roman"/>
          <w:color w:val="auto"/>
          <w:sz w:val="24"/>
        </w:rPr>
        <w:t>Scope and Structure</w:t>
      </w:r>
      <w:bookmarkEnd w:id="22"/>
    </w:p>
    <w:p w14:paraId="1D43933D">
      <w:pPr>
        <w:spacing w:line="480" w:lineRule="auto"/>
        <w:rPr>
          <w:rFonts w:ascii="Times New Roman" w:hAnsi="Times New Roman" w:cs="Times New Roman"/>
          <w:b/>
          <w:bCs/>
          <w:sz w:val="24"/>
        </w:rPr>
      </w:pPr>
      <w:r>
        <w:rPr>
          <w:rFonts w:ascii="Times New Roman" w:hAnsi="Times New Roman" w:cs="Times New Roman"/>
          <w:sz w:val="24"/>
        </w:rPr>
        <w:t>The Act is structured into six parts - Parts I to VI and divided into 37 sections. The sections in Part I provide for the establishment, objectives, powers, functions etc. of the Nigerian Education Loan Fund. Part II deals with the board of directors, management and administration. The sections elaborate on the responsibilities, composition, appointment, removal and tenure of the board of directors, the Managing Director, Executive Directors and Staff of the Fund. Part III states the financial provisions- funding, finance, accounts, audit, annual reports etc. Part IV deals with the administration of the Students Higher Education Loan Scheme, eligibility of applicants, disqualification and how the funds are to be disbursed. Part V deals with protection against adverse claims, indemnity etc. and Part VI makes miscellaneous provisions (Students Loans (Access to Higher Education) Act, 2024).</w:t>
      </w:r>
    </w:p>
    <w:p w14:paraId="44744F58">
      <w:pPr>
        <w:pStyle w:val="2"/>
        <w:spacing w:before="0" w:line="480" w:lineRule="auto"/>
        <w:rPr>
          <w:rFonts w:ascii="Times New Roman" w:hAnsi="Times New Roman"/>
          <w:b w:val="0"/>
          <w:bCs w:val="0"/>
          <w:color w:val="auto"/>
          <w:sz w:val="24"/>
        </w:rPr>
      </w:pPr>
      <w:bookmarkStart w:id="23" w:name="_Toc170896419"/>
      <w:r>
        <w:rPr>
          <w:rFonts w:ascii="Times New Roman" w:hAnsi="Times New Roman"/>
          <w:color w:val="auto"/>
          <w:sz w:val="24"/>
        </w:rPr>
        <w:t>2.3.4 Key Provisions</w:t>
      </w:r>
      <w:bookmarkEnd w:id="23"/>
    </w:p>
    <w:p w14:paraId="3D14C80C">
      <w:pPr>
        <w:spacing w:line="480" w:lineRule="auto"/>
        <w:rPr>
          <w:rFonts w:ascii="Times New Roman" w:hAnsi="Times New Roman"/>
          <w:sz w:val="24"/>
        </w:rPr>
      </w:pPr>
      <w:r>
        <w:rPr>
          <w:rFonts w:ascii="Times New Roman" w:hAnsi="Times New Roman"/>
          <w:sz w:val="24"/>
        </w:rPr>
        <w:t>Student Loans (Access to Higher Education) (Repeal and Re-enactment) Act, 2024 sufficiently includes the following amendments:</w:t>
      </w:r>
    </w:p>
    <w:p w14:paraId="614B4F78">
      <w:pPr>
        <w:numPr>
          <w:ilvl w:val="0"/>
          <w:numId w:val="13"/>
        </w:numPr>
        <w:spacing w:line="480" w:lineRule="auto"/>
        <w:rPr>
          <w:rFonts w:ascii="Times New Roman" w:hAnsi="Times New Roman"/>
          <w:sz w:val="24"/>
        </w:rPr>
      </w:pPr>
      <w:r>
        <w:rPr>
          <w:rFonts w:ascii="Times New Roman" w:hAnsi="Times New Roman"/>
          <w:sz w:val="24"/>
        </w:rPr>
        <w:t>Establishes the Nigeria Education Loan Fund (NELFUND) as a body corporate that can sue and be sued in its name and has the power to acquire, hold, and dispose of movable and immovable property for the purpose of its functions. This ensures that the Fund can legally enter contracts, including loan agreements, and may also initiate action to ensure repayment by beneficiaries.</w:t>
      </w:r>
    </w:p>
    <w:p w14:paraId="2134AA01">
      <w:pPr>
        <w:numPr>
          <w:ilvl w:val="0"/>
          <w:numId w:val="13"/>
        </w:numPr>
        <w:spacing w:line="480" w:lineRule="auto"/>
        <w:rPr>
          <w:rFonts w:ascii="Times New Roman" w:hAnsi="Times New Roman"/>
          <w:sz w:val="24"/>
        </w:rPr>
      </w:pPr>
      <w:r>
        <w:rPr>
          <w:rFonts w:ascii="Times New Roman" w:hAnsi="Times New Roman"/>
          <w:sz w:val="24"/>
        </w:rPr>
        <w:t>Empowers the Fund to provide loans to qualified Nigerians for tuition, fees, charges, and upkeep during their studies in approved tertiary academic institutions and vocational and skills acquisition institutions in Nigeria. Build, operate, and maintain a diversified pool of funds to provide loans to qualified applicants and ensure access to higher education, vocational training, and skills acquisition. These amendments ensure that students can apply for and receive loans to cover tuition, institutional charges, and some upkeep.</w:t>
      </w:r>
    </w:p>
    <w:p w14:paraId="7C6AA20E">
      <w:pPr>
        <w:numPr>
          <w:ilvl w:val="0"/>
          <w:numId w:val="13"/>
        </w:numPr>
        <w:spacing w:line="480" w:lineRule="auto"/>
        <w:rPr>
          <w:rFonts w:ascii="Times New Roman" w:hAnsi="Times New Roman"/>
          <w:sz w:val="24"/>
        </w:rPr>
      </w:pPr>
      <w:r>
        <w:rPr>
          <w:rFonts w:ascii="Times New Roman" w:hAnsi="Times New Roman"/>
          <w:sz w:val="24"/>
        </w:rPr>
        <w:t>Separates the governance functions from the management operations of NELFUND by establishing a board of directors with a chairman and a secretary. The board’s members are drawn from relevant ministries, regulatory bodies, and participating agencies, including the Federal Ministries of Finance and Education, the FIRS, NIMC, NUC, NBTE, and NCCE, as well as representatives of universities, polytechnics, colleges of education, students of tertiary institutions, and the organized private sector.</w:t>
      </w:r>
    </w:p>
    <w:p w14:paraId="21D7EE0C">
      <w:pPr>
        <w:numPr>
          <w:ilvl w:val="0"/>
          <w:numId w:val="14"/>
        </w:numPr>
        <w:spacing w:line="480" w:lineRule="auto"/>
        <w:rPr>
          <w:rFonts w:ascii="Times New Roman" w:hAnsi="Times New Roman"/>
          <w:sz w:val="24"/>
        </w:rPr>
      </w:pPr>
      <w:r>
        <w:rPr>
          <w:rFonts w:ascii="Times New Roman" w:hAnsi="Times New Roman"/>
          <w:sz w:val="24"/>
        </w:rPr>
        <w:t>Establishes a management team led by a managing director, including executive directors responsible for the day-to-day management and operations of the Fund.</w:t>
      </w:r>
    </w:p>
    <w:p w14:paraId="73D3F8AE">
      <w:pPr>
        <w:numPr>
          <w:ilvl w:val="0"/>
          <w:numId w:val="14"/>
        </w:numPr>
        <w:spacing w:line="480" w:lineRule="auto"/>
        <w:rPr>
          <w:rFonts w:ascii="Times New Roman" w:hAnsi="Times New Roman"/>
          <w:sz w:val="24"/>
        </w:rPr>
      </w:pPr>
      <w:r>
        <w:rPr>
          <w:rFonts w:ascii="Times New Roman" w:hAnsi="Times New Roman"/>
          <w:sz w:val="24"/>
        </w:rPr>
        <w:t>The President of the Federal Republic of Nigeria appoints the Board and Management.</w:t>
      </w:r>
    </w:p>
    <w:p w14:paraId="25F81F80">
      <w:pPr>
        <w:numPr>
          <w:ilvl w:val="0"/>
          <w:numId w:val="13"/>
        </w:numPr>
        <w:spacing w:line="480" w:lineRule="auto"/>
        <w:rPr>
          <w:rFonts w:ascii="Times New Roman" w:hAnsi="Times New Roman"/>
          <w:sz w:val="24"/>
        </w:rPr>
      </w:pPr>
      <w:r>
        <w:rPr>
          <w:rFonts w:ascii="Times New Roman" w:hAnsi="Times New Roman"/>
          <w:sz w:val="24"/>
        </w:rPr>
        <w:t>Properly defines the resource structure of the Fund by, among other things, establishing the General Reserve Fund into which shall be paid 1 percent of all taxes, levies, and duties collected by the Federal Inland Revenue Service and accruing to the benefit of the Federal Government, and From which the Fund shall pay amounts payable as loans to qualified applicants for tuition, fees, charges, and upkeep, as well as the Fund’s operational expenses and such expenditures necessary to attaining the Fund’s objectives and functions.</w:t>
      </w:r>
    </w:p>
    <w:p w14:paraId="3ADD47BE">
      <w:pPr>
        <w:spacing w:line="480" w:lineRule="auto"/>
        <w:rPr>
          <w:rFonts w:ascii="Times New Roman" w:hAnsi="Times New Roman" w:cs="Times New Roman"/>
          <w:sz w:val="24"/>
        </w:rPr>
      </w:pPr>
      <w:r>
        <w:rPr>
          <w:rFonts w:ascii="Times New Roman" w:hAnsi="Times New Roman" w:cs="Times New Roman"/>
          <w:b/>
          <w:bCs/>
          <w:sz w:val="24"/>
        </w:rPr>
        <w:t>The Nigerian Education Loan Fund</w:t>
      </w:r>
      <w:r>
        <w:rPr>
          <w:rFonts w:ascii="Times New Roman" w:hAnsi="Times New Roman" w:cs="Times New Roman"/>
          <w:sz w:val="24"/>
        </w:rPr>
        <w:t xml:space="preserve"> </w:t>
      </w:r>
    </w:p>
    <w:p w14:paraId="5616207C">
      <w:pPr>
        <w:spacing w:line="480" w:lineRule="auto"/>
        <w:rPr>
          <w:rFonts w:ascii="Times New Roman" w:hAnsi="Times New Roman" w:cs="Times New Roman"/>
          <w:sz w:val="24"/>
        </w:rPr>
      </w:pPr>
      <w:r>
        <w:rPr>
          <w:rFonts w:ascii="Times New Roman" w:hAnsi="Times New Roman" w:cs="Times New Roman"/>
          <w:sz w:val="24"/>
        </w:rPr>
        <w:t>The 2024 Act expands the objectives of the Nigerian Education Loan Fund referred to as “the Fund” which is set up to provide financial assistance to individuals pursuing higher education. The main objective of the Fund is to “provide loans to qualified Nigerians to pay for tuition, fees, charges and upkeep during their course of study in approved tertiary education institutions and vocational and skills acquisition institutions in Nigeria”.</w:t>
      </w:r>
    </w:p>
    <w:p w14:paraId="29E9146F">
      <w:pPr>
        <w:spacing w:line="480" w:lineRule="auto"/>
        <w:rPr>
          <w:rFonts w:ascii="Times New Roman" w:hAnsi="Times New Roman" w:cs="Times New Roman"/>
          <w:b/>
          <w:bCs/>
          <w:sz w:val="24"/>
        </w:rPr>
      </w:pPr>
      <w:r>
        <w:rPr>
          <w:rFonts w:ascii="Times New Roman" w:hAnsi="Times New Roman" w:cs="Times New Roman"/>
          <w:b/>
          <w:bCs/>
          <w:sz w:val="24"/>
        </w:rPr>
        <w:t>Loan Eligibility Criteria</w:t>
      </w:r>
    </w:p>
    <w:p w14:paraId="6DC1A290">
      <w:pPr>
        <w:spacing w:line="480" w:lineRule="auto"/>
        <w:rPr>
          <w:rFonts w:ascii="Times New Roman" w:hAnsi="Times New Roman" w:cs="Times New Roman"/>
          <w:sz w:val="24"/>
        </w:rPr>
      </w:pPr>
      <w:r>
        <w:rPr>
          <w:rFonts w:ascii="Times New Roman" w:hAnsi="Times New Roman" w:cs="Times New Roman"/>
          <w:sz w:val="24"/>
        </w:rPr>
        <w:t>Eligibility for student loans under this Act is contingent upon meeting certain criteria, such as being a Nigerian Citizen, admission into higher education institutions established by the Federal Government or state Government (universities, polytechnics and colleges of education), admissions into a vocational or skills acquisition school licensed by the Federal Government. Identification including biometrics will be provided as part of the application for the purpose of recovery and disbursement of loans. Additionally, the Board shall have the power to make specific regulations regarding the method and process of loan applications and the criteria for granting loans in each financial year (Students Loans (Access to Higher Education) Act, 2024).</w:t>
      </w:r>
    </w:p>
    <w:p w14:paraId="073F8D5D">
      <w:pPr>
        <w:spacing w:line="480" w:lineRule="auto"/>
        <w:rPr>
          <w:rFonts w:ascii="Times New Roman" w:hAnsi="Times New Roman" w:cs="Times New Roman"/>
          <w:b/>
          <w:bCs/>
          <w:sz w:val="24"/>
        </w:rPr>
      </w:pPr>
      <w:r>
        <w:rPr>
          <w:rFonts w:ascii="Times New Roman" w:hAnsi="Times New Roman" w:cs="Times New Roman"/>
          <w:b/>
          <w:bCs/>
          <w:sz w:val="24"/>
        </w:rPr>
        <w:t>National Spread and Inclusion</w:t>
      </w:r>
    </w:p>
    <w:p w14:paraId="18840D1E">
      <w:pPr>
        <w:spacing w:line="480" w:lineRule="auto"/>
        <w:rPr>
          <w:rFonts w:ascii="Times New Roman" w:hAnsi="Times New Roman" w:cs="Times New Roman"/>
          <w:b/>
          <w:bCs/>
          <w:sz w:val="24"/>
        </w:rPr>
      </w:pPr>
      <w:r>
        <w:rPr>
          <w:rFonts w:ascii="Times New Roman" w:hAnsi="Times New Roman" w:cs="Times New Roman"/>
          <w:sz w:val="24"/>
        </w:rPr>
        <w:t>The Act seeks to provide for national spread and inclusion by stating that a “minimum national spread of loans approved and disbursed in each financial year; and approval and disbursement of loans under this Act shall be subject to the availability of funds and principles of justice, fairness and inclusion”.</w:t>
      </w:r>
    </w:p>
    <w:p w14:paraId="29CD6D9E">
      <w:pPr>
        <w:spacing w:line="480" w:lineRule="auto"/>
        <w:rPr>
          <w:rFonts w:ascii="Times New Roman" w:hAnsi="Times New Roman" w:cs="Times New Roman"/>
          <w:b/>
          <w:bCs/>
          <w:sz w:val="24"/>
        </w:rPr>
      </w:pPr>
      <w:r>
        <w:rPr>
          <w:rFonts w:ascii="Times New Roman" w:hAnsi="Times New Roman" w:cs="Times New Roman"/>
          <w:b/>
          <w:bCs/>
          <w:sz w:val="24"/>
        </w:rPr>
        <w:t>Terms and Conditions</w:t>
      </w:r>
    </w:p>
    <w:p w14:paraId="6E2D321F">
      <w:pPr>
        <w:spacing w:line="480" w:lineRule="auto"/>
        <w:rPr>
          <w:rFonts w:ascii="Times New Roman" w:hAnsi="Times New Roman" w:cs="Times New Roman"/>
          <w:sz w:val="24"/>
        </w:rPr>
      </w:pPr>
      <w:r>
        <w:rPr>
          <w:rFonts w:ascii="Times New Roman" w:hAnsi="Times New Roman" w:cs="Times New Roman"/>
          <w:sz w:val="24"/>
        </w:rPr>
        <w:t>Time frame for applications and decisions regarding approval, rejection or disbursement is within thirty days of application. The loan covers tuition and other fees payable to the school as well as maintenance allowance payable to the student.</w:t>
      </w:r>
    </w:p>
    <w:p w14:paraId="56E8C80C">
      <w:pPr>
        <w:spacing w:line="480" w:lineRule="auto"/>
        <w:rPr>
          <w:rFonts w:ascii="Times New Roman" w:hAnsi="Times New Roman" w:cs="Times New Roman"/>
          <w:b/>
          <w:bCs/>
          <w:sz w:val="24"/>
        </w:rPr>
      </w:pPr>
      <w:r>
        <w:rPr>
          <w:rFonts w:ascii="Times New Roman" w:hAnsi="Times New Roman" w:cs="Times New Roman"/>
          <w:b/>
          <w:bCs/>
          <w:sz w:val="24"/>
        </w:rPr>
        <w:t>Duty of Employers</w:t>
      </w:r>
    </w:p>
    <w:p w14:paraId="3B4F46B5">
      <w:pPr>
        <w:spacing w:line="480" w:lineRule="auto"/>
        <w:rPr>
          <w:rFonts w:ascii="Times New Roman" w:hAnsi="Times New Roman" w:cs="Times New Roman"/>
          <w:sz w:val="24"/>
        </w:rPr>
      </w:pPr>
      <w:r>
        <w:rPr>
          <w:rFonts w:ascii="Times New Roman" w:hAnsi="Times New Roman" w:cs="Times New Roman"/>
          <w:sz w:val="24"/>
        </w:rPr>
        <w:t>All employers are bound to enquire from the Fund as to the student loan status of prospective employees. An employer who is informed that their employee is a beneficiary of student loans from the Fund who has not completed repayment, shall provide such information as the Fund may require to initiate collection of the loan and any charges from the beneficiary. Any individual employer or a director or officer of a corporate employer who is involved in contravention of these provisions is guilty of an offence and shall be liable on conviction to a fine of not less than N2,000,000 or imprisonment for a term of not less than one year or both.</w:t>
      </w:r>
    </w:p>
    <w:p w14:paraId="6B585921">
      <w:pPr>
        <w:spacing w:line="480" w:lineRule="auto"/>
        <w:rPr>
          <w:rFonts w:ascii="Times New Roman" w:hAnsi="Times New Roman" w:cs="Times New Roman"/>
          <w:b/>
          <w:bCs/>
          <w:sz w:val="24"/>
        </w:rPr>
      </w:pPr>
      <w:r>
        <w:rPr>
          <w:rFonts w:ascii="Times New Roman" w:hAnsi="Times New Roman" w:cs="Times New Roman"/>
          <w:b/>
          <w:bCs/>
          <w:sz w:val="24"/>
        </w:rPr>
        <w:t>Establishment of the General Reserve Fund</w:t>
      </w:r>
    </w:p>
    <w:p w14:paraId="37603CDA">
      <w:pPr>
        <w:spacing w:line="480" w:lineRule="auto"/>
        <w:rPr>
          <w:rFonts w:ascii="Times New Roman" w:hAnsi="Times New Roman" w:cs="Times New Roman"/>
          <w:sz w:val="24"/>
        </w:rPr>
      </w:pPr>
      <w:r>
        <w:rPr>
          <w:rFonts w:ascii="Times New Roman" w:hAnsi="Times New Roman" w:cs="Times New Roman"/>
          <w:sz w:val="24"/>
        </w:rPr>
        <w:t>The General Reserve Fund shall receive funds from 1% of all taxes, levies and duties collected by the Federal Inland Revenue Service, and accruing to the benefit of the Federal Government of Nigeria; all sums which may from time to time be appropriated to the Fund by an Act of the National Assembly; repayment of capital and interest on any loan granted by the Fund; investment income of the Fund; monies from education bonds or other debt instruments; monies from the Federal Government of Nigeria, as may be directed and approved by the President; all sums collected as charges and fees by the Fund in the course of discharging its functions under this Act; all sums accruing to the Fund by way of donations, gifts, grants, and endowments.</w:t>
      </w:r>
    </w:p>
    <w:p w14:paraId="020B4666">
      <w:pPr>
        <w:spacing w:line="480" w:lineRule="auto"/>
        <w:rPr>
          <w:rFonts w:ascii="Times New Roman" w:hAnsi="Times New Roman" w:cs="Times New Roman"/>
          <w:b/>
          <w:bCs/>
          <w:sz w:val="24"/>
        </w:rPr>
      </w:pPr>
      <w:r>
        <w:rPr>
          <w:rFonts w:ascii="Times New Roman" w:hAnsi="Times New Roman" w:cs="Times New Roman"/>
          <w:b/>
          <w:bCs/>
          <w:sz w:val="24"/>
        </w:rPr>
        <w:t>Repayment Plan</w:t>
      </w:r>
    </w:p>
    <w:p w14:paraId="05986A4F">
      <w:pPr>
        <w:spacing w:line="480" w:lineRule="auto"/>
        <w:rPr>
          <w:rFonts w:ascii="Times New Roman" w:hAnsi="Times New Roman" w:cs="Times New Roman"/>
          <w:sz w:val="24"/>
        </w:rPr>
      </w:pPr>
      <w:r>
        <w:rPr>
          <w:rFonts w:ascii="Times New Roman" w:hAnsi="Times New Roman" w:cs="Times New Roman"/>
          <w:sz w:val="24"/>
        </w:rPr>
        <w:t>The Act includes provisions for repayment aimed at easing the financial burden on borrowers, such as providing for a two-year period upon graduation from the course for which the loan was obtained, having secured employment in any capacity to commence repayment. Furthermore, the Fund shall not initiate enforcement action against any beneficiary of loans from the Fund until two years after the completion of the National Youth Service Corps (NYSC) programme or exemption therefrom. Repayment of the loan shall be by monthly deductions not exceeding 10% of the beneficiary’s gross income until the loan and all charges are repaid to the Fund. It gives allowance for an extension where the beneficiary is unemployed.</w:t>
      </w:r>
    </w:p>
    <w:p w14:paraId="14CA8E9E">
      <w:pPr>
        <w:spacing w:line="480" w:lineRule="auto"/>
        <w:ind w:firstLine="720"/>
        <w:rPr>
          <w:rFonts w:ascii="Times New Roman" w:hAnsi="Times New Roman" w:cs="Times New Roman"/>
          <w:sz w:val="24"/>
        </w:rPr>
      </w:pPr>
    </w:p>
    <w:p w14:paraId="43331578">
      <w:pPr>
        <w:pStyle w:val="2"/>
        <w:spacing w:before="0" w:line="480" w:lineRule="auto"/>
        <w:rPr>
          <w:rFonts w:ascii="Times New Roman" w:hAnsi="Times New Roman"/>
          <w:b w:val="0"/>
          <w:bCs w:val="0"/>
          <w:color w:val="auto"/>
          <w:sz w:val="24"/>
        </w:rPr>
      </w:pPr>
      <w:bookmarkStart w:id="24" w:name="_Toc170896420"/>
      <w:r>
        <w:rPr>
          <w:rFonts w:ascii="Times New Roman" w:hAnsi="Times New Roman"/>
          <w:color w:val="auto"/>
          <w:sz w:val="24"/>
        </w:rPr>
        <w:t>2.4 Awareness of Educational loan scheme</w:t>
      </w:r>
      <w:bookmarkEnd w:id="24"/>
    </w:p>
    <w:p w14:paraId="19CB72FB">
      <w:pPr>
        <w:pStyle w:val="2"/>
        <w:spacing w:before="0" w:line="480" w:lineRule="auto"/>
        <w:rPr>
          <w:rFonts w:ascii="Times New Roman" w:hAnsi="Times New Roman"/>
          <w:color w:val="auto"/>
          <w:sz w:val="24"/>
        </w:rPr>
      </w:pPr>
      <w:bookmarkStart w:id="25" w:name="_Toc170896421"/>
      <w:r>
        <w:rPr>
          <w:rFonts w:ascii="Times New Roman" w:hAnsi="Times New Roman"/>
          <w:color w:val="auto"/>
          <w:sz w:val="24"/>
        </w:rPr>
        <w:t>2.4.1 Nigerian Students Loan Board (NSLB) 1972 - 1992</w:t>
      </w:r>
      <w:bookmarkEnd w:id="25"/>
    </w:p>
    <w:p w14:paraId="247EBF22">
      <w:pPr>
        <w:spacing w:line="480" w:lineRule="auto"/>
        <w:rPr>
          <w:rFonts w:ascii="Times New Roman" w:hAnsi="Times New Roman" w:cs="Times New Roman"/>
          <w:sz w:val="24"/>
        </w:rPr>
      </w:pPr>
      <w:r>
        <w:rPr>
          <w:rFonts w:ascii="Times New Roman" w:hAnsi="Times New Roman" w:cs="Times New Roman"/>
          <w:sz w:val="24"/>
        </w:rPr>
        <w:t>Nigeria's previous attempts at providing student loans faced significant challenges. In 1972, the Nigerian Students Loans Board (NSLB) was created to grant loans to indigent Nigerian students studying within the country. It aimed to assist students in completing their education and recover the loans later. This decree was replaced by subsequent ones in 1976 and 1988, allowing loans for foreign education and addressing issues in the earlier decrees.</w:t>
      </w:r>
    </w:p>
    <w:p w14:paraId="766494DD">
      <w:pPr>
        <w:spacing w:line="480" w:lineRule="auto"/>
        <w:rPr>
          <w:rFonts w:ascii="Times New Roman" w:hAnsi="Times New Roman" w:cs="Times New Roman"/>
          <w:sz w:val="24"/>
        </w:rPr>
      </w:pPr>
      <w:r>
        <w:rPr>
          <w:rFonts w:ascii="Times New Roman" w:hAnsi="Times New Roman" w:cs="Times New Roman"/>
          <w:sz w:val="24"/>
        </w:rPr>
        <w:t>It's important to note that during the initial decree, there were only six federally owned universities in Nigeria. Under the 1988 decree, the maximum loan for Nigerian university students was NGN1,000 per year, with a total of NGN5,000, while overseas students could receive NGN5,000 for tuition, books, and living expenses, with a 7 percent interest rate for 10 years. Repayment was due two years after graduation or upon employment, with two guarantors required (Chuta, 1992). From 1972 to 1992, the NSLB disbursed NGN46 million in loans but faced a low 13 percent loan recovery rate. This was due to gaps in the loan system's regulations, administrative and resource challenges within the NSLB, and cultural factors, including a lack of enthusiasm for loan repayment. Recognizing the need for accessible financial assistance, Nigeria established the Nigerian Education Bank (NEB) to replace the NSLB in 1993.</w:t>
      </w:r>
    </w:p>
    <w:p w14:paraId="0BAFE8B6">
      <w:pPr>
        <w:pStyle w:val="2"/>
        <w:spacing w:before="0" w:line="480" w:lineRule="auto"/>
        <w:rPr>
          <w:rFonts w:ascii="Times New Roman" w:hAnsi="Times New Roman"/>
          <w:color w:val="auto"/>
          <w:sz w:val="24"/>
        </w:rPr>
      </w:pPr>
      <w:bookmarkStart w:id="26" w:name="_Toc170896422"/>
      <w:r>
        <w:rPr>
          <w:rFonts w:ascii="Times New Roman" w:hAnsi="Times New Roman"/>
          <w:color w:val="auto"/>
          <w:sz w:val="24"/>
        </w:rPr>
        <w:t>2.4.2 Nigerian Education Bank (EDUBANK) (1993 - 2023)</w:t>
      </w:r>
      <w:bookmarkEnd w:id="26"/>
    </w:p>
    <w:p w14:paraId="767F3C7F">
      <w:pPr>
        <w:spacing w:line="480" w:lineRule="auto"/>
        <w:rPr>
          <w:rFonts w:ascii="Times New Roman" w:hAnsi="Times New Roman" w:cs="Times New Roman"/>
          <w:sz w:val="24"/>
        </w:rPr>
      </w:pPr>
      <w:r>
        <w:rPr>
          <w:rFonts w:ascii="Times New Roman" w:hAnsi="Times New Roman" w:cs="Times New Roman"/>
          <w:sz w:val="24"/>
        </w:rPr>
        <w:t>In 1993, the Nigerian Education Bank came into existence through the enactment of Decree No. 50 of 1993. It was established with a share capital of NGN400 million, divided into 400 million shares valued at NGN1 each. The bank was set up to harness private capital to fund the education system and reduce the funding burden on the FG. Its functions fell into four broad categories: educational lending and recovery, project financing, funds mobilizations, and provision of advisory services. Primarily, its responsibility was to approve and distribute loans within the higher education ecosystem, including students, researchers, publishers, conference organizers, and alumni associations. Under the Decree, the bank was endowed with an N200 million Students Loan Revolving Fund, provided by the Federal Government, aimed at granting loans to students pursuing higher education (Decree No. 50, 1993) (Chuta, 1998). In 2004, the Nigerian Education Bank Act was passed. Despite having legal support, the Nigerian Education Bank never commenced operations.</w:t>
      </w:r>
    </w:p>
    <w:p w14:paraId="0A40BEB0">
      <w:pPr>
        <w:pStyle w:val="2"/>
        <w:spacing w:before="0" w:line="480" w:lineRule="auto"/>
        <w:rPr>
          <w:rFonts w:ascii="Times New Roman" w:hAnsi="Times New Roman"/>
          <w:color w:val="auto"/>
          <w:sz w:val="24"/>
        </w:rPr>
      </w:pPr>
      <w:bookmarkStart w:id="27" w:name="_Toc170896423"/>
      <w:r>
        <w:rPr>
          <w:rFonts w:ascii="Times New Roman" w:hAnsi="Times New Roman"/>
          <w:color w:val="auto"/>
          <w:sz w:val="24"/>
        </w:rPr>
        <w:t>2.4.3 Nigerian Education Loan Fund (NELF) 2023</w:t>
      </w:r>
      <w:bookmarkEnd w:id="27"/>
    </w:p>
    <w:p w14:paraId="76B18350">
      <w:pPr>
        <w:spacing w:line="480" w:lineRule="auto"/>
        <w:rPr>
          <w:rFonts w:ascii="Times New Roman" w:hAnsi="Times New Roman" w:cs="Times New Roman"/>
          <w:sz w:val="24"/>
        </w:rPr>
      </w:pPr>
      <w:r>
        <w:rPr>
          <w:rFonts w:ascii="Times New Roman" w:hAnsi="Times New Roman" w:cs="Times New Roman"/>
          <w:sz w:val="24"/>
        </w:rPr>
        <w:t>The Students Loans (Access to Higher Education) Act 2023 repealed the Nigerian Education Bank Act of 2004 and established the Nigerian Education Loan Fund (NELF) to provide interest-free loans for economically disadvantaged students, specifically covering tuition fees for those pursuing higher education in public institutions in Nigeria. The Fund will be managed by the Central Bank of Nigeria and disbursed through Deposit Money Banks (DMBs). Its funding sources include education bonds, endowment funds, 1 percent of various taxes and duties collected by the Federal Government, 1 percent of profits from oil and minerals, as well as donations and grants.</w:t>
      </w:r>
    </w:p>
    <w:p w14:paraId="61F0B585">
      <w:pPr>
        <w:spacing w:line="480" w:lineRule="auto"/>
        <w:rPr>
          <w:rFonts w:ascii="Times New Roman" w:hAnsi="Times New Roman" w:cs="Times New Roman"/>
          <w:sz w:val="24"/>
        </w:rPr>
      </w:pPr>
      <w:r>
        <w:rPr>
          <w:rFonts w:ascii="Times New Roman" w:hAnsi="Times New Roman" w:cs="Times New Roman"/>
          <w:sz w:val="24"/>
        </w:rPr>
        <w:t>To qualify for a loan under this Act, applicants must gain admission into public universities, polytechnics, colleges of education, or vocational schools. Their income or family income should not exceed NGN500,000 annually (NGN42,000 per month). Applicants must also provide at least two guarantors, who must be civil servants of at least level 12, lawyers with a minimum of 10 years post-call experience, judicial officers, or justices of the peace. Ineligible applicants include those with prior loan defaults, involvement in exam malpractice, convictions for felonies, dishonesty, fraud, drug offences, or if their parents have defaulted on loans. Loan repayment begins two years after completing the National Youth Service Corps (NYSC) program and involves a direct deduction of 10 percent from the beneficiary's monthly salary by their employer or business profits if the beneficiary is self-employed. Beneficiaries transitioning into self-employment must inform the Committee Chairman within 30 days and provide essential business details (Students Loans (Access to Higher Education) Act 2023).</w:t>
      </w:r>
    </w:p>
    <w:p w14:paraId="7E1BE93B">
      <w:pPr>
        <w:pStyle w:val="2"/>
        <w:spacing w:before="0" w:line="480" w:lineRule="auto"/>
        <w:rPr>
          <w:rFonts w:ascii="Times New Roman" w:hAnsi="Times New Roman"/>
          <w:b w:val="0"/>
          <w:bCs w:val="0"/>
          <w:color w:val="auto"/>
          <w:sz w:val="24"/>
        </w:rPr>
      </w:pPr>
      <w:bookmarkStart w:id="28" w:name="_Toc170896424"/>
      <w:r>
        <w:rPr>
          <w:rFonts w:ascii="Times New Roman" w:hAnsi="Times New Roman"/>
          <w:color w:val="auto"/>
          <w:sz w:val="24"/>
        </w:rPr>
        <w:t>2.4.4</w:t>
      </w:r>
      <w:r>
        <w:rPr>
          <w:rFonts w:ascii="Times New Roman" w:hAnsi="Times New Roman"/>
          <w:color w:val="auto"/>
          <w:sz w:val="24"/>
        </w:rPr>
        <w:tab/>
      </w:r>
      <w:r>
        <w:rPr>
          <w:rFonts w:ascii="Times New Roman" w:hAnsi="Times New Roman"/>
          <w:color w:val="auto"/>
          <w:sz w:val="24"/>
        </w:rPr>
        <w:t>Students Loans (Access to Higher Education) (Repeal and Re-enactment) Act, 2024</w:t>
      </w:r>
      <w:bookmarkEnd w:id="28"/>
    </w:p>
    <w:p w14:paraId="0FCF681C">
      <w:pPr>
        <w:spacing w:line="480" w:lineRule="auto"/>
        <w:rPr>
          <w:rFonts w:ascii="Times New Roman" w:hAnsi="Times New Roman" w:cs="Times New Roman"/>
          <w:sz w:val="24"/>
        </w:rPr>
      </w:pPr>
      <w:r>
        <w:rPr>
          <w:rFonts w:ascii="Times New Roman" w:hAnsi="Times New Roman" w:cs="Times New Roman"/>
          <w:sz w:val="24"/>
        </w:rPr>
        <w:t>The Students Loans (Access to Higher Education) (Repeal and Re-Enactment) Act, 2024 was an Executive Bill to repeal the Student Loans (Access to Higher Education) Act 2023. The 2023 Act was signed into law on Monday, 12th June 2023 while the Executive Bill was passed by the Senate and the House of Representatives of the National Assembly on Wednesday, 20th March 2024. The Bill was signed into law by the President on 3rd April 2024. The new Act makes the following key</w:t>
      </w:r>
    </w:p>
    <w:p w14:paraId="22D9AE66">
      <w:pPr>
        <w:spacing w:line="480" w:lineRule="auto"/>
        <w:rPr>
          <w:rFonts w:ascii="Times New Roman" w:hAnsi="Times New Roman" w:cs="Times New Roman"/>
          <w:sz w:val="24"/>
        </w:rPr>
      </w:pPr>
      <w:r>
        <w:rPr>
          <w:rFonts w:ascii="Times New Roman" w:hAnsi="Times New Roman" w:cs="Times New Roman"/>
          <w:sz w:val="24"/>
        </w:rPr>
        <w:t>provisions:</w:t>
      </w:r>
    </w:p>
    <w:p w14:paraId="140449B0">
      <w:pPr>
        <w:numPr>
          <w:ilvl w:val="0"/>
          <w:numId w:val="15"/>
        </w:numPr>
        <w:spacing w:line="480" w:lineRule="auto"/>
        <w:rPr>
          <w:rFonts w:ascii="Times New Roman" w:hAnsi="Times New Roman" w:cs="Times New Roman"/>
          <w:sz w:val="24"/>
        </w:rPr>
      </w:pPr>
      <w:r>
        <w:rPr>
          <w:rFonts w:ascii="Times New Roman" w:hAnsi="Times New Roman" w:cs="Times New Roman"/>
          <w:sz w:val="24"/>
        </w:rPr>
        <w:t>Makes the Nigerian Education Loan Fund a body corporate that can sue and be sued.</w:t>
      </w:r>
    </w:p>
    <w:p w14:paraId="038B951F">
      <w:pPr>
        <w:numPr>
          <w:ilvl w:val="0"/>
          <w:numId w:val="15"/>
        </w:numPr>
        <w:spacing w:line="480" w:lineRule="auto"/>
        <w:rPr>
          <w:rFonts w:ascii="Times New Roman" w:hAnsi="Times New Roman" w:cs="Times New Roman"/>
          <w:sz w:val="24"/>
        </w:rPr>
      </w:pPr>
      <w:r>
        <w:rPr>
          <w:rFonts w:ascii="Times New Roman" w:hAnsi="Times New Roman" w:cs="Times New Roman"/>
          <w:sz w:val="24"/>
        </w:rPr>
        <w:t>Sets up a new administrative structure comprising of a Board of Directors to be headed by a non-executive Chairman and a management team led by a Managing Director.</w:t>
      </w:r>
    </w:p>
    <w:p w14:paraId="1CE471DF">
      <w:pPr>
        <w:numPr>
          <w:ilvl w:val="0"/>
          <w:numId w:val="15"/>
        </w:numPr>
        <w:spacing w:line="480" w:lineRule="auto"/>
        <w:rPr>
          <w:rFonts w:ascii="Times New Roman" w:hAnsi="Times New Roman" w:cs="Times New Roman"/>
          <w:sz w:val="24"/>
        </w:rPr>
      </w:pPr>
      <w:r>
        <w:rPr>
          <w:rFonts w:ascii="Times New Roman" w:hAnsi="Times New Roman" w:cs="Times New Roman"/>
          <w:sz w:val="24"/>
        </w:rPr>
        <w:t>Tasks the Fund with investing monies and maintaining a diversified pool of funds to support student loans.</w:t>
      </w:r>
    </w:p>
    <w:p w14:paraId="02F146EA">
      <w:pPr>
        <w:numPr>
          <w:ilvl w:val="0"/>
          <w:numId w:val="15"/>
        </w:numPr>
        <w:spacing w:line="480" w:lineRule="auto"/>
        <w:rPr>
          <w:rFonts w:ascii="Times New Roman" w:hAnsi="Times New Roman" w:cs="Times New Roman"/>
          <w:sz w:val="24"/>
        </w:rPr>
      </w:pPr>
      <w:r>
        <w:rPr>
          <w:rFonts w:ascii="Times New Roman" w:hAnsi="Times New Roman" w:cs="Times New Roman"/>
          <w:sz w:val="24"/>
        </w:rPr>
        <w:t>Extends loan coverage to student maintenance allowance or upkeep in addition to tuition fees.</w:t>
      </w:r>
    </w:p>
    <w:p w14:paraId="7D3A3CBF">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provision stating that loans are interest fee.</w:t>
      </w:r>
    </w:p>
    <w:p w14:paraId="3E395F01">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the N500,000 individual/family annual income threshold to access a loan.</w:t>
      </w:r>
    </w:p>
    <w:p w14:paraId="39FE7E42">
      <w:pPr>
        <w:numPr>
          <w:ilvl w:val="0"/>
          <w:numId w:val="15"/>
        </w:numPr>
        <w:spacing w:line="480" w:lineRule="auto"/>
        <w:rPr>
          <w:rFonts w:ascii="Times New Roman" w:hAnsi="Times New Roman" w:cs="Times New Roman"/>
          <w:sz w:val="24"/>
        </w:rPr>
      </w:pPr>
      <w:r>
        <w:rPr>
          <w:rFonts w:ascii="Times New Roman" w:hAnsi="Times New Roman" w:cs="Times New Roman"/>
          <w:sz w:val="24"/>
        </w:rPr>
        <w:t xml:space="preserve"> Mandates national spread and inclusion in disbursement of loans.</w:t>
      </w:r>
    </w:p>
    <w:p w14:paraId="733E7C18">
      <w:pPr>
        <w:numPr>
          <w:ilvl w:val="0"/>
          <w:numId w:val="15"/>
        </w:numPr>
        <w:spacing w:line="480" w:lineRule="auto"/>
        <w:rPr>
          <w:rFonts w:ascii="Times New Roman" w:hAnsi="Times New Roman" w:cs="Times New Roman"/>
          <w:sz w:val="24"/>
        </w:rPr>
      </w:pPr>
      <w:r>
        <w:rPr>
          <w:rFonts w:ascii="Times New Roman" w:hAnsi="Times New Roman" w:cs="Times New Roman"/>
          <w:sz w:val="24"/>
        </w:rPr>
        <w:t xml:space="preserve"> Allows for exemptions in loan repayment in cases of death, hardship or for reasons of equity.</w:t>
      </w:r>
    </w:p>
    <w:p w14:paraId="3F2BA7EB">
      <w:pPr>
        <w:numPr>
          <w:ilvl w:val="0"/>
          <w:numId w:val="15"/>
        </w:numPr>
        <w:spacing w:line="480" w:lineRule="auto"/>
        <w:rPr>
          <w:rFonts w:ascii="Times New Roman" w:hAnsi="Times New Roman" w:cs="Times New Roman"/>
          <w:sz w:val="24"/>
        </w:rPr>
      </w:pPr>
      <w:r>
        <w:rPr>
          <w:rFonts w:ascii="Times New Roman" w:hAnsi="Times New Roman" w:cs="Times New Roman"/>
          <w:sz w:val="24"/>
        </w:rPr>
        <w:t>Dispenses with the application procedure in the current law including requirement of two loan guarantors. Directs the Board to outline the application procedure and criteria via regulations.</w:t>
      </w:r>
    </w:p>
    <w:p w14:paraId="08D5BE50">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provision that disqualifies any applicant whose parent had previously defaulted on a loan.</w:t>
      </w:r>
    </w:p>
    <w:p w14:paraId="0AF2B1AC">
      <w:pPr>
        <w:numPr>
          <w:ilvl w:val="0"/>
          <w:numId w:val="15"/>
        </w:numPr>
        <w:spacing w:line="480" w:lineRule="auto"/>
        <w:rPr>
          <w:rFonts w:ascii="Times New Roman" w:hAnsi="Times New Roman" w:cs="Times New Roman"/>
          <w:sz w:val="24"/>
        </w:rPr>
      </w:pPr>
      <w:r>
        <w:rPr>
          <w:rFonts w:ascii="Times New Roman" w:hAnsi="Times New Roman" w:cs="Times New Roman"/>
          <w:sz w:val="24"/>
        </w:rPr>
        <w:t>Restricts beneficiaries of previous government loans or scholarship schemes from accessing student loans.</w:t>
      </w:r>
    </w:p>
    <w:p w14:paraId="1B96C637">
      <w:pPr>
        <w:numPr>
          <w:ilvl w:val="0"/>
          <w:numId w:val="15"/>
        </w:numPr>
        <w:spacing w:line="480" w:lineRule="auto"/>
        <w:rPr>
          <w:rFonts w:ascii="Times New Roman" w:hAnsi="Times New Roman" w:cs="Times New Roman"/>
          <w:sz w:val="24"/>
        </w:rPr>
      </w:pPr>
      <w:r>
        <w:rPr>
          <w:rFonts w:ascii="Times New Roman" w:hAnsi="Times New Roman" w:cs="Times New Roman"/>
          <w:sz w:val="24"/>
        </w:rPr>
        <w:t>Imposes a statutory duty on employers to find out the student loan status of their employees under the threat of a fine and/or jail term. (Students Loans (Access to Higher Education) Act, 2024).</w:t>
      </w:r>
    </w:p>
    <w:p w14:paraId="023EDE56">
      <w:pPr>
        <w:pStyle w:val="2"/>
        <w:spacing w:before="0" w:line="480" w:lineRule="auto"/>
        <w:rPr>
          <w:rFonts w:ascii="Times New Roman" w:hAnsi="Times New Roman"/>
          <w:b w:val="0"/>
          <w:bCs w:val="0"/>
          <w:color w:val="auto"/>
          <w:sz w:val="24"/>
        </w:rPr>
      </w:pPr>
      <w:bookmarkStart w:id="29" w:name="_Toc170896425"/>
      <w:r>
        <w:rPr>
          <w:rFonts w:ascii="Times New Roman" w:hAnsi="Times New Roman"/>
          <w:color w:val="auto"/>
          <w:sz w:val="24"/>
        </w:rPr>
        <w:t>2.4.5 Differences between the current 2023 Act and the 2024 Act</w:t>
      </w:r>
      <w:bookmarkEnd w:id="29"/>
    </w:p>
    <w:p w14:paraId="40E43F1E">
      <w:pPr>
        <w:spacing w:line="480" w:lineRule="auto"/>
        <w:rPr>
          <w:rFonts w:ascii="Times New Roman" w:hAnsi="Times New Roman" w:cs="Times New Roman"/>
          <w:b/>
          <w:bCs/>
          <w:sz w:val="24"/>
        </w:rPr>
      </w:pPr>
      <w:r>
        <w:rPr>
          <w:rFonts w:ascii="Times New Roman" w:hAnsi="Times New Roman" w:cs="Times New Roman"/>
          <w:b/>
          <w:bCs/>
          <w:sz w:val="24"/>
        </w:rPr>
        <w:t>The Education Loan Fund</w:t>
      </w:r>
    </w:p>
    <w:p w14:paraId="0F562C62">
      <w:pPr>
        <w:spacing w:line="480" w:lineRule="auto"/>
        <w:rPr>
          <w:rFonts w:ascii="Times New Roman" w:hAnsi="Times New Roman" w:cs="Times New Roman"/>
          <w:sz w:val="24"/>
        </w:rPr>
      </w:pPr>
      <w:r>
        <w:rPr>
          <w:rFonts w:ascii="Times New Roman" w:hAnsi="Times New Roman" w:cs="Times New Roman"/>
          <w:sz w:val="24"/>
        </w:rPr>
        <w:t>The Fund is now set up as a body corporate capable of suing and being sued. The objectives of the Fund are more clearly outlined and streamlined in the 2024 Act. These include elaborate provisions allowing for financial investments as part of building, operating and maintaining a diversified pool of funds to support student loans. Some functions or powers in the 2023 Act that are not contained in the 2024 Act include powers of the fund to engage in banking business, monitor academic records of loan beneficiaries and provide financial advice to academic institutions, parents and educational investors.</w:t>
      </w:r>
    </w:p>
    <w:p w14:paraId="77F164D8">
      <w:pPr>
        <w:spacing w:line="480" w:lineRule="auto"/>
        <w:rPr>
          <w:rFonts w:ascii="Times New Roman" w:hAnsi="Times New Roman" w:cs="Times New Roman"/>
          <w:b/>
          <w:bCs/>
          <w:sz w:val="24"/>
        </w:rPr>
      </w:pPr>
      <w:r>
        <w:rPr>
          <w:rFonts w:ascii="Times New Roman" w:hAnsi="Times New Roman" w:cs="Times New Roman"/>
          <w:b/>
          <w:bCs/>
          <w:sz w:val="24"/>
        </w:rPr>
        <w:t>Loan Cover</w:t>
      </w:r>
    </w:p>
    <w:p w14:paraId="02B6A9FC">
      <w:pPr>
        <w:spacing w:line="480" w:lineRule="auto"/>
        <w:rPr>
          <w:rFonts w:ascii="Times New Roman" w:hAnsi="Times New Roman" w:cs="Times New Roman"/>
          <w:sz w:val="24"/>
        </w:rPr>
      </w:pPr>
      <w:r>
        <w:rPr>
          <w:rFonts w:ascii="Times New Roman" w:hAnsi="Times New Roman" w:cs="Times New Roman"/>
          <w:sz w:val="24"/>
        </w:rPr>
        <w:t>The purpose for the loan in the 2023 Act was only for tuition fees while the 2024 Act covers tuition and other fees payable to the school as well as maintenance allowance payable to the student.</w:t>
      </w:r>
    </w:p>
    <w:p w14:paraId="334E82B2">
      <w:pPr>
        <w:spacing w:line="480" w:lineRule="auto"/>
        <w:rPr>
          <w:rFonts w:ascii="Times New Roman" w:hAnsi="Times New Roman" w:cs="Times New Roman"/>
          <w:b/>
          <w:bCs/>
          <w:sz w:val="24"/>
        </w:rPr>
      </w:pPr>
      <w:r>
        <w:rPr>
          <w:rFonts w:ascii="Times New Roman" w:hAnsi="Times New Roman" w:cs="Times New Roman"/>
          <w:b/>
          <w:bCs/>
          <w:sz w:val="24"/>
        </w:rPr>
        <w:t>Income Threshold in Eligibility Criteria</w:t>
      </w:r>
    </w:p>
    <w:p w14:paraId="0B9EB67B">
      <w:pPr>
        <w:spacing w:line="480" w:lineRule="auto"/>
        <w:rPr>
          <w:rFonts w:ascii="Times New Roman" w:hAnsi="Times New Roman" w:cs="Times New Roman"/>
          <w:b/>
          <w:bCs/>
          <w:sz w:val="24"/>
        </w:rPr>
      </w:pPr>
      <w:r>
        <w:rPr>
          <w:rFonts w:ascii="Times New Roman" w:hAnsi="Times New Roman" w:cs="Times New Roman"/>
          <w:sz w:val="24"/>
        </w:rPr>
        <w:t>The 2023 Act sets a threshold of an annual income of less than N500,000 for the applicant or their family thereby basing eligibility for the loan on financial need. This 2024 Act seems to be open to anyone and not indigent students only. It also dispenses with the two loan guarantors required in the 2023 Act.</w:t>
      </w:r>
    </w:p>
    <w:p w14:paraId="62CB4255">
      <w:pPr>
        <w:spacing w:line="480" w:lineRule="auto"/>
        <w:rPr>
          <w:rFonts w:ascii="Times New Roman" w:hAnsi="Times New Roman" w:cs="Times New Roman"/>
          <w:b/>
          <w:bCs/>
          <w:sz w:val="24"/>
        </w:rPr>
      </w:pPr>
      <w:r>
        <w:rPr>
          <w:rFonts w:ascii="Times New Roman" w:hAnsi="Times New Roman" w:cs="Times New Roman"/>
          <w:b/>
          <w:bCs/>
          <w:sz w:val="24"/>
        </w:rPr>
        <w:t>Sources of the Fund</w:t>
      </w:r>
    </w:p>
    <w:p w14:paraId="6D5EDFA6">
      <w:pPr>
        <w:spacing w:line="480" w:lineRule="auto"/>
        <w:rPr>
          <w:rFonts w:ascii="Times New Roman" w:hAnsi="Times New Roman" w:cs="Times New Roman"/>
          <w:b/>
          <w:bCs/>
          <w:sz w:val="24"/>
        </w:rPr>
      </w:pPr>
      <w:r>
        <w:rPr>
          <w:rFonts w:ascii="Times New Roman" w:hAnsi="Times New Roman" w:cs="Times New Roman"/>
          <w:sz w:val="24"/>
        </w:rPr>
        <w:t>The 2024 Act establishes what it calls the General Reserve Fund while the 2023 Act merely outlines sources of the Education Loan Fund (same objective). The 2024 Act includes National Assembly appropriation as a funding source, which the 2023 Act does not. The 2024 Act also lists investment incomes, charges and fees by the Fund and repayment of interest on loans as other funding sources. It further deletes the requirement in the current Act for the loan to receive 1% of taxes, levies and dues accruing to both the Nigeria Immigration and Customs Services.</w:t>
      </w:r>
    </w:p>
    <w:p w14:paraId="1F5930E6">
      <w:pPr>
        <w:spacing w:line="480" w:lineRule="auto"/>
        <w:rPr>
          <w:rFonts w:ascii="Times New Roman" w:hAnsi="Times New Roman" w:cs="Times New Roman"/>
          <w:b/>
          <w:bCs/>
          <w:sz w:val="24"/>
        </w:rPr>
      </w:pPr>
      <w:r>
        <w:rPr>
          <w:rFonts w:ascii="Times New Roman" w:hAnsi="Times New Roman" w:cs="Times New Roman"/>
          <w:b/>
          <w:bCs/>
          <w:sz w:val="24"/>
        </w:rPr>
        <w:t>Interest on Loans</w:t>
      </w:r>
    </w:p>
    <w:p w14:paraId="3BB59A48">
      <w:pPr>
        <w:spacing w:line="480" w:lineRule="auto"/>
        <w:rPr>
          <w:rFonts w:ascii="Times New Roman" w:hAnsi="Times New Roman" w:cs="Times New Roman"/>
          <w:sz w:val="24"/>
        </w:rPr>
      </w:pPr>
      <w:r>
        <w:rPr>
          <w:rFonts w:ascii="Times New Roman" w:hAnsi="Times New Roman" w:cs="Times New Roman"/>
          <w:sz w:val="24"/>
        </w:rPr>
        <w:t>The 2024 Act lists payment of interest on loans granted as a funding source for the Education Loan Fund and mentions repayment of loans and “all charges” in Section 28 (3) dealing with repayment. This implies that the loans will not be interest free. Meanwhile, section 13 (a) of the current 2023 Act says that the loans are interest fee.</w:t>
      </w:r>
    </w:p>
    <w:p w14:paraId="40EC94DF">
      <w:pPr>
        <w:numPr>
          <w:ilvl w:val="0"/>
          <w:numId w:val="16"/>
        </w:numPr>
        <w:spacing w:line="480" w:lineRule="auto"/>
        <w:rPr>
          <w:rFonts w:ascii="Times New Roman" w:hAnsi="Times New Roman" w:cs="Times New Roman"/>
          <w:sz w:val="24"/>
        </w:rPr>
      </w:pPr>
      <w:r>
        <w:rPr>
          <w:rFonts w:ascii="Times New Roman" w:hAnsi="Times New Roman" w:cs="Times New Roman"/>
          <w:sz w:val="24"/>
        </w:rPr>
        <w:t>Schools Covered: In addition to students who have secured admission into tertiary institutions, loans are available to students in vocational schools established by the Federal and State Governments. The 2024 Act however restricts the later to vocational schools licensed by the Federal Government.</w:t>
      </w:r>
    </w:p>
    <w:p w14:paraId="4F180B3F">
      <w:pPr>
        <w:spacing w:line="480" w:lineRule="auto"/>
        <w:rPr>
          <w:rFonts w:ascii="Times New Roman" w:hAnsi="Times New Roman" w:cs="Times New Roman"/>
          <w:b/>
          <w:bCs/>
          <w:sz w:val="24"/>
        </w:rPr>
      </w:pPr>
      <w:r>
        <w:rPr>
          <w:rFonts w:ascii="Times New Roman" w:hAnsi="Times New Roman" w:cs="Times New Roman"/>
          <w:b/>
          <w:bCs/>
          <w:sz w:val="24"/>
        </w:rPr>
        <w:t>National Spread and Inclusion</w:t>
      </w:r>
    </w:p>
    <w:p w14:paraId="687460BA">
      <w:pPr>
        <w:spacing w:line="480" w:lineRule="auto"/>
        <w:rPr>
          <w:rFonts w:ascii="Times New Roman" w:hAnsi="Times New Roman" w:cs="Times New Roman"/>
          <w:sz w:val="24"/>
        </w:rPr>
      </w:pPr>
      <w:r>
        <w:rPr>
          <w:rFonts w:ascii="Times New Roman" w:hAnsi="Times New Roman" w:cs="Times New Roman"/>
          <w:sz w:val="24"/>
        </w:rPr>
        <w:t>The 2024 Act mandates the Board to ensure national spread of loans approved and disbursed in each financial year. The 2023 Act on the other hand has a non-discrimination provision that provides for equal access to the fund irrespective of gender, religion, tribe, position or disability status.</w:t>
      </w:r>
    </w:p>
    <w:p w14:paraId="53AFAE8A">
      <w:pPr>
        <w:spacing w:line="480" w:lineRule="auto"/>
        <w:rPr>
          <w:rFonts w:ascii="Times New Roman" w:hAnsi="Times New Roman" w:cs="Times New Roman"/>
          <w:sz w:val="24"/>
        </w:rPr>
      </w:pPr>
      <w:r>
        <w:rPr>
          <w:rFonts w:ascii="Times New Roman" w:hAnsi="Times New Roman" w:cs="Times New Roman"/>
          <w:b/>
          <w:bCs/>
          <w:sz w:val="24"/>
        </w:rPr>
        <w:t>Repayment</w:t>
      </w:r>
    </w:p>
    <w:p w14:paraId="1B4CB42D">
      <w:pPr>
        <w:spacing w:line="480" w:lineRule="auto"/>
        <w:rPr>
          <w:rFonts w:ascii="Times New Roman" w:hAnsi="Times New Roman" w:cs="Times New Roman"/>
          <w:b/>
          <w:bCs/>
          <w:sz w:val="24"/>
        </w:rPr>
      </w:pPr>
      <w:r>
        <w:rPr>
          <w:rFonts w:ascii="Times New Roman" w:hAnsi="Times New Roman" w:cs="Times New Roman"/>
          <w:sz w:val="24"/>
        </w:rPr>
        <w:t>The 2024 Act allows the board to make exemptions for loan repayments, that is, in cases of death of the beneficiary, in cases of hardship, for reasons of equity, where it is impossible to recover the loan or where the cost of recovery exceeds the amount being sought. This is commendable but could give way to abuse if not properly managed or if the there is no established criteria for hardship or equity.</w:t>
      </w:r>
    </w:p>
    <w:p w14:paraId="2ADE2A7C">
      <w:pPr>
        <w:spacing w:line="480" w:lineRule="auto"/>
        <w:rPr>
          <w:rFonts w:ascii="Times New Roman" w:hAnsi="Times New Roman" w:cs="Times New Roman"/>
          <w:sz w:val="24"/>
        </w:rPr>
      </w:pPr>
      <w:r>
        <w:rPr>
          <w:rFonts w:ascii="Times New Roman" w:hAnsi="Times New Roman" w:cs="Times New Roman"/>
          <w:b/>
          <w:bCs/>
          <w:sz w:val="24"/>
        </w:rPr>
        <w:t>Disqualifications</w:t>
      </w:r>
    </w:p>
    <w:p w14:paraId="28109BD5">
      <w:pPr>
        <w:spacing w:line="480" w:lineRule="auto"/>
        <w:rPr>
          <w:rFonts w:ascii="Times New Roman" w:hAnsi="Times New Roman" w:cs="Times New Roman"/>
          <w:sz w:val="24"/>
        </w:rPr>
      </w:pPr>
      <w:r>
        <w:rPr>
          <w:rFonts w:ascii="Times New Roman" w:hAnsi="Times New Roman" w:cs="Times New Roman"/>
          <w:sz w:val="24"/>
        </w:rPr>
        <w:t>The 2023 Act disqualifies any applicant whose parent had previously defaulted on any loan. The 2024 Act removes this provision but then disqualifies beneficiaries of any loan or other scholarship scheme from the Federal Government or any of its agencies.</w:t>
      </w:r>
    </w:p>
    <w:p w14:paraId="20370A7B">
      <w:pPr>
        <w:spacing w:line="480" w:lineRule="auto"/>
        <w:rPr>
          <w:rFonts w:ascii="Times New Roman" w:hAnsi="Times New Roman" w:cs="Times New Roman"/>
          <w:b/>
          <w:bCs/>
          <w:sz w:val="24"/>
        </w:rPr>
      </w:pPr>
      <w:r>
        <w:rPr>
          <w:rFonts w:ascii="Times New Roman" w:hAnsi="Times New Roman" w:cs="Times New Roman"/>
          <w:b/>
          <w:bCs/>
          <w:sz w:val="24"/>
        </w:rPr>
        <w:t>The Administrative Model</w:t>
      </w:r>
    </w:p>
    <w:p w14:paraId="7A99CAD3">
      <w:pPr>
        <w:spacing w:line="480" w:lineRule="auto"/>
        <w:rPr>
          <w:rFonts w:ascii="Times New Roman" w:hAnsi="Times New Roman" w:cs="Times New Roman"/>
          <w:sz w:val="24"/>
        </w:rPr>
      </w:pPr>
      <w:r>
        <w:rPr>
          <w:rFonts w:ascii="Times New Roman" w:hAnsi="Times New Roman" w:cs="Times New Roman"/>
          <w:sz w:val="24"/>
        </w:rPr>
        <w:t>The 2023 Act domiciled the fund in the Central Bank of Nigeria to be managed and administered through a Special Committee (headed bythe CBN Governor) and the money deposit banks while the 2024 Act creates a Board of Directors headed by a non-executive chairman and a management team headed by a Managing Director to be assisted by three Executive Directors. The directors have 5-year tenures and are to be responsible for the execution of policy and the day-to-day administration of the Fund.</w:t>
      </w:r>
    </w:p>
    <w:p w14:paraId="7906FF0E">
      <w:pPr>
        <w:spacing w:line="480" w:lineRule="auto"/>
        <w:rPr>
          <w:rFonts w:ascii="Times New Roman" w:hAnsi="Times New Roman" w:cs="Times New Roman"/>
          <w:b/>
          <w:bCs/>
          <w:sz w:val="24"/>
        </w:rPr>
      </w:pPr>
      <w:r>
        <w:rPr>
          <w:rFonts w:ascii="Times New Roman" w:hAnsi="Times New Roman" w:cs="Times New Roman"/>
          <w:b/>
          <w:bCs/>
          <w:sz w:val="24"/>
        </w:rPr>
        <w:t xml:space="preserve">Self-Employed Persons </w:t>
      </w:r>
    </w:p>
    <w:p w14:paraId="1C73A669">
      <w:pPr>
        <w:spacing w:line="480" w:lineRule="auto"/>
        <w:rPr>
          <w:rFonts w:ascii="Times New Roman" w:hAnsi="Times New Roman" w:cs="Times New Roman"/>
          <w:sz w:val="24"/>
        </w:rPr>
      </w:pPr>
      <w:r>
        <w:rPr>
          <w:rFonts w:ascii="Times New Roman" w:hAnsi="Times New Roman" w:cs="Times New Roman"/>
          <w:sz w:val="24"/>
        </w:rPr>
        <w:t>The 2023 Act explicitly recognizes the self-employed category and makes provisions for self-employed persons to submit their business details: address, registration documents, names of partners, directors and bankers within 60 days of assuming that status.</w:t>
      </w:r>
    </w:p>
    <w:p w14:paraId="1BC3DA65">
      <w:pPr>
        <w:spacing w:line="480" w:lineRule="auto"/>
        <w:rPr>
          <w:rFonts w:ascii="Times New Roman" w:hAnsi="Times New Roman" w:cs="Times New Roman"/>
          <w:sz w:val="24"/>
        </w:rPr>
      </w:pPr>
      <w:r>
        <w:rPr>
          <w:rFonts w:ascii="Times New Roman" w:hAnsi="Times New Roman" w:cs="Times New Roman"/>
          <w:sz w:val="24"/>
        </w:rPr>
        <w:t>Method of Application</w:t>
      </w:r>
    </w:p>
    <w:p w14:paraId="439E1CC6">
      <w:pPr>
        <w:spacing w:line="480" w:lineRule="auto"/>
        <w:rPr>
          <w:rFonts w:ascii="Times New Roman" w:hAnsi="Times New Roman" w:cs="Times New Roman"/>
          <w:sz w:val="24"/>
        </w:rPr>
      </w:pPr>
      <w:r>
        <w:rPr>
          <w:rFonts w:ascii="Times New Roman" w:hAnsi="Times New Roman" w:cs="Times New Roman"/>
          <w:sz w:val="24"/>
        </w:rPr>
        <w:t xml:space="preserve"> A process is clearly stated in the 2023 Act for applicants to submit through their bank a cover letter signed by the vice-chancellor, rector or head of the institution and the dean of students’ affairs accompanied by the admission letter, two guarantors and their business details, where self-employed, recommending the applicant for the student loan and accepting liability. The 2023 Act also gives specifications for who can be a guarantor. The 2024 Act seems to allow for flexibility by stating that applications shall be made in the form and manner prescribed by guidelines to be issued by the Board from time to time. Additionally, the Board shall have the power to make specific regulations regarding the method and process of loan applications and the criteria for granting loans in each financial year.</w:t>
      </w:r>
    </w:p>
    <w:p w14:paraId="23C2A7BB">
      <w:pPr>
        <w:spacing w:line="480" w:lineRule="auto"/>
        <w:rPr>
          <w:rFonts w:ascii="Times New Roman" w:hAnsi="Times New Roman" w:cs="Times New Roman"/>
          <w:b/>
          <w:bCs/>
          <w:sz w:val="24"/>
        </w:rPr>
      </w:pPr>
      <w:r>
        <w:rPr>
          <w:rFonts w:ascii="Times New Roman" w:hAnsi="Times New Roman" w:cs="Times New Roman"/>
          <w:b/>
          <w:bCs/>
          <w:sz w:val="24"/>
        </w:rPr>
        <w:t>Duty of Employers</w:t>
      </w:r>
    </w:p>
    <w:p w14:paraId="7DA97591">
      <w:pPr>
        <w:spacing w:line="480" w:lineRule="auto"/>
        <w:rPr>
          <w:rFonts w:ascii="Times New Roman" w:hAnsi="Times New Roman" w:cs="Times New Roman"/>
          <w:sz w:val="24"/>
        </w:rPr>
      </w:pPr>
      <w:r>
        <w:rPr>
          <w:rFonts w:ascii="Times New Roman" w:hAnsi="Times New Roman" w:cs="Times New Roman"/>
          <w:sz w:val="24"/>
        </w:rPr>
        <w:t>As part of the repayment plan in the 2023 Act, an employer is mandated to deduct 10% of the beneficiary’s salary at source and credit to the Fund, and for those self-employed, 10% of their total profit monthly. Whereas, the 2024 Act provides that such deduction should not exceed 10% i.e., it can be less than. The Act states that any employer that is informed that their employee is a beneficiary of student loans from the Fund who has not completed repayment, shall provide such information as the Fund may require to initiate collection of the loan and any charges from the beneficiary. It further imposes on prospective employers, the duty to find out from the</w:t>
      </w:r>
    </w:p>
    <w:p w14:paraId="69102433">
      <w:pPr>
        <w:spacing w:line="480" w:lineRule="auto"/>
        <w:rPr>
          <w:rFonts w:ascii="Times New Roman" w:hAnsi="Times New Roman" w:cs="Times New Roman"/>
          <w:sz w:val="24"/>
        </w:rPr>
      </w:pPr>
      <w:r>
        <w:rPr>
          <w:rFonts w:ascii="Times New Roman" w:hAnsi="Times New Roman" w:cs="Times New Roman"/>
          <w:sz w:val="24"/>
        </w:rPr>
        <w:t>Fund, the student loan status of persons they employ and imposes a fine of not less than N2,000,000 and/or imprisonment term of not less than one year for employers found guilty of contravening this requirement.</w:t>
      </w:r>
    </w:p>
    <w:p w14:paraId="61D564F8">
      <w:pPr>
        <w:spacing w:line="480" w:lineRule="auto"/>
        <w:rPr>
          <w:rFonts w:ascii="Times New Roman" w:hAnsi="Times New Roman" w:cs="Times New Roman"/>
          <w:sz w:val="24"/>
        </w:rPr>
      </w:pPr>
    </w:p>
    <w:p w14:paraId="42BFD7F5">
      <w:pPr>
        <w:spacing w:line="480" w:lineRule="auto"/>
        <w:rPr>
          <w:rFonts w:ascii="Times New Roman" w:hAnsi="Times New Roman" w:cs="Times New Roman"/>
          <w:sz w:val="24"/>
        </w:rPr>
      </w:pPr>
      <w:r>
        <w:rPr>
          <w:rFonts w:ascii="Times New Roman" w:hAnsi="Times New Roman" w:cs="Times New Roman"/>
          <w:b/>
          <w:bCs/>
          <w:sz w:val="24"/>
        </w:rPr>
        <w:t>2.4</w:t>
      </w:r>
      <w:r>
        <w:rPr>
          <w:rFonts w:ascii="Times New Roman" w:hAnsi="Times New Roman" w:cs="Times New Roman"/>
          <w:b/>
          <w:bCs/>
          <w:sz w:val="24"/>
        </w:rPr>
        <w:tab/>
      </w:r>
      <w:r>
        <w:rPr>
          <w:rFonts w:ascii="Times New Roman" w:hAnsi="Times New Roman" w:cs="Times New Roman"/>
          <w:b/>
          <w:bCs/>
          <w:sz w:val="24"/>
        </w:rPr>
        <w:t>Benefit of the Students Loan Implementation in Nigeria</w:t>
      </w:r>
    </w:p>
    <w:p w14:paraId="54CC98CF">
      <w:pPr>
        <w:spacing w:line="480" w:lineRule="auto"/>
        <w:rPr>
          <w:rFonts w:ascii="Times New Roman" w:hAnsi="Times New Roman"/>
          <w:sz w:val="24"/>
        </w:rPr>
      </w:pPr>
      <w:r>
        <w:rPr>
          <w:rFonts w:ascii="Times New Roman" w:hAnsi="Times New Roman"/>
          <w:sz w:val="24"/>
        </w:rPr>
        <w:t>According to Agbelusi (2023) the benefit of the student loan implementation in Nigeria include the following:</w:t>
      </w:r>
    </w:p>
    <w:p w14:paraId="480F2FFD">
      <w:pPr>
        <w:spacing w:line="480" w:lineRule="auto"/>
        <w:rPr>
          <w:rFonts w:ascii="Times New Roman" w:hAnsi="Times New Roman"/>
          <w:sz w:val="24"/>
        </w:rPr>
      </w:pPr>
      <w:r>
        <w:rPr>
          <w:rFonts w:ascii="Times New Roman" w:hAnsi="Times New Roman"/>
          <w:b/>
          <w:bCs/>
          <w:sz w:val="24"/>
        </w:rPr>
        <w:t xml:space="preserve">Increased Access to Higher Education </w:t>
      </w:r>
    </w:p>
    <w:p w14:paraId="09B0E13E">
      <w:pPr>
        <w:spacing w:line="480" w:lineRule="auto"/>
        <w:rPr>
          <w:rFonts w:ascii="Times New Roman" w:hAnsi="Times New Roman"/>
          <w:sz w:val="24"/>
        </w:rPr>
      </w:pPr>
      <w:r>
        <w:rPr>
          <w:rFonts w:ascii="Times New Roman" w:hAnsi="Times New Roman"/>
          <w:sz w:val="24"/>
        </w:rPr>
        <w:t>By providing access to affordable student loans, this Act has the potential to increase the number of individuals pursuing higher education, particularly those from low-</w:t>
      </w:r>
    </w:p>
    <w:p w14:paraId="61BDC351">
      <w:pPr>
        <w:spacing w:line="480" w:lineRule="auto"/>
        <w:rPr>
          <w:rFonts w:ascii="Times New Roman" w:hAnsi="Times New Roman"/>
          <w:sz w:val="24"/>
        </w:rPr>
      </w:pPr>
      <w:r>
        <w:rPr>
          <w:rFonts w:ascii="Times New Roman" w:hAnsi="Times New Roman"/>
          <w:sz w:val="24"/>
        </w:rPr>
        <w:t xml:space="preserve">income backgrounds who may otherwise be unable to afford it </w:t>
      </w:r>
      <w:r>
        <w:rPr>
          <w:rFonts w:ascii="Times New Roman" w:hAnsi="Times New Roman" w:cs="Times New Roman"/>
          <w:sz w:val="24"/>
        </w:rPr>
        <w:t>(Agbelusi,2023).</w:t>
      </w:r>
    </w:p>
    <w:p w14:paraId="47FAD251">
      <w:pPr>
        <w:spacing w:line="480" w:lineRule="auto"/>
        <w:rPr>
          <w:rFonts w:ascii="Times New Roman" w:hAnsi="Times New Roman"/>
          <w:sz w:val="24"/>
        </w:rPr>
      </w:pPr>
      <w:r>
        <w:rPr>
          <w:rFonts w:ascii="Times New Roman" w:hAnsi="Times New Roman"/>
          <w:b/>
          <w:bCs/>
          <w:sz w:val="24"/>
        </w:rPr>
        <w:t>Reduced Financial Barriers</w:t>
      </w:r>
      <w:r>
        <w:rPr>
          <w:rFonts w:ascii="Times New Roman" w:hAnsi="Times New Roman"/>
          <w:sz w:val="24"/>
        </w:rPr>
        <w:t xml:space="preserve"> </w:t>
      </w:r>
    </w:p>
    <w:p w14:paraId="7C6349BC">
      <w:pPr>
        <w:spacing w:line="480" w:lineRule="auto"/>
        <w:rPr>
          <w:rFonts w:ascii="Times New Roman" w:hAnsi="Times New Roman"/>
          <w:sz w:val="24"/>
        </w:rPr>
      </w:pPr>
      <w:r>
        <w:rPr>
          <w:rFonts w:ascii="Times New Roman" w:hAnsi="Times New Roman"/>
          <w:sz w:val="24"/>
        </w:rPr>
        <w:t>The availability of student loans can alleviate the financial barriers that often deter individuals from enrolling higher education or learning a skill, thereby promoting greater socio-economic diversity within higher education institutions.</w:t>
      </w:r>
    </w:p>
    <w:p w14:paraId="0810A91C">
      <w:pPr>
        <w:spacing w:line="480" w:lineRule="auto"/>
        <w:rPr>
          <w:rFonts w:ascii="Times New Roman" w:hAnsi="Times New Roman"/>
          <w:b/>
          <w:bCs/>
          <w:sz w:val="24"/>
        </w:rPr>
      </w:pPr>
      <w:r>
        <w:rPr>
          <w:rFonts w:ascii="Times New Roman" w:hAnsi="Times New Roman"/>
          <w:b/>
          <w:bCs/>
          <w:sz w:val="24"/>
        </w:rPr>
        <w:t>Improved Economic Mobility</w:t>
      </w:r>
    </w:p>
    <w:p w14:paraId="02345BBC">
      <w:pPr>
        <w:spacing w:line="480" w:lineRule="auto"/>
        <w:rPr>
          <w:rFonts w:ascii="Times New Roman" w:hAnsi="Times New Roman"/>
          <w:sz w:val="24"/>
        </w:rPr>
      </w:pPr>
      <w:r>
        <w:rPr>
          <w:rFonts w:ascii="Times New Roman" w:hAnsi="Times New Roman"/>
          <w:sz w:val="24"/>
        </w:rPr>
        <w:t>Higher education is associated with higher earning potential and greater job opportunities. By facilitating access to higher education through student loans, this Act can contribute to enhanced economic mobility and long-term prosperity for individuals and society as a whole.</w:t>
      </w:r>
    </w:p>
    <w:p w14:paraId="2DAFF67E">
      <w:pPr>
        <w:spacing w:line="480" w:lineRule="auto"/>
        <w:rPr>
          <w:rFonts w:ascii="Times New Roman" w:hAnsi="Times New Roman"/>
          <w:sz w:val="24"/>
        </w:rPr>
      </w:pPr>
      <w:r>
        <w:rPr>
          <w:rFonts w:ascii="Times New Roman" w:hAnsi="Times New Roman"/>
          <w:b/>
          <w:bCs/>
          <w:sz w:val="24"/>
        </w:rPr>
        <w:t>Mitigation of Student Debt</w:t>
      </w:r>
      <w:r>
        <w:rPr>
          <w:rFonts w:ascii="Times New Roman" w:hAnsi="Times New Roman"/>
          <w:sz w:val="24"/>
        </w:rPr>
        <w:t xml:space="preserve"> </w:t>
      </w:r>
    </w:p>
    <w:p w14:paraId="52900648">
      <w:pPr>
        <w:spacing w:line="480" w:lineRule="auto"/>
        <w:rPr>
          <w:rFonts w:ascii="Times New Roman" w:hAnsi="Times New Roman"/>
          <w:sz w:val="24"/>
        </w:rPr>
      </w:pPr>
      <w:r>
        <w:rPr>
          <w:rFonts w:ascii="Times New Roman" w:hAnsi="Times New Roman"/>
          <w:sz w:val="24"/>
        </w:rPr>
        <w:t>While addressing the immediate need for access to education and a vocational skill, a combination for responsible borrowing and a flexible repayment plan will ensure that students do not face unacceptable burden of debt.</w:t>
      </w:r>
    </w:p>
    <w:p w14:paraId="7A4DE613">
      <w:pPr>
        <w:spacing w:line="480" w:lineRule="auto"/>
        <w:rPr>
          <w:rFonts w:ascii="Times New Roman" w:hAnsi="Times New Roman"/>
          <w:sz w:val="24"/>
        </w:rPr>
      </w:pPr>
      <w:r>
        <w:rPr>
          <w:rFonts w:ascii="Times New Roman" w:hAnsi="Times New Roman"/>
          <w:b/>
          <w:bCs/>
          <w:sz w:val="24"/>
        </w:rPr>
        <w:t>Imposition of a Statutory Duty and Stiff Penalty on Employers</w:t>
      </w:r>
    </w:p>
    <w:p w14:paraId="198052A7">
      <w:pPr>
        <w:spacing w:line="480" w:lineRule="auto"/>
        <w:rPr>
          <w:rFonts w:ascii="Times New Roman" w:hAnsi="Times New Roman"/>
          <w:sz w:val="24"/>
        </w:rPr>
      </w:pPr>
      <w:r>
        <w:rPr>
          <w:rFonts w:ascii="Times New Roman" w:hAnsi="Times New Roman"/>
          <w:sz w:val="24"/>
        </w:rPr>
        <w:t>The law imposes on an employer, the statutory duty to investigate an employee’s loan status and make monthly deductions from the salaries of student loan beneficiaries, even though the employer is not party to the loan agreement. While this seems to have a public interest objective, there is no clear justification for individual and corporate employers to face a possible prison term for failing to enquire if their employee is owing a student loan especially at a time when non-custodial measures are being proposed worldwide as a better approach in sanctioning. It is also unclear how this penalty would be enforced taking into consideration, informal employment arrangements that are common in Nigeria or what would happen if the defaulting employer were a government agency (Fatimayin et al, 2024).</w:t>
      </w:r>
    </w:p>
    <w:p w14:paraId="02D843AB">
      <w:pPr>
        <w:pStyle w:val="2"/>
        <w:spacing w:before="0" w:line="480" w:lineRule="auto"/>
        <w:rPr>
          <w:rFonts w:ascii="Times New Roman" w:hAnsi="Times New Roman"/>
          <w:b w:val="0"/>
          <w:bCs w:val="0"/>
          <w:color w:val="auto"/>
          <w:sz w:val="24"/>
        </w:rPr>
      </w:pPr>
      <w:bookmarkStart w:id="30" w:name="_Toc170896426"/>
      <w:r>
        <w:rPr>
          <w:rFonts w:ascii="Times New Roman" w:hAnsi="Times New Roman"/>
          <w:color w:val="auto"/>
          <w:sz w:val="24"/>
        </w:rPr>
        <w:t>2.6 Challenges affecting the implementation of student loan scheme</w:t>
      </w:r>
      <w:bookmarkEnd w:id="30"/>
    </w:p>
    <w:p w14:paraId="3DA8A3B4">
      <w:pPr>
        <w:spacing w:line="480" w:lineRule="auto"/>
        <w:rPr>
          <w:rFonts w:ascii="Times New Roman" w:hAnsi="Times New Roman" w:cs="Times New Roman"/>
          <w:b/>
          <w:bCs/>
          <w:sz w:val="24"/>
        </w:rPr>
      </w:pPr>
      <w:r>
        <w:rPr>
          <w:rFonts w:ascii="Times New Roman" w:hAnsi="Times New Roman" w:cs="Times New Roman"/>
          <w:b/>
          <w:bCs/>
          <w:sz w:val="24"/>
        </w:rPr>
        <w:t>Stringent Guarantor Conditions</w:t>
      </w:r>
    </w:p>
    <w:p w14:paraId="099D0D28">
      <w:pPr>
        <w:spacing w:line="480" w:lineRule="auto"/>
        <w:rPr>
          <w:rFonts w:ascii="Times New Roman" w:hAnsi="Times New Roman" w:cs="Times New Roman"/>
          <w:sz w:val="24"/>
        </w:rPr>
      </w:pPr>
      <w:r>
        <w:rPr>
          <w:rFonts w:ascii="Times New Roman" w:hAnsi="Times New Roman" w:cs="Times New Roman"/>
          <w:sz w:val="24"/>
        </w:rPr>
        <w:t>The Act mandates two guarantors, each with specific qualifications, like being a civil servant of at least level 12, a lawyer with a decade of experience,a judicial officer, or a justice of the peace. This requirement may exclude many low-income applicants who may struggle to find suitable guarantors. It might even lead to a black market for guarantors.</w:t>
      </w:r>
    </w:p>
    <w:p w14:paraId="690E7D10">
      <w:pPr>
        <w:spacing w:line="480" w:lineRule="auto"/>
        <w:rPr>
          <w:rFonts w:ascii="Times New Roman" w:hAnsi="Times New Roman" w:cs="Times New Roman"/>
          <w:b/>
          <w:bCs/>
          <w:sz w:val="24"/>
        </w:rPr>
      </w:pPr>
      <w:r>
        <w:rPr>
          <w:rFonts w:ascii="Times New Roman" w:hAnsi="Times New Roman" w:cs="Times New Roman"/>
          <w:b/>
          <w:bCs/>
          <w:sz w:val="24"/>
        </w:rPr>
        <w:t>Low Employment Prospects for Graduates</w:t>
      </w:r>
    </w:p>
    <w:p w14:paraId="6BE0BE3A">
      <w:pPr>
        <w:spacing w:line="480" w:lineRule="auto"/>
        <w:rPr>
          <w:rFonts w:ascii="Times New Roman" w:hAnsi="Times New Roman" w:cs="Times New Roman"/>
          <w:sz w:val="24"/>
        </w:rPr>
      </w:pPr>
      <w:r>
        <w:rPr>
          <w:rFonts w:ascii="Times New Roman" w:hAnsi="Times New Roman" w:cs="Times New Roman"/>
          <w:sz w:val="24"/>
        </w:rPr>
        <w:t>Repayment is expected to start two years after completing the NYSC, assuming applicants will be employed or self-employed. However, Nigeria's high youth unemployment rate, particularly among post-secondary graduates, raises concerns. Many borrowers may face difficulties repaying, leading to fines or legal troubles, creating new challenges.</w:t>
      </w:r>
    </w:p>
    <w:p w14:paraId="27EEBB19">
      <w:pPr>
        <w:spacing w:line="480" w:lineRule="auto"/>
        <w:rPr>
          <w:rFonts w:ascii="Times New Roman" w:hAnsi="Times New Roman" w:cs="Times New Roman"/>
          <w:b/>
          <w:bCs/>
          <w:sz w:val="24"/>
        </w:rPr>
      </w:pPr>
      <w:r>
        <w:rPr>
          <w:rFonts w:ascii="Times New Roman" w:hAnsi="Times New Roman" w:cs="Times New Roman"/>
          <w:b/>
          <w:bCs/>
          <w:sz w:val="24"/>
        </w:rPr>
        <w:t>Interest-Free Nature of Loans</w:t>
      </w:r>
    </w:p>
    <w:p w14:paraId="0C8C63A9">
      <w:pPr>
        <w:spacing w:line="480" w:lineRule="auto"/>
        <w:rPr>
          <w:rFonts w:ascii="Times New Roman" w:hAnsi="Times New Roman" w:cs="Times New Roman"/>
          <w:sz w:val="24"/>
        </w:rPr>
      </w:pPr>
      <w:r>
        <w:rPr>
          <w:rFonts w:ascii="Times New Roman" w:hAnsi="Times New Roman" w:cs="Times New Roman"/>
          <w:sz w:val="24"/>
        </w:rPr>
        <w:t>The Act's interest-free loans may seem flexible, but they don't account for inflation or changes in the cost of living. The fixed principal amount remains constant, potentially affecting the program's sustainability as repaid loans lose value over time, contradicting the concept of the time value of money.</w:t>
      </w:r>
    </w:p>
    <w:p w14:paraId="00D7F901">
      <w:pPr>
        <w:spacing w:line="480" w:lineRule="auto"/>
        <w:rPr>
          <w:rFonts w:ascii="Times New Roman" w:hAnsi="Times New Roman" w:cs="Times New Roman"/>
          <w:b/>
          <w:bCs/>
          <w:sz w:val="24"/>
        </w:rPr>
      </w:pPr>
      <w:r>
        <w:rPr>
          <w:rFonts w:ascii="Times New Roman" w:hAnsi="Times New Roman" w:cs="Times New Roman"/>
          <w:b/>
          <w:bCs/>
          <w:sz w:val="24"/>
        </w:rPr>
        <w:t>Credit Culture in Nigeria</w:t>
      </w:r>
    </w:p>
    <w:p w14:paraId="78784E16">
      <w:pPr>
        <w:spacing w:line="480" w:lineRule="auto"/>
        <w:rPr>
          <w:rFonts w:ascii="Times New Roman" w:hAnsi="Times New Roman" w:cs="Times New Roman"/>
          <w:sz w:val="24"/>
        </w:rPr>
      </w:pPr>
      <w:r>
        <w:rPr>
          <w:rFonts w:ascii="Times New Roman" w:hAnsi="Times New Roman" w:cs="Times New Roman"/>
          <w:sz w:val="24"/>
        </w:rPr>
        <w:t>Nigeria's credit culture is still developing, with challenges related to identity management, high interest rates, and limited credit histories. Many rely on informal options like community savings groups or local moneylenders. Historical difficulties in loan recovery by the government add to these concerns (Ogunoode et al, 2023).</w:t>
      </w:r>
    </w:p>
    <w:p w14:paraId="3A58A113">
      <w:pPr>
        <w:spacing w:line="480" w:lineRule="auto"/>
        <w:rPr>
          <w:rFonts w:ascii="Times New Roman" w:hAnsi="Times New Roman" w:cs="Times New Roman"/>
          <w:b/>
          <w:bCs/>
          <w:sz w:val="24"/>
        </w:rPr>
      </w:pPr>
      <w:r>
        <w:rPr>
          <w:rFonts w:ascii="Times New Roman" w:hAnsi="Times New Roman" w:cs="Times New Roman"/>
          <w:b/>
          <w:bCs/>
          <w:sz w:val="24"/>
        </w:rPr>
        <w:t>Pre-conditions for Students Loan Implementation in Nigeria</w:t>
      </w:r>
    </w:p>
    <w:p w14:paraId="75281750">
      <w:pPr>
        <w:spacing w:line="480" w:lineRule="auto"/>
        <w:rPr>
          <w:rFonts w:ascii="Times New Roman" w:hAnsi="Times New Roman" w:cs="Times New Roman"/>
          <w:sz w:val="24"/>
        </w:rPr>
      </w:pPr>
      <w:r>
        <w:rPr>
          <w:rFonts w:ascii="Times New Roman" w:hAnsi="Times New Roman" w:cs="Times New Roman"/>
          <w:sz w:val="24"/>
        </w:rPr>
        <w:t>There is a need to adequately provide human and material resources in the various tertiary institutions of the government and administrators before the signing of the recent bill passed by the two chambers of the National Assembly by the President into law. Some of the issues to address include; the infrastructure facilities gap, shortage of lecturers, unionism problems, quality of service, delay in graduation, curriculum content and learning environment of tertiary institutions (Ogunode,2020).</w:t>
      </w:r>
    </w:p>
    <w:p w14:paraId="1E1347DC">
      <w:pPr>
        <w:spacing w:line="480" w:lineRule="auto"/>
        <w:rPr>
          <w:rFonts w:ascii="Times New Roman" w:hAnsi="Times New Roman" w:cs="Times New Roman"/>
          <w:b/>
          <w:bCs/>
          <w:sz w:val="24"/>
        </w:rPr>
      </w:pPr>
      <w:r>
        <w:rPr>
          <w:rFonts w:ascii="Times New Roman" w:hAnsi="Times New Roman" w:cs="Times New Roman"/>
          <w:b/>
          <w:bCs/>
          <w:sz w:val="24"/>
        </w:rPr>
        <w:t>Infrastructure Facilities Gap</w:t>
      </w:r>
    </w:p>
    <w:p w14:paraId="6B37565F">
      <w:pPr>
        <w:spacing w:line="480" w:lineRule="auto"/>
        <w:rPr>
          <w:rFonts w:ascii="Times New Roman" w:hAnsi="Times New Roman" w:cs="Times New Roman"/>
          <w:sz w:val="24"/>
        </w:rPr>
      </w:pPr>
      <w:r>
        <w:rPr>
          <w:rFonts w:ascii="Times New Roman" w:hAnsi="Times New Roman" w:cs="Times New Roman"/>
          <w:sz w:val="24"/>
        </w:rPr>
        <w:t>A major issue to be addressed before the commencement of the student loan programme in Nigerian tertiary institutions is the infrastructure facilities gap. Ogunode (2020) defined Infrastructure facilities as those facilities aiding the delivery of academic and non-academic services in educational institutions. Infrastructural facilities include; libraries, laboratories, halls, offices, administrative blocks, hostels, road facilities, water, electricity, internet etc. Tertiary institutions required these facilities to provide quality teaching, research and community services. Adequate infrastructure facilities enable institutions to provide quality services to their students.</w:t>
      </w:r>
    </w:p>
    <w:p w14:paraId="02D02D5D">
      <w:pPr>
        <w:spacing w:line="480" w:lineRule="auto"/>
        <w:rPr>
          <w:rFonts w:ascii="Times New Roman" w:hAnsi="Times New Roman" w:cs="Times New Roman"/>
          <w:sz w:val="24"/>
        </w:rPr>
      </w:pPr>
      <w:r>
        <w:rPr>
          <w:rFonts w:ascii="Times New Roman" w:hAnsi="Times New Roman" w:cs="Times New Roman"/>
          <w:sz w:val="24"/>
        </w:rPr>
        <w:t>Unfortunately, many public tertiary institutions in Nigeria are faced with the problem of a shortage of infrastructure facilities though there have been improvements in some of the university facilities across the country more investments are still needed. For instance, Alechenu (2012) concluded that the low status of infrastructural facilities has led to a sharp decline in scholarship. Akomolafe &amp; Ibijola (2014) in their study reported the low status of infrastructure in Nigerian universities. Otokunefor (2015) reported that the poor quality of our university graduates is due to the interwoven nature of the infrastructural deficiencies of the universities.</w:t>
      </w:r>
    </w:p>
    <w:p w14:paraId="13AE7836">
      <w:pPr>
        <w:spacing w:line="480" w:lineRule="auto"/>
        <w:rPr>
          <w:rFonts w:ascii="Times New Roman" w:hAnsi="Times New Roman" w:cs="Times New Roman"/>
          <w:sz w:val="24"/>
        </w:rPr>
      </w:pPr>
      <w:r>
        <w:rPr>
          <w:rFonts w:ascii="Times New Roman" w:hAnsi="Times New Roman" w:cs="Times New Roman"/>
          <w:sz w:val="24"/>
        </w:rPr>
        <w:t>Okpa, (2019) argued that the availability of facilities not only enhances good teaching practices but also facilitates learning thus enhancing the achievement of the aims and objectives for which the schools are established. The quality of education that our children receive bears direct relevance to the availability or lack of physical facilities and the overall atmosphere in which learning takes place. This implies that educational programmes and processes are greatly influenced by the school plant. The school plant influences not only the kind of programme but the diversity of each programme and the entire school enrolment. Since the model of financing in the tertiary institutions now will be paid through student loans implying the students will now be paying for the services they are getting in the tertiary. If that is the case, there is a need to improve the quality of facilities in the various tertiary institutions.</w:t>
      </w:r>
    </w:p>
    <w:p w14:paraId="246B2284">
      <w:pPr>
        <w:spacing w:line="480" w:lineRule="auto"/>
        <w:rPr>
          <w:rFonts w:ascii="Times New Roman" w:hAnsi="Times New Roman" w:cs="Times New Roman"/>
          <w:b/>
          <w:bCs/>
          <w:sz w:val="24"/>
        </w:rPr>
      </w:pPr>
      <w:r>
        <w:rPr>
          <w:rFonts w:ascii="Times New Roman" w:hAnsi="Times New Roman" w:cs="Times New Roman"/>
          <w:b/>
          <w:bCs/>
          <w:sz w:val="24"/>
        </w:rPr>
        <w:t>Shortage of Lecturers</w:t>
      </w:r>
    </w:p>
    <w:p w14:paraId="5C0E5D8B">
      <w:pPr>
        <w:spacing w:line="480" w:lineRule="auto"/>
        <w:rPr>
          <w:rFonts w:ascii="Times New Roman" w:hAnsi="Times New Roman" w:cs="Times New Roman"/>
          <w:b/>
          <w:bCs/>
          <w:sz w:val="24"/>
        </w:rPr>
      </w:pPr>
      <w:r>
        <w:rPr>
          <w:rFonts w:ascii="Times New Roman" w:hAnsi="Times New Roman" w:cs="Times New Roman"/>
          <w:sz w:val="24"/>
        </w:rPr>
        <w:t xml:space="preserve">One of the indicators used in measuring quality in tertiary institutions is the ratio of academic staffs to students. The higher the number of professional academic staff in an institution, the higher the quality of teaching services in the institution. The adequacy of academic personnel to handle the various courses of a given programme is equally important because this helps to determine the teacher/student ratio (Akpan &amp; Etor, 2016). Ogunode, Ahmed, Gregory, and Abubakar (2020) also observed that teachers are fundamental to the effective delivery of teaching programmes in educational institutions. The teachers' place in educational institutions cannot be replaced. Teachers are the implementer of the curriculum. The teacher plans the lesson, organizes the instructional resources and delivers the lesson. The teachers ensure the students learn the right knowledge and skills through the process of teaching and learning. </w:t>
      </w:r>
    </w:p>
    <w:p w14:paraId="02264669">
      <w:pPr>
        <w:spacing w:line="480" w:lineRule="auto"/>
        <w:rPr>
          <w:rFonts w:ascii="Times New Roman" w:hAnsi="Times New Roman" w:cs="Times New Roman"/>
          <w:b/>
          <w:bCs/>
          <w:sz w:val="24"/>
        </w:rPr>
      </w:pPr>
      <w:r>
        <w:rPr>
          <w:rFonts w:ascii="Times New Roman" w:hAnsi="Times New Roman" w:cs="Times New Roman"/>
          <w:sz w:val="24"/>
        </w:rPr>
        <w:t>Bamiro (2012) reiterated the importance of universities paying attention to the quality and quantity of academic staff. In Nigeria, the NUC Benchmark Minimum Academic Standards (BMAS) of 2007 stipulated the following teacher/students ratio: 1:20 in science; 1:15 in Engineering and technology; 1:10 in medicine, veterinary medicine and pharmacy, 1:15 in agricultural and environmental sciences and 1:30 in education, management science, social science, law and arts. The implementation of the NUC Benchmark Minimum Academic Standards (BMAS) on the lecturer- student ratio has been poorly implemented across Nigerian universities. For instance, the National Open University of Nigeria was reported to have a faculty-to-student ratio of 1:363; the University of Abuja, 1:122; and Lagos State University, 1:114 (NEEDS,2014). Also, recently, the National Universities Commission (NUC) asked the government to isolate universities from the embargo on employment due to a shortage of lecturers in the various universities. The commission submitted that 100,000 academic staff members were attending to 2.1 million students in over 200 universities, both public and private.</w:t>
      </w:r>
    </w:p>
    <w:p w14:paraId="14018510">
      <w:pPr>
        <w:spacing w:line="480" w:lineRule="auto"/>
        <w:rPr>
          <w:rFonts w:ascii="Times New Roman" w:hAnsi="Times New Roman" w:cs="Times New Roman"/>
          <w:b/>
          <w:bCs/>
          <w:sz w:val="24"/>
        </w:rPr>
      </w:pPr>
      <w:r>
        <w:rPr>
          <w:rFonts w:ascii="Times New Roman" w:hAnsi="Times New Roman" w:cs="Times New Roman"/>
          <w:sz w:val="24"/>
        </w:rPr>
        <w:t xml:space="preserve">According to National Universities Commission (NUC) Federal Universities currently suffer a shortage of full-time professors. According to the data, no federal university scored up to 50 per cent in the ranking of full professors. This implies that no Federal University has the required number of full professors they required. Some of the Federal Universities ranked in the top 10 are the Usmanu Dan-Fodiyo University, Sokoto, with 36.44%; Obafemi Awolowo University, Ile Ife, 36%; the University of Ibadan, 29%; the Federal University of Technology, Akure, 27%; Federal University of Agriculture, Abeokuta, 27%; the University of Abuja, 25%; the University of Benin, 23%; University of Port Harcourt, 21%; the University of Calabar, 21%; and University of Ilorin, 21%. There is a relationship between the shortage of professional teachers in Nigerian schools and the level of quality of teaching. Having adequate academic staff in school help to ensure quality in the system. To achieve service delivery efficiency, academic staff must possess the right skills and be adequate in any of the institutions. </w:t>
      </w:r>
    </w:p>
    <w:p w14:paraId="195A78D4">
      <w:pPr>
        <w:spacing w:line="480" w:lineRule="auto"/>
        <w:rPr>
          <w:rFonts w:ascii="Times New Roman" w:hAnsi="Times New Roman" w:cs="Times New Roman"/>
          <w:b/>
          <w:bCs/>
          <w:sz w:val="24"/>
        </w:rPr>
      </w:pPr>
      <w:r>
        <w:rPr>
          <w:rFonts w:ascii="Times New Roman" w:hAnsi="Times New Roman" w:cs="Times New Roman"/>
          <w:b/>
          <w:bCs/>
          <w:sz w:val="24"/>
        </w:rPr>
        <w:t>Unionism Problems</w:t>
      </w:r>
    </w:p>
    <w:p w14:paraId="3EDA1177">
      <w:pPr>
        <w:spacing w:line="480" w:lineRule="auto"/>
        <w:rPr>
          <w:rFonts w:ascii="Times New Roman" w:hAnsi="Times New Roman" w:cs="Times New Roman"/>
          <w:sz w:val="24"/>
        </w:rPr>
      </w:pPr>
      <w:r>
        <w:rPr>
          <w:rFonts w:ascii="Times New Roman" w:hAnsi="Times New Roman" w:cs="Times New Roman"/>
          <w:sz w:val="24"/>
        </w:rPr>
        <w:t>Another issue to address in the tertiary institutions in Nigeria is the issue of strike actions by different unions in the various tertiary institutions especially the universities in Nigeria. Nigerian public universities are confronted with many challenges. Strike actions is one of the major problem faced by the institutions (Ogunode, &amp; Ohibime (2021) Research showed that Nigerian university students have been forced out of the classroom for more than four years due to the frequent strikes embarked upon by the members of the Academic Staff Union of Universities (ASUU) since the return of democracy to the country in 1999. ASUU chairman revealed that the recent lecturers’ union strike was the 16th since Nigeria returns to democracy in 1999, shutting down academic activities in public universities for a cumulative period of more than four years within 23 years, a duration that is sufficient to complete a four-year degree programme, with some strikes lasting few weeks and others for several months.</w:t>
      </w:r>
    </w:p>
    <w:p w14:paraId="2D3D8695">
      <w:pPr>
        <w:spacing w:line="480" w:lineRule="auto"/>
        <w:rPr>
          <w:rFonts w:ascii="Times New Roman" w:hAnsi="Times New Roman" w:cs="Times New Roman"/>
          <w:sz w:val="24"/>
        </w:rPr>
      </w:pPr>
      <w:r>
        <w:rPr>
          <w:rFonts w:ascii="Times New Roman" w:hAnsi="Times New Roman" w:cs="Times New Roman"/>
          <w:sz w:val="24"/>
        </w:rPr>
        <w:t xml:space="preserve">Ogunode et al (2023) lamented that the frequent and prolonged industrial actions by ASUU have been a source of concern to most students of public universities in the country, their parents and other stakeholders. For decades, Nigerian public universities have been encountering challenges of poor funding, inadequate infrastructure, obsolete educational system, dilapidated structures and equipment, and brain drain and successive governments have not been able to proffer solutions to these problems. ASUU, a trade union formed in 1978 to represent the interests of academic staff in all of the federal and state universities in the country, whose objectives include regulation of relations between academic staff and employers, has always been at loggerheads with the government. Under the present government's administration, undergraduates in universities across the country have lost at least 13 months from their educational calendar owing to the recurring strikes by ASUU. </w:t>
      </w:r>
    </w:p>
    <w:p w14:paraId="0ACDE663">
      <w:pPr>
        <w:spacing w:line="480" w:lineRule="auto"/>
        <w:rPr>
          <w:rFonts w:ascii="Times New Roman" w:hAnsi="Times New Roman" w:cs="Times New Roman"/>
          <w:sz w:val="24"/>
        </w:rPr>
      </w:pPr>
      <w:r>
        <w:rPr>
          <w:rFonts w:ascii="Times New Roman" w:hAnsi="Times New Roman" w:cs="Times New Roman"/>
          <w:sz w:val="24"/>
        </w:rPr>
        <w:t>Educationists say this explains why the products of Nigerian public universities are half-baked and certificates obtained from Nigerian universities are not rated high outside the shores of the country (Leadership 2022). The strike actions have prevented the delivery of quality services to the students. Due to strike actions, the curriculum and syllabus for the period are not covered. The government need to come up with strategies and policies to reduce strike actions in the various tertiary institutions. There should be a policy measure to ensure a stable academic calendar to enable students to get the value of the services they are paying for.</w:t>
      </w:r>
    </w:p>
    <w:p w14:paraId="180C10B3">
      <w:pPr>
        <w:spacing w:line="480" w:lineRule="auto"/>
        <w:rPr>
          <w:rFonts w:ascii="Times New Roman" w:hAnsi="Times New Roman" w:cs="Times New Roman"/>
          <w:b/>
          <w:bCs/>
          <w:sz w:val="24"/>
        </w:rPr>
      </w:pPr>
      <w:r>
        <w:rPr>
          <w:rFonts w:ascii="Times New Roman" w:hAnsi="Times New Roman" w:cs="Times New Roman"/>
          <w:b/>
          <w:bCs/>
          <w:sz w:val="24"/>
        </w:rPr>
        <w:t>Quality of Service Issues</w:t>
      </w:r>
    </w:p>
    <w:p w14:paraId="21E9675D">
      <w:pPr>
        <w:spacing w:line="480" w:lineRule="auto"/>
        <w:rPr>
          <w:rFonts w:ascii="Times New Roman" w:hAnsi="Times New Roman" w:cs="Times New Roman"/>
          <w:sz w:val="24"/>
        </w:rPr>
      </w:pPr>
      <w:r>
        <w:rPr>
          <w:rFonts w:ascii="Times New Roman" w:hAnsi="Times New Roman" w:cs="Times New Roman"/>
          <w:sz w:val="24"/>
        </w:rPr>
        <w:t>The quality of services in most of the tertiary institutions in Nigeria is weak and ineffective. Services in tertiary institutions are classified into academic and non-academic. The academic services cover all academic activities in the institutions such as teaching and researching. Slaymaker, Christiansen &amp; Hemming, (2005) opined that service delivery is the capability and having the right infrastructure of delivering services correctly according to a particular standard and with consistency. It covers the help, assistance and services academic staff are required to give to students, parents, users of the university and the community. Service delivery can be also conceptualized as the relationship between policymakers, service providers and consumers of services, and encompasses both services and their supporting systems. Unfortunately, service delivery to students in most public universities in Nigeria is poor. It is demanded of the government to direct the various supervisory and regulatory agencies to work with various administrators and managers of tertiary institutions in Nigeria to improve the quality of teaching, research and community services. With the new student loans scheme if signed by the government it is expected that students finance their education through loans from the various banks in the country. If students are expected to pay for education services by themselves, there is a need to improve the quality of the services in all aspects of tertiary institutions.</w:t>
      </w:r>
    </w:p>
    <w:p w14:paraId="6EA192F3">
      <w:pPr>
        <w:spacing w:line="480" w:lineRule="auto"/>
        <w:rPr>
          <w:rFonts w:ascii="Times New Roman" w:hAnsi="Times New Roman" w:cs="Times New Roman"/>
          <w:sz w:val="24"/>
        </w:rPr>
      </w:pPr>
    </w:p>
    <w:p w14:paraId="32662D21">
      <w:pPr>
        <w:spacing w:line="480" w:lineRule="auto"/>
        <w:rPr>
          <w:rFonts w:ascii="Times New Roman" w:hAnsi="Times New Roman" w:cs="Times New Roman"/>
          <w:sz w:val="24"/>
        </w:rPr>
      </w:pPr>
    </w:p>
    <w:p w14:paraId="122F2771">
      <w:pPr>
        <w:spacing w:line="480" w:lineRule="auto"/>
        <w:rPr>
          <w:rFonts w:ascii="Times New Roman" w:hAnsi="Times New Roman" w:cs="Times New Roman"/>
          <w:b/>
          <w:bCs/>
          <w:sz w:val="24"/>
        </w:rPr>
      </w:pPr>
      <w:r>
        <w:rPr>
          <w:rFonts w:ascii="Times New Roman" w:hAnsi="Times New Roman" w:cs="Times New Roman"/>
          <w:b/>
          <w:bCs/>
          <w:sz w:val="24"/>
        </w:rPr>
        <w:t>Delay in Graduation</w:t>
      </w:r>
    </w:p>
    <w:p w14:paraId="3608C68F">
      <w:pPr>
        <w:spacing w:line="480" w:lineRule="auto"/>
        <w:rPr>
          <w:rFonts w:ascii="Times New Roman" w:hAnsi="Times New Roman" w:cs="Times New Roman"/>
          <w:sz w:val="24"/>
        </w:rPr>
      </w:pPr>
      <w:r>
        <w:rPr>
          <w:rFonts w:ascii="Times New Roman" w:hAnsi="Times New Roman" w:cs="Times New Roman"/>
          <w:sz w:val="24"/>
        </w:rPr>
        <w:t xml:space="preserve">The government need to address the problem of the unstable academic programme in the various universities. It has been observed that many students do not graduate when they are supposed to graduate due to many problems such as ASUU strikes and delays in projects and theses work by students and mostly by their supervisors. Doze (undated) observed that most postgraduate students in Nigeria graduate long after the stipulated time due apparently to problems of university management. Duze, (2011) did a study that investigated institutional variations of ownership, age, and location were explored and the result showed that delay in graduation occurs in all Nigerian universities alike. There are many factors responsible for the delay in the graduation of students from tertiary institutions. There are institutional factors and personal factors. For instance, a study by Modisproject (2017) was conducted to determine the perceived factors responsible for delay in the successful completion of the postgraduate programme at the Department of Nursing Sciences, UNEC. </w:t>
      </w:r>
    </w:p>
    <w:p w14:paraId="09B631BF">
      <w:pPr>
        <w:spacing w:line="480" w:lineRule="auto"/>
        <w:rPr>
          <w:rFonts w:ascii="Times New Roman" w:hAnsi="Times New Roman" w:cs="Times New Roman"/>
          <w:sz w:val="24"/>
        </w:rPr>
      </w:pPr>
      <w:r>
        <w:rPr>
          <w:rFonts w:ascii="Times New Roman" w:hAnsi="Times New Roman" w:cs="Times New Roman"/>
          <w:sz w:val="24"/>
        </w:rPr>
        <w:t>Results showed that the major personal factors that contributed to the delay in completion were conflicting roles competing with academic work; not being satisfied with the way the programme is organized and no study leave granted for the programme. For the supervisors, the major personal factor was that most of the students lacked knowledge of research work. The main environmental factor that contributed to the delay was the interference of the job with academic work. For the supervisors, the major environmental factors were that students combined work with their academic studies and that most of the students live and work outside the school environment. The major institutional factors were that library was not adequately equipped and too much workload for lecturers. The supervisors, equally indicated that there was too much workload from the undergraduate to the postgraduate programme. Many undergraduate and postgraduate students are been delayed in the various higher institutions because of problems with their supervisors. The academic calendar should be adhered to in all tertiary institutions since the students are bearing the burden of paying for their school fees through loans.</w:t>
      </w:r>
    </w:p>
    <w:p w14:paraId="2D9F1F0A">
      <w:pPr>
        <w:spacing w:line="480" w:lineRule="auto"/>
        <w:rPr>
          <w:rFonts w:ascii="Times New Roman" w:hAnsi="Times New Roman" w:cs="Times New Roman"/>
          <w:b/>
          <w:bCs/>
          <w:sz w:val="24"/>
        </w:rPr>
      </w:pPr>
      <w:r>
        <w:rPr>
          <w:rFonts w:ascii="Times New Roman" w:hAnsi="Times New Roman" w:cs="Times New Roman"/>
          <w:b/>
          <w:bCs/>
          <w:sz w:val="24"/>
        </w:rPr>
        <w:t>Curriculum Content</w:t>
      </w:r>
    </w:p>
    <w:p w14:paraId="10802322">
      <w:pPr>
        <w:spacing w:line="480" w:lineRule="auto"/>
        <w:rPr>
          <w:rFonts w:ascii="Times New Roman" w:hAnsi="Times New Roman" w:cs="Times New Roman"/>
          <w:sz w:val="24"/>
        </w:rPr>
      </w:pPr>
      <w:r>
        <w:rPr>
          <w:rFonts w:ascii="Times New Roman" w:hAnsi="Times New Roman" w:cs="Times New Roman"/>
          <w:sz w:val="24"/>
        </w:rPr>
        <w:t>The curriculum content in the tertiary institutions in Nigeria is not too relevant to the reality on the ground. Ogunode (2020) reported that the current Nigerian university curricula were not adequate based on their relevance to the 21st-century workplace. (Akpan, &amp; Etor 2016) submitted that another factor that affects the quality of university education is the extent of adequacy and relevance of the curricula contents to the learners in effecting positive changes in them. The curriculum contents of our universities have been highly criticized as not being relevant to the needs of the students and the labour market. Also, Obadara &amp; Alaka (2013) in their study reported a significant relationship between accreditation and resources inputs into Nigerian universities, quality of output and quality of the process, but no significant relationship between accreditation and quality of academic content.</w:t>
      </w:r>
    </w:p>
    <w:p w14:paraId="0F25F0EC">
      <w:pPr>
        <w:spacing w:line="480" w:lineRule="auto"/>
        <w:rPr>
          <w:rFonts w:ascii="Times New Roman" w:hAnsi="Times New Roman" w:cs="Times New Roman"/>
          <w:sz w:val="24"/>
        </w:rPr>
      </w:pPr>
      <w:r>
        <w:rPr>
          <w:rFonts w:ascii="Times New Roman" w:hAnsi="Times New Roman" w:cs="Times New Roman"/>
          <w:sz w:val="24"/>
        </w:rPr>
        <w:t xml:space="preserve">Akomolafe &amp; Ibijola (2014) stated that it appears that the infrastructures, curriculum, learning environment and academic personnel are not adequate to bring out the best in students to meet the yearnings and aspirations of Nigerians. Tessema &amp; Ready (2012) found a positive correlation between a curriculum which provides numerous course offerings for their students and more options and choices for them. A curriculum which provides a variety of options for students to choose from connects them and relates directly to their interests and allows them to explore curricular materials in ways that connect what they learn to who they are and the world around them will certainly bring satisfaction. Building a meaningful curriculum and streamlining its content is very expedient in bringing about student satisfaction. </w:t>
      </w:r>
    </w:p>
    <w:p w14:paraId="060D10B1">
      <w:pPr>
        <w:spacing w:line="480" w:lineRule="auto"/>
        <w:rPr>
          <w:rFonts w:ascii="Times New Roman" w:hAnsi="Times New Roman" w:cs="Times New Roman"/>
          <w:sz w:val="24"/>
        </w:rPr>
      </w:pPr>
      <w:r>
        <w:rPr>
          <w:rFonts w:ascii="Times New Roman" w:hAnsi="Times New Roman" w:cs="Times New Roman"/>
          <w:sz w:val="24"/>
        </w:rPr>
        <w:t>Ogunode et al (2023) submitted that to address the problem of poor employability rate of Nigerian graduates and in keeping with NUC mandate of making university education in Nigeria more responsive to the needs of the society. The Federal Ministry of Education through the National Universities Commission has embarked on radical re-engineering of curricula in Nigerian universities to meet global standards and international best practices towards preparing Nigerian graduates for relevance in the fourth revolution world economy with the skills needed for the future. The new Core Curriculum and Minimum Academic Standards (CCMAS) have been officially released for implementation in various universities. There is a need for the government to ensure the Core Curriculum and Minimum Academic Standards (CCMAS) is fully supervised and implemented as planned to help boost the employability of Nigerian graduates in the labour market.</w:t>
      </w:r>
    </w:p>
    <w:p w14:paraId="3E45FC24">
      <w:pPr>
        <w:spacing w:line="480" w:lineRule="auto"/>
        <w:rPr>
          <w:rFonts w:ascii="Times New Roman" w:hAnsi="Times New Roman" w:cs="Times New Roman"/>
          <w:b/>
          <w:bCs/>
          <w:sz w:val="24"/>
        </w:rPr>
      </w:pPr>
      <w:r>
        <w:rPr>
          <w:rFonts w:ascii="Times New Roman" w:hAnsi="Times New Roman" w:cs="Times New Roman"/>
          <w:b/>
          <w:bCs/>
          <w:sz w:val="24"/>
        </w:rPr>
        <w:t>Learning Environment</w:t>
      </w:r>
    </w:p>
    <w:p w14:paraId="4C2F67C9">
      <w:pPr>
        <w:spacing w:line="480" w:lineRule="auto"/>
        <w:rPr>
          <w:rFonts w:ascii="Times New Roman" w:hAnsi="Times New Roman" w:cs="Times New Roman"/>
          <w:sz w:val="24"/>
        </w:rPr>
      </w:pPr>
      <w:r>
        <w:rPr>
          <w:rFonts w:ascii="Times New Roman" w:hAnsi="Times New Roman" w:cs="Times New Roman"/>
          <w:sz w:val="24"/>
        </w:rPr>
        <w:t>The learning environment of educational institutions matters in terms of quality education. Mufuyai (2012) reported that Nigerian universities were characterized by a lack of basic technology, poor funding and poor operating environment. Akomolafe &amp; Ibijola (2014) observed that the learning environment, infrastructure; curriculum, and quality of academic personnel in Nigerian universities were not adequate to bring out the best in students to meet the yearning of Nigeria as a nation. If students are expected to pay for tertiary education services by themselves, there is a need to improve the learning environment of tertiary institutions in the country by providing all adequate human and material resources.</w:t>
      </w:r>
    </w:p>
    <w:p w14:paraId="61D330D2">
      <w:pPr>
        <w:spacing w:line="480" w:lineRule="auto"/>
        <w:rPr>
          <w:rFonts w:ascii="Times New Roman" w:hAnsi="Times New Roman" w:cs="Times New Roman"/>
          <w:sz w:val="24"/>
        </w:rPr>
      </w:pPr>
      <w:r>
        <w:rPr>
          <w:rFonts w:ascii="Times New Roman" w:hAnsi="Times New Roman" w:cs="Times New Roman"/>
          <w:sz w:val="24"/>
        </w:rPr>
        <w:t xml:space="preserve">Akpan, &amp; Etor (2016) observed that another factor that affects the quality of university education is the extent of adequacy and relevance of the curricula contents to the learners in effecting positive changes in them. Thus, no matter how rich, relevant and innovative the curricula of an academic programme may be if the instructional facilities and the teaching personnel are not available in adequate quantity and quality, instructional delivery becomes difficult. </w:t>
      </w:r>
    </w:p>
    <w:p w14:paraId="4FF2DF95">
      <w:pPr>
        <w:spacing w:line="480" w:lineRule="auto"/>
        <w:rPr>
          <w:rFonts w:ascii="Times New Roman" w:hAnsi="Times New Roman" w:cs="Times New Roman"/>
          <w:sz w:val="24"/>
        </w:rPr>
      </w:pPr>
      <w:r>
        <w:rPr>
          <w:rFonts w:ascii="Times New Roman" w:hAnsi="Times New Roman" w:cs="Times New Roman"/>
          <w:sz w:val="24"/>
        </w:rPr>
        <w:t xml:space="preserve">Okpa (2015) concluded that the right kind of atmosphere required for effective teaching and learning is one consisting of better buildings and teaching facilities. Such a learning environment is to be carefully planned by a team of experts, implemented by serious-minded professionals and maintained by an effective administrator. This is because of the provision of adequate facilities to work with, buildings, furniture, workshops, laboratories, equipment, materials, grounds, library services, technology facilities, and, lighting of the lecture halls, the appearance of school buildings, design of lecture halls, and cleanliness of the campus lecture rooms, parking facilities, sports and athletic facilities and other infrastructural facilities that make teaching and learning in school setting possible (Okpa, 2009). All these have a significant effect on students’ educational experience. </w:t>
      </w:r>
    </w:p>
    <w:p w14:paraId="26EF9544">
      <w:pPr>
        <w:spacing w:line="480" w:lineRule="auto"/>
        <w:rPr>
          <w:rFonts w:ascii="Times New Roman" w:hAnsi="Times New Roman" w:cs="Times New Roman"/>
          <w:b/>
          <w:bCs/>
          <w:sz w:val="24"/>
        </w:rPr>
      </w:pPr>
      <w:r>
        <w:rPr>
          <w:rFonts w:ascii="Times New Roman" w:hAnsi="Times New Roman" w:cs="Times New Roman"/>
          <w:b/>
          <w:bCs/>
          <w:sz w:val="24"/>
        </w:rPr>
        <w:t xml:space="preserve">2.7 Appraisal of the Reviewed Literature </w:t>
      </w:r>
    </w:p>
    <w:p w14:paraId="4EE7178A">
      <w:pPr>
        <w:spacing w:line="480" w:lineRule="auto"/>
        <w:rPr>
          <w:rFonts w:ascii="Times New Roman" w:hAnsi="Times New Roman" w:cs="Times New Roman"/>
          <w:sz w:val="24"/>
        </w:rPr>
      </w:pPr>
      <w:r>
        <w:rPr>
          <w:rFonts w:ascii="Times New Roman" w:hAnsi="Times New Roman" w:cs="Times New Roman"/>
          <w:sz w:val="24"/>
        </w:rPr>
        <w:t>Several studies have been carried out to evaluate the perception of higher education and student loan programme across the globe in both the developed and developing countries.</w:t>
      </w:r>
    </w:p>
    <w:p w14:paraId="0E7D39C9">
      <w:pPr>
        <w:spacing w:line="480" w:lineRule="auto"/>
        <w:rPr>
          <w:rFonts w:ascii="Times New Roman" w:hAnsi="Times New Roman" w:cs="Times New Roman"/>
          <w:sz w:val="24"/>
        </w:rPr>
      </w:pPr>
      <w:r>
        <w:rPr>
          <w:rFonts w:ascii="Times New Roman" w:hAnsi="Times New Roman" w:cs="Times New Roman"/>
          <w:sz w:val="24"/>
        </w:rPr>
        <w:t>For instance, A study on the factors affecting repayment of higher education loan by university students in Kenya was conducted ((Nganga, 2016). The study was guided by three objectives which focused on how to give out the loans, loan repayment policy and perception towards Higher Education Loan Board (HELB) affects repayment of the loans. Related literatures bothering on the background of student loan financing, loan defaulters, success and failure of student loan programmes and other issues relating to student loan financing were extensively reviewed. A population of 261,933 university graduates who were beneficiaries of higher education loans with their loan maturation date scheduled for 2015 was used.</w:t>
      </w:r>
    </w:p>
    <w:p w14:paraId="3450D467">
      <w:pPr>
        <w:spacing w:line="480" w:lineRule="auto"/>
        <w:rPr>
          <w:rFonts w:ascii="Times New Roman" w:hAnsi="Times New Roman" w:cs="Times New Roman"/>
          <w:sz w:val="24"/>
        </w:rPr>
      </w:pPr>
      <w:r>
        <w:rPr>
          <w:rFonts w:ascii="Times New Roman" w:hAnsi="Times New Roman" w:cs="Times New Roman"/>
          <w:sz w:val="24"/>
        </w:rPr>
        <w:t>Descriptive research design and random sampling technique was used in getting the sample size while structured questionnaire was developed and administered on the targeted responded for data collection. Exploratory Factor analysis was done using SPSS version 20 after which a Multivariate regression was fitted on the data to determine the relationship between the dependent and independent variables. Defaulting in repayment agreement by beneficiaries of the loan after graduation has been a major hindrance in making funds readily available for other students who need funds for their studies too. The availability of funds for needy students is subject to the funds repaid by past beneficiaries of the loan. Non- recovery of loans leads to non-sustainability of the education fund which leads to a number of loan applicants unable to get the loans which are meant to assist them cater for their learning expenses.</w:t>
      </w:r>
    </w:p>
    <w:p w14:paraId="18532B23">
      <w:pPr>
        <w:spacing w:line="480" w:lineRule="auto"/>
        <w:rPr>
          <w:rFonts w:ascii="Times New Roman" w:hAnsi="Times New Roman" w:cs="Times New Roman"/>
          <w:sz w:val="24"/>
        </w:rPr>
      </w:pPr>
      <w:r>
        <w:rPr>
          <w:rFonts w:ascii="Times New Roman" w:hAnsi="Times New Roman" w:cs="Times New Roman"/>
          <w:sz w:val="24"/>
        </w:rPr>
        <w:t>Adeniyi and Taiwo (2011), in their study analysed the cost-sharing policy in higher education in Nigeria and found that the model had a very positive response in the education sector and has been very effective in the country as the government; parents and students undergo cost-sharing which has helped in facilitating higher education in the country. He further revealed that the continued survival of higher education in Nigeria will depend on the mutual contributions between parents and the government in pre-determined proportions by the government.</w:t>
      </w:r>
    </w:p>
    <w:p w14:paraId="05F3E592">
      <w:pPr>
        <w:spacing w:line="480" w:lineRule="auto"/>
        <w:rPr>
          <w:rFonts w:ascii="Times New Roman" w:hAnsi="Times New Roman" w:cs="Times New Roman"/>
          <w:sz w:val="24"/>
        </w:rPr>
      </w:pPr>
      <w:r>
        <w:rPr>
          <w:rFonts w:ascii="Times New Roman" w:hAnsi="Times New Roman" w:cs="Times New Roman"/>
          <w:sz w:val="24"/>
        </w:rPr>
        <w:t>Sadiq (2016) carried out a study that sought to ascertain whether the Student Loan Trust Fund (SLTF) has enhanced applicants desire in acquiring higher education in Ghana with specific reference to Kwame Nkruma University of Science and Technology (KNUST). 285 students who were already on the Student Loan Trust Fund (SLTF) were randomly sampled and administered with questionnaire designed for the study. Descriptive statistic tool was used to analyze the data and the outcome shows that SLTF has tremendously increased access to tertiary education in Ghana. It was also discovered that the SLTF is so managed well to meet its purpose of enhancing accessibility to new loan seekers. The study further revealed that the amount released to beneficiaries per academic year was not enough to meet all their needs. In spite of the limitations discovered, the study gave an important insight on how to improve the SLTF in Ghana. It was also recommended the amount given out in loan to beneficiaries should be increased while the beneficiaries should comply with prompt repayment plan to enable other students benefit from the loan scheme too.</w:t>
      </w:r>
    </w:p>
    <w:p w14:paraId="6265D5A1">
      <w:pPr>
        <w:spacing w:line="480" w:lineRule="auto"/>
        <w:rPr>
          <w:rFonts w:ascii="Times New Roman" w:hAnsi="Times New Roman" w:cs="Times New Roman"/>
          <w:sz w:val="24"/>
        </w:rPr>
      </w:pPr>
      <w:r>
        <w:rPr>
          <w:rFonts w:ascii="Times New Roman" w:hAnsi="Times New Roman" w:cs="Times New Roman"/>
          <w:sz w:val="24"/>
        </w:rPr>
        <w:t>Xue and Chao (2015) investigated non-borrowing students’ perceptions of student loans and strategies of paying for College in Japan. The study explored 30 lower- or lower-middle-class non-borrowing students’ lived experiences surrounding student loans from a qualitative phenomenological research lens. Through semi-structured interviews, data were collected. This study highlighted four major reasons: parental influence, fear of economic burden, underestimation of the value of college education, and lack of information about the loan system. Peer debriefing was used to ensure the trustworthiness. It was recommended that high school counselors and college financial aid administrators should implement outreach programmes to help loan-averse students and their parents become familiar with the financial aid programmes and to encourage them to consider all sources for financial assistance for post-secondary education, including student loans.</w:t>
      </w:r>
    </w:p>
    <w:p w14:paraId="50D6AC42">
      <w:pPr>
        <w:spacing w:line="480" w:lineRule="auto"/>
        <w:rPr>
          <w:rFonts w:ascii="Times New Roman" w:hAnsi="Times New Roman" w:cs="Times New Roman"/>
          <w:sz w:val="24"/>
        </w:rPr>
      </w:pPr>
      <w:r>
        <w:rPr>
          <w:rFonts w:ascii="Times New Roman" w:hAnsi="Times New Roman" w:cs="Times New Roman"/>
          <w:sz w:val="24"/>
        </w:rPr>
        <w:t>Doan, Kang and Zhu (2020) examined the potential of reforming the higher education student loan in Vietnam. This study showed that Vietnam supports a negligible number of credit-constrained students amidst rising tuition fees. This country also creates excessive repayment burden to debtors. Arora and Kaur (2016) investigated the status of higher education and education loan in India with special reference to Punjab. India’s higher education system is the third largest in the world and has rapidly grown over the years. But unfortunately, there are several issues and challenges like access, equity, efficiency and excellence in higher education which has to be tackled efficiently. Out of these, access can be achieved only if higher education is affordable to all. Data shows that higher education institutions and enrolments are increasing with time and in line with this, percentage of education loan is also growing.</w:t>
      </w:r>
    </w:p>
    <w:p w14:paraId="569B516B">
      <w:pPr>
        <w:spacing w:line="480" w:lineRule="auto"/>
        <w:rPr>
          <w:rFonts w:ascii="Times New Roman" w:hAnsi="Times New Roman" w:cs="Times New Roman"/>
          <w:sz w:val="24"/>
        </w:rPr>
      </w:pPr>
      <w:r>
        <w:rPr>
          <w:rFonts w:ascii="Times New Roman" w:hAnsi="Times New Roman" w:cs="Times New Roman"/>
          <w:sz w:val="24"/>
        </w:rPr>
        <w:t>In Africa, Per Capita Gross Domestic Product (GDP) and enrolment found to be significantly associated with each other (Yusuf and Yussof, 2010). Data were obtained from Ghana from 1988-2008, using the autoregressive distributed lag (ARDL) framework. Sadiq (2015) sought to ascertain whether the student loan trust fund (SLTF) has helped improve access to tertiary education in Ghana, using Kwame Nkrumah University of Science and Technology (KNUST) as a case study. Using a systematic random sampling method, 285 students already on the SLTF were sampled and questionnaires were administered to them. Using descriptive statistics to analyze the data, the study revealed that the SLTF has improved access to tertiary education in Ghana. The study further revealed the SLTF is managed well to meet its purpose of enhancing accessibility. However, the amount paid as loan per academic year to students was not enough to meet all the needs of the students. Despite methodological and generality limitations, the study provided important findings relevant to improving the SLTF in Ghana. As such, the study recommended that the loan amount be increased and loans paid on time to help students on the scheme.</w:t>
      </w:r>
    </w:p>
    <w:p w14:paraId="1F8F4FDD">
      <w:pPr>
        <w:spacing w:line="480" w:lineRule="auto"/>
        <w:rPr>
          <w:rFonts w:ascii="Times New Roman" w:hAnsi="Times New Roman" w:cs="Times New Roman"/>
          <w:sz w:val="24"/>
        </w:rPr>
      </w:pPr>
      <w:r>
        <w:rPr>
          <w:rFonts w:ascii="Times New Roman" w:hAnsi="Times New Roman" w:cs="Times New Roman"/>
          <w:sz w:val="24"/>
        </w:rPr>
        <w:t>Nyahende (2013) did a Tanzania based study to find out the factors causing success of students’ loans. Using cross sectional survey in Tanzania, the study found that students loans in financing higher education in Tanzania helps to increase the enrollment of students in higher learning institutions. The study also revealed that Higher Education Students’ Loans Board (HESLB) is showing enough efforts to recover loans granted to loans beneficiaries since 1994. Kyaligonza (2017) scrutinized the recital of the student loan scheme in Uganda. This work identifies gaps in the performance of the scheme. These were in the areas of application procedures; disbursement; and structures for recovery. Decentralization of some of the operations was suggested through this work.</w:t>
      </w:r>
    </w:p>
    <w:p w14:paraId="410DD61D">
      <w:pPr>
        <w:spacing w:line="480" w:lineRule="auto"/>
        <w:rPr>
          <w:rFonts w:ascii="Times New Roman" w:hAnsi="Times New Roman" w:cs="Times New Roman"/>
          <w:sz w:val="24"/>
        </w:rPr>
      </w:pPr>
      <w:r>
        <w:rPr>
          <w:rFonts w:ascii="Times New Roman" w:hAnsi="Times New Roman" w:cs="Times New Roman"/>
          <w:sz w:val="24"/>
        </w:rPr>
        <w:t>Kossey and Ishengoma (2012) investigated the challenges confronting student financing systems in Africa, with specific reference to Tanzania’s Higher Education Students’ Loans Board (HESLB). The study shows that the major challenges include limited resources, unemployment among loan beneficiaries, increased loans applications, the lack of a national identification system, emigration of loan beneficiaries, poor policy and legal frameworks, and corruption among HESLB staff and loan beneficiaries. The study recommended that the HESLB should diversify its sources of funding to reduce dependence on government; enforce loan repayment through legislation that enables direct reimbursement from beneficiaries’ salaries; charge interest higher than the inflation rate; and embark on aggressive public education campaigns on the importance and benefits of the loan scheme and loan repayments.</w:t>
      </w:r>
    </w:p>
    <w:p w14:paraId="4E8A548E">
      <w:pPr>
        <w:spacing w:line="480" w:lineRule="auto"/>
        <w:rPr>
          <w:rFonts w:ascii="Times New Roman" w:hAnsi="Times New Roman" w:cs="Times New Roman"/>
          <w:sz w:val="24"/>
        </w:rPr>
      </w:pPr>
      <w:r>
        <w:rPr>
          <w:rFonts w:ascii="Times New Roman" w:hAnsi="Times New Roman" w:cs="Times New Roman"/>
          <w:sz w:val="24"/>
        </w:rPr>
        <w:t>Ogunode, et al. (2023) observed that in 1972 Nigeria government established a loan program with the objectives of providing loan for tertiary institutions students. The student loan program of 1972 was faced with a lot of problems; majorly was poor repayment of the loans by beneficiaries. In 2019, the Nigeria House of Representatives sponsored another student loan Bill and the Bill was passed into law. In 2023, the Nigerian presidents signed the Bill into law for implementation. Since the signing of the bill into law for implementation in Nigeria, there have been contentions among students, parents and tertiary education stakeholders on the implementation of the student loan programme about its failure and success.</w:t>
      </w:r>
    </w:p>
    <w:p w14:paraId="164A5CD6">
      <w:pPr>
        <w:widowControl/>
        <w:jc w:val="left"/>
        <w:rPr>
          <w:rFonts w:ascii="Times New Roman" w:hAnsi="Times New Roman" w:cs="Times New Roman"/>
          <w:b/>
          <w:bCs/>
          <w:sz w:val="24"/>
          <w:lang w:val="en"/>
        </w:rPr>
      </w:pPr>
      <w:bookmarkStart w:id="31" w:name="_Hlk92375365"/>
    </w:p>
    <w:p w14:paraId="69D5F89F">
      <w:pPr>
        <w:widowControl/>
        <w:jc w:val="left"/>
        <w:rPr>
          <w:rFonts w:ascii="Times New Roman" w:hAnsi="Times New Roman" w:cs="Times New Roman"/>
          <w:b/>
          <w:bCs/>
          <w:sz w:val="24"/>
          <w:lang w:val="en"/>
        </w:rPr>
      </w:pPr>
    </w:p>
    <w:p w14:paraId="6851D631">
      <w:pPr>
        <w:widowControl/>
        <w:jc w:val="left"/>
        <w:rPr>
          <w:rFonts w:ascii="Times New Roman" w:hAnsi="Times New Roman" w:cs="Times New Roman"/>
          <w:b/>
          <w:bCs/>
          <w:sz w:val="24"/>
          <w:lang w:val="en"/>
        </w:rPr>
      </w:pPr>
    </w:p>
    <w:p w14:paraId="486630C9">
      <w:pPr>
        <w:widowControl/>
        <w:jc w:val="left"/>
        <w:rPr>
          <w:rFonts w:ascii="Times New Roman" w:hAnsi="Times New Roman" w:cs="Times New Roman"/>
          <w:b/>
          <w:bCs/>
          <w:sz w:val="24"/>
          <w:lang w:val="en"/>
        </w:rPr>
      </w:pPr>
    </w:p>
    <w:p w14:paraId="0611DE93">
      <w:pPr>
        <w:widowControl/>
        <w:jc w:val="left"/>
        <w:rPr>
          <w:rFonts w:ascii="Times New Roman" w:hAnsi="Times New Roman" w:cs="Times New Roman"/>
          <w:b/>
          <w:bCs/>
          <w:sz w:val="24"/>
          <w:lang w:val="en"/>
        </w:rPr>
      </w:pPr>
    </w:p>
    <w:p w14:paraId="1FD23C00">
      <w:pPr>
        <w:widowControl/>
        <w:jc w:val="left"/>
        <w:rPr>
          <w:rFonts w:ascii="Times New Roman" w:hAnsi="Times New Roman" w:cs="Times New Roman"/>
          <w:b/>
          <w:bCs/>
          <w:sz w:val="24"/>
          <w:lang w:val="en"/>
        </w:rPr>
      </w:pPr>
    </w:p>
    <w:p w14:paraId="38E240C3">
      <w:pPr>
        <w:widowControl/>
        <w:jc w:val="left"/>
        <w:rPr>
          <w:rFonts w:ascii="Times New Roman" w:hAnsi="Times New Roman" w:cs="Times New Roman"/>
          <w:b/>
          <w:bCs/>
          <w:sz w:val="24"/>
          <w:lang w:val="en"/>
        </w:rPr>
      </w:pPr>
    </w:p>
    <w:p w14:paraId="62A12D23">
      <w:pPr>
        <w:widowControl/>
        <w:jc w:val="left"/>
        <w:rPr>
          <w:rFonts w:ascii="Times New Roman" w:hAnsi="Times New Roman" w:cs="Times New Roman"/>
          <w:b/>
          <w:bCs/>
          <w:sz w:val="24"/>
          <w:lang w:val="en"/>
        </w:rPr>
      </w:pPr>
    </w:p>
    <w:p w14:paraId="079639E5">
      <w:pPr>
        <w:widowControl/>
        <w:jc w:val="left"/>
        <w:rPr>
          <w:rFonts w:ascii="Times New Roman" w:hAnsi="Times New Roman" w:cs="Times New Roman"/>
          <w:b/>
          <w:bCs/>
          <w:sz w:val="24"/>
          <w:lang w:val="en"/>
        </w:rPr>
      </w:pPr>
    </w:p>
    <w:p w14:paraId="54638616">
      <w:pPr>
        <w:widowControl/>
        <w:jc w:val="left"/>
        <w:rPr>
          <w:rFonts w:ascii="Times New Roman" w:hAnsi="Times New Roman" w:cs="Times New Roman"/>
          <w:b/>
          <w:bCs/>
          <w:sz w:val="24"/>
          <w:lang w:val="en"/>
        </w:rPr>
      </w:pPr>
    </w:p>
    <w:p w14:paraId="60D2E689">
      <w:pPr>
        <w:widowControl/>
        <w:jc w:val="left"/>
        <w:rPr>
          <w:rFonts w:ascii="Times New Roman" w:hAnsi="Times New Roman" w:cs="Times New Roman"/>
          <w:b/>
          <w:bCs/>
          <w:sz w:val="24"/>
          <w:lang w:val="en"/>
        </w:rPr>
      </w:pPr>
    </w:p>
    <w:p w14:paraId="719A9C5A">
      <w:pPr>
        <w:widowControl/>
        <w:jc w:val="left"/>
        <w:rPr>
          <w:rFonts w:ascii="Times New Roman" w:hAnsi="Times New Roman" w:cs="Times New Roman"/>
          <w:b/>
          <w:bCs/>
          <w:sz w:val="24"/>
          <w:lang w:val="en"/>
        </w:rPr>
      </w:pPr>
    </w:p>
    <w:p w14:paraId="6E62063B">
      <w:pPr>
        <w:widowControl/>
        <w:jc w:val="left"/>
        <w:rPr>
          <w:rFonts w:ascii="Times New Roman" w:hAnsi="Times New Roman" w:cs="Times New Roman"/>
          <w:b/>
          <w:bCs/>
          <w:sz w:val="24"/>
          <w:lang w:val="en"/>
        </w:rPr>
      </w:pPr>
    </w:p>
    <w:p w14:paraId="7D17942B">
      <w:pPr>
        <w:widowControl/>
        <w:jc w:val="left"/>
        <w:rPr>
          <w:rFonts w:ascii="Times New Roman" w:hAnsi="Times New Roman" w:cs="Times New Roman"/>
          <w:b/>
          <w:bCs/>
          <w:sz w:val="24"/>
          <w:lang w:val="en"/>
        </w:rPr>
      </w:pPr>
    </w:p>
    <w:p w14:paraId="342996C8">
      <w:pPr>
        <w:widowControl/>
        <w:jc w:val="left"/>
        <w:rPr>
          <w:rFonts w:ascii="Times New Roman" w:hAnsi="Times New Roman" w:cs="Times New Roman"/>
          <w:b/>
          <w:bCs/>
          <w:sz w:val="24"/>
          <w:lang w:val="en"/>
        </w:rPr>
      </w:pPr>
    </w:p>
    <w:p w14:paraId="1FF49197">
      <w:pPr>
        <w:widowControl/>
        <w:jc w:val="left"/>
        <w:rPr>
          <w:rFonts w:ascii="Times New Roman" w:hAnsi="Times New Roman" w:cs="Times New Roman"/>
          <w:b/>
          <w:bCs/>
          <w:sz w:val="24"/>
          <w:lang w:val="en"/>
        </w:rPr>
      </w:pPr>
    </w:p>
    <w:p w14:paraId="109E6107">
      <w:pPr>
        <w:widowControl/>
        <w:jc w:val="left"/>
        <w:rPr>
          <w:rFonts w:ascii="Times New Roman" w:hAnsi="Times New Roman" w:cs="Times New Roman"/>
          <w:b/>
          <w:bCs/>
          <w:sz w:val="24"/>
          <w:lang w:val="en"/>
        </w:rPr>
      </w:pPr>
    </w:p>
    <w:p w14:paraId="76DBC2AF">
      <w:pPr>
        <w:widowControl/>
        <w:jc w:val="left"/>
        <w:rPr>
          <w:rFonts w:ascii="Times New Roman" w:hAnsi="Times New Roman" w:cs="Times New Roman"/>
          <w:b/>
          <w:bCs/>
          <w:sz w:val="24"/>
          <w:lang w:val="en"/>
        </w:rPr>
      </w:pPr>
    </w:p>
    <w:p w14:paraId="138B7080">
      <w:pPr>
        <w:pStyle w:val="2"/>
        <w:spacing w:before="0" w:line="480" w:lineRule="auto"/>
        <w:jc w:val="center"/>
        <w:rPr>
          <w:rFonts w:ascii="Times New Roman" w:hAnsi="Times New Roman"/>
          <w:b w:val="0"/>
          <w:bCs w:val="0"/>
          <w:color w:val="auto"/>
          <w:sz w:val="24"/>
          <w:lang w:val="en"/>
        </w:rPr>
      </w:pPr>
      <w:bookmarkStart w:id="32" w:name="_Toc170896427"/>
      <w:r>
        <w:rPr>
          <w:rFonts w:ascii="Times New Roman" w:hAnsi="Times New Roman"/>
          <w:color w:val="auto"/>
          <w:sz w:val="24"/>
          <w:lang w:val="en"/>
        </w:rPr>
        <w:t>CHAPTER THREE</w:t>
      </w:r>
      <w:bookmarkEnd w:id="32"/>
    </w:p>
    <w:p w14:paraId="67679D4A">
      <w:pPr>
        <w:pStyle w:val="2"/>
        <w:spacing w:before="0" w:line="480" w:lineRule="auto"/>
        <w:jc w:val="center"/>
        <w:rPr>
          <w:rFonts w:ascii="Times New Roman" w:hAnsi="Times New Roman"/>
          <w:color w:val="auto"/>
          <w:sz w:val="24"/>
          <w:lang w:val="en"/>
        </w:rPr>
      </w:pPr>
      <w:bookmarkStart w:id="33" w:name="_Toc170896428"/>
      <w:r>
        <w:rPr>
          <w:rFonts w:ascii="Times New Roman" w:hAnsi="Times New Roman"/>
          <w:color w:val="auto"/>
          <w:sz w:val="24"/>
          <w:lang w:val="en"/>
        </w:rPr>
        <w:t>RESEARCH METHODOLOGY</w:t>
      </w:r>
      <w:bookmarkEnd w:id="33"/>
    </w:p>
    <w:p w14:paraId="4445B769">
      <w:pPr>
        <w:pStyle w:val="14"/>
        <w:numPr>
          <w:ilvl w:val="1"/>
          <w:numId w:val="17"/>
        </w:numPr>
        <w:spacing w:line="480" w:lineRule="auto"/>
        <w:outlineLvl w:val="0"/>
        <w:rPr>
          <w:rFonts w:ascii="Times New Roman" w:hAnsi="Times New Roman" w:cs="Times New Roman"/>
          <w:b/>
          <w:bCs/>
          <w:sz w:val="24"/>
          <w:lang w:val="en"/>
        </w:rPr>
      </w:pPr>
      <w:bookmarkStart w:id="34" w:name="_Toc170896429"/>
      <w:r>
        <w:rPr>
          <w:rFonts w:ascii="Times New Roman" w:hAnsi="Times New Roman" w:cs="Times New Roman"/>
          <w:b/>
          <w:bCs/>
          <w:sz w:val="24"/>
          <w:lang w:val="en"/>
        </w:rPr>
        <w:t>Introduction</w:t>
      </w:r>
      <w:bookmarkEnd w:id="34"/>
      <w:r>
        <w:rPr>
          <w:rFonts w:ascii="Times New Roman" w:hAnsi="Times New Roman" w:cs="Times New Roman"/>
          <w:b/>
          <w:bCs/>
          <w:sz w:val="24"/>
          <w:lang w:val="en"/>
        </w:rPr>
        <w:t xml:space="preserve"> </w:t>
      </w:r>
    </w:p>
    <w:p w14:paraId="6643ADEE">
      <w:pPr>
        <w:spacing w:line="480" w:lineRule="auto"/>
        <w:rPr>
          <w:rFonts w:ascii="Times New Roman" w:hAnsi="Times New Roman" w:cs="Times New Roman"/>
          <w:sz w:val="24"/>
          <w:lang w:val="en"/>
        </w:rPr>
      </w:pPr>
      <w:r>
        <w:rPr>
          <w:rFonts w:ascii="Times New Roman" w:hAnsi="Times New Roman" w:cs="Times New Roman"/>
          <w:sz w:val="24"/>
          <w:lang w:val="en"/>
        </w:rPr>
        <w:t>This chapter contain the techniques and procedures to be followed in carrying out this study under the following sub-headings:</w:t>
      </w:r>
    </w:p>
    <w:p w14:paraId="150F42A8">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Research Design </w:t>
      </w:r>
    </w:p>
    <w:p w14:paraId="5DE7997F">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Population of the Study</w:t>
      </w:r>
    </w:p>
    <w:p w14:paraId="230F8D18">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Sample and Sampling Technique</w:t>
      </w:r>
    </w:p>
    <w:p w14:paraId="7394B4E6">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Instrumentation for Data collection </w:t>
      </w:r>
    </w:p>
    <w:p w14:paraId="78928346">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rPr>
        <w:t>Validity of Research Instrument</w:t>
      </w:r>
      <w:r>
        <w:rPr>
          <w:rFonts w:ascii="Times New Roman" w:hAnsi="Times New Roman" w:cs="Times New Roman"/>
          <w:sz w:val="24"/>
          <w:lang w:val="en"/>
        </w:rPr>
        <w:t xml:space="preserve"> </w:t>
      </w:r>
    </w:p>
    <w:p w14:paraId="227777DA">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Procedures for Data Collection and </w:t>
      </w:r>
    </w:p>
    <w:p w14:paraId="13AAC0FC">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Data Analysis Techniques.</w:t>
      </w:r>
      <w:bookmarkEnd w:id="31"/>
    </w:p>
    <w:p w14:paraId="3E0E0E20">
      <w:pPr>
        <w:pStyle w:val="2"/>
        <w:spacing w:before="0" w:line="480" w:lineRule="auto"/>
        <w:rPr>
          <w:rFonts w:ascii="Times New Roman" w:hAnsi="Times New Roman"/>
          <w:b w:val="0"/>
          <w:bCs w:val="0"/>
          <w:color w:val="auto"/>
          <w:sz w:val="24"/>
          <w:lang w:val="en"/>
        </w:rPr>
      </w:pPr>
      <w:bookmarkStart w:id="35" w:name="_Toc170896430"/>
      <w:r>
        <w:rPr>
          <w:rFonts w:ascii="Times New Roman" w:hAnsi="Times New Roman"/>
          <w:color w:val="auto"/>
          <w:sz w:val="24"/>
        </w:rPr>
        <w:t>3.2</w:t>
      </w:r>
      <w:r>
        <w:rPr>
          <w:rFonts w:ascii="Times New Roman" w:hAnsi="Times New Roman"/>
          <w:color w:val="auto"/>
          <w:sz w:val="24"/>
        </w:rPr>
        <w:tab/>
      </w:r>
      <w:r>
        <w:rPr>
          <w:rFonts w:ascii="Times New Roman" w:hAnsi="Times New Roman"/>
          <w:color w:val="auto"/>
          <w:sz w:val="24"/>
          <w:lang w:val="en"/>
        </w:rPr>
        <w:t>Research Design</w:t>
      </w:r>
      <w:bookmarkEnd w:id="35"/>
    </w:p>
    <w:p w14:paraId="2580D181">
      <w:pPr>
        <w:spacing w:line="480" w:lineRule="auto"/>
        <w:rPr>
          <w:rFonts w:ascii="Times New Roman" w:hAnsi="Times New Roman" w:cs="Times New Roman"/>
          <w:sz w:val="24"/>
          <w:lang w:val="en"/>
        </w:rPr>
      </w:pPr>
      <w:r>
        <w:rPr>
          <w:rFonts w:ascii="Times New Roman" w:hAnsi="Times New Roman" w:cs="Times New Roman"/>
          <w:sz w:val="24"/>
          <w:lang w:val="en"/>
        </w:rPr>
        <w:t xml:space="preserve">The research design that will be adopted for this study is descriptive research design. According to Jackson (2009) Descriptive survey method is based on information gathered through questionnaire, self-report and observation and the result obtained through this method can be analyzed. </w:t>
      </w:r>
    </w:p>
    <w:p w14:paraId="1767F84E">
      <w:pPr>
        <w:spacing w:line="480" w:lineRule="auto"/>
        <w:rPr>
          <w:rFonts w:ascii="Times New Roman" w:hAnsi="Times New Roman" w:cs="Times New Roman"/>
          <w:sz w:val="24"/>
          <w:lang w:val="en"/>
        </w:rPr>
      </w:pPr>
      <w:r>
        <w:rPr>
          <w:rFonts w:ascii="Times New Roman" w:hAnsi="Times New Roman" w:cs="Times New Roman"/>
          <w:sz w:val="24"/>
          <w:lang w:val="en"/>
        </w:rPr>
        <w:t>This descriptive survey research design is considered the appropriate design to investigate and analyze data on</w:t>
      </w:r>
      <w:r>
        <w:rPr>
          <w:rFonts w:ascii="Times New Roman" w:hAnsi="Times New Roman" w:cs="Times New Roman"/>
          <w:sz w:val="24"/>
        </w:rPr>
        <w:t xml:space="preserve">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rPr>
        <w:t xml:space="preserve"> </w:t>
      </w:r>
      <w:r>
        <w:rPr>
          <w:rFonts w:ascii="Times New Roman" w:hAnsi="Times New Roman" w:cs="Times New Roman"/>
          <w:sz w:val="24"/>
          <w:lang w:val="en"/>
        </w:rPr>
        <w:t>because it measures and describe the characteristics of the given population or area of interest factually.</w:t>
      </w:r>
    </w:p>
    <w:p w14:paraId="45BA56C5">
      <w:pPr>
        <w:spacing w:line="480" w:lineRule="auto"/>
        <w:ind w:firstLine="720"/>
        <w:rPr>
          <w:rFonts w:ascii="Times New Roman" w:hAnsi="Times New Roman" w:cs="Times New Roman"/>
          <w:sz w:val="24"/>
          <w:lang w:val="en"/>
        </w:rPr>
      </w:pPr>
    </w:p>
    <w:p w14:paraId="1F20FB6F">
      <w:pPr>
        <w:pStyle w:val="14"/>
        <w:widowControl/>
        <w:numPr>
          <w:ilvl w:val="1"/>
          <w:numId w:val="18"/>
        </w:numPr>
        <w:tabs>
          <w:tab w:val="left" w:pos="540"/>
        </w:tabs>
        <w:spacing w:after="160" w:line="480" w:lineRule="auto"/>
        <w:outlineLvl w:val="0"/>
        <w:rPr>
          <w:rFonts w:ascii="Times New Roman" w:hAnsi="Times New Roman" w:cs="Times New Roman"/>
          <w:b/>
          <w:bCs/>
          <w:sz w:val="24"/>
        </w:rPr>
      </w:pPr>
      <w:bookmarkStart w:id="36" w:name="_Toc170896431"/>
      <w:bookmarkStart w:id="37" w:name="_Toc142590207"/>
      <w:r>
        <w:rPr>
          <w:rFonts w:ascii="Times New Roman" w:hAnsi="Times New Roman" w:cs="Times New Roman"/>
          <w:b/>
          <w:bCs/>
          <w:sz w:val="24"/>
        </w:rPr>
        <w:t>Population of the Study</w:t>
      </w:r>
      <w:bookmarkEnd w:id="36"/>
      <w:bookmarkEnd w:id="37"/>
      <w:r>
        <w:rPr>
          <w:rFonts w:ascii="Times New Roman" w:hAnsi="Times New Roman" w:cs="Times New Roman"/>
          <w:b/>
          <w:bCs/>
          <w:sz w:val="24"/>
        </w:rPr>
        <w:t xml:space="preserve"> </w:t>
      </w:r>
    </w:p>
    <w:p w14:paraId="4F5AA1B9">
      <w:pPr>
        <w:spacing w:line="480" w:lineRule="auto"/>
        <w:rPr>
          <w:rFonts w:ascii="Times New Roman" w:hAnsi="Times New Roman" w:cs="Times New Roman"/>
          <w:sz w:val="24"/>
        </w:rPr>
      </w:pPr>
      <w:r>
        <w:rPr>
          <w:rFonts w:ascii="Times New Roman" w:hAnsi="Times New Roman" w:cs="Times New Roman"/>
          <w:sz w:val="24"/>
        </w:rPr>
        <w:t>The population of the study will consist of students in Kwara state university, Malete. Kwara state university consists of Nine faculties. According to the academic planning office of the kwara state university (2024), estimated the Kwara state university students as thirty-two thousand six hundred and thirty-three (32,633). Please see the details of the population in table 3.1</w:t>
      </w:r>
    </w:p>
    <w:p w14:paraId="62FB0C39">
      <w:pPr>
        <w:spacing w:line="480" w:lineRule="auto"/>
        <w:rPr>
          <w:rFonts w:ascii="Times New Roman" w:hAnsi="Times New Roman" w:cs="Times New Roman"/>
          <w:b/>
          <w:bCs/>
          <w:sz w:val="24"/>
        </w:rPr>
      </w:pPr>
      <w:bookmarkStart w:id="38" w:name="_Hlk141056221"/>
      <w:r>
        <w:rPr>
          <w:rFonts w:ascii="Times New Roman" w:hAnsi="Times New Roman" w:cs="Times New Roman"/>
          <w:b/>
          <w:bCs/>
          <w:sz w:val="24"/>
        </w:rPr>
        <w:t>Table 3:1 Study Population</w:t>
      </w:r>
    </w:p>
    <w:bookmarkEnd w:id="38"/>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5823"/>
        <w:gridCol w:w="1950"/>
      </w:tblGrid>
      <w:tr w14:paraId="4836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410D4A0">
            <w:pPr>
              <w:spacing w:line="360" w:lineRule="auto"/>
              <w:jc w:val="center"/>
              <w:rPr>
                <w:rFonts w:ascii="Times New Roman" w:hAnsi="Times New Roman" w:cs="Times New Roman"/>
                <w:b/>
                <w:sz w:val="24"/>
              </w:rPr>
            </w:pPr>
            <w:r>
              <w:rPr>
                <w:rFonts w:ascii="Times New Roman" w:hAnsi="Times New Roman" w:cs="Times New Roman"/>
                <w:b/>
                <w:sz w:val="24"/>
              </w:rPr>
              <w:t>S/N</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24B9E9E0">
            <w:pPr>
              <w:spacing w:line="360" w:lineRule="auto"/>
              <w:jc w:val="center"/>
              <w:rPr>
                <w:rFonts w:ascii="Times New Roman" w:hAnsi="Times New Roman" w:cs="Times New Roman"/>
                <w:b/>
                <w:sz w:val="24"/>
              </w:rPr>
            </w:pPr>
            <w:r>
              <w:rPr>
                <w:rFonts w:ascii="Times New Roman" w:hAnsi="Times New Roman" w:cs="Times New Roman"/>
                <w:b/>
                <w:sz w:val="24"/>
              </w:rPr>
              <w:t>FACULTIES</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0B4DF17F">
            <w:pPr>
              <w:spacing w:line="360" w:lineRule="auto"/>
              <w:jc w:val="center"/>
              <w:rPr>
                <w:rFonts w:ascii="Times New Roman" w:hAnsi="Times New Roman" w:cs="Times New Roman"/>
                <w:b/>
                <w:sz w:val="24"/>
              </w:rPr>
            </w:pPr>
            <w:r>
              <w:rPr>
                <w:rFonts w:ascii="Times New Roman" w:hAnsi="Times New Roman" w:cs="Times New Roman"/>
                <w:b/>
                <w:sz w:val="24"/>
              </w:rPr>
              <w:t>POPULATIONS</w:t>
            </w:r>
          </w:p>
        </w:tc>
      </w:tr>
      <w:tr w14:paraId="3124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675B4BE2">
            <w:pPr>
              <w:spacing w:line="360" w:lineRule="auto"/>
              <w:rPr>
                <w:rFonts w:ascii="Times New Roman" w:hAnsi="Times New Roman" w:cs="Times New Roman"/>
                <w:sz w:val="24"/>
              </w:rPr>
            </w:pPr>
            <w:r>
              <w:rPr>
                <w:rFonts w:ascii="Times New Roman" w:hAnsi="Times New Roman" w:cs="Times New Roman"/>
                <w:sz w:val="24"/>
              </w:rPr>
              <w:t>1</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347B118B">
            <w:pPr>
              <w:spacing w:line="360" w:lineRule="auto"/>
              <w:rPr>
                <w:rFonts w:ascii="Times New Roman" w:hAnsi="Times New Roman" w:cs="Times New Roman"/>
                <w:sz w:val="24"/>
              </w:rPr>
            </w:pPr>
            <w:r>
              <w:rPr>
                <w:rFonts w:ascii="Times New Roman" w:hAnsi="Times New Roman" w:cs="Times New Roman"/>
                <w:sz w:val="24"/>
              </w:rPr>
              <w:t>Faculty of Agriculture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705CBF4F">
            <w:pPr>
              <w:spacing w:line="360" w:lineRule="auto"/>
              <w:rPr>
                <w:rFonts w:ascii="Times New Roman" w:hAnsi="Times New Roman" w:cs="Times New Roman"/>
                <w:sz w:val="24"/>
              </w:rPr>
            </w:pPr>
            <w:r>
              <w:rPr>
                <w:rFonts w:ascii="Times New Roman" w:hAnsi="Times New Roman" w:cs="Times New Roman"/>
                <w:sz w:val="24"/>
              </w:rPr>
              <w:t>1200</w:t>
            </w:r>
          </w:p>
        </w:tc>
      </w:tr>
      <w:tr w14:paraId="3974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4F68E4A">
            <w:pPr>
              <w:spacing w:line="360" w:lineRule="auto"/>
              <w:rPr>
                <w:rFonts w:ascii="Times New Roman" w:hAnsi="Times New Roman" w:cs="Times New Roman"/>
                <w:sz w:val="24"/>
              </w:rPr>
            </w:pPr>
            <w:r>
              <w:rPr>
                <w:rFonts w:ascii="Times New Roman" w:hAnsi="Times New Roman" w:cs="Times New Roman"/>
                <w:sz w:val="24"/>
              </w:rPr>
              <w:t>2</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11BD8873">
            <w:pPr>
              <w:spacing w:line="360" w:lineRule="auto"/>
              <w:rPr>
                <w:rFonts w:ascii="Times New Roman" w:hAnsi="Times New Roman" w:cs="Times New Roman"/>
                <w:sz w:val="24"/>
              </w:rPr>
            </w:pPr>
            <w:r>
              <w:rPr>
                <w:rFonts w:ascii="Times New Roman" w:hAnsi="Times New Roman" w:cs="Times New Roman"/>
                <w:sz w:val="24"/>
              </w:rPr>
              <w:t>Faculty of Art</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2F2855E8">
            <w:pPr>
              <w:spacing w:line="360" w:lineRule="auto"/>
              <w:rPr>
                <w:rFonts w:ascii="Times New Roman" w:hAnsi="Times New Roman" w:cs="Times New Roman"/>
                <w:sz w:val="24"/>
              </w:rPr>
            </w:pPr>
            <w:r>
              <w:rPr>
                <w:rFonts w:ascii="Times New Roman" w:hAnsi="Times New Roman" w:cs="Times New Roman"/>
                <w:sz w:val="24"/>
              </w:rPr>
              <w:t>2956</w:t>
            </w:r>
          </w:p>
        </w:tc>
      </w:tr>
      <w:tr w14:paraId="5DC5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427799E1">
            <w:pPr>
              <w:spacing w:line="360" w:lineRule="auto"/>
              <w:rPr>
                <w:rFonts w:ascii="Times New Roman" w:hAnsi="Times New Roman" w:cs="Times New Roman"/>
                <w:sz w:val="24"/>
              </w:rPr>
            </w:pPr>
            <w:r>
              <w:rPr>
                <w:rFonts w:ascii="Times New Roman" w:hAnsi="Times New Roman" w:cs="Times New Roman"/>
                <w:sz w:val="24"/>
              </w:rPr>
              <w:t>3</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01571439">
            <w:pPr>
              <w:spacing w:line="360" w:lineRule="auto"/>
              <w:rPr>
                <w:rFonts w:ascii="Times New Roman" w:hAnsi="Times New Roman" w:cs="Times New Roman"/>
                <w:sz w:val="24"/>
              </w:rPr>
            </w:pPr>
            <w:r>
              <w:rPr>
                <w:rFonts w:ascii="Times New Roman" w:hAnsi="Times New Roman" w:cs="Times New Roman"/>
                <w:sz w:val="24"/>
              </w:rPr>
              <w:t xml:space="preserve">Faculty of Basic health Science </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04AF8D20">
            <w:pPr>
              <w:spacing w:line="360" w:lineRule="auto"/>
              <w:rPr>
                <w:rFonts w:ascii="Times New Roman" w:hAnsi="Times New Roman" w:cs="Times New Roman"/>
                <w:sz w:val="24"/>
              </w:rPr>
            </w:pPr>
            <w:r>
              <w:rPr>
                <w:rFonts w:ascii="Times New Roman" w:hAnsi="Times New Roman" w:cs="Times New Roman"/>
                <w:sz w:val="24"/>
              </w:rPr>
              <w:t>4966</w:t>
            </w:r>
          </w:p>
        </w:tc>
      </w:tr>
      <w:tr w14:paraId="4139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06F7E650">
            <w:pPr>
              <w:spacing w:line="360" w:lineRule="auto"/>
              <w:rPr>
                <w:rFonts w:ascii="Times New Roman" w:hAnsi="Times New Roman" w:cs="Times New Roman"/>
                <w:sz w:val="24"/>
              </w:rPr>
            </w:pPr>
            <w:r>
              <w:rPr>
                <w:rFonts w:ascii="Times New Roman" w:hAnsi="Times New Roman" w:cs="Times New Roman"/>
                <w:sz w:val="24"/>
              </w:rPr>
              <w:t>4</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6F4B4A4D">
            <w:pPr>
              <w:spacing w:line="360" w:lineRule="auto"/>
              <w:rPr>
                <w:rFonts w:ascii="Times New Roman" w:hAnsi="Times New Roman" w:cs="Times New Roman"/>
                <w:sz w:val="24"/>
              </w:rPr>
            </w:pPr>
            <w:r>
              <w:rPr>
                <w:rFonts w:ascii="Times New Roman" w:hAnsi="Times New Roman" w:cs="Times New Roman"/>
                <w:sz w:val="24"/>
              </w:rPr>
              <w:t>Faculty of Education</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366E5180">
            <w:pPr>
              <w:spacing w:line="360" w:lineRule="auto"/>
              <w:rPr>
                <w:rFonts w:ascii="Times New Roman" w:hAnsi="Times New Roman" w:cs="Times New Roman"/>
                <w:sz w:val="24"/>
              </w:rPr>
            </w:pPr>
            <w:r>
              <w:rPr>
                <w:rFonts w:ascii="Times New Roman" w:hAnsi="Times New Roman" w:cs="Times New Roman"/>
                <w:sz w:val="24"/>
              </w:rPr>
              <w:t>1050</w:t>
            </w:r>
          </w:p>
        </w:tc>
      </w:tr>
      <w:tr w14:paraId="2508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50F5400">
            <w:pPr>
              <w:spacing w:line="360" w:lineRule="auto"/>
              <w:rPr>
                <w:rFonts w:ascii="Times New Roman" w:hAnsi="Times New Roman" w:cs="Times New Roman"/>
                <w:sz w:val="24"/>
              </w:rPr>
            </w:pPr>
            <w:r>
              <w:rPr>
                <w:rFonts w:ascii="Times New Roman" w:hAnsi="Times New Roman" w:cs="Times New Roman"/>
                <w:sz w:val="24"/>
              </w:rPr>
              <w:t>5</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4816622F">
            <w:pPr>
              <w:spacing w:line="360" w:lineRule="auto"/>
              <w:rPr>
                <w:rFonts w:ascii="Times New Roman" w:hAnsi="Times New Roman" w:cs="Times New Roman"/>
                <w:sz w:val="24"/>
              </w:rPr>
            </w:pPr>
            <w:r>
              <w:rPr>
                <w:rFonts w:ascii="Times New Roman" w:hAnsi="Times New Roman" w:cs="Times New Roman"/>
                <w:sz w:val="24"/>
              </w:rPr>
              <w:t>Faculty of Engineering</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1DC18B47">
            <w:pPr>
              <w:spacing w:line="360" w:lineRule="auto"/>
              <w:rPr>
                <w:rFonts w:ascii="Times New Roman" w:hAnsi="Times New Roman" w:cs="Times New Roman"/>
                <w:sz w:val="24"/>
              </w:rPr>
            </w:pPr>
            <w:r>
              <w:rPr>
                <w:rFonts w:ascii="Times New Roman" w:hAnsi="Times New Roman" w:cs="Times New Roman"/>
                <w:sz w:val="24"/>
              </w:rPr>
              <w:t>3135</w:t>
            </w:r>
          </w:p>
        </w:tc>
      </w:tr>
      <w:tr w14:paraId="59A7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636C348F">
            <w:pPr>
              <w:spacing w:line="360" w:lineRule="auto"/>
              <w:rPr>
                <w:rFonts w:ascii="Times New Roman" w:hAnsi="Times New Roman" w:cs="Times New Roman"/>
                <w:sz w:val="24"/>
              </w:rPr>
            </w:pPr>
            <w:r>
              <w:rPr>
                <w:rFonts w:ascii="Times New Roman" w:hAnsi="Times New Roman" w:cs="Times New Roman"/>
                <w:sz w:val="24"/>
              </w:rPr>
              <w:t>6</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492937A0">
            <w:pPr>
              <w:spacing w:line="360" w:lineRule="auto"/>
              <w:rPr>
                <w:rFonts w:ascii="Times New Roman" w:hAnsi="Times New Roman" w:cs="Times New Roman"/>
                <w:sz w:val="24"/>
              </w:rPr>
            </w:pPr>
            <w:r>
              <w:rPr>
                <w:rFonts w:ascii="Times New Roman" w:hAnsi="Times New Roman" w:cs="Times New Roman"/>
                <w:sz w:val="24"/>
              </w:rPr>
              <w:t xml:space="preserve">Faculty of Information Communication and Technology </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4D47E19F">
            <w:pPr>
              <w:spacing w:line="360" w:lineRule="auto"/>
              <w:rPr>
                <w:rFonts w:ascii="Times New Roman" w:hAnsi="Times New Roman" w:cs="Times New Roman"/>
                <w:sz w:val="24"/>
              </w:rPr>
            </w:pPr>
            <w:r>
              <w:rPr>
                <w:rFonts w:ascii="Times New Roman" w:hAnsi="Times New Roman" w:cs="Times New Roman"/>
                <w:sz w:val="24"/>
              </w:rPr>
              <w:t>7173</w:t>
            </w:r>
          </w:p>
        </w:tc>
      </w:tr>
      <w:tr w14:paraId="732D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06C86696">
            <w:pPr>
              <w:spacing w:line="360" w:lineRule="auto"/>
              <w:rPr>
                <w:rFonts w:ascii="Times New Roman" w:hAnsi="Times New Roman" w:cs="Times New Roman"/>
                <w:sz w:val="24"/>
              </w:rPr>
            </w:pPr>
            <w:r>
              <w:rPr>
                <w:rFonts w:ascii="Times New Roman" w:hAnsi="Times New Roman" w:cs="Times New Roman"/>
                <w:sz w:val="24"/>
              </w:rPr>
              <w:t>7</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511440EA">
            <w:pPr>
              <w:spacing w:line="360" w:lineRule="auto"/>
              <w:rPr>
                <w:rFonts w:ascii="Times New Roman" w:hAnsi="Times New Roman" w:cs="Times New Roman"/>
                <w:sz w:val="24"/>
              </w:rPr>
            </w:pPr>
            <w:r>
              <w:rPr>
                <w:rFonts w:ascii="Times New Roman" w:hAnsi="Times New Roman" w:cs="Times New Roman"/>
                <w:sz w:val="24"/>
              </w:rPr>
              <w:t>Faculty of Law</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110B223C">
            <w:pPr>
              <w:spacing w:line="360" w:lineRule="auto"/>
              <w:rPr>
                <w:rFonts w:ascii="Times New Roman" w:hAnsi="Times New Roman" w:cs="Times New Roman"/>
                <w:sz w:val="24"/>
              </w:rPr>
            </w:pPr>
            <w:r>
              <w:rPr>
                <w:rFonts w:ascii="Times New Roman" w:hAnsi="Times New Roman" w:cs="Times New Roman"/>
                <w:sz w:val="24"/>
              </w:rPr>
              <w:t>135</w:t>
            </w:r>
          </w:p>
        </w:tc>
      </w:tr>
      <w:tr w14:paraId="6744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2180D4D4">
            <w:pPr>
              <w:spacing w:line="360" w:lineRule="auto"/>
              <w:rPr>
                <w:rFonts w:ascii="Times New Roman" w:hAnsi="Times New Roman" w:cs="Times New Roman"/>
                <w:sz w:val="24"/>
              </w:rPr>
            </w:pPr>
            <w:r>
              <w:rPr>
                <w:rFonts w:ascii="Times New Roman" w:hAnsi="Times New Roman" w:cs="Times New Roman"/>
                <w:sz w:val="24"/>
              </w:rPr>
              <w:t>8</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667192AB">
            <w:pPr>
              <w:spacing w:line="360" w:lineRule="auto"/>
              <w:rPr>
                <w:rFonts w:ascii="Times New Roman" w:hAnsi="Times New Roman" w:cs="Times New Roman"/>
                <w:sz w:val="24"/>
              </w:rPr>
            </w:pPr>
            <w:r>
              <w:rPr>
                <w:rFonts w:ascii="Times New Roman" w:hAnsi="Times New Roman" w:cs="Times New Roman"/>
                <w:sz w:val="24"/>
              </w:rPr>
              <w:t>Faculty of Management and Social Science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2E14992B">
            <w:pPr>
              <w:spacing w:line="360" w:lineRule="auto"/>
              <w:rPr>
                <w:rFonts w:ascii="Times New Roman" w:hAnsi="Times New Roman" w:cs="Times New Roman"/>
                <w:sz w:val="24"/>
              </w:rPr>
            </w:pPr>
            <w:r>
              <w:rPr>
                <w:rFonts w:ascii="Times New Roman" w:hAnsi="Times New Roman" w:cs="Times New Roman"/>
                <w:sz w:val="24"/>
              </w:rPr>
              <w:t>7081</w:t>
            </w:r>
          </w:p>
        </w:tc>
      </w:tr>
      <w:tr w14:paraId="4782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3BDD614">
            <w:pPr>
              <w:spacing w:line="360" w:lineRule="auto"/>
              <w:rPr>
                <w:rFonts w:ascii="Times New Roman" w:hAnsi="Times New Roman" w:cs="Times New Roman"/>
                <w:sz w:val="24"/>
              </w:rPr>
            </w:pPr>
            <w:r>
              <w:rPr>
                <w:rFonts w:ascii="Times New Roman" w:hAnsi="Times New Roman" w:cs="Times New Roman"/>
                <w:sz w:val="24"/>
              </w:rPr>
              <w:t>9</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34CAA8CA">
            <w:pPr>
              <w:spacing w:line="360" w:lineRule="auto"/>
              <w:rPr>
                <w:rFonts w:ascii="Times New Roman" w:hAnsi="Times New Roman" w:cs="Times New Roman"/>
                <w:sz w:val="24"/>
              </w:rPr>
            </w:pPr>
            <w:r>
              <w:rPr>
                <w:rFonts w:ascii="Times New Roman" w:hAnsi="Times New Roman" w:cs="Times New Roman"/>
                <w:sz w:val="24"/>
              </w:rPr>
              <w:t>Faculty of Pure and Applied Science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5DBA19F5">
            <w:pPr>
              <w:spacing w:line="360" w:lineRule="auto"/>
              <w:rPr>
                <w:rFonts w:ascii="Times New Roman" w:hAnsi="Times New Roman" w:cs="Times New Roman"/>
                <w:sz w:val="24"/>
              </w:rPr>
            </w:pPr>
            <w:r>
              <w:rPr>
                <w:rFonts w:ascii="Times New Roman" w:hAnsi="Times New Roman" w:cs="Times New Roman"/>
                <w:sz w:val="24"/>
              </w:rPr>
              <w:t>4937</w:t>
            </w:r>
          </w:p>
        </w:tc>
      </w:tr>
      <w:tr w14:paraId="6A8C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7DCA36FA">
            <w:pPr>
              <w:spacing w:line="360" w:lineRule="auto"/>
              <w:rPr>
                <w:rFonts w:ascii="Times New Roman" w:hAnsi="Times New Roman" w:cs="Times New Roman"/>
                <w:sz w:val="24"/>
              </w:rPr>
            </w:pP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51AC13D3">
            <w:pPr>
              <w:spacing w:line="360" w:lineRule="auto"/>
              <w:rPr>
                <w:rFonts w:ascii="Times New Roman" w:hAnsi="Times New Roman" w:cs="Times New Roman"/>
                <w:b/>
                <w:bCs/>
                <w:sz w:val="24"/>
              </w:rPr>
            </w:pPr>
            <w:r>
              <w:rPr>
                <w:rFonts w:ascii="Times New Roman" w:hAnsi="Times New Roman" w:cs="Times New Roman"/>
                <w:b/>
                <w:bCs/>
                <w:sz w:val="24"/>
              </w:rPr>
              <w:t>Total</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51815AFF">
            <w:pPr>
              <w:spacing w:line="360" w:lineRule="auto"/>
              <w:rPr>
                <w:rFonts w:ascii="Times New Roman" w:hAnsi="Times New Roman" w:cs="Times New Roman"/>
                <w:b/>
                <w:bCs/>
                <w:sz w:val="24"/>
              </w:rPr>
            </w:pPr>
            <w:r>
              <w:rPr>
                <w:rFonts w:ascii="Times New Roman" w:hAnsi="Times New Roman" w:cs="Times New Roman"/>
                <w:b/>
                <w:bCs/>
                <w:sz w:val="24"/>
              </w:rPr>
              <w:t>32,633</w:t>
            </w:r>
          </w:p>
        </w:tc>
      </w:tr>
    </w:tbl>
    <w:p w14:paraId="3469BB5D">
      <w:pPr>
        <w:spacing w:line="480" w:lineRule="auto"/>
        <w:rPr>
          <w:rFonts w:ascii="Times New Roman" w:hAnsi="Times New Roman" w:cs="Times New Roman"/>
          <w:sz w:val="24"/>
        </w:rPr>
      </w:pPr>
      <w:r>
        <w:rPr>
          <w:rFonts w:ascii="Times New Roman" w:hAnsi="Times New Roman" w:cs="Times New Roman"/>
          <w:sz w:val="24"/>
        </w:rPr>
        <w:t xml:space="preserve">Source: KWASU Academic Planning </w:t>
      </w:r>
    </w:p>
    <w:p w14:paraId="5745BCE5">
      <w:pPr>
        <w:pStyle w:val="14"/>
        <w:widowControl/>
        <w:numPr>
          <w:ilvl w:val="1"/>
          <w:numId w:val="18"/>
        </w:numPr>
        <w:spacing w:after="160" w:line="480" w:lineRule="auto"/>
        <w:outlineLvl w:val="0"/>
        <w:rPr>
          <w:rFonts w:ascii="Times New Roman" w:hAnsi="Times New Roman" w:cs="Times New Roman"/>
          <w:b/>
          <w:bCs/>
          <w:sz w:val="24"/>
        </w:rPr>
      </w:pPr>
      <w:bookmarkStart w:id="39" w:name="_Toc170896432"/>
      <w:bookmarkStart w:id="40" w:name="_Toc142590208"/>
      <w:r>
        <w:rPr>
          <w:rFonts w:ascii="Times New Roman" w:hAnsi="Times New Roman" w:cs="Times New Roman"/>
          <w:b/>
          <w:bCs/>
          <w:sz w:val="24"/>
        </w:rPr>
        <w:t>Sample and Sampling Technique</w:t>
      </w:r>
      <w:bookmarkEnd w:id="39"/>
      <w:bookmarkEnd w:id="40"/>
      <w:r>
        <w:rPr>
          <w:rFonts w:ascii="Times New Roman" w:hAnsi="Times New Roman" w:cs="Times New Roman"/>
          <w:b/>
          <w:bCs/>
          <w:sz w:val="24"/>
        </w:rPr>
        <w:t xml:space="preserve"> </w:t>
      </w:r>
    </w:p>
    <w:p w14:paraId="296C7C6D">
      <w:pPr>
        <w:spacing w:line="480" w:lineRule="auto"/>
        <w:rPr>
          <w:rFonts w:ascii="Times New Roman" w:hAnsi="Times New Roman" w:eastAsia="Times New Roman" w:cs="Times New Roman"/>
          <w:sz w:val="24"/>
        </w:rPr>
      </w:pPr>
      <w:r>
        <w:rPr>
          <w:rFonts w:ascii="Times New Roman" w:hAnsi="Times New Roman" w:cs="Times New Roman"/>
          <w:sz w:val="24"/>
        </w:rPr>
        <w:t>A sample is the process of selecting units (e.g people, organizations) from a population of interest so that by studying the sample we may fairly generalize our result back to the population from which they were chosen. There different methods of sampling which are referred to as sampling techniques</w:t>
      </w:r>
      <w:r>
        <w:rPr>
          <w:rFonts w:ascii="Times New Roman" w:hAnsi="Times New Roman" w:eastAsia="Times New Roman" w:cs="Times New Roman"/>
          <w:sz w:val="24"/>
        </w:rPr>
        <w:t xml:space="preserve">. </w:t>
      </w:r>
    </w:p>
    <w:p w14:paraId="41EE3644">
      <w:pPr>
        <w:spacing w:line="480" w:lineRule="auto"/>
        <w:rPr>
          <w:rFonts w:ascii="Times New Roman" w:hAnsi="Times New Roman" w:cs="Times New Roman"/>
          <w:sz w:val="24"/>
        </w:rPr>
      </w:pPr>
      <w:r>
        <w:rPr>
          <w:rFonts w:ascii="Times New Roman" w:hAnsi="Times New Roman" w:eastAsia="Times New Roman" w:cs="Times New Roman"/>
          <w:sz w:val="24"/>
        </w:rPr>
        <w:t xml:space="preserve">However, </w:t>
      </w:r>
      <w:r>
        <w:rPr>
          <w:rFonts w:ascii="Times New Roman" w:hAnsi="Times New Roman" w:cs="Times New Roman"/>
          <w:sz w:val="24"/>
        </w:rPr>
        <w:t xml:space="preserve">Multistage sampling technique will be use for the study. Multistage sampling technique involves a combination of two or more sampling techniques. A multi-stage sampling approach of proportional sampling technique and simple random sampling technique will be use to select the sample.  </w:t>
      </w:r>
    </w:p>
    <w:p w14:paraId="4B585D5B">
      <w:pPr>
        <w:spacing w:line="480" w:lineRule="auto"/>
        <w:rPr>
          <w:rFonts w:ascii="Times New Roman" w:hAnsi="Times New Roman" w:cs="Times New Roman"/>
          <w:sz w:val="24"/>
        </w:rPr>
      </w:pPr>
      <w:r>
        <w:rPr>
          <w:rFonts w:ascii="Times New Roman" w:hAnsi="Times New Roman" w:cs="Times New Roman"/>
          <w:sz w:val="24"/>
        </w:rPr>
        <w:t xml:space="preserve">A sample of 380 students will proportionately select from the entire nine faculties in the university using the ransoft online calculator to calculate sample size and determine the number of responses required for observational surveys to achieve the needed confidence level with a margin of error of 5% for the population of </w:t>
      </w:r>
      <w:r>
        <w:rPr>
          <w:rFonts w:ascii="Times New Roman" w:hAnsi="Times New Roman" w:cs="Times New Roman"/>
          <w:b/>
          <w:sz w:val="24"/>
        </w:rPr>
        <w:t xml:space="preserve">32633 </w:t>
      </w:r>
      <w:r>
        <w:rPr>
          <w:rFonts w:ascii="Times New Roman" w:hAnsi="Times New Roman" w:cs="Times New Roman"/>
          <w:sz w:val="24"/>
        </w:rPr>
        <w:t xml:space="preserve">to ensure that all the faculties equally represented. While at the end, simple random sampling will be use to select the sample from each of the faculties, making a total of 380 respondents. Therefore, the sample sizes for each of the faculties are shown </w:t>
      </w:r>
    </w:p>
    <w:p w14:paraId="180246CD">
      <w:pPr>
        <w:spacing w:line="480" w:lineRule="auto"/>
        <w:rPr>
          <w:rFonts w:ascii="Times New Roman" w:hAnsi="Times New Roman" w:cs="Times New Roman"/>
          <w:sz w:val="24"/>
        </w:rPr>
      </w:pPr>
      <w:r>
        <w:rPr>
          <w:rFonts w:ascii="Times New Roman" w:hAnsi="Times New Roman" w:cs="Times New Roman"/>
          <w:sz w:val="24"/>
        </w:rPr>
        <w:t xml:space="preserve">in </w:t>
      </w:r>
      <w:bookmarkStart w:id="41" w:name="_Hlk141056296"/>
      <w:r>
        <w:rPr>
          <w:rFonts w:ascii="Times New Roman" w:hAnsi="Times New Roman" w:cs="Times New Roman"/>
          <w:b/>
          <w:bCs/>
          <w:sz w:val="24"/>
        </w:rPr>
        <w:t xml:space="preserve">Table 3.2. </w:t>
      </w:r>
      <w:bookmarkEnd w:id="41"/>
      <w:r>
        <w:rPr>
          <w:rFonts w:ascii="Times New Roman" w:hAnsi="Times New Roman" w:cs="Times New Roman"/>
          <w:b/>
          <w:sz w:val="24"/>
        </w:rPr>
        <w:t xml:space="preserve">KWASU Students Population </w:t>
      </w:r>
    </w:p>
    <w:tbl>
      <w:tblPr>
        <w:tblStyle w:val="4"/>
        <w:tblW w:w="85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3524"/>
        <w:gridCol w:w="2340"/>
        <w:gridCol w:w="2070"/>
      </w:tblGrid>
      <w:tr w14:paraId="0FEAB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2A62D8AD">
            <w:pPr>
              <w:spacing w:line="276" w:lineRule="auto"/>
              <w:rPr>
                <w:rFonts w:ascii="Times New Roman" w:hAnsi="Times New Roman" w:cs="Times New Roman"/>
                <w:sz w:val="24"/>
              </w:rPr>
            </w:pPr>
            <w:r>
              <w:rPr>
                <w:rFonts w:ascii="Times New Roman" w:hAnsi="Times New Roman" w:cs="Times New Roman"/>
                <w:b/>
                <w:sz w:val="24"/>
              </w:rPr>
              <w:t>S/N</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D1F3326">
            <w:pPr>
              <w:spacing w:line="276" w:lineRule="auto"/>
              <w:jc w:val="center"/>
              <w:rPr>
                <w:rFonts w:ascii="Times New Roman" w:hAnsi="Times New Roman" w:cs="Times New Roman"/>
                <w:sz w:val="24"/>
              </w:rPr>
            </w:pPr>
            <w:r>
              <w:rPr>
                <w:rFonts w:ascii="Times New Roman" w:hAnsi="Times New Roman" w:cs="Times New Roman"/>
                <w:b/>
                <w:sz w:val="24"/>
              </w:rPr>
              <w:t>FACULTY</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0FA0B87">
            <w:pPr>
              <w:tabs>
                <w:tab w:val="left" w:pos="645"/>
                <w:tab w:val="center" w:pos="792"/>
              </w:tabs>
              <w:spacing w:line="276" w:lineRule="auto"/>
              <w:rPr>
                <w:rFonts w:ascii="Times New Roman" w:hAnsi="Times New Roman" w:cs="Times New Roman"/>
                <w:sz w:val="24"/>
              </w:rPr>
            </w:pPr>
            <w:r>
              <w:rPr>
                <w:rFonts w:ascii="Times New Roman" w:hAnsi="Times New Roman" w:cs="Times New Roman"/>
                <w:b/>
                <w:sz w:val="24"/>
              </w:rPr>
              <w:t>NUMBER OF LECTRURERS</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339901E6">
            <w:pPr>
              <w:spacing w:line="276" w:lineRule="auto"/>
              <w:rPr>
                <w:rFonts w:ascii="Times New Roman" w:hAnsi="Times New Roman" w:cs="Times New Roman"/>
                <w:sz w:val="24"/>
              </w:rPr>
            </w:pPr>
            <w:r>
              <w:rPr>
                <w:rFonts w:ascii="Times New Roman" w:hAnsi="Times New Roman" w:cs="Times New Roman"/>
                <w:b/>
                <w:sz w:val="24"/>
              </w:rPr>
              <w:t>SAMPLE SIZE</w:t>
            </w:r>
          </w:p>
        </w:tc>
      </w:tr>
      <w:tr w14:paraId="1EE37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3A4DBD90">
            <w:pPr>
              <w:spacing w:line="276" w:lineRule="auto"/>
              <w:rPr>
                <w:rFonts w:ascii="Times New Roman" w:hAnsi="Times New Roman" w:cs="Times New Roman"/>
                <w:sz w:val="24"/>
              </w:rPr>
            </w:pPr>
            <w:r>
              <w:rPr>
                <w:rFonts w:ascii="Times New Roman" w:hAnsi="Times New Roman" w:cs="Times New Roman"/>
                <w:sz w:val="24"/>
              </w:rPr>
              <w:t>1</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536DFE59">
            <w:pPr>
              <w:spacing w:line="276" w:lineRule="auto"/>
              <w:rPr>
                <w:rFonts w:ascii="Times New Roman" w:hAnsi="Times New Roman" w:cs="Times New Roman"/>
                <w:sz w:val="24"/>
              </w:rPr>
            </w:pPr>
            <w:r>
              <w:rPr>
                <w:rFonts w:ascii="Times New Roman" w:hAnsi="Times New Roman" w:cs="Times New Roman"/>
                <w:sz w:val="24"/>
              </w:rPr>
              <w:t>Faculty of Agriculture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3DC38FA6">
            <w:pPr>
              <w:tabs>
                <w:tab w:val="left" w:pos="645"/>
                <w:tab w:val="center" w:pos="792"/>
              </w:tabs>
              <w:spacing w:line="276" w:lineRule="auto"/>
              <w:rPr>
                <w:rFonts w:ascii="Times New Roman" w:hAnsi="Times New Roman" w:cs="Times New Roman"/>
                <w:sz w:val="24"/>
              </w:rPr>
            </w:pPr>
            <w:r>
              <w:rPr>
                <w:rFonts w:ascii="Times New Roman" w:hAnsi="Times New Roman" w:cs="Times New Roman"/>
                <w:sz w:val="24"/>
              </w:rPr>
              <w:t>1200×380÷32633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126A9BB0">
            <w:pPr>
              <w:spacing w:line="276" w:lineRule="auto"/>
              <w:rPr>
                <w:rFonts w:ascii="Times New Roman" w:hAnsi="Times New Roman" w:cs="Times New Roman"/>
                <w:sz w:val="24"/>
              </w:rPr>
            </w:pPr>
            <w:r>
              <w:rPr>
                <w:rFonts w:ascii="Times New Roman" w:hAnsi="Times New Roman" w:cs="Times New Roman"/>
                <w:sz w:val="24"/>
              </w:rPr>
              <w:t>14</w:t>
            </w:r>
          </w:p>
        </w:tc>
      </w:tr>
      <w:tr w14:paraId="0F47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6EF6F67">
            <w:pPr>
              <w:spacing w:line="276" w:lineRule="auto"/>
              <w:rPr>
                <w:rFonts w:ascii="Times New Roman" w:hAnsi="Times New Roman" w:cs="Times New Roman"/>
                <w:sz w:val="24"/>
              </w:rPr>
            </w:pPr>
            <w:r>
              <w:rPr>
                <w:rFonts w:ascii="Times New Roman" w:hAnsi="Times New Roman" w:cs="Times New Roman"/>
                <w:sz w:val="24"/>
              </w:rPr>
              <w:t>2</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7A918613">
            <w:pPr>
              <w:spacing w:line="276" w:lineRule="auto"/>
              <w:rPr>
                <w:rFonts w:ascii="Times New Roman" w:hAnsi="Times New Roman" w:cs="Times New Roman"/>
                <w:sz w:val="24"/>
              </w:rPr>
            </w:pPr>
            <w:r>
              <w:rPr>
                <w:rFonts w:ascii="Times New Roman" w:hAnsi="Times New Roman" w:cs="Times New Roman"/>
                <w:sz w:val="24"/>
              </w:rPr>
              <w:t>Faculty of Art</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3BD187EE">
            <w:pPr>
              <w:spacing w:line="276" w:lineRule="auto"/>
              <w:rPr>
                <w:rFonts w:ascii="Times New Roman" w:hAnsi="Times New Roman" w:cs="Times New Roman"/>
                <w:sz w:val="24"/>
              </w:rPr>
            </w:pPr>
            <w:r>
              <w:rPr>
                <w:rFonts w:ascii="Times New Roman" w:hAnsi="Times New Roman" w:cs="Times New Roman"/>
                <w:sz w:val="24"/>
              </w:rPr>
              <w:t>2956×380÷32633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70588735">
            <w:pPr>
              <w:spacing w:line="276" w:lineRule="auto"/>
              <w:rPr>
                <w:rFonts w:ascii="Times New Roman" w:hAnsi="Times New Roman" w:cs="Times New Roman"/>
                <w:sz w:val="24"/>
              </w:rPr>
            </w:pPr>
            <w:r>
              <w:rPr>
                <w:rFonts w:ascii="Times New Roman" w:hAnsi="Times New Roman" w:cs="Times New Roman"/>
                <w:sz w:val="24"/>
              </w:rPr>
              <w:t>34</w:t>
            </w:r>
          </w:p>
        </w:tc>
      </w:tr>
      <w:tr w14:paraId="08693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52E73D4A">
            <w:pPr>
              <w:spacing w:line="276" w:lineRule="auto"/>
              <w:rPr>
                <w:rFonts w:ascii="Times New Roman" w:hAnsi="Times New Roman" w:cs="Times New Roman"/>
                <w:sz w:val="24"/>
              </w:rPr>
            </w:pPr>
            <w:r>
              <w:rPr>
                <w:rFonts w:ascii="Times New Roman" w:hAnsi="Times New Roman" w:cs="Times New Roman"/>
                <w:sz w:val="24"/>
              </w:rPr>
              <w:t>3</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0C2719F3">
            <w:pPr>
              <w:spacing w:line="276" w:lineRule="auto"/>
              <w:rPr>
                <w:rFonts w:ascii="Times New Roman" w:hAnsi="Times New Roman" w:cs="Times New Roman"/>
                <w:sz w:val="24"/>
              </w:rPr>
            </w:pPr>
            <w:r>
              <w:rPr>
                <w:rFonts w:ascii="Times New Roman" w:hAnsi="Times New Roman" w:cs="Times New Roman"/>
                <w:sz w:val="24"/>
              </w:rPr>
              <w:t xml:space="preserve">Faculty of Basic health Science </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531B3F7D">
            <w:pPr>
              <w:spacing w:line="276" w:lineRule="auto"/>
              <w:rPr>
                <w:rFonts w:ascii="Times New Roman" w:hAnsi="Times New Roman" w:cs="Times New Roman"/>
                <w:sz w:val="24"/>
              </w:rPr>
            </w:pPr>
            <w:r>
              <w:rPr>
                <w:rFonts w:ascii="Times New Roman" w:hAnsi="Times New Roman" w:cs="Times New Roman"/>
                <w:sz w:val="24"/>
              </w:rPr>
              <w:t>4966×380÷32633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575F91CC">
            <w:pPr>
              <w:spacing w:line="276" w:lineRule="auto"/>
              <w:rPr>
                <w:rFonts w:ascii="Times New Roman" w:hAnsi="Times New Roman" w:cs="Times New Roman"/>
                <w:sz w:val="24"/>
              </w:rPr>
            </w:pPr>
            <w:r>
              <w:rPr>
                <w:rFonts w:ascii="Times New Roman" w:hAnsi="Times New Roman" w:cs="Times New Roman"/>
                <w:sz w:val="24"/>
              </w:rPr>
              <w:t>58</w:t>
            </w:r>
          </w:p>
        </w:tc>
      </w:tr>
      <w:tr w14:paraId="31BDB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471C43D7">
            <w:pPr>
              <w:spacing w:line="276" w:lineRule="auto"/>
              <w:rPr>
                <w:rFonts w:ascii="Times New Roman" w:hAnsi="Times New Roman" w:cs="Times New Roman"/>
                <w:sz w:val="24"/>
              </w:rPr>
            </w:pPr>
            <w:r>
              <w:rPr>
                <w:rFonts w:ascii="Times New Roman" w:hAnsi="Times New Roman" w:cs="Times New Roman"/>
                <w:sz w:val="24"/>
              </w:rPr>
              <w:t>4</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26369FF">
            <w:pPr>
              <w:spacing w:line="276" w:lineRule="auto"/>
              <w:rPr>
                <w:rFonts w:ascii="Times New Roman" w:hAnsi="Times New Roman" w:cs="Times New Roman"/>
                <w:sz w:val="24"/>
              </w:rPr>
            </w:pPr>
            <w:r>
              <w:rPr>
                <w:rFonts w:ascii="Times New Roman" w:hAnsi="Times New Roman" w:cs="Times New Roman"/>
                <w:sz w:val="24"/>
              </w:rPr>
              <w:t>Faculty of Education</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5AE61BC6">
            <w:pPr>
              <w:spacing w:line="276" w:lineRule="auto"/>
              <w:rPr>
                <w:rFonts w:ascii="Times New Roman" w:hAnsi="Times New Roman" w:cs="Times New Roman"/>
                <w:sz w:val="24"/>
              </w:rPr>
            </w:pPr>
            <w:r>
              <w:rPr>
                <w:rFonts w:ascii="Times New Roman" w:hAnsi="Times New Roman" w:cs="Times New Roman"/>
                <w:sz w:val="24"/>
              </w:rPr>
              <w:t>1050×380÷32633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48C4675A">
            <w:pPr>
              <w:spacing w:line="276" w:lineRule="auto"/>
              <w:rPr>
                <w:rFonts w:ascii="Times New Roman" w:hAnsi="Times New Roman" w:cs="Times New Roman"/>
                <w:sz w:val="24"/>
              </w:rPr>
            </w:pPr>
            <w:r>
              <w:rPr>
                <w:rFonts w:ascii="Times New Roman" w:hAnsi="Times New Roman" w:cs="Times New Roman"/>
                <w:sz w:val="24"/>
              </w:rPr>
              <w:t>12</w:t>
            </w:r>
          </w:p>
        </w:tc>
      </w:tr>
      <w:tr w14:paraId="0E556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56C2216F">
            <w:pPr>
              <w:spacing w:line="276" w:lineRule="auto"/>
              <w:rPr>
                <w:rFonts w:ascii="Times New Roman" w:hAnsi="Times New Roman" w:cs="Times New Roman"/>
                <w:sz w:val="24"/>
              </w:rPr>
            </w:pPr>
            <w:r>
              <w:rPr>
                <w:rFonts w:ascii="Times New Roman" w:hAnsi="Times New Roman" w:cs="Times New Roman"/>
                <w:sz w:val="24"/>
              </w:rPr>
              <w:t>5</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70897DBB">
            <w:pPr>
              <w:spacing w:line="276" w:lineRule="auto"/>
              <w:rPr>
                <w:rFonts w:ascii="Times New Roman" w:hAnsi="Times New Roman" w:cs="Times New Roman"/>
                <w:sz w:val="24"/>
              </w:rPr>
            </w:pPr>
            <w:r>
              <w:rPr>
                <w:rFonts w:ascii="Times New Roman" w:hAnsi="Times New Roman" w:cs="Times New Roman"/>
                <w:sz w:val="24"/>
              </w:rPr>
              <w:t>Faculty of Engineering</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65A96A0A">
            <w:pPr>
              <w:spacing w:line="276" w:lineRule="auto"/>
              <w:rPr>
                <w:rFonts w:ascii="Times New Roman" w:hAnsi="Times New Roman" w:cs="Times New Roman"/>
                <w:sz w:val="24"/>
              </w:rPr>
            </w:pPr>
            <w:r>
              <w:rPr>
                <w:rFonts w:ascii="Times New Roman" w:hAnsi="Times New Roman" w:cs="Times New Roman"/>
                <w:sz w:val="24"/>
              </w:rPr>
              <w:t>3135×380÷32633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2F55EC42">
            <w:pPr>
              <w:spacing w:line="276" w:lineRule="auto"/>
              <w:rPr>
                <w:rFonts w:ascii="Times New Roman" w:hAnsi="Times New Roman" w:cs="Times New Roman"/>
                <w:sz w:val="24"/>
              </w:rPr>
            </w:pPr>
            <w:r>
              <w:rPr>
                <w:rFonts w:ascii="Times New Roman" w:hAnsi="Times New Roman" w:cs="Times New Roman"/>
                <w:sz w:val="24"/>
              </w:rPr>
              <w:t>37</w:t>
            </w:r>
          </w:p>
        </w:tc>
      </w:tr>
      <w:tr w14:paraId="318CE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7D29DB62">
            <w:pPr>
              <w:spacing w:line="276" w:lineRule="auto"/>
              <w:rPr>
                <w:rFonts w:ascii="Times New Roman" w:hAnsi="Times New Roman" w:cs="Times New Roman"/>
                <w:sz w:val="24"/>
              </w:rPr>
            </w:pPr>
            <w:r>
              <w:rPr>
                <w:rFonts w:ascii="Times New Roman" w:hAnsi="Times New Roman" w:cs="Times New Roman"/>
                <w:sz w:val="24"/>
              </w:rPr>
              <w:t>6</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49D23A62">
            <w:pPr>
              <w:spacing w:line="276" w:lineRule="auto"/>
              <w:rPr>
                <w:rFonts w:ascii="Times New Roman" w:hAnsi="Times New Roman" w:cs="Times New Roman"/>
                <w:sz w:val="24"/>
              </w:rPr>
            </w:pPr>
            <w:r>
              <w:rPr>
                <w:rFonts w:ascii="Times New Roman" w:hAnsi="Times New Roman" w:cs="Times New Roman"/>
                <w:sz w:val="24"/>
              </w:rPr>
              <w:t>Faculty of Information Communication and Technology</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1169E24">
            <w:pPr>
              <w:spacing w:line="276" w:lineRule="auto"/>
              <w:rPr>
                <w:rFonts w:ascii="Times New Roman" w:hAnsi="Times New Roman" w:cs="Times New Roman"/>
                <w:sz w:val="24"/>
              </w:rPr>
            </w:pPr>
            <w:r>
              <w:rPr>
                <w:rFonts w:ascii="Times New Roman" w:hAnsi="Times New Roman" w:cs="Times New Roman"/>
                <w:sz w:val="24"/>
              </w:rPr>
              <w:t>7173×380÷32633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7BBD8B10">
            <w:pPr>
              <w:spacing w:line="276" w:lineRule="auto"/>
              <w:rPr>
                <w:rFonts w:ascii="Times New Roman" w:hAnsi="Times New Roman" w:cs="Times New Roman"/>
                <w:sz w:val="24"/>
              </w:rPr>
            </w:pPr>
            <w:r>
              <w:rPr>
                <w:rFonts w:ascii="Times New Roman" w:hAnsi="Times New Roman" w:cs="Times New Roman"/>
                <w:sz w:val="24"/>
              </w:rPr>
              <w:t>84</w:t>
            </w:r>
          </w:p>
        </w:tc>
      </w:tr>
      <w:tr w14:paraId="7117F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05ECD430">
            <w:pPr>
              <w:spacing w:line="276" w:lineRule="auto"/>
              <w:rPr>
                <w:rFonts w:ascii="Times New Roman" w:hAnsi="Times New Roman" w:cs="Times New Roman"/>
                <w:sz w:val="24"/>
              </w:rPr>
            </w:pPr>
            <w:r>
              <w:rPr>
                <w:rFonts w:ascii="Times New Roman" w:hAnsi="Times New Roman" w:cs="Times New Roman"/>
                <w:sz w:val="24"/>
              </w:rPr>
              <w:t>7</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6994D61B">
            <w:pPr>
              <w:spacing w:line="276" w:lineRule="auto"/>
              <w:rPr>
                <w:rFonts w:ascii="Times New Roman" w:hAnsi="Times New Roman" w:cs="Times New Roman"/>
                <w:sz w:val="24"/>
              </w:rPr>
            </w:pPr>
            <w:r>
              <w:rPr>
                <w:rFonts w:ascii="Times New Roman" w:hAnsi="Times New Roman" w:cs="Times New Roman"/>
                <w:sz w:val="24"/>
              </w:rPr>
              <w:t>Faculty of Law</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0DE6AB25">
            <w:pPr>
              <w:spacing w:line="276" w:lineRule="auto"/>
              <w:rPr>
                <w:rFonts w:ascii="Times New Roman" w:hAnsi="Times New Roman" w:cs="Times New Roman"/>
                <w:sz w:val="24"/>
              </w:rPr>
            </w:pPr>
            <w:r>
              <w:rPr>
                <w:rFonts w:ascii="Times New Roman" w:hAnsi="Times New Roman" w:cs="Times New Roman"/>
                <w:sz w:val="24"/>
              </w:rPr>
              <w:t>135×380÷32633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65405C0B">
            <w:pPr>
              <w:spacing w:line="276" w:lineRule="auto"/>
              <w:rPr>
                <w:rFonts w:ascii="Times New Roman" w:hAnsi="Times New Roman" w:cs="Times New Roman"/>
                <w:sz w:val="24"/>
              </w:rPr>
            </w:pPr>
            <w:r>
              <w:rPr>
                <w:rFonts w:ascii="Times New Roman" w:hAnsi="Times New Roman" w:cs="Times New Roman"/>
                <w:sz w:val="24"/>
              </w:rPr>
              <w:t>02</w:t>
            </w:r>
          </w:p>
        </w:tc>
      </w:tr>
      <w:tr w14:paraId="657B6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3F29721F">
            <w:pPr>
              <w:spacing w:line="276" w:lineRule="auto"/>
              <w:rPr>
                <w:rFonts w:ascii="Times New Roman" w:hAnsi="Times New Roman" w:cs="Times New Roman"/>
                <w:sz w:val="24"/>
              </w:rPr>
            </w:pPr>
            <w:r>
              <w:rPr>
                <w:rFonts w:ascii="Times New Roman" w:hAnsi="Times New Roman" w:cs="Times New Roman"/>
                <w:sz w:val="24"/>
              </w:rPr>
              <w:t>8</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340BD41F">
            <w:pPr>
              <w:spacing w:line="276" w:lineRule="auto"/>
              <w:rPr>
                <w:rFonts w:ascii="Times New Roman" w:hAnsi="Times New Roman" w:cs="Times New Roman"/>
                <w:sz w:val="24"/>
              </w:rPr>
            </w:pPr>
            <w:r>
              <w:rPr>
                <w:rFonts w:ascii="Times New Roman" w:hAnsi="Times New Roman" w:cs="Times New Roman"/>
                <w:sz w:val="24"/>
              </w:rPr>
              <w:t>Faculty of Management and Social Science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44D58054">
            <w:pPr>
              <w:spacing w:line="276" w:lineRule="auto"/>
              <w:rPr>
                <w:rFonts w:ascii="Times New Roman" w:hAnsi="Times New Roman" w:cs="Times New Roman"/>
                <w:sz w:val="24"/>
              </w:rPr>
            </w:pPr>
            <w:r>
              <w:rPr>
                <w:rFonts w:ascii="Times New Roman" w:hAnsi="Times New Roman" w:cs="Times New Roman"/>
                <w:sz w:val="24"/>
              </w:rPr>
              <w:t>7081×380÷32633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4DA8F2E7">
            <w:pPr>
              <w:spacing w:line="276" w:lineRule="auto"/>
              <w:rPr>
                <w:rFonts w:ascii="Times New Roman" w:hAnsi="Times New Roman" w:cs="Times New Roman"/>
                <w:sz w:val="24"/>
              </w:rPr>
            </w:pPr>
            <w:r>
              <w:rPr>
                <w:rFonts w:ascii="Times New Roman" w:hAnsi="Times New Roman" w:cs="Times New Roman"/>
                <w:sz w:val="24"/>
              </w:rPr>
              <w:t>82</w:t>
            </w:r>
          </w:p>
        </w:tc>
      </w:tr>
      <w:tr w14:paraId="40A4F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492B839B">
            <w:pPr>
              <w:spacing w:line="276" w:lineRule="auto"/>
              <w:rPr>
                <w:rFonts w:ascii="Times New Roman" w:hAnsi="Times New Roman" w:cs="Times New Roman"/>
                <w:sz w:val="24"/>
              </w:rPr>
            </w:pPr>
            <w:r>
              <w:rPr>
                <w:rFonts w:ascii="Times New Roman" w:hAnsi="Times New Roman" w:cs="Times New Roman"/>
                <w:sz w:val="24"/>
              </w:rPr>
              <w:t>9</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564AC46">
            <w:pPr>
              <w:spacing w:line="276" w:lineRule="auto"/>
              <w:rPr>
                <w:rFonts w:ascii="Times New Roman" w:hAnsi="Times New Roman" w:cs="Times New Roman"/>
                <w:sz w:val="24"/>
              </w:rPr>
            </w:pPr>
            <w:r>
              <w:rPr>
                <w:rFonts w:ascii="Times New Roman" w:hAnsi="Times New Roman" w:cs="Times New Roman"/>
                <w:sz w:val="24"/>
              </w:rPr>
              <w:t>Faculty of Pure and Applied Science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231C08A">
            <w:pPr>
              <w:spacing w:line="276" w:lineRule="auto"/>
              <w:rPr>
                <w:rFonts w:ascii="Times New Roman" w:hAnsi="Times New Roman" w:cs="Times New Roman"/>
                <w:sz w:val="24"/>
              </w:rPr>
            </w:pPr>
            <w:r>
              <w:rPr>
                <w:rFonts w:ascii="Times New Roman" w:hAnsi="Times New Roman" w:cs="Times New Roman"/>
                <w:sz w:val="24"/>
              </w:rPr>
              <w:t>4937×380÷32633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69B43011">
            <w:pPr>
              <w:spacing w:line="276" w:lineRule="auto"/>
              <w:rPr>
                <w:rFonts w:ascii="Times New Roman" w:hAnsi="Times New Roman" w:cs="Times New Roman"/>
                <w:sz w:val="24"/>
              </w:rPr>
            </w:pPr>
            <w:r>
              <w:rPr>
                <w:rFonts w:ascii="Times New Roman" w:hAnsi="Times New Roman" w:cs="Times New Roman"/>
                <w:sz w:val="24"/>
              </w:rPr>
              <w:t>57</w:t>
            </w:r>
          </w:p>
        </w:tc>
      </w:tr>
      <w:tr w14:paraId="0AEE1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38CF142">
            <w:pPr>
              <w:spacing w:line="276" w:lineRule="auto"/>
              <w:rPr>
                <w:rFonts w:ascii="Times New Roman" w:hAnsi="Times New Roman" w:cs="Times New Roman"/>
                <w:sz w:val="24"/>
              </w:rPr>
            </w:pPr>
          </w:p>
        </w:tc>
        <w:tc>
          <w:tcPr>
            <w:tcW w:w="5864" w:type="dxa"/>
            <w:gridSpan w:val="2"/>
            <w:tcBorders>
              <w:top w:val="single" w:color="000000" w:sz="4" w:space="0"/>
              <w:left w:val="single" w:color="000000" w:sz="4" w:space="0"/>
              <w:bottom w:val="single" w:color="000000" w:sz="4" w:space="0"/>
              <w:right w:val="single" w:color="000000" w:sz="4" w:space="0"/>
            </w:tcBorders>
            <w:shd w:val="clear" w:color="auto" w:fill="auto"/>
          </w:tcPr>
          <w:p w14:paraId="21103AC8">
            <w:pPr>
              <w:spacing w:line="276" w:lineRule="auto"/>
              <w:rPr>
                <w:rFonts w:ascii="Times New Roman" w:hAnsi="Times New Roman" w:cs="Times New Roman"/>
                <w:b/>
                <w:sz w:val="24"/>
              </w:rPr>
            </w:pPr>
            <w:r>
              <w:rPr>
                <w:rFonts w:ascii="Times New Roman" w:hAnsi="Times New Roman" w:cs="Times New Roman"/>
                <w:b/>
                <w:sz w:val="24"/>
              </w:rPr>
              <w:t>Total</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06ABE147">
            <w:pPr>
              <w:spacing w:line="276" w:lineRule="auto"/>
              <w:rPr>
                <w:rFonts w:ascii="Times New Roman" w:hAnsi="Times New Roman" w:cs="Times New Roman"/>
                <w:b/>
                <w:sz w:val="24"/>
              </w:rPr>
            </w:pPr>
            <w:r>
              <w:rPr>
                <w:rFonts w:ascii="Times New Roman" w:hAnsi="Times New Roman" w:cs="Times New Roman"/>
                <w:b/>
                <w:sz w:val="24"/>
              </w:rPr>
              <w:t>380</w:t>
            </w:r>
          </w:p>
        </w:tc>
      </w:tr>
    </w:tbl>
    <w:p w14:paraId="6A69EE4A">
      <w:pPr>
        <w:spacing w:line="480" w:lineRule="auto"/>
        <w:rPr>
          <w:rFonts w:ascii="Times New Roman" w:hAnsi="Times New Roman" w:cs="Times New Roman"/>
          <w:sz w:val="24"/>
        </w:rPr>
      </w:pPr>
      <w:r>
        <w:rPr>
          <w:rFonts w:ascii="Times New Roman" w:hAnsi="Times New Roman" w:cs="Times New Roman"/>
          <w:sz w:val="24"/>
        </w:rPr>
        <w:t>Source: KWASU Academic Planning</w:t>
      </w:r>
    </w:p>
    <w:p w14:paraId="4BDA73B2">
      <w:pPr>
        <w:pStyle w:val="2"/>
        <w:spacing w:before="0" w:line="480" w:lineRule="auto"/>
        <w:rPr>
          <w:rFonts w:ascii="Times New Roman" w:hAnsi="Times New Roman"/>
          <w:b w:val="0"/>
          <w:bCs w:val="0"/>
          <w:color w:val="auto"/>
          <w:sz w:val="24"/>
          <w:lang w:val="en"/>
        </w:rPr>
      </w:pPr>
      <w:bookmarkStart w:id="42" w:name="_Toc170896433"/>
      <w:r>
        <w:rPr>
          <w:rFonts w:ascii="Times New Roman" w:hAnsi="Times New Roman"/>
          <w:color w:val="auto"/>
          <w:sz w:val="24"/>
        </w:rPr>
        <w:t>3.5</w:t>
      </w:r>
      <w:r>
        <w:rPr>
          <w:rFonts w:ascii="Times New Roman" w:hAnsi="Times New Roman"/>
          <w:color w:val="auto"/>
          <w:sz w:val="24"/>
        </w:rPr>
        <w:tab/>
      </w:r>
      <w:r>
        <w:rPr>
          <w:rFonts w:ascii="Times New Roman" w:hAnsi="Times New Roman"/>
          <w:color w:val="auto"/>
          <w:sz w:val="24"/>
          <w:lang w:val="en"/>
        </w:rPr>
        <w:t>Instrumentation for Data Collection</w:t>
      </w:r>
      <w:bookmarkEnd w:id="42"/>
      <w:r>
        <w:rPr>
          <w:rFonts w:ascii="Times New Roman" w:hAnsi="Times New Roman"/>
          <w:color w:val="auto"/>
          <w:sz w:val="24"/>
          <w:lang w:val="en"/>
        </w:rPr>
        <w:t xml:space="preserve"> </w:t>
      </w:r>
    </w:p>
    <w:p w14:paraId="253989BD">
      <w:pPr>
        <w:spacing w:before="120" w:line="480" w:lineRule="auto"/>
        <w:rPr>
          <w:rFonts w:ascii="Times New Roman" w:hAnsi="Times New Roman" w:cs="Times New Roman"/>
          <w:sz w:val="24"/>
        </w:rPr>
      </w:pPr>
      <w:r>
        <w:rPr>
          <w:rFonts w:ascii="Times New Roman" w:hAnsi="Times New Roman" w:cs="Times New Roman"/>
          <w:sz w:val="24"/>
        </w:rPr>
        <w:t xml:space="preserve">A well-Structured questionnaire titled: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rPr>
        <w:t>. will be use to collect necessary data for the purpose of the research. The instrument will be administered to respondents in Kwara state University Malete.</w:t>
      </w:r>
    </w:p>
    <w:p w14:paraId="16956110">
      <w:pPr>
        <w:spacing w:line="480" w:lineRule="auto"/>
        <w:rPr>
          <w:rFonts w:ascii="Times New Roman" w:hAnsi="Times New Roman" w:cs="Times New Roman"/>
          <w:sz w:val="24"/>
          <w:lang w:val="en"/>
        </w:rPr>
      </w:pPr>
      <w:r>
        <w:rPr>
          <w:rFonts w:ascii="Times New Roman" w:hAnsi="Times New Roman" w:cs="Times New Roman"/>
          <w:sz w:val="24"/>
          <w:lang w:val="en"/>
        </w:rPr>
        <w:t xml:space="preserve">The questionnaire will consist of section A and B. Section A will be used to elicit information on </w:t>
      </w:r>
      <w:r>
        <w:rPr>
          <w:rFonts w:ascii="Times New Roman" w:hAnsi="Times New Roman" w:cs="Times New Roman"/>
          <w:sz w:val="24"/>
        </w:rPr>
        <w:t>student’s</w:t>
      </w:r>
      <w:r>
        <w:rPr>
          <w:rFonts w:ascii="Times New Roman" w:hAnsi="Times New Roman" w:cs="Times New Roman"/>
          <w:sz w:val="24"/>
          <w:lang w:val="en"/>
        </w:rPr>
        <w:t xml:space="preserve"> demographic data and information</w:t>
      </w:r>
      <w:r>
        <w:rPr>
          <w:rFonts w:ascii="Times New Roman" w:hAnsi="Times New Roman" w:cs="Times New Roman"/>
          <w:sz w:val="24"/>
        </w:rPr>
        <w:t xml:space="preserve"> such as gender, Academic level, Source of Academic Funding.</w:t>
      </w:r>
      <w:r>
        <w:rPr>
          <w:rFonts w:ascii="Times New Roman" w:hAnsi="Times New Roman" w:cs="Times New Roman"/>
          <w:sz w:val="24"/>
          <w:lang w:val="en"/>
        </w:rPr>
        <w:t xml:space="preserve"> Section B will contain information on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lang w:val="en"/>
        </w:rPr>
        <w:t>.</w:t>
      </w:r>
    </w:p>
    <w:p w14:paraId="40C4623B">
      <w:pPr>
        <w:pStyle w:val="2"/>
        <w:spacing w:before="0" w:line="480" w:lineRule="auto"/>
        <w:rPr>
          <w:rFonts w:ascii="Times New Roman" w:hAnsi="Times New Roman"/>
          <w:color w:val="auto"/>
          <w:sz w:val="24"/>
        </w:rPr>
      </w:pPr>
      <w:bookmarkStart w:id="43" w:name="_Toc170896434"/>
      <w:r>
        <w:rPr>
          <w:rFonts w:ascii="Times New Roman" w:hAnsi="Times New Roman"/>
          <w:color w:val="auto"/>
          <w:sz w:val="24"/>
        </w:rPr>
        <w:t>3.6</w:t>
      </w:r>
      <w:r>
        <w:rPr>
          <w:rFonts w:ascii="Times New Roman" w:hAnsi="Times New Roman"/>
          <w:color w:val="auto"/>
          <w:sz w:val="24"/>
        </w:rPr>
        <w:tab/>
      </w:r>
      <w:r>
        <w:rPr>
          <w:rFonts w:ascii="Times New Roman" w:hAnsi="Times New Roman"/>
          <w:color w:val="auto"/>
          <w:sz w:val="24"/>
        </w:rPr>
        <w:t>Validity of Research Instrument</w:t>
      </w:r>
      <w:bookmarkEnd w:id="43"/>
    </w:p>
    <w:p w14:paraId="48F94B33">
      <w:pPr>
        <w:spacing w:line="480" w:lineRule="auto"/>
        <w:rPr>
          <w:rFonts w:ascii="Times New Roman" w:hAnsi="Times New Roman" w:cs="Times New Roman"/>
          <w:sz w:val="24"/>
        </w:rPr>
      </w:pPr>
      <w:r>
        <w:rPr>
          <w:rFonts w:ascii="Times New Roman" w:hAnsi="Times New Roman" w:cs="Times New Roman"/>
          <w:sz w:val="24"/>
        </w:rPr>
        <w:t>The validity of research instrument will ensure in terms of its content validity. For this to be achieved, the instrument will be given to the research supervisor in the department of library and information science kwara state university Malete, for verification. The comment and observations in terms of corrections will be effect before the administration of research instrument.</w:t>
      </w:r>
    </w:p>
    <w:p w14:paraId="7BB95DC7">
      <w:pPr>
        <w:pStyle w:val="2"/>
        <w:spacing w:before="0" w:line="480" w:lineRule="auto"/>
        <w:rPr>
          <w:rFonts w:ascii="Times New Roman" w:hAnsi="Times New Roman"/>
          <w:color w:val="auto"/>
          <w:sz w:val="24"/>
          <w:lang w:val="en"/>
        </w:rPr>
      </w:pPr>
      <w:bookmarkStart w:id="44" w:name="_Toc170896435"/>
      <w:r>
        <w:rPr>
          <w:rFonts w:ascii="Times New Roman" w:hAnsi="Times New Roman"/>
          <w:color w:val="auto"/>
          <w:sz w:val="24"/>
          <w:lang w:val="en"/>
        </w:rPr>
        <w:t>3.7 Procedure for Data Collection</w:t>
      </w:r>
      <w:bookmarkEnd w:id="44"/>
      <w:r>
        <w:rPr>
          <w:rFonts w:ascii="Times New Roman" w:hAnsi="Times New Roman"/>
          <w:color w:val="auto"/>
          <w:sz w:val="24"/>
          <w:lang w:val="en"/>
        </w:rPr>
        <w:t xml:space="preserve"> </w:t>
      </w:r>
    </w:p>
    <w:p w14:paraId="114F99A0">
      <w:pPr>
        <w:spacing w:line="480" w:lineRule="auto"/>
        <w:rPr>
          <w:rFonts w:ascii="Times New Roman" w:hAnsi="Times New Roman" w:cs="Times New Roman"/>
          <w:sz w:val="24"/>
          <w:lang w:val="en"/>
        </w:rPr>
      </w:pPr>
      <w:r>
        <w:rPr>
          <w:rFonts w:ascii="Times New Roman" w:hAnsi="Times New Roman" w:cs="Times New Roman"/>
          <w:sz w:val="24"/>
          <w:lang w:val="en"/>
        </w:rPr>
        <w:t xml:space="preserve">The student identification will be presented to the selected </w:t>
      </w:r>
      <w:r>
        <w:rPr>
          <w:rFonts w:ascii="Times New Roman" w:hAnsi="Times New Roman" w:cs="Times New Roman"/>
          <w:sz w:val="24"/>
        </w:rPr>
        <w:t>students</w:t>
      </w:r>
      <w:r>
        <w:rPr>
          <w:rFonts w:ascii="Times New Roman" w:hAnsi="Times New Roman" w:cs="Times New Roman"/>
          <w:sz w:val="24"/>
          <w:lang w:val="en"/>
        </w:rPr>
        <w:t>. The questionnaire will be administered to</w:t>
      </w:r>
      <w:r>
        <w:rPr>
          <w:rFonts w:ascii="Times New Roman" w:hAnsi="Times New Roman" w:cs="Times New Roman"/>
          <w:sz w:val="24"/>
        </w:rPr>
        <w:t xml:space="preserve"> the students in all faculty of kwara state university as stated in the sample size table.</w:t>
      </w:r>
      <w:r>
        <w:rPr>
          <w:rFonts w:ascii="Times New Roman" w:hAnsi="Times New Roman" w:cs="Times New Roman"/>
          <w:sz w:val="24"/>
          <w:lang w:val="en"/>
        </w:rPr>
        <w:t xml:space="preserve"> The questionnaire</w:t>
      </w:r>
      <w:r>
        <w:rPr>
          <w:rFonts w:ascii="Times New Roman" w:hAnsi="Times New Roman" w:cs="Times New Roman"/>
          <w:sz w:val="24"/>
        </w:rPr>
        <w:t xml:space="preserve"> is</w:t>
      </w:r>
      <w:r>
        <w:rPr>
          <w:rFonts w:ascii="Times New Roman" w:hAnsi="Times New Roman" w:cs="Times New Roman"/>
          <w:sz w:val="24"/>
          <w:lang w:val="en"/>
        </w:rPr>
        <w:t xml:space="preserve"> aimed at getting information on</w:t>
      </w:r>
      <w:r>
        <w:rPr>
          <w:rFonts w:ascii="Times New Roman" w:hAnsi="Times New Roman" w:cs="Times New Roman"/>
          <w:sz w:val="24"/>
        </w:rPr>
        <w:t xml:space="preserve"> </w:t>
      </w:r>
      <w:r>
        <w:rPr>
          <w:rFonts w:ascii="Times New Roman" w:hAnsi="Times New Roman" w:eastAsia="Times New Roman" w:cs="Times New Roman"/>
          <w:sz w:val="24"/>
          <w:lang w:eastAsia="en-GB"/>
        </w:rPr>
        <w:t>Perception of Kwara State students towards Nigeria student’s loan scheme</w:t>
      </w:r>
      <w:r>
        <w:rPr>
          <w:rFonts w:ascii="Times New Roman" w:hAnsi="Times New Roman" w:cs="Times New Roman"/>
          <w:sz w:val="24"/>
        </w:rPr>
        <w:t>.</w:t>
      </w:r>
      <w:r>
        <w:rPr>
          <w:rFonts w:ascii="Times New Roman" w:hAnsi="Times New Roman" w:cs="Times New Roman"/>
          <w:sz w:val="24"/>
          <w:lang w:val="en"/>
        </w:rPr>
        <w:t xml:space="preserve"> The questionnaire will be administered directly to the respondents. The researcher will wait to collect the questionnaire to avoid loss and to make sure they return them in good time and condition after completion to avoid wastage of time. The respondents will be assured of strict confidentiality of the information they will supply and the information that will be supplied is meant for this research purpose only.</w:t>
      </w:r>
    </w:p>
    <w:p w14:paraId="35C54C31">
      <w:pPr>
        <w:pStyle w:val="2"/>
        <w:spacing w:before="0" w:line="480" w:lineRule="auto"/>
        <w:rPr>
          <w:rFonts w:ascii="Times New Roman" w:hAnsi="Times New Roman"/>
          <w:color w:val="auto"/>
          <w:sz w:val="24"/>
          <w:lang w:val="en"/>
        </w:rPr>
      </w:pPr>
      <w:bookmarkStart w:id="45" w:name="_Toc170896436"/>
      <w:r>
        <w:rPr>
          <w:rFonts w:ascii="Times New Roman" w:hAnsi="Times New Roman"/>
          <w:color w:val="auto"/>
          <w:sz w:val="24"/>
        </w:rPr>
        <w:t xml:space="preserve">3.8 </w:t>
      </w:r>
      <w:r>
        <w:rPr>
          <w:rFonts w:ascii="Times New Roman" w:hAnsi="Times New Roman"/>
          <w:color w:val="auto"/>
          <w:sz w:val="24"/>
          <w:lang w:val="en"/>
        </w:rPr>
        <w:t>Data Analysis Techniques</w:t>
      </w:r>
      <w:bookmarkEnd w:id="45"/>
      <w:r>
        <w:rPr>
          <w:rFonts w:ascii="Times New Roman" w:hAnsi="Times New Roman"/>
          <w:color w:val="auto"/>
          <w:sz w:val="24"/>
          <w:lang w:val="en"/>
        </w:rPr>
        <w:t xml:space="preserve"> </w:t>
      </w:r>
    </w:p>
    <w:p w14:paraId="6D08CF10">
      <w:pPr>
        <w:spacing w:line="480" w:lineRule="auto"/>
        <w:rPr>
          <w:rFonts w:ascii="Times New Roman" w:hAnsi="Times New Roman" w:cs="Times New Roman"/>
          <w:sz w:val="24"/>
        </w:rPr>
      </w:pPr>
      <w:r>
        <w:rPr>
          <w:rFonts w:ascii="Times New Roman" w:hAnsi="Times New Roman" w:cs="Times New Roman"/>
          <w:sz w:val="24"/>
          <w:lang w:val="en"/>
        </w:rPr>
        <w:t xml:space="preserve">Simple percentage count will be employed by the researcher to analyze the response gotten from the questionnaire. </w:t>
      </w:r>
      <w:r>
        <w:rPr>
          <w:rFonts w:ascii="Times New Roman" w:hAnsi="Times New Roman" w:cs="Times New Roman"/>
          <w:sz w:val="24"/>
        </w:rPr>
        <w:t>The data will be analyzed using the descriptive statistics method</w:t>
      </w:r>
      <w:r>
        <w:rPr>
          <w:rFonts w:ascii="Times New Roman" w:hAnsi="Times New Roman"/>
          <w:color w:val="000000"/>
          <w:sz w:val="24"/>
        </w:rPr>
        <w:t xml:space="preserve"> because of ease and simplicity to understand.</w:t>
      </w:r>
    </w:p>
    <w:p w14:paraId="05FC7BCC">
      <w:pPr>
        <w:spacing w:line="480" w:lineRule="auto"/>
        <w:rPr>
          <w:rFonts w:ascii="Times New Roman" w:hAnsi="Times New Roman" w:cs="Times New Roman"/>
          <w:b/>
          <w:bCs/>
          <w:sz w:val="24"/>
        </w:rPr>
      </w:pPr>
    </w:p>
    <w:p w14:paraId="4225F2A3">
      <w:pPr>
        <w:widowControl/>
        <w:jc w:val="left"/>
        <w:rPr>
          <w:rFonts w:ascii="Times New Roman" w:hAnsi="Times New Roman" w:cs="Times New Roman"/>
          <w:b/>
          <w:bCs/>
          <w:sz w:val="24"/>
        </w:rPr>
      </w:pPr>
      <w:r>
        <w:rPr>
          <w:rFonts w:ascii="Times New Roman" w:hAnsi="Times New Roman" w:cs="Times New Roman"/>
          <w:b/>
          <w:bCs/>
          <w:sz w:val="24"/>
        </w:rPr>
        <w:br w:type="page"/>
      </w:r>
    </w:p>
    <w:p w14:paraId="276C0546">
      <w:pPr>
        <w:pStyle w:val="2"/>
        <w:spacing w:before="0" w:line="480" w:lineRule="auto"/>
        <w:jc w:val="center"/>
        <w:rPr>
          <w:rFonts w:ascii="Times New Roman" w:hAnsi="Times New Roman"/>
          <w:b w:val="0"/>
          <w:bCs w:val="0"/>
          <w:color w:val="auto"/>
          <w:sz w:val="24"/>
          <w:szCs w:val="24"/>
        </w:rPr>
      </w:pPr>
      <w:bookmarkStart w:id="46" w:name="_Toc170896437"/>
      <w:r>
        <w:rPr>
          <w:rFonts w:ascii="Times New Roman" w:hAnsi="Times New Roman" w:eastAsia="SimSun"/>
          <w:color w:val="auto"/>
          <w:sz w:val="24"/>
          <w:szCs w:val="24"/>
        </w:rPr>
        <w:t>CHAPTER FOUR</w:t>
      </w:r>
      <w:bookmarkEnd w:id="46"/>
    </w:p>
    <w:p w14:paraId="761323B2">
      <w:pPr>
        <w:pStyle w:val="2"/>
        <w:spacing w:before="0" w:line="480" w:lineRule="auto"/>
        <w:jc w:val="center"/>
        <w:rPr>
          <w:rFonts w:ascii="Times New Roman" w:hAnsi="Times New Roman"/>
          <w:b w:val="0"/>
          <w:bCs w:val="0"/>
          <w:color w:val="auto"/>
          <w:sz w:val="24"/>
          <w:szCs w:val="24"/>
        </w:rPr>
      </w:pPr>
      <w:bookmarkStart w:id="47" w:name="_Toc170896438"/>
      <w:r>
        <w:rPr>
          <w:rFonts w:ascii="Times New Roman" w:hAnsi="Times New Roman" w:eastAsia="SimSun"/>
          <w:color w:val="auto"/>
          <w:sz w:val="24"/>
          <w:szCs w:val="24"/>
        </w:rPr>
        <w:t>DATA ANALYSIS, PRESENTATION OF RESULTS AND DISCUSSION OF FINDINGS</w:t>
      </w:r>
      <w:bookmarkEnd w:id="47"/>
      <w:r>
        <w:rPr>
          <w:rFonts w:ascii="Times New Roman" w:hAnsi="Times New Roman" w:eastAsia="SimSun"/>
          <w:color w:val="auto"/>
          <w:sz w:val="24"/>
          <w:szCs w:val="24"/>
        </w:rPr>
        <w:t xml:space="preserve"> </w:t>
      </w:r>
    </w:p>
    <w:p w14:paraId="574D58A0">
      <w:pPr>
        <w:pStyle w:val="2"/>
        <w:spacing w:before="0" w:line="480" w:lineRule="auto"/>
        <w:rPr>
          <w:rFonts w:ascii="Times New Roman" w:hAnsi="Times New Roman"/>
          <w:color w:val="auto"/>
          <w:sz w:val="24"/>
          <w:szCs w:val="24"/>
        </w:rPr>
      </w:pPr>
      <w:bookmarkStart w:id="48" w:name="_Toc170896439"/>
      <w:r>
        <w:rPr>
          <w:rFonts w:ascii="Times New Roman" w:hAnsi="Times New Roman"/>
          <w:color w:val="auto"/>
          <w:sz w:val="24"/>
        </w:rPr>
        <w:t xml:space="preserve">4.1 </w:t>
      </w:r>
      <w:r>
        <w:rPr>
          <w:rFonts w:ascii="Times New Roman" w:hAnsi="Times New Roman" w:eastAsia="SimSun"/>
          <w:color w:val="auto"/>
          <w:sz w:val="24"/>
          <w:szCs w:val="24"/>
        </w:rPr>
        <w:t>Introduction</w:t>
      </w:r>
      <w:bookmarkEnd w:id="48"/>
      <w:r>
        <w:rPr>
          <w:rFonts w:ascii="Times New Roman" w:hAnsi="Times New Roman" w:eastAsia="SimSun"/>
          <w:color w:val="auto"/>
          <w:sz w:val="24"/>
          <w:szCs w:val="24"/>
        </w:rPr>
        <w:t xml:space="preserve"> </w:t>
      </w:r>
    </w:p>
    <w:p w14:paraId="4D4DE0CB">
      <w:pPr>
        <w:spacing w:line="480" w:lineRule="auto"/>
        <w:rPr>
          <w:rFonts w:ascii="Times New Roman" w:hAnsi="Times New Roman" w:cs="Times New Roman"/>
          <w:b/>
          <w:bCs/>
          <w:sz w:val="24"/>
        </w:rPr>
      </w:pPr>
      <w:r>
        <w:rPr>
          <w:rFonts w:ascii="Times New Roman" w:hAnsi="Times New Roman" w:eastAsia="SimSun" w:cs="Times New Roman"/>
          <w:sz w:val="24"/>
        </w:rPr>
        <w:t>This chapter deals with the analysis, presentation of result and interpretation of the data and discussions (based on the objectives) from the responses on the administered questionnaire for this study. Tables in this chapter represents the frequency of the data collected for each question in the questionnaire used for data collection.</w:t>
      </w:r>
    </w:p>
    <w:p w14:paraId="3FB5B073">
      <w:pPr>
        <w:pStyle w:val="2"/>
        <w:spacing w:before="0" w:line="480" w:lineRule="auto"/>
        <w:rPr>
          <w:rFonts w:ascii="Times New Roman" w:hAnsi="Times New Roman"/>
          <w:color w:val="auto"/>
          <w:sz w:val="24"/>
          <w:szCs w:val="24"/>
        </w:rPr>
      </w:pPr>
      <w:bookmarkStart w:id="49" w:name="_Toc170896440"/>
      <w:r>
        <w:rPr>
          <w:rFonts w:ascii="Times New Roman" w:hAnsi="Times New Roman"/>
          <w:color w:val="auto"/>
          <w:sz w:val="24"/>
        </w:rPr>
        <w:t xml:space="preserve">4.2 </w:t>
      </w:r>
      <w:r>
        <w:rPr>
          <w:rFonts w:ascii="Times New Roman" w:hAnsi="Times New Roman" w:eastAsia="SimSun"/>
          <w:color w:val="auto"/>
          <w:sz w:val="24"/>
          <w:szCs w:val="24"/>
        </w:rPr>
        <w:t>Response Rate</w:t>
      </w:r>
      <w:bookmarkEnd w:id="49"/>
      <w:r>
        <w:rPr>
          <w:rFonts w:ascii="Times New Roman" w:hAnsi="Times New Roman" w:eastAsia="SimSun"/>
          <w:color w:val="auto"/>
          <w:sz w:val="24"/>
          <w:szCs w:val="24"/>
        </w:rPr>
        <w:t xml:space="preserve"> </w:t>
      </w:r>
    </w:p>
    <w:p w14:paraId="383F0A6A">
      <w:pPr>
        <w:spacing w:line="480" w:lineRule="auto"/>
        <w:rPr>
          <w:rFonts w:ascii="Times New Roman" w:hAnsi="Times New Roman" w:cs="Times New Roman"/>
          <w:b/>
          <w:bCs/>
          <w:sz w:val="24"/>
        </w:rPr>
      </w:pPr>
      <w:r>
        <w:rPr>
          <w:rFonts w:ascii="Times New Roman" w:hAnsi="Times New Roman" w:eastAsia="SimSun" w:cs="Times New Roman"/>
          <w:sz w:val="24"/>
        </w:rPr>
        <w:t>A total number of three hundred and eighty (380) copies of questionnaire were administered across Nine (9) faculties that are in Kwara State University, Malete and all the copies of the questionnaire were returned giving 100% response rate.</w:t>
      </w:r>
    </w:p>
    <w:p w14:paraId="657F47CB">
      <w:pPr>
        <w:spacing w:line="480" w:lineRule="auto"/>
        <w:rPr>
          <w:rFonts w:ascii="Times New Roman" w:hAnsi="Times New Roman" w:cs="Times New Roman"/>
          <w:b/>
          <w:bCs/>
          <w:sz w:val="24"/>
        </w:rPr>
      </w:pPr>
      <w:r>
        <w:rPr>
          <w:rFonts w:ascii="Times New Roman" w:hAnsi="Times New Roman" w:eastAsia="SimSun" w:cs="Times New Roman"/>
          <w:b/>
          <w:bCs/>
          <w:sz w:val="24"/>
        </w:rPr>
        <w:t>Table 4.1: Response Rate Table</w:t>
      </w:r>
    </w:p>
    <w:tbl>
      <w:tblPr>
        <w:tblStyle w:val="4"/>
        <w:tblW w:w="9576"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88"/>
        <w:gridCol w:w="1980"/>
        <w:gridCol w:w="1747"/>
        <w:gridCol w:w="1961"/>
      </w:tblGrid>
      <w:tr w14:paraId="76D0FE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Borders>
              <w:top w:val="single" w:color="auto" w:sz="4" w:space="0"/>
              <w:bottom w:val="single" w:color="auto" w:sz="4" w:space="0"/>
            </w:tcBorders>
            <w:tcMar>
              <w:top w:w="0" w:type="dxa"/>
              <w:left w:w="0" w:type="dxa"/>
              <w:bottom w:w="0" w:type="dxa"/>
              <w:right w:w="0" w:type="dxa"/>
            </w:tcMar>
          </w:tcPr>
          <w:p w14:paraId="5EF214EE">
            <w:pPr>
              <w:autoSpaceDE w:val="0"/>
              <w:autoSpaceDN w:val="0"/>
              <w:adjustRightInd w:val="0"/>
              <w:jc w:val="left"/>
              <w:rPr>
                <w:rFonts w:ascii="Times New Roman" w:hAnsi="Times New Roman" w:cs="Times New Roman"/>
                <w:b/>
                <w:bCs/>
                <w:sz w:val="24"/>
              </w:rPr>
            </w:pPr>
            <w:r>
              <w:rPr>
                <w:rFonts w:ascii="Times New Roman" w:hAnsi="Times New Roman" w:eastAsia="SimSun" w:cs="Times New Roman"/>
                <w:b/>
                <w:bCs/>
                <w:sz w:val="24"/>
              </w:rPr>
              <w:t xml:space="preserve">Name of the School </w:t>
            </w:r>
          </w:p>
        </w:tc>
        <w:tc>
          <w:tcPr>
            <w:tcW w:w="1980" w:type="dxa"/>
            <w:tcBorders>
              <w:top w:val="single" w:color="auto" w:sz="4" w:space="0"/>
              <w:bottom w:val="single" w:color="auto" w:sz="4" w:space="0"/>
            </w:tcBorders>
            <w:tcMar>
              <w:top w:w="0" w:type="dxa"/>
              <w:left w:w="0" w:type="dxa"/>
              <w:bottom w:w="0" w:type="dxa"/>
              <w:right w:w="0" w:type="dxa"/>
            </w:tcMar>
          </w:tcPr>
          <w:p w14:paraId="0819D4AB">
            <w:pPr>
              <w:autoSpaceDE w:val="0"/>
              <w:autoSpaceDN w:val="0"/>
              <w:adjustRightInd w:val="0"/>
              <w:rPr>
                <w:rFonts w:ascii="Times New Roman" w:hAnsi="Times New Roman" w:cs="Times New Roman"/>
                <w:b/>
                <w:bCs/>
                <w:sz w:val="24"/>
              </w:rPr>
            </w:pPr>
            <w:r>
              <w:rPr>
                <w:rFonts w:ascii="Times New Roman" w:hAnsi="Times New Roman" w:eastAsia="SimSun" w:cs="Times New Roman"/>
                <w:b/>
                <w:bCs/>
                <w:sz w:val="24"/>
              </w:rPr>
              <w:t xml:space="preserve">Total </w:t>
            </w:r>
            <w:r>
              <w:rPr>
                <w:rFonts w:ascii="Times New Roman" w:hAnsi="Times New Roman" w:cs="Times New Roman"/>
                <w:b/>
                <w:bCs/>
                <w:sz w:val="24"/>
              </w:rPr>
              <w:t>Questionnaire</w:t>
            </w:r>
            <w:r>
              <w:rPr>
                <w:rFonts w:ascii="Times New Roman" w:hAnsi="Times New Roman" w:eastAsia="SimSun" w:cs="Times New Roman"/>
                <w:b/>
                <w:bCs/>
                <w:sz w:val="24"/>
              </w:rPr>
              <w:t xml:space="preserve"> administered </w:t>
            </w:r>
          </w:p>
        </w:tc>
        <w:tc>
          <w:tcPr>
            <w:tcW w:w="1747" w:type="dxa"/>
            <w:tcBorders>
              <w:top w:val="single" w:color="auto" w:sz="4" w:space="0"/>
              <w:bottom w:val="single" w:color="auto" w:sz="4" w:space="0"/>
            </w:tcBorders>
            <w:tcMar>
              <w:top w:w="0" w:type="dxa"/>
              <w:left w:w="0" w:type="dxa"/>
              <w:bottom w:w="0" w:type="dxa"/>
              <w:right w:w="0" w:type="dxa"/>
            </w:tcMar>
          </w:tcPr>
          <w:p w14:paraId="41D55A96">
            <w:pPr>
              <w:autoSpaceDE w:val="0"/>
              <w:autoSpaceDN w:val="0"/>
              <w:adjustRightInd w:val="0"/>
              <w:rPr>
                <w:rFonts w:ascii="Times New Roman" w:hAnsi="Times New Roman" w:eastAsia="SimSun" w:cs="Times New Roman"/>
                <w:b/>
                <w:bCs/>
                <w:sz w:val="24"/>
              </w:rPr>
            </w:pPr>
            <w:r>
              <w:rPr>
                <w:rFonts w:ascii="Times New Roman" w:hAnsi="Times New Roman" w:eastAsia="SimSun" w:cs="Times New Roman"/>
                <w:b/>
                <w:bCs/>
                <w:sz w:val="24"/>
              </w:rPr>
              <w:t xml:space="preserve">Return </w:t>
            </w:r>
          </w:p>
          <w:p w14:paraId="62004E4E">
            <w:pPr>
              <w:autoSpaceDE w:val="0"/>
              <w:autoSpaceDN w:val="0"/>
              <w:adjustRightInd w:val="0"/>
              <w:rPr>
                <w:rFonts w:ascii="Times New Roman" w:hAnsi="Times New Roman" w:cs="Times New Roman"/>
                <w:b/>
                <w:bCs/>
                <w:sz w:val="24"/>
              </w:rPr>
            </w:pPr>
            <w:r>
              <w:rPr>
                <w:rFonts w:ascii="Times New Roman" w:hAnsi="Times New Roman" w:cs="Times New Roman"/>
                <w:b/>
                <w:bCs/>
                <w:sz w:val="24"/>
              </w:rPr>
              <w:t>Questionnaire</w:t>
            </w:r>
            <w:r>
              <w:rPr>
                <w:rFonts w:ascii="Times New Roman" w:hAnsi="Times New Roman" w:eastAsia="SimSun" w:cs="Times New Roman"/>
                <w:b/>
                <w:bCs/>
                <w:sz w:val="24"/>
              </w:rPr>
              <w:t xml:space="preserve"> </w:t>
            </w:r>
          </w:p>
        </w:tc>
        <w:tc>
          <w:tcPr>
            <w:tcW w:w="1961" w:type="dxa"/>
            <w:tcBorders>
              <w:top w:val="single" w:color="auto" w:sz="4" w:space="0"/>
              <w:bottom w:val="single" w:color="auto" w:sz="4" w:space="0"/>
            </w:tcBorders>
            <w:tcMar>
              <w:top w:w="0" w:type="dxa"/>
              <w:left w:w="108" w:type="dxa"/>
              <w:bottom w:w="0" w:type="dxa"/>
              <w:right w:w="108" w:type="dxa"/>
            </w:tcMar>
          </w:tcPr>
          <w:p w14:paraId="40C8EA4A">
            <w:pPr>
              <w:autoSpaceDE w:val="0"/>
              <w:autoSpaceDN w:val="0"/>
              <w:adjustRightInd w:val="0"/>
              <w:rPr>
                <w:rFonts w:ascii="Times New Roman" w:hAnsi="Times New Roman" w:cs="Times New Roman"/>
                <w:b/>
                <w:bCs/>
                <w:sz w:val="24"/>
              </w:rPr>
            </w:pPr>
            <w:r>
              <w:rPr>
                <w:rFonts w:ascii="Times New Roman" w:hAnsi="Times New Roman" w:eastAsia="SimSun" w:cs="Times New Roman"/>
                <w:b/>
                <w:bCs/>
                <w:sz w:val="24"/>
              </w:rPr>
              <w:t xml:space="preserve">Percentage </w:t>
            </w:r>
          </w:p>
        </w:tc>
      </w:tr>
      <w:tr w14:paraId="70E7D1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Borders>
              <w:top w:val="single" w:color="auto" w:sz="4" w:space="0"/>
            </w:tcBorders>
            <w:tcMar>
              <w:top w:w="0" w:type="dxa"/>
              <w:left w:w="0" w:type="dxa"/>
              <w:bottom w:w="0" w:type="dxa"/>
              <w:right w:w="0" w:type="dxa"/>
            </w:tcMar>
          </w:tcPr>
          <w:p w14:paraId="4AC2A072">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Agriculture </w:t>
            </w:r>
          </w:p>
        </w:tc>
        <w:tc>
          <w:tcPr>
            <w:tcW w:w="1980" w:type="dxa"/>
            <w:tcBorders>
              <w:top w:val="single" w:color="auto" w:sz="4" w:space="0"/>
            </w:tcBorders>
            <w:tcMar>
              <w:top w:w="0" w:type="dxa"/>
              <w:left w:w="0" w:type="dxa"/>
              <w:bottom w:w="0" w:type="dxa"/>
              <w:right w:w="0" w:type="dxa"/>
            </w:tcMar>
          </w:tcPr>
          <w:p w14:paraId="27920FDB">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14</w:t>
            </w:r>
          </w:p>
        </w:tc>
        <w:tc>
          <w:tcPr>
            <w:tcW w:w="1747" w:type="dxa"/>
            <w:tcBorders>
              <w:top w:val="single" w:color="auto" w:sz="4" w:space="0"/>
            </w:tcBorders>
            <w:tcMar>
              <w:top w:w="0" w:type="dxa"/>
              <w:left w:w="0" w:type="dxa"/>
              <w:bottom w:w="0" w:type="dxa"/>
              <w:right w:w="0" w:type="dxa"/>
            </w:tcMar>
          </w:tcPr>
          <w:p w14:paraId="2977014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14</w:t>
            </w:r>
          </w:p>
        </w:tc>
        <w:tc>
          <w:tcPr>
            <w:tcW w:w="1961" w:type="dxa"/>
            <w:tcBorders>
              <w:top w:val="single" w:color="auto" w:sz="4" w:space="0"/>
            </w:tcBorders>
            <w:tcMar>
              <w:top w:w="0" w:type="dxa"/>
              <w:left w:w="108" w:type="dxa"/>
              <w:bottom w:w="0" w:type="dxa"/>
              <w:right w:w="108" w:type="dxa"/>
            </w:tcMar>
          </w:tcPr>
          <w:p w14:paraId="5577D309">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3.68%</w:t>
            </w:r>
          </w:p>
        </w:tc>
      </w:tr>
      <w:tr w14:paraId="0091B2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085CA4B8">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Art</w:t>
            </w:r>
          </w:p>
        </w:tc>
        <w:tc>
          <w:tcPr>
            <w:tcW w:w="1980" w:type="dxa"/>
            <w:tcMar>
              <w:top w:w="0" w:type="dxa"/>
              <w:left w:w="0" w:type="dxa"/>
              <w:bottom w:w="0" w:type="dxa"/>
              <w:right w:w="0" w:type="dxa"/>
            </w:tcMar>
          </w:tcPr>
          <w:p w14:paraId="6527E78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34</w:t>
            </w:r>
          </w:p>
        </w:tc>
        <w:tc>
          <w:tcPr>
            <w:tcW w:w="1747" w:type="dxa"/>
            <w:tcMar>
              <w:top w:w="0" w:type="dxa"/>
              <w:left w:w="0" w:type="dxa"/>
              <w:bottom w:w="0" w:type="dxa"/>
              <w:right w:w="0" w:type="dxa"/>
            </w:tcMar>
          </w:tcPr>
          <w:p w14:paraId="46E936B3">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34</w:t>
            </w:r>
          </w:p>
        </w:tc>
        <w:tc>
          <w:tcPr>
            <w:tcW w:w="1961" w:type="dxa"/>
            <w:tcMar>
              <w:top w:w="0" w:type="dxa"/>
              <w:left w:w="108" w:type="dxa"/>
              <w:bottom w:w="0" w:type="dxa"/>
              <w:right w:w="108" w:type="dxa"/>
            </w:tcMar>
          </w:tcPr>
          <w:p w14:paraId="7BE44E03">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8.94%</w:t>
            </w:r>
          </w:p>
        </w:tc>
      </w:tr>
      <w:tr w14:paraId="170BF1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70889A95">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Basic Health Science </w:t>
            </w:r>
          </w:p>
        </w:tc>
        <w:tc>
          <w:tcPr>
            <w:tcW w:w="1980" w:type="dxa"/>
            <w:tcMar>
              <w:top w:w="0" w:type="dxa"/>
              <w:left w:w="0" w:type="dxa"/>
              <w:bottom w:w="0" w:type="dxa"/>
              <w:right w:w="0" w:type="dxa"/>
            </w:tcMar>
          </w:tcPr>
          <w:p w14:paraId="439F4A74">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58</w:t>
            </w:r>
          </w:p>
        </w:tc>
        <w:tc>
          <w:tcPr>
            <w:tcW w:w="1747" w:type="dxa"/>
            <w:tcMar>
              <w:top w:w="0" w:type="dxa"/>
              <w:left w:w="0" w:type="dxa"/>
              <w:bottom w:w="0" w:type="dxa"/>
              <w:right w:w="0" w:type="dxa"/>
            </w:tcMar>
          </w:tcPr>
          <w:p w14:paraId="50F820FA">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58</w:t>
            </w:r>
          </w:p>
        </w:tc>
        <w:tc>
          <w:tcPr>
            <w:tcW w:w="1961" w:type="dxa"/>
            <w:tcMar>
              <w:top w:w="0" w:type="dxa"/>
              <w:left w:w="108" w:type="dxa"/>
              <w:bottom w:w="0" w:type="dxa"/>
              <w:right w:w="108" w:type="dxa"/>
            </w:tcMar>
          </w:tcPr>
          <w:p w14:paraId="5A15F2AE">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15.26%</w:t>
            </w:r>
          </w:p>
        </w:tc>
      </w:tr>
      <w:tr w14:paraId="7A7E1C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403F719D">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Education </w:t>
            </w:r>
          </w:p>
        </w:tc>
        <w:tc>
          <w:tcPr>
            <w:tcW w:w="1980" w:type="dxa"/>
            <w:tcMar>
              <w:top w:w="0" w:type="dxa"/>
              <w:left w:w="0" w:type="dxa"/>
              <w:bottom w:w="0" w:type="dxa"/>
              <w:right w:w="0" w:type="dxa"/>
            </w:tcMar>
          </w:tcPr>
          <w:p w14:paraId="5CF66C6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12</w:t>
            </w:r>
          </w:p>
        </w:tc>
        <w:tc>
          <w:tcPr>
            <w:tcW w:w="1747" w:type="dxa"/>
            <w:tcMar>
              <w:top w:w="0" w:type="dxa"/>
              <w:left w:w="0" w:type="dxa"/>
              <w:bottom w:w="0" w:type="dxa"/>
              <w:right w:w="0" w:type="dxa"/>
            </w:tcMar>
          </w:tcPr>
          <w:p w14:paraId="74A87EA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12</w:t>
            </w:r>
          </w:p>
        </w:tc>
        <w:tc>
          <w:tcPr>
            <w:tcW w:w="1961" w:type="dxa"/>
            <w:tcMar>
              <w:top w:w="0" w:type="dxa"/>
              <w:left w:w="108" w:type="dxa"/>
              <w:bottom w:w="0" w:type="dxa"/>
              <w:right w:w="108" w:type="dxa"/>
            </w:tcMar>
          </w:tcPr>
          <w:p w14:paraId="7F0EEBEF">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3.15%</w:t>
            </w:r>
          </w:p>
        </w:tc>
      </w:tr>
      <w:tr w14:paraId="0FAC54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32B2F23">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Engineering </w:t>
            </w:r>
          </w:p>
        </w:tc>
        <w:tc>
          <w:tcPr>
            <w:tcW w:w="1980" w:type="dxa"/>
            <w:tcMar>
              <w:top w:w="0" w:type="dxa"/>
              <w:left w:w="0" w:type="dxa"/>
              <w:bottom w:w="0" w:type="dxa"/>
              <w:right w:w="0" w:type="dxa"/>
            </w:tcMar>
          </w:tcPr>
          <w:p w14:paraId="3ABC3D16">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37</w:t>
            </w:r>
          </w:p>
        </w:tc>
        <w:tc>
          <w:tcPr>
            <w:tcW w:w="1747" w:type="dxa"/>
            <w:tcMar>
              <w:top w:w="0" w:type="dxa"/>
              <w:left w:w="0" w:type="dxa"/>
              <w:bottom w:w="0" w:type="dxa"/>
              <w:right w:w="0" w:type="dxa"/>
            </w:tcMar>
          </w:tcPr>
          <w:p w14:paraId="628059FE">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37</w:t>
            </w:r>
          </w:p>
        </w:tc>
        <w:tc>
          <w:tcPr>
            <w:tcW w:w="1961" w:type="dxa"/>
            <w:tcMar>
              <w:top w:w="0" w:type="dxa"/>
              <w:left w:w="108" w:type="dxa"/>
              <w:bottom w:w="0" w:type="dxa"/>
              <w:right w:w="108" w:type="dxa"/>
            </w:tcMar>
          </w:tcPr>
          <w:p w14:paraId="71095FC7">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9.73%</w:t>
            </w:r>
          </w:p>
        </w:tc>
      </w:tr>
      <w:tr w14:paraId="4BABB4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613EDC1F">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Information Communication and technology </w:t>
            </w:r>
          </w:p>
        </w:tc>
        <w:tc>
          <w:tcPr>
            <w:tcW w:w="1980" w:type="dxa"/>
            <w:tcMar>
              <w:top w:w="0" w:type="dxa"/>
              <w:left w:w="0" w:type="dxa"/>
              <w:bottom w:w="0" w:type="dxa"/>
              <w:right w:w="0" w:type="dxa"/>
            </w:tcMar>
          </w:tcPr>
          <w:p w14:paraId="438F775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84</w:t>
            </w:r>
          </w:p>
        </w:tc>
        <w:tc>
          <w:tcPr>
            <w:tcW w:w="1747" w:type="dxa"/>
            <w:tcMar>
              <w:top w:w="0" w:type="dxa"/>
              <w:left w:w="0" w:type="dxa"/>
              <w:bottom w:w="0" w:type="dxa"/>
              <w:right w:w="0" w:type="dxa"/>
            </w:tcMar>
          </w:tcPr>
          <w:p w14:paraId="71E12109">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84</w:t>
            </w:r>
          </w:p>
        </w:tc>
        <w:tc>
          <w:tcPr>
            <w:tcW w:w="1961" w:type="dxa"/>
            <w:tcMar>
              <w:top w:w="0" w:type="dxa"/>
              <w:left w:w="108" w:type="dxa"/>
              <w:bottom w:w="0" w:type="dxa"/>
              <w:right w:w="108" w:type="dxa"/>
            </w:tcMar>
          </w:tcPr>
          <w:p w14:paraId="64BD4277">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22.10%</w:t>
            </w:r>
          </w:p>
        </w:tc>
      </w:tr>
      <w:tr w14:paraId="52CB60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152B5613">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Law</w:t>
            </w:r>
          </w:p>
        </w:tc>
        <w:tc>
          <w:tcPr>
            <w:tcW w:w="1980" w:type="dxa"/>
            <w:tcMar>
              <w:top w:w="0" w:type="dxa"/>
              <w:left w:w="0" w:type="dxa"/>
              <w:bottom w:w="0" w:type="dxa"/>
              <w:right w:w="0" w:type="dxa"/>
            </w:tcMar>
          </w:tcPr>
          <w:p w14:paraId="3A91CDD3">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02</w:t>
            </w:r>
          </w:p>
        </w:tc>
        <w:tc>
          <w:tcPr>
            <w:tcW w:w="1747" w:type="dxa"/>
            <w:tcMar>
              <w:top w:w="0" w:type="dxa"/>
              <w:left w:w="0" w:type="dxa"/>
              <w:bottom w:w="0" w:type="dxa"/>
              <w:right w:w="0" w:type="dxa"/>
            </w:tcMar>
          </w:tcPr>
          <w:p w14:paraId="0691F6F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02</w:t>
            </w:r>
          </w:p>
        </w:tc>
        <w:tc>
          <w:tcPr>
            <w:tcW w:w="1961" w:type="dxa"/>
            <w:tcMar>
              <w:top w:w="0" w:type="dxa"/>
              <w:left w:w="108" w:type="dxa"/>
              <w:bottom w:w="0" w:type="dxa"/>
              <w:right w:w="108" w:type="dxa"/>
            </w:tcMar>
          </w:tcPr>
          <w:p w14:paraId="28BC1702">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1%</w:t>
            </w:r>
          </w:p>
        </w:tc>
      </w:tr>
      <w:tr w14:paraId="41E72E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F4E41DD">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Management and Social Sciences</w:t>
            </w:r>
          </w:p>
        </w:tc>
        <w:tc>
          <w:tcPr>
            <w:tcW w:w="1980" w:type="dxa"/>
            <w:tcMar>
              <w:top w:w="0" w:type="dxa"/>
              <w:left w:w="0" w:type="dxa"/>
              <w:bottom w:w="0" w:type="dxa"/>
              <w:right w:w="0" w:type="dxa"/>
            </w:tcMar>
          </w:tcPr>
          <w:p w14:paraId="5841928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82</w:t>
            </w:r>
          </w:p>
        </w:tc>
        <w:tc>
          <w:tcPr>
            <w:tcW w:w="1747" w:type="dxa"/>
            <w:tcMar>
              <w:top w:w="0" w:type="dxa"/>
              <w:left w:w="0" w:type="dxa"/>
              <w:bottom w:w="0" w:type="dxa"/>
              <w:right w:w="0" w:type="dxa"/>
            </w:tcMar>
          </w:tcPr>
          <w:p w14:paraId="669E22D2">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82</w:t>
            </w:r>
          </w:p>
        </w:tc>
        <w:tc>
          <w:tcPr>
            <w:tcW w:w="1961" w:type="dxa"/>
            <w:tcMar>
              <w:top w:w="0" w:type="dxa"/>
              <w:left w:w="108" w:type="dxa"/>
              <w:bottom w:w="0" w:type="dxa"/>
              <w:right w:w="108" w:type="dxa"/>
            </w:tcMar>
          </w:tcPr>
          <w:p w14:paraId="5BAAC8D3">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21.57%</w:t>
            </w:r>
          </w:p>
        </w:tc>
      </w:tr>
      <w:tr w14:paraId="288922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CE17BE8">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Pure and Applied Sciences </w:t>
            </w:r>
          </w:p>
        </w:tc>
        <w:tc>
          <w:tcPr>
            <w:tcW w:w="1980" w:type="dxa"/>
            <w:tcMar>
              <w:top w:w="0" w:type="dxa"/>
              <w:left w:w="0" w:type="dxa"/>
              <w:bottom w:w="0" w:type="dxa"/>
              <w:right w:w="0" w:type="dxa"/>
            </w:tcMar>
          </w:tcPr>
          <w:p w14:paraId="515B5DE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57</w:t>
            </w:r>
          </w:p>
        </w:tc>
        <w:tc>
          <w:tcPr>
            <w:tcW w:w="1747" w:type="dxa"/>
            <w:tcMar>
              <w:top w:w="0" w:type="dxa"/>
              <w:left w:w="0" w:type="dxa"/>
              <w:bottom w:w="0" w:type="dxa"/>
              <w:right w:w="0" w:type="dxa"/>
            </w:tcMar>
          </w:tcPr>
          <w:p w14:paraId="392E52F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57</w:t>
            </w:r>
          </w:p>
        </w:tc>
        <w:tc>
          <w:tcPr>
            <w:tcW w:w="1961" w:type="dxa"/>
            <w:tcMar>
              <w:top w:w="0" w:type="dxa"/>
              <w:left w:w="108" w:type="dxa"/>
              <w:bottom w:w="0" w:type="dxa"/>
              <w:right w:w="108" w:type="dxa"/>
            </w:tcMar>
          </w:tcPr>
          <w:p w14:paraId="4131A4B9">
            <w:pPr>
              <w:autoSpaceDE w:val="0"/>
              <w:autoSpaceDN w:val="0"/>
              <w:adjustRightInd w:val="0"/>
              <w:spacing w:line="360" w:lineRule="auto"/>
              <w:rPr>
                <w:rFonts w:ascii="Times New Roman" w:hAnsi="Times New Roman" w:cs="Times New Roman"/>
                <w:sz w:val="24"/>
              </w:rPr>
            </w:pPr>
            <w:r>
              <w:rPr>
                <w:rFonts w:ascii="Times New Roman" w:hAnsi="Times New Roman" w:cs="Times New Roman"/>
                <w:sz w:val="24"/>
              </w:rPr>
              <w:t>15%</w:t>
            </w:r>
          </w:p>
        </w:tc>
      </w:tr>
      <w:tr w14:paraId="03987F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300230AA">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Total</w:t>
            </w:r>
          </w:p>
        </w:tc>
        <w:tc>
          <w:tcPr>
            <w:tcW w:w="1980" w:type="dxa"/>
            <w:tcMar>
              <w:top w:w="0" w:type="dxa"/>
              <w:left w:w="0" w:type="dxa"/>
              <w:bottom w:w="0" w:type="dxa"/>
              <w:right w:w="0" w:type="dxa"/>
            </w:tcMar>
          </w:tcPr>
          <w:p w14:paraId="5F11A9BF">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1747" w:type="dxa"/>
            <w:tcMar>
              <w:top w:w="0" w:type="dxa"/>
              <w:left w:w="0" w:type="dxa"/>
              <w:bottom w:w="0" w:type="dxa"/>
              <w:right w:w="0" w:type="dxa"/>
            </w:tcMar>
          </w:tcPr>
          <w:p w14:paraId="43A9E2DF">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1961" w:type="dxa"/>
            <w:tcMar>
              <w:top w:w="0" w:type="dxa"/>
              <w:left w:w="108" w:type="dxa"/>
              <w:bottom w:w="0" w:type="dxa"/>
              <w:right w:w="108" w:type="dxa"/>
            </w:tcMar>
          </w:tcPr>
          <w:p w14:paraId="677160B9">
            <w:pPr>
              <w:autoSpaceDE w:val="0"/>
              <w:autoSpaceDN w:val="0"/>
              <w:adjustRightInd w:val="0"/>
              <w:spacing w:line="360" w:lineRule="auto"/>
              <w:rPr>
                <w:rFonts w:ascii="Times New Roman" w:hAnsi="Times New Roman" w:cs="Times New Roman"/>
                <w:b/>
                <w:bCs/>
                <w:sz w:val="24"/>
              </w:rPr>
            </w:pPr>
            <w:r>
              <w:rPr>
                <w:rFonts w:ascii="Times New Roman" w:hAnsi="Times New Roman" w:eastAsia="SimSun" w:cs="Times New Roman"/>
                <w:b/>
                <w:bCs/>
                <w:sz w:val="24"/>
              </w:rPr>
              <w:t>100</w:t>
            </w:r>
          </w:p>
        </w:tc>
      </w:tr>
    </w:tbl>
    <w:p w14:paraId="0C654F4F">
      <w:pPr>
        <w:autoSpaceDE w:val="0"/>
        <w:autoSpaceDN w:val="0"/>
        <w:adjustRightInd w:val="0"/>
        <w:spacing w:line="480" w:lineRule="auto"/>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25A03AEE">
      <w:pPr>
        <w:spacing w:line="480" w:lineRule="auto"/>
        <w:rPr>
          <w:rFonts w:ascii="Times New Roman" w:hAnsi="Times New Roman" w:cs="Times New Roman"/>
          <w:b/>
          <w:bCs/>
          <w:sz w:val="24"/>
        </w:rPr>
      </w:pPr>
      <w:r>
        <w:rPr>
          <w:rFonts w:ascii="Times New Roman" w:hAnsi="Times New Roman" w:eastAsia="Roboto" w:cs="Times New Roman"/>
          <w:sz w:val="24"/>
          <w:lang w:eastAsia="en-US"/>
        </w:rPr>
        <w:t>The above table 4.1 reveals that, 100% of the selected respondents from the Nine faculties in Kwara State University, Malete responded to the questionnaire.</w:t>
      </w:r>
    </w:p>
    <w:p w14:paraId="0F017CE7">
      <w:pPr>
        <w:autoSpaceDE w:val="0"/>
        <w:autoSpaceDN w:val="0"/>
        <w:adjustRightInd w:val="0"/>
        <w:spacing w:line="480" w:lineRule="auto"/>
        <w:outlineLvl w:val="0"/>
        <w:rPr>
          <w:rFonts w:ascii="Times New Roman" w:hAnsi="Times New Roman" w:cs="Times New Roman"/>
          <w:b/>
          <w:bCs/>
          <w:sz w:val="24"/>
        </w:rPr>
      </w:pPr>
      <w:bookmarkStart w:id="50" w:name="_Toc170896441"/>
      <w:r>
        <w:rPr>
          <w:rFonts w:ascii="Times New Roman" w:hAnsi="Times New Roman" w:eastAsia="Roboto" w:cs="Times New Roman"/>
          <w:b/>
          <w:bCs/>
          <w:sz w:val="24"/>
          <w:lang w:eastAsia="en-US"/>
        </w:rPr>
        <w:t>4.3 Demographic Information of the Respondents</w:t>
      </w:r>
      <w:bookmarkEnd w:id="50"/>
    </w:p>
    <w:p w14:paraId="4721657C">
      <w:pPr>
        <w:autoSpaceDE w:val="0"/>
        <w:autoSpaceDN w:val="0"/>
        <w:adjustRightInd w:val="0"/>
        <w:spacing w:line="480" w:lineRule="auto"/>
        <w:rPr>
          <w:rFonts w:ascii="Times New Roman" w:hAnsi="Times New Roman" w:cs="Times New Roman"/>
          <w:b/>
          <w:bCs/>
          <w:sz w:val="24"/>
        </w:rPr>
      </w:pPr>
      <w:r>
        <w:rPr>
          <w:rFonts w:ascii="Times New Roman" w:hAnsi="Times New Roman" w:eastAsia="Roboto" w:cs="Times New Roman"/>
          <w:sz w:val="24"/>
          <w:lang w:eastAsia="en-US"/>
        </w:rPr>
        <w:t xml:space="preserve">This section is on data collected about the respondent’s demographic characteristics as it may relates to </w:t>
      </w:r>
      <w:r>
        <w:rPr>
          <w:rFonts w:ascii="Times New Roman" w:hAnsi="Times New Roman" w:eastAsia="Times New Roman" w:cs="Times New Roman"/>
          <w:sz w:val="24"/>
          <w:lang w:eastAsia="en-GB"/>
        </w:rPr>
        <w:t>the perception of Kwara State students towards Nigeria student’s loan scheme.</w:t>
      </w:r>
      <w:r>
        <w:rPr>
          <w:rFonts w:ascii="Times New Roman" w:hAnsi="Times New Roman" w:eastAsia="Roboto" w:cs="Times New Roman"/>
          <w:sz w:val="24"/>
          <w:lang w:eastAsia="en-US"/>
        </w:rPr>
        <w:t xml:space="preserve"> These include the respondent’s gender, academic level, source of academic funding and students loan scheme awareness.</w:t>
      </w:r>
    </w:p>
    <w:p w14:paraId="673F2F65">
      <w:pPr>
        <w:autoSpaceDE w:val="0"/>
        <w:autoSpaceDN w:val="0"/>
        <w:adjustRightInd w:val="0"/>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Table 4.2: Demographic Information</w:t>
      </w:r>
    </w:p>
    <w:tbl>
      <w:tblPr>
        <w:tblStyle w:val="4"/>
        <w:tblW w:w="925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84"/>
        <w:gridCol w:w="2241"/>
        <w:gridCol w:w="3032"/>
      </w:tblGrid>
      <w:tr w14:paraId="629FD1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Borders>
              <w:top w:val="single" w:color="auto" w:sz="4" w:space="0"/>
              <w:bottom w:val="single" w:color="auto" w:sz="4" w:space="0"/>
            </w:tcBorders>
            <w:tcMar>
              <w:top w:w="0" w:type="dxa"/>
              <w:left w:w="0" w:type="dxa"/>
              <w:bottom w:w="0" w:type="dxa"/>
              <w:right w:w="0" w:type="dxa"/>
            </w:tcMar>
          </w:tcPr>
          <w:p w14:paraId="7E0A1E5D">
            <w:pPr>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Gender</w:t>
            </w:r>
          </w:p>
        </w:tc>
        <w:tc>
          <w:tcPr>
            <w:tcW w:w="2241" w:type="dxa"/>
            <w:tcBorders>
              <w:top w:val="single" w:color="auto" w:sz="4" w:space="0"/>
              <w:bottom w:val="single" w:color="auto" w:sz="4" w:space="0"/>
            </w:tcBorders>
            <w:tcMar>
              <w:top w:w="0" w:type="dxa"/>
              <w:left w:w="0" w:type="dxa"/>
              <w:bottom w:w="0" w:type="dxa"/>
              <w:right w:w="0" w:type="dxa"/>
            </w:tcMar>
          </w:tcPr>
          <w:p w14:paraId="653BCC78">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Borders>
              <w:top w:val="single" w:color="auto" w:sz="4" w:space="0"/>
              <w:bottom w:val="single" w:color="auto" w:sz="4" w:space="0"/>
            </w:tcBorders>
            <w:tcMar>
              <w:top w:w="0" w:type="dxa"/>
              <w:left w:w="0" w:type="dxa"/>
              <w:bottom w:w="0" w:type="dxa"/>
              <w:right w:w="0" w:type="dxa"/>
            </w:tcMar>
          </w:tcPr>
          <w:p w14:paraId="42200D02">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059BEA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Borders>
              <w:top w:val="single" w:color="auto" w:sz="4" w:space="0"/>
            </w:tcBorders>
            <w:tcMar>
              <w:top w:w="0" w:type="dxa"/>
              <w:left w:w="0" w:type="dxa"/>
              <w:bottom w:w="0" w:type="dxa"/>
              <w:right w:w="0" w:type="dxa"/>
            </w:tcMar>
          </w:tcPr>
          <w:p w14:paraId="283147CB">
            <w:pPr>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Male</w:t>
            </w:r>
          </w:p>
          <w:p w14:paraId="059BF564">
            <w:pPr>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Female</w:t>
            </w:r>
          </w:p>
          <w:p w14:paraId="4B21AB1C">
            <w:pPr>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Borders>
              <w:top w:val="single" w:color="auto" w:sz="4" w:space="0"/>
            </w:tcBorders>
            <w:tcMar>
              <w:top w:w="0" w:type="dxa"/>
              <w:left w:w="0" w:type="dxa"/>
              <w:bottom w:w="0" w:type="dxa"/>
              <w:right w:w="0" w:type="dxa"/>
            </w:tcMar>
          </w:tcPr>
          <w:p w14:paraId="65AE2A56">
            <w:pPr>
              <w:spacing w:line="480" w:lineRule="auto"/>
              <w:jc w:val="center"/>
              <w:rPr>
                <w:rFonts w:ascii="Times New Roman" w:hAnsi="Times New Roman" w:cs="Times New Roman"/>
                <w:b/>
                <w:bCs/>
                <w:sz w:val="24"/>
              </w:rPr>
            </w:pPr>
            <w:r>
              <w:rPr>
                <w:rFonts w:ascii="Times New Roman" w:hAnsi="Times New Roman" w:eastAsia="SimSun" w:cs="Times New Roman"/>
                <w:sz w:val="24"/>
              </w:rPr>
              <w:t>273</w:t>
            </w:r>
          </w:p>
          <w:p w14:paraId="659B04EC">
            <w:pPr>
              <w:spacing w:line="480" w:lineRule="auto"/>
              <w:jc w:val="center"/>
              <w:rPr>
                <w:rFonts w:ascii="Times New Roman" w:hAnsi="Times New Roman" w:cs="Times New Roman"/>
                <w:b/>
                <w:bCs/>
                <w:sz w:val="24"/>
              </w:rPr>
            </w:pPr>
            <w:r>
              <w:rPr>
                <w:rFonts w:ascii="Times New Roman" w:hAnsi="Times New Roman" w:eastAsia="SimSun" w:cs="Times New Roman"/>
                <w:sz w:val="24"/>
              </w:rPr>
              <w:t>107</w:t>
            </w:r>
          </w:p>
          <w:p w14:paraId="0718D038">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380</w:t>
            </w:r>
          </w:p>
        </w:tc>
        <w:tc>
          <w:tcPr>
            <w:tcW w:w="3032" w:type="dxa"/>
            <w:tcBorders>
              <w:top w:val="single" w:color="auto" w:sz="4" w:space="0"/>
            </w:tcBorders>
            <w:tcMar>
              <w:top w:w="0" w:type="dxa"/>
              <w:left w:w="0" w:type="dxa"/>
              <w:bottom w:w="0" w:type="dxa"/>
              <w:right w:w="0" w:type="dxa"/>
            </w:tcMar>
          </w:tcPr>
          <w:p w14:paraId="5DF898D5">
            <w:pPr>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72%</w:t>
            </w:r>
          </w:p>
          <w:p w14:paraId="250C0ED4">
            <w:pPr>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28%</w:t>
            </w:r>
          </w:p>
          <w:p w14:paraId="5AA1A09F">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100</w:t>
            </w:r>
            <w:r>
              <w:rPr>
                <w:rFonts w:ascii="Times New Roman" w:hAnsi="Times New Roman" w:eastAsia="Roboto" w:cs="Times New Roman"/>
                <w:sz w:val="24"/>
                <w:lang w:eastAsia="en-US"/>
              </w:rPr>
              <w:t>%</w:t>
            </w:r>
          </w:p>
        </w:tc>
      </w:tr>
      <w:tr w14:paraId="31E0A7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49728D58">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Academic Level</w:t>
            </w:r>
          </w:p>
        </w:tc>
        <w:tc>
          <w:tcPr>
            <w:tcW w:w="2241" w:type="dxa"/>
            <w:tcMar>
              <w:top w:w="0" w:type="dxa"/>
              <w:left w:w="0" w:type="dxa"/>
              <w:bottom w:w="0" w:type="dxa"/>
              <w:right w:w="0" w:type="dxa"/>
            </w:tcMar>
          </w:tcPr>
          <w:p w14:paraId="4AA5452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Mar>
              <w:top w:w="0" w:type="dxa"/>
              <w:left w:w="0" w:type="dxa"/>
              <w:bottom w:w="0" w:type="dxa"/>
              <w:right w:w="0" w:type="dxa"/>
            </w:tcMar>
          </w:tcPr>
          <w:p w14:paraId="4159ECDD">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0A4844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273F7E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100</w:t>
            </w:r>
          </w:p>
          <w:p w14:paraId="05FB372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200</w:t>
            </w:r>
          </w:p>
          <w:p w14:paraId="117EECB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300</w:t>
            </w:r>
          </w:p>
          <w:p w14:paraId="4D4D0340">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400</w:t>
            </w:r>
          </w:p>
          <w:p w14:paraId="1E827A01">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500</w:t>
            </w:r>
          </w:p>
          <w:p w14:paraId="0E8F4458">
            <w:pPr>
              <w:tabs>
                <w:tab w:val="left" w:pos="1580"/>
              </w:tabs>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Mar>
              <w:top w:w="0" w:type="dxa"/>
              <w:left w:w="0" w:type="dxa"/>
              <w:bottom w:w="0" w:type="dxa"/>
              <w:right w:w="0" w:type="dxa"/>
            </w:tcMar>
          </w:tcPr>
          <w:p w14:paraId="293D9E7D">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111</w:t>
            </w:r>
          </w:p>
          <w:p w14:paraId="3BF5F5EE">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95</w:t>
            </w:r>
          </w:p>
          <w:p w14:paraId="65E8811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86</w:t>
            </w:r>
          </w:p>
          <w:p w14:paraId="23ADB3E4">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74</w:t>
            </w:r>
          </w:p>
          <w:p w14:paraId="59DAE574">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14</w:t>
            </w:r>
          </w:p>
          <w:p w14:paraId="3DA172C0">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380</w:t>
            </w:r>
          </w:p>
        </w:tc>
        <w:tc>
          <w:tcPr>
            <w:tcW w:w="3032" w:type="dxa"/>
            <w:tcMar>
              <w:top w:w="0" w:type="dxa"/>
              <w:left w:w="0" w:type="dxa"/>
              <w:bottom w:w="0" w:type="dxa"/>
              <w:right w:w="0" w:type="dxa"/>
            </w:tcMar>
          </w:tcPr>
          <w:p w14:paraId="75BC00E5">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29%</w:t>
            </w:r>
          </w:p>
          <w:p w14:paraId="487B4687">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25%</w:t>
            </w:r>
          </w:p>
          <w:p w14:paraId="3C4D9444">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23%</w:t>
            </w:r>
          </w:p>
          <w:p w14:paraId="073DCBC6">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19%</w:t>
            </w:r>
          </w:p>
          <w:p w14:paraId="68BF20F3">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4%</w:t>
            </w:r>
          </w:p>
          <w:p w14:paraId="0760090F">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100%</w:t>
            </w:r>
          </w:p>
        </w:tc>
      </w:tr>
      <w:tr w14:paraId="33FB05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184BA87">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 xml:space="preserve">Source of Academic Funding </w:t>
            </w:r>
          </w:p>
        </w:tc>
        <w:tc>
          <w:tcPr>
            <w:tcW w:w="2241" w:type="dxa"/>
            <w:tcMar>
              <w:top w:w="0" w:type="dxa"/>
              <w:left w:w="0" w:type="dxa"/>
              <w:bottom w:w="0" w:type="dxa"/>
              <w:right w:w="0" w:type="dxa"/>
            </w:tcMar>
          </w:tcPr>
          <w:p w14:paraId="2BF49427">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Mar>
              <w:top w:w="0" w:type="dxa"/>
              <w:left w:w="0" w:type="dxa"/>
              <w:bottom w:w="0" w:type="dxa"/>
              <w:right w:w="0" w:type="dxa"/>
            </w:tcMar>
          </w:tcPr>
          <w:p w14:paraId="60E45E1A">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607250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4014BB5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 xml:space="preserve">Parents </w:t>
            </w:r>
          </w:p>
          <w:p w14:paraId="766328F4">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Guardians</w:t>
            </w:r>
          </w:p>
          <w:p w14:paraId="5527159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Scholarship</w:t>
            </w:r>
          </w:p>
          <w:p w14:paraId="57754DB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Self</w:t>
            </w:r>
            <w:r>
              <w:rPr>
                <w:rFonts w:ascii="Times New Roman" w:hAnsi="Times New Roman" w:cs="Times New Roman"/>
                <w:sz w:val="24"/>
              </w:rPr>
              <w:t>-</w:t>
            </w:r>
            <w:r>
              <w:rPr>
                <w:rFonts w:ascii="Times New Roman" w:hAnsi="Times New Roman" w:eastAsia="SimSun" w:cs="Times New Roman"/>
                <w:sz w:val="24"/>
              </w:rPr>
              <w:t xml:space="preserve">Sponsor </w:t>
            </w:r>
          </w:p>
          <w:p w14:paraId="4A32BD2B">
            <w:pPr>
              <w:tabs>
                <w:tab w:val="left" w:pos="1580"/>
              </w:tabs>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Mar>
              <w:top w:w="0" w:type="dxa"/>
              <w:left w:w="0" w:type="dxa"/>
              <w:bottom w:w="0" w:type="dxa"/>
              <w:right w:w="0" w:type="dxa"/>
            </w:tcMar>
          </w:tcPr>
          <w:p w14:paraId="178FFF1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284</w:t>
            </w:r>
          </w:p>
          <w:p w14:paraId="0A3A522E">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55</w:t>
            </w:r>
          </w:p>
          <w:p w14:paraId="7A6F57FE">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02</w:t>
            </w:r>
          </w:p>
          <w:p w14:paraId="1C8FAEB3">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39</w:t>
            </w:r>
          </w:p>
          <w:p w14:paraId="4F2DD395">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380</w:t>
            </w:r>
          </w:p>
        </w:tc>
        <w:tc>
          <w:tcPr>
            <w:tcW w:w="3032" w:type="dxa"/>
            <w:tcMar>
              <w:top w:w="0" w:type="dxa"/>
              <w:left w:w="0" w:type="dxa"/>
              <w:bottom w:w="0" w:type="dxa"/>
              <w:right w:w="0" w:type="dxa"/>
            </w:tcMar>
          </w:tcPr>
          <w:p w14:paraId="2C1ACAB4">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75%</w:t>
            </w:r>
          </w:p>
          <w:p w14:paraId="1ADF317C">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14%</w:t>
            </w:r>
          </w:p>
          <w:p w14:paraId="7F7A309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w:t>
            </w:r>
          </w:p>
          <w:p w14:paraId="0DA638AB">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10%</w:t>
            </w:r>
          </w:p>
          <w:p w14:paraId="3CD8B3B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100%</w:t>
            </w:r>
          </w:p>
        </w:tc>
      </w:tr>
      <w:tr w14:paraId="561967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C7EE932">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b/>
                <w:bCs/>
                <w:sz w:val="24"/>
              </w:rPr>
              <w:t xml:space="preserve">Students Loan Scheme Awareness </w:t>
            </w:r>
          </w:p>
        </w:tc>
        <w:tc>
          <w:tcPr>
            <w:tcW w:w="2241" w:type="dxa"/>
            <w:tcMar>
              <w:top w:w="0" w:type="dxa"/>
              <w:left w:w="0" w:type="dxa"/>
              <w:bottom w:w="0" w:type="dxa"/>
              <w:right w:w="0" w:type="dxa"/>
            </w:tcMar>
          </w:tcPr>
          <w:p w14:paraId="4BC4F37D">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 xml:space="preserve">Frequency </w:t>
            </w:r>
          </w:p>
        </w:tc>
        <w:tc>
          <w:tcPr>
            <w:tcW w:w="3032" w:type="dxa"/>
            <w:tcMar>
              <w:top w:w="0" w:type="dxa"/>
              <w:left w:w="0" w:type="dxa"/>
              <w:bottom w:w="0" w:type="dxa"/>
              <w:right w:w="0" w:type="dxa"/>
            </w:tcMar>
          </w:tcPr>
          <w:p w14:paraId="5DBDD175">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 xml:space="preserve">Percentage </w:t>
            </w:r>
          </w:p>
        </w:tc>
      </w:tr>
      <w:tr w14:paraId="3E2B30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27A62AD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Yes</w:t>
            </w:r>
          </w:p>
          <w:p w14:paraId="2CC76BA7">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No</w:t>
            </w:r>
          </w:p>
          <w:p w14:paraId="7979B9C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b/>
                <w:bCs/>
                <w:sz w:val="24"/>
              </w:rPr>
              <w:t>Total</w:t>
            </w:r>
          </w:p>
        </w:tc>
        <w:tc>
          <w:tcPr>
            <w:tcW w:w="2241" w:type="dxa"/>
            <w:tcMar>
              <w:top w:w="0" w:type="dxa"/>
              <w:left w:w="0" w:type="dxa"/>
              <w:bottom w:w="0" w:type="dxa"/>
              <w:right w:w="0" w:type="dxa"/>
            </w:tcMar>
          </w:tcPr>
          <w:p w14:paraId="4DDA39B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324</w:t>
            </w:r>
          </w:p>
          <w:p w14:paraId="47E57467">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56</w:t>
            </w:r>
          </w:p>
          <w:p w14:paraId="48AF7978">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3032" w:type="dxa"/>
            <w:tcMar>
              <w:top w:w="0" w:type="dxa"/>
              <w:left w:w="0" w:type="dxa"/>
              <w:bottom w:w="0" w:type="dxa"/>
              <w:right w:w="0" w:type="dxa"/>
            </w:tcMar>
          </w:tcPr>
          <w:p w14:paraId="0ED3D992">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85%</w:t>
            </w:r>
          </w:p>
          <w:p w14:paraId="704E7BDF">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15%</w:t>
            </w:r>
          </w:p>
          <w:p w14:paraId="0DF2FEF2">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100%</w:t>
            </w:r>
          </w:p>
        </w:tc>
      </w:tr>
    </w:tbl>
    <w:p w14:paraId="19FC0CBB">
      <w:pPr>
        <w:tabs>
          <w:tab w:val="left" w:pos="1580"/>
        </w:tabs>
        <w:spacing w:line="480" w:lineRule="auto"/>
        <w:jc w:val="left"/>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4E0108A3">
      <w:pPr>
        <w:tabs>
          <w:tab w:val="left" w:pos="1580"/>
        </w:tabs>
        <w:spacing w:line="480" w:lineRule="auto"/>
        <w:rPr>
          <w:rFonts w:ascii="Times New Roman" w:hAnsi="Times New Roman" w:eastAsia="Roboto" w:cs="Times New Roman"/>
          <w:sz w:val="24"/>
          <w:lang w:eastAsia="en-US"/>
        </w:rPr>
      </w:pPr>
      <w:r>
        <w:rPr>
          <w:rFonts w:ascii="Times New Roman" w:hAnsi="Times New Roman" w:eastAsia="Roboto" w:cs="Times New Roman"/>
          <w:sz w:val="24"/>
          <w:lang w:eastAsia="en-US"/>
        </w:rPr>
        <w:t xml:space="preserve"> The gender distribution of the respondents shows that, majority of the respondents were male 273(72%). The academic level distribution of the respondents reveals that, majority of the respondents were in 100 level with 111(29%). On the academic funding of the respondents, it shows that majority of the respondents were being sponsored by their parents with 284(75%) and lastly, on the student’s loan scheme awareness, the table shows that, majority of the respondents representing 324(85%) aware of the existence of the students loan scheme in Nigeria as presented in Table 4.2</w:t>
      </w:r>
    </w:p>
    <w:p w14:paraId="78DB2944">
      <w:pPr>
        <w:widowControl/>
        <w:jc w:val="left"/>
        <w:rPr>
          <w:rFonts w:ascii="Times New Roman" w:hAnsi="Times New Roman" w:eastAsia="Roboto" w:cs="Times New Roman"/>
          <w:sz w:val="24"/>
          <w:lang w:eastAsia="en-US"/>
        </w:rPr>
      </w:pPr>
      <w:r>
        <w:rPr>
          <w:rFonts w:ascii="Times New Roman" w:hAnsi="Times New Roman" w:eastAsia="Roboto" w:cs="Times New Roman"/>
          <w:sz w:val="24"/>
          <w:lang w:eastAsia="en-US"/>
        </w:rPr>
        <w:br w:type="page"/>
      </w:r>
    </w:p>
    <w:p w14:paraId="2C475359">
      <w:pPr>
        <w:pStyle w:val="2"/>
        <w:spacing w:before="0" w:line="480" w:lineRule="auto"/>
        <w:rPr>
          <w:rFonts w:ascii="Times New Roman" w:hAnsi="Times New Roman"/>
          <w:color w:val="auto"/>
          <w:sz w:val="24"/>
          <w:szCs w:val="24"/>
        </w:rPr>
      </w:pPr>
      <w:bookmarkStart w:id="51" w:name="_Toc170896442"/>
      <w:r>
        <w:rPr>
          <w:rFonts w:ascii="Times New Roman" w:hAnsi="Times New Roman"/>
          <w:color w:val="auto"/>
          <w:sz w:val="24"/>
        </w:rPr>
        <w:t xml:space="preserve">4.4 </w:t>
      </w:r>
      <w:r>
        <w:rPr>
          <w:rFonts w:ascii="Times New Roman" w:hAnsi="Times New Roman" w:eastAsia="SimSun"/>
          <w:color w:val="auto"/>
          <w:sz w:val="24"/>
          <w:szCs w:val="24"/>
        </w:rPr>
        <w:t>Analysis and Presentation of Results</w:t>
      </w:r>
      <w:bookmarkEnd w:id="51"/>
      <w:r>
        <w:rPr>
          <w:rFonts w:ascii="Times New Roman" w:hAnsi="Times New Roman" w:eastAsia="SimSun"/>
          <w:color w:val="auto"/>
          <w:sz w:val="24"/>
          <w:szCs w:val="24"/>
        </w:rPr>
        <w:t xml:space="preserve"> </w:t>
      </w:r>
    </w:p>
    <w:p w14:paraId="47555260">
      <w:pPr>
        <w:spacing w:line="480" w:lineRule="auto"/>
        <w:rPr>
          <w:rFonts w:ascii="Times New Roman" w:hAnsi="Times New Roman" w:cs="Times New Roman"/>
          <w:b/>
          <w:bCs/>
          <w:sz w:val="24"/>
        </w:rPr>
      </w:pPr>
      <w:r>
        <w:rPr>
          <w:rFonts w:ascii="Times New Roman" w:hAnsi="Times New Roman" w:eastAsia="SimSun" w:cs="Times New Roman"/>
          <w:sz w:val="24"/>
        </w:rPr>
        <w:t>This section presents the analysis of the results.</w:t>
      </w:r>
    </w:p>
    <w:p w14:paraId="2F460CEF">
      <w:pPr>
        <w:spacing w:line="480" w:lineRule="auto"/>
        <w:rPr>
          <w:rFonts w:ascii="Times New Roman" w:hAnsi="Times New Roman" w:cs="Times New Roman"/>
          <w:b/>
          <w:bCs/>
          <w:sz w:val="24"/>
        </w:rPr>
      </w:pPr>
      <w:r>
        <w:rPr>
          <w:rFonts w:ascii="Times New Roman" w:hAnsi="Times New Roman" w:eastAsia="SimSun" w:cs="Times New Roman"/>
          <w:b/>
          <w:bCs/>
          <w:sz w:val="24"/>
        </w:rPr>
        <w:t>RQ 1: What is the perception of KWASU students toward the educational loan scheme?</w:t>
      </w:r>
    </w:p>
    <w:p w14:paraId="2D6B016B">
      <w:pPr>
        <w:spacing w:line="480" w:lineRule="auto"/>
        <w:rPr>
          <w:rFonts w:ascii="Times New Roman" w:hAnsi="Times New Roman" w:cs="Times New Roman"/>
          <w:b/>
          <w:bCs/>
          <w:sz w:val="24"/>
        </w:rPr>
      </w:pPr>
      <w:r>
        <w:rPr>
          <w:rFonts w:ascii="Times New Roman" w:hAnsi="Times New Roman" w:eastAsia="SimSun" w:cs="Times New Roman"/>
          <w:b/>
          <w:bCs/>
          <w:sz w:val="24"/>
        </w:rPr>
        <w:t>Table 4.3: Perception of KWASU Students Toward the Educational Loan Scheme</w:t>
      </w:r>
    </w:p>
    <w:tbl>
      <w:tblPr>
        <w:tblStyle w:val="4"/>
        <w:tblW w:w="927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30"/>
        <w:gridCol w:w="1530"/>
        <w:gridCol w:w="1530"/>
        <w:gridCol w:w="1440"/>
        <w:gridCol w:w="1440"/>
      </w:tblGrid>
      <w:tr w14:paraId="5212D2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330" w:type="dxa"/>
            <w:tcBorders>
              <w:top w:val="single" w:color="auto" w:sz="4" w:space="0"/>
              <w:bottom w:val="single" w:color="auto" w:sz="4" w:space="0"/>
            </w:tcBorders>
            <w:tcMar>
              <w:top w:w="0" w:type="dxa"/>
              <w:left w:w="108" w:type="dxa"/>
              <w:bottom w:w="0" w:type="dxa"/>
              <w:right w:w="108" w:type="dxa"/>
            </w:tcMar>
          </w:tcPr>
          <w:p w14:paraId="7D22427B">
            <w:pPr>
              <w:spacing w:line="360" w:lineRule="auto"/>
              <w:jc w:val="center"/>
              <w:rPr>
                <w:rFonts w:ascii="Times New Roman" w:hAnsi="Times New Roman" w:cs="Times New Roman"/>
                <w:b/>
                <w:bCs/>
                <w:sz w:val="24"/>
              </w:rPr>
            </w:pPr>
            <w:r>
              <w:rPr>
                <w:rFonts w:ascii="Times New Roman" w:hAnsi="Times New Roman" w:eastAsia="SimSun" w:cs="Times New Roman"/>
                <w:b/>
                <w:bCs/>
                <w:sz w:val="24"/>
              </w:rPr>
              <w:t>ITEMS</w:t>
            </w:r>
          </w:p>
        </w:tc>
        <w:tc>
          <w:tcPr>
            <w:tcW w:w="1530" w:type="dxa"/>
            <w:tcBorders>
              <w:top w:val="single" w:color="auto" w:sz="4" w:space="0"/>
              <w:bottom w:val="single" w:color="auto" w:sz="4" w:space="0"/>
            </w:tcBorders>
            <w:tcMar>
              <w:top w:w="0" w:type="dxa"/>
              <w:left w:w="108" w:type="dxa"/>
              <w:bottom w:w="0" w:type="dxa"/>
              <w:right w:w="108" w:type="dxa"/>
            </w:tcMar>
          </w:tcPr>
          <w:p w14:paraId="265D5602">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530" w:type="dxa"/>
            <w:tcBorders>
              <w:top w:val="single" w:color="auto" w:sz="4" w:space="0"/>
              <w:bottom w:val="single" w:color="auto" w:sz="4" w:space="0"/>
            </w:tcBorders>
            <w:tcMar>
              <w:top w:w="0" w:type="dxa"/>
              <w:left w:w="108" w:type="dxa"/>
              <w:bottom w:w="0" w:type="dxa"/>
              <w:right w:w="108" w:type="dxa"/>
            </w:tcMar>
          </w:tcPr>
          <w:p w14:paraId="65B93ECD">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0EAB2188">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440" w:type="dxa"/>
            <w:tcBorders>
              <w:top w:val="single" w:color="auto" w:sz="4" w:space="0"/>
              <w:bottom w:val="single" w:color="auto" w:sz="4" w:space="0"/>
            </w:tcBorders>
            <w:tcMar>
              <w:top w:w="0" w:type="dxa"/>
              <w:left w:w="108" w:type="dxa"/>
              <w:bottom w:w="0" w:type="dxa"/>
              <w:right w:w="108" w:type="dxa"/>
            </w:tcMar>
          </w:tcPr>
          <w:p w14:paraId="563216D4">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20F9E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30" w:type="dxa"/>
            <w:tcBorders>
              <w:top w:val="single" w:color="auto" w:sz="4" w:space="0"/>
            </w:tcBorders>
            <w:tcMar>
              <w:top w:w="0" w:type="dxa"/>
              <w:left w:w="108" w:type="dxa"/>
              <w:bottom w:w="0" w:type="dxa"/>
              <w:right w:w="108" w:type="dxa"/>
            </w:tcMar>
          </w:tcPr>
          <w:p w14:paraId="371E5C8F">
            <w:pPr>
              <w:widowControl/>
              <w:spacing w:before="100" w:beforeAutospacing="1" w:line="360" w:lineRule="auto"/>
              <w:rPr>
                <w:rFonts w:ascii="Times New Roman" w:hAnsi="Times New Roman" w:cs="Times New Roman"/>
                <w:b/>
                <w:bCs/>
                <w:sz w:val="24"/>
              </w:rPr>
            </w:pPr>
            <w:r>
              <w:rPr>
                <w:rFonts w:ascii="Times New Roman" w:hAnsi="Times New Roman" w:eastAsia="Times New Roman" w:cs="Times New Roman"/>
                <w:sz w:val="24"/>
              </w:rPr>
              <w:t>Student loans scheme promote equal opportunity by allowing students from diverse backgrounds to access higher education?</w:t>
            </w:r>
          </w:p>
        </w:tc>
        <w:tc>
          <w:tcPr>
            <w:tcW w:w="1530" w:type="dxa"/>
            <w:tcBorders>
              <w:top w:val="single" w:color="auto" w:sz="4" w:space="0"/>
            </w:tcBorders>
            <w:tcMar>
              <w:top w:w="0" w:type="dxa"/>
              <w:left w:w="108" w:type="dxa"/>
              <w:bottom w:w="0" w:type="dxa"/>
              <w:right w:w="108" w:type="dxa"/>
            </w:tcMar>
          </w:tcPr>
          <w:p w14:paraId="6301F182">
            <w:pPr>
              <w:spacing w:line="360" w:lineRule="auto"/>
              <w:rPr>
                <w:rFonts w:ascii="Times New Roman" w:hAnsi="Times New Roman" w:cs="Times New Roman"/>
                <w:sz w:val="24"/>
              </w:rPr>
            </w:pPr>
            <w:r>
              <w:rPr>
                <w:rFonts w:ascii="Times New Roman" w:hAnsi="Times New Roman" w:eastAsia="SimSun" w:cs="Times New Roman"/>
                <w:sz w:val="24"/>
              </w:rPr>
              <w:t>132(34.74%)</w:t>
            </w:r>
          </w:p>
        </w:tc>
        <w:tc>
          <w:tcPr>
            <w:tcW w:w="1530" w:type="dxa"/>
            <w:tcBorders>
              <w:top w:val="single" w:color="auto" w:sz="4" w:space="0"/>
            </w:tcBorders>
            <w:tcMar>
              <w:top w:w="0" w:type="dxa"/>
              <w:left w:w="108" w:type="dxa"/>
              <w:bottom w:w="0" w:type="dxa"/>
              <w:right w:w="108" w:type="dxa"/>
            </w:tcMar>
          </w:tcPr>
          <w:p w14:paraId="4023F237">
            <w:pPr>
              <w:spacing w:line="360" w:lineRule="auto"/>
              <w:rPr>
                <w:rFonts w:ascii="Times New Roman" w:hAnsi="Times New Roman" w:cs="Times New Roman"/>
                <w:sz w:val="24"/>
              </w:rPr>
            </w:pPr>
            <w:r>
              <w:rPr>
                <w:rFonts w:ascii="Times New Roman" w:hAnsi="Times New Roman" w:eastAsia="SimSun" w:cs="Times New Roman"/>
                <w:sz w:val="24"/>
              </w:rPr>
              <w:t>167(43.95%)</w:t>
            </w:r>
          </w:p>
        </w:tc>
        <w:tc>
          <w:tcPr>
            <w:tcW w:w="1440" w:type="dxa"/>
            <w:tcBorders>
              <w:top w:val="single" w:color="auto" w:sz="4" w:space="0"/>
            </w:tcBorders>
            <w:tcMar>
              <w:top w:w="0" w:type="dxa"/>
              <w:left w:w="108" w:type="dxa"/>
              <w:bottom w:w="0" w:type="dxa"/>
              <w:right w:w="108" w:type="dxa"/>
            </w:tcMar>
          </w:tcPr>
          <w:p w14:paraId="059318F1">
            <w:pPr>
              <w:spacing w:line="360" w:lineRule="auto"/>
              <w:rPr>
                <w:rFonts w:ascii="Times New Roman" w:hAnsi="Times New Roman" w:cs="Times New Roman"/>
                <w:sz w:val="24"/>
              </w:rPr>
            </w:pPr>
            <w:r>
              <w:rPr>
                <w:rFonts w:ascii="Times New Roman" w:hAnsi="Times New Roman" w:eastAsia="SimSun" w:cs="Times New Roman"/>
                <w:sz w:val="24"/>
              </w:rPr>
              <w:t>67(17.63%)</w:t>
            </w:r>
          </w:p>
        </w:tc>
        <w:tc>
          <w:tcPr>
            <w:tcW w:w="1440" w:type="dxa"/>
            <w:tcBorders>
              <w:top w:val="single" w:color="auto" w:sz="4" w:space="0"/>
            </w:tcBorders>
            <w:tcMar>
              <w:top w:w="0" w:type="dxa"/>
              <w:left w:w="108" w:type="dxa"/>
              <w:bottom w:w="0" w:type="dxa"/>
              <w:right w:w="108" w:type="dxa"/>
            </w:tcMar>
          </w:tcPr>
          <w:p w14:paraId="1B8FC885">
            <w:pPr>
              <w:spacing w:line="360" w:lineRule="auto"/>
              <w:rPr>
                <w:rFonts w:ascii="Times New Roman" w:hAnsi="Times New Roman" w:cs="Times New Roman"/>
                <w:b/>
                <w:bCs/>
                <w:sz w:val="24"/>
              </w:rPr>
            </w:pPr>
            <w:r>
              <w:rPr>
                <w:rFonts w:ascii="Times New Roman" w:hAnsi="Times New Roman" w:eastAsia="SimSun" w:cs="Times New Roman"/>
                <w:sz w:val="24"/>
              </w:rPr>
              <w:t>14(03.68%)</w:t>
            </w:r>
          </w:p>
        </w:tc>
      </w:tr>
      <w:tr w14:paraId="366BFD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Mar>
              <w:top w:w="0" w:type="dxa"/>
              <w:left w:w="108" w:type="dxa"/>
              <w:bottom w:w="0" w:type="dxa"/>
              <w:right w:w="108" w:type="dxa"/>
            </w:tcMar>
          </w:tcPr>
          <w:p w14:paraId="2E998D86">
            <w:pPr>
              <w:widowControl/>
              <w:spacing w:before="100" w:beforeAutospacing="1" w:line="360" w:lineRule="auto"/>
              <w:jc w:val="left"/>
              <w:rPr>
                <w:rFonts w:ascii="Times New Roman" w:hAnsi="Times New Roman" w:cs="Times New Roman"/>
                <w:b/>
                <w:bCs/>
                <w:sz w:val="24"/>
              </w:rPr>
            </w:pPr>
            <w:r>
              <w:rPr>
                <w:rFonts w:ascii="Times New Roman" w:hAnsi="Times New Roman" w:eastAsia="Times New Roman" w:cs="Times New Roman"/>
                <w:sz w:val="24"/>
              </w:rPr>
              <w:t>Student loans scheme increased your knowledge of personal finance and financial management?</w:t>
            </w:r>
          </w:p>
        </w:tc>
        <w:tc>
          <w:tcPr>
            <w:tcW w:w="1530" w:type="dxa"/>
            <w:tcMar>
              <w:top w:w="0" w:type="dxa"/>
              <w:left w:w="108" w:type="dxa"/>
              <w:bottom w:w="0" w:type="dxa"/>
              <w:right w:w="108" w:type="dxa"/>
            </w:tcMar>
          </w:tcPr>
          <w:p w14:paraId="6A0E4560">
            <w:pPr>
              <w:spacing w:line="360" w:lineRule="auto"/>
              <w:rPr>
                <w:rFonts w:ascii="Times New Roman" w:hAnsi="Times New Roman" w:cs="Times New Roman"/>
                <w:sz w:val="24"/>
              </w:rPr>
            </w:pPr>
            <w:r>
              <w:rPr>
                <w:rFonts w:ascii="Times New Roman" w:hAnsi="Times New Roman" w:eastAsia="SimSun" w:cs="Times New Roman"/>
                <w:sz w:val="24"/>
              </w:rPr>
              <w:t>98(25.79%)</w:t>
            </w:r>
          </w:p>
          <w:p w14:paraId="0098250B">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40885D26">
            <w:pPr>
              <w:spacing w:line="360" w:lineRule="auto"/>
              <w:rPr>
                <w:rFonts w:ascii="Times New Roman" w:hAnsi="Times New Roman" w:cs="Times New Roman"/>
                <w:sz w:val="24"/>
              </w:rPr>
            </w:pPr>
            <w:r>
              <w:rPr>
                <w:rFonts w:ascii="Times New Roman" w:hAnsi="Times New Roman" w:eastAsia="SimSun" w:cs="Times New Roman"/>
                <w:sz w:val="24"/>
              </w:rPr>
              <w:t>173(45.53%)</w:t>
            </w:r>
          </w:p>
          <w:p w14:paraId="76965286">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4A6A5C83">
            <w:pPr>
              <w:spacing w:line="360" w:lineRule="auto"/>
              <w:rPr>
                <w:rFonts w:ascii="Times New Roman" w:hAnsi="Times New Roman" w:cs="Times New Roman"/>
                <w:sz w:val="24"/>
              </w:rPr>
            </w:pPr>
            <w:r>
              <w:rPr>
                <w:rFonts w:ascii="Times New Roman" w:hAnsi="Times New Roman" w:eastAsia="SimSun" w:cs="Times New Roman"/>
                <w:sz w:val="24"/>
              </w:rPr>
              <w:t>35(09.21%)</w:t>
            </w:r>
          </w:p>
          <w:p w14:paraId="220F0932">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6D6BE208">
            <w:pPr>
              <w:spacing w:line="360" w:lineRule="auto"/>
              <w:rPr>
                <w:rFonts w:ascii="Times New Roman" w:hAnsi="Times New Roman" w:cs="Times New Roman"/>
                <w:sz w:val="24"/>
              </w:rPr>
            </w:pPr>
            <w:r>
              <w:rPr>
                <w:rFonts w:ascii="Times New Roman" w:hAnsi="Times New Roman" w:eastAsia="SimSun" w:cs="Times New Roman"/>
                <w:sz w:val="24"/>
              </w:rPr>
              <w:t>74(19.47%)</w:t>
            </w:r>
          </w:p>
          <w:p w14:paraId="01452B75">
            <w:pPr>
              <w:spacing w:line="360" w:lineRule="auto"/>
              <w:rPr>
                <w:rFonts w:ascii="Times New Roman" w:hAnsi="Times New Roman" w:cs="Times New Roman"/>
                <w:b/>
                <w:bCs/>
                <w:sz w:val="24"/>
              </w:rPr>
            </w:pPr>
          </w:p>
        </w:tc>
      </w:tr>
      <w:tr w14:paraId="50D49D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Mar>
              <w:top w:w="0" w:type="dxa"/>
              <w:left w:w="108" w:type="dxa"/>
              <w:bottom w:w="0" w:type="dxa"/>
              <w:right w:w="108" w:type="dxa"/>
            </w:tcMar>
          </w:tcPr>
          <w:p w14:paraId="67FA1DD4">
            <w:pPr>
              <w:spacing w:line="360" w:lineRule="auto"/>
              <w:rPr>
                <w:rFonts w:ascii="Times New Roman" w:hAnsi="Times New Roman" w:cs="Times New Roman"/>
                <w:b/>
                <w:bCs/>
                <w:sz w:val="24"/>
              </w:rPr>
            </w:pPr>
            <w:r>
              <w:rPr>
                <w:rFonts w:ascii="Times New Roman" w:hAnsi="Times New Roman" w:eastAsia="Times New Roman" w:cs="Times New Roman"/>
                <w:sz w:val="24"/>
              </w:rPr>
              <w:t>The burden of repaying loans has had a detrimental effect on my mental well-being.</w:t>
            </w:r>
          </w:p>
        </w:tc>
        <w:tc>
          <w:tcPr>
            <w:tcW w:w="1530" w:type="dxa"/>
            <w:tcMar>
              <w:top w:w="0" w:type="dxa"/>
              <w:left w:w="108" w:type="dxa"/>
              <w:bottom w:w="0" w:type="dxa"/>
              <w:right w:w="108" w:type="dxa"/>
            </w:tcMar>
          </w:tcPr>
          <w:p w14:paraId="5ECB41F1">
            <w:pPr>
              <w:spacing w:line="360" w:lineRule="auto"/>
              <w:rPr>
                <w:rFonts w:ascii="Times New Roman" w:hAnsi="Times New Roman" w:cs="Times New Roman"/>
                <w:sz w:val="24"/>
              </w:rPr>
            </w:pPr>
            <w:r>
              <w:rPr>
                <w:rFonts w:ascii="Times New Roman" w:hAnsi="Times New Roman" w:eastAsia="SimSun" w:cs="Times New Roman"/>
                <w:sz w:val="24"/>
              </w:rPr>
              <w:t>109(28.68%)</w:t>
            </w:r>
          </w:p>
          <w:p w14:paraId="0BD6BDBD">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36ADB044">
            <w:pPr>
              <w:spacing w:line="360" w:lineRule="auto"/>
              <w:rPr>
                <w:rFonts w:ascii="Times New Roman" w:hAnsi="Times New Roman" w:cs="Times New Roman"/>
                <w:sz w:val="24"/>
              </w:rPr>
            </w:pPr>
            <w:r>
              <w:rPr>
                <w:rFonts w:ascii="Times New Roman" w:hAnsi="Times New Roman" w:eastAsia="SimSun" w:cs="Times New Roman"/>
                <w:sz w:val="24"/>
              </w:rPr>
              <w:t>141(37.11%)</w:t>
            </w:r>
          </w:p>
          <w:p w14:paraId="664EA26A">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7B309ED1">
            <w:pPr>
              <w:spacing w:line="360" w:lineRule="auto"/>
              <w:rPr>
                <w:rFonts w:ascii="Times New Roman" w:hAnsi="Times New Roman" w:cs="Times New Roman"/>
                <w:b/>
                <w:bCs/>
                <w:sz w:val="24"/>
              </w:rPr>
            </w:pPr>
            <w:r>
              <w:rPr>
                <w:rFonts w:ascii="Times New Roman" w:hAnsi="Times New Roman" w:eastAsia="SimSun" w:cs="Times New Roman"/>
                <w:sz w:val="24"/>
              </w:rPr>
              <w:t>48(12.63%)</w:t>
            </w:r>
          </w:p>
        </w:tc>
        <w:tc>
          <w:tcPr>
            <w:tcW w:w="1440" w:type="dxa"/>
            <w:tcMar>
              <w:top w:w="0" w:type="dxa"/>
              <w:left w:w="108" w:type="dxa"/>
              <w:bottom w:w="0" w:type="dxa"/>
              <w:right w:w="108" w:type="dxa"/>
            </w:tcMar>
          </w:tcPr>
          <w:p w14:paraId="0AF380BA">
            <w:pPr>
              <w:spacing w:line="360" w:lineRule="auto"/>
              <w:rPr>
                <w:rFonts w:ascii="Times New Roman" w:hAnsi="Times New Roman" w:cs="Times New Roman"/>
                <w:b/>
                <w:bCs/>
                <w:sz w:val="24"/>
              </w:rPr>
            </w:pPr>
            <w:r>
              <w:rPr>
                <w:rFonts w:ascii="Times New Roman" w:hAnsi="Times New Roman" w:eastAsia="SimSun" w:cs="Times New Roman"/>
                <w:sz w:val="24"/>
              </w:rPr>
              <w:t>82(21.58%)</w:t>
            </w:r>
          </w:p>
        </w:tc>
      </w:tr>
      <w:tr w14:paraId="36C1FC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Borders>
              <w:bottom w:val="single" w:color="auto" w:sz="4" w:space="0"/>
            </w:tcBorders>
            <w:tcMar>
              <w:top w:w="0" w:type="dxa"/>
              <w:left w:w="108" w:type="dxa"/>
              <w:bottom w:w="0" w:type="dxa"/>
              <w:right w:w="108" w:type="dxa"/>
            </w:tcMar>
          </w:tcPr>
          <w:p w14:paraId="07A3BFB0">
            <w:pPr>
              <w:spacing w:line="360" w:lineRule="auto"/>
              <w:rPr>
                <w:rFonts w:ascii="Times New Roman" w:hAnsi="Times New Roman" w:cs="Times New Roman"/>
                <w:b/>
                <w:bCs/>
                <w:sz w:val="24"/>
              </w:rPr>
            </w:pPr>
            <w:r>
              <w:rPr>
                <w:rFonts w:ascii="Times New Roman" w:hAnsi="Times New Roman" w:eastAsia="Times New Roman" w:cs="Times New Roman"/>
                <w:sz w:val="24"/>
              </w:rPr>
              <w:t>Managing loan payments becomes particularly challenging during economic difficulties.</w:t>
            </w:r>
          </w:p>
        </w:tc>
        <w:tc>
          <w:tcPr>
            <w:tcW w:w="1530" w:type="dxa"/>
            <w:tcBorders>
              <w:bottom w:val="single" w:color="auto" w:sz="4" w:space="0"/>
            </w:tcBorders>
            <w:tcMar>
              <w:top w:w="0" w:type="dxa"/>
              <w:left w:w="108" w:type="dxa"/>
              <w:bottom w:w="0" w:type="dxa"/>
              <w:right w:w="108" w:type="dxa"/>
            </w:tcMar>
          </w:tcPr>
          <w:p w14:paraId="27E00743">
            <w:pPr>
              <w:spacing w:line="360" w:lineRule="auto"/>
              <w:rPr>
                <w:rFonts w:ascii="Times New Roman" w:hAnsi="Times New Roman" w:cs="Times New Roman"/>
                <w:sz w:val="24"/>
              </w:rPr>
            </w:pPr>
            <w:r>
              <w:rPr>
                <w:rFonts w:ascii="Times New Roman" w:hAnsi="Times New Roman" w:eastAsia="SimSun" w:cs="Times New Roman"/>
                <w:sz w:val="24"/>
              </w:rPr>
              <w:t>123(32.37%)</w:t>
            </w:r>
          </w:p>
        </w:tc>
        <w:tc>
          <w:tcPr>
            <w:tcW w:w="1530" w:type="dxa"/>
            <w:tcBorders>
              <w:bottom w:val="single" w:color="auto" w:sz="4" w:space="0"/>
            </w:tcBorders>
            <w:tcMar>
              <w:top w:w="0" w:type="dxa"/>
              <w:left w:w="108" w:type="dxa"/>
              <w:bottom w:w="0" w:type="dxa"/>
              <w:right w:w="108" w:type="dxa"/>
            </w:tcMar>
          </w:tcPr>
          <w:p w14:paraId="426A4A9F">
            <w:pPr>
              <w:spacing w:line="360" w:lineRule="auto"/>
              <w:rPr>
                <w:rFonts w:ascii="Times New Roman" w:hAnsi="Times New Roman" w:cs="Times New Roman"/>
                <w:sz w:val="24"/>
              </w:rPr>
            </w:pPr>
            <w:r>
              <w:rPr>
                <w:rFonts w:ascii="Times New Roman" w:hAnsi="Times New Roman" w:eastAsia="SimSun" w:cs="Times New Roman"/>
                <w:sz w:val="24"/>
              </w:rPr>
              <w:t>134(35.26%)</w:t>
            </w:r>
          </w:p>
        </w:tc>
        <w:tc>
          <w:tcPr>
            <w:tcW w:w="1440" w:type="dxa"/>
            <w:tcBorders>
              <w:bottom w:val="single" w:color="auto" w:sz="4" w:space="0"/>
            </w:tcBorders>
            <w:tcMar>
              <w:top w:w="0" w:type="dxa"/>
              <w:left w:w="108" w:type="dxa"/>
              <w:bottom w:w="0" w:type="dxa"/>
              <w:right w:w="108" w:type="dxa"/>
            </w:tcMar>
          </w:tcPr>
          <w:p w14:paraId="3AE7D363">
            <w:pPr>
              <w:spacing w:line="360" w:lineRule="auto"/>
              <w:rPr>
                <w:rFonts w:ascii="Times New Roman" w:hAnsi="Times New Roman" w:cs="Times New Roman"/>
                <w:sz w:val="24"/>
              </w:rPr>
            </w:pPr>
            <w:r>
              <w:rPr>
                <w:rFonts w:ascii="Times New Roman" w:hAnsi="Times New Roman" w:eastAsia="SimSun" w:cs="Times New Roman"/>
                <w:sz w:val="24"/>
              </w:rPr>
              <w:t>87(22.89%)</w:t>
            </w:r>
          </w:p>
        </w:tc>
        <w:tc>
          <w:tcPr>
            <w:tcW w:w="1440" w:type="dxa"/>
            <w:tcBorders>
              <w:bottom w:val="single" w:color="auto" w:sz="4" w:space="0"/>
            </w:tcBorders>
            <w:tcMar>
              <w:top w:w="0" w:type="dxa"/>
              <w:left w:w="108" w:type="dxa"/>
              <w:bottom w:w="0" w:type="dxa"/>
              <w:right w:w="108" w:type="dxa"/>
            </w:tcMar>
          </w:tcPr>
          <w:p w14:paraId="654A96A3">
            <w:pPr>
              <w:spacing w:line="360" w:lineRule="auto"/>
              <w:rPr>
                <w:rFonts w:ascii="Times New Roman" w:hAnsi="Times New Roman" w:cs="Times New Roman"/>
                <w:sz w:val="24"/>
              </w:rPr>
            </w:pPr>
            <w:r>
              <w:rPr>
                <w:rFonts w:ascii="Times New Roman" w:hAnsi="Times New Roman" w:eastAsia="SimSun" w:cs="Times New Roman"/>
                <w:sz w:val="24"/>
              </w:rPr>
              <w:t>36(09.47%)</w:t>
            </w:r>
          </w:p>
        </w:tc>
      </w:tr>
    </w:tbl>
    <w:p w14:paraId="23AB74DD">
      <w:pPr>
        <w:spacing w:line="480" w:lineRule="auto"/>
        <w:ind w:left="810" w:hanging="800"/>
        <w:rPr>
          <w:rFonts w:hint="default" w:ascii="Times New Roman" w:hAnsi="Times New Roman" w:eastAsia="SimSun" w:cs="Times New Roman"/>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6AFA214B">
      <w:pPr>
        <w:spacing w:line="480" w:lineRule="auto"/>
        <w:rPr>
          <w:rFonts w:ascii="Times New Roman" w:hAnsi="Times New Roman" w:cs="Times New Roman"/>
          <w:b/>
          <w:bCs/>
          <w:sz w:val="24"/>
        </w:rPr>
      </w:pPr>
      <w:r>
        <w:rPr>
          <w:rFonts w:ascii="Times New Roman" w:hAnsi="Times New Roman" w:eastAsia="Times New Roman" w:cs="Times New Roman"/>
          <w:sz w:val="24"/>
        </w:rPr>
        <w:t>Table 4.3 shows the perception of KWASU students toward educational loan scheme. 299(78.69%) of the respondents agreed that, student loans scheme promote equal opportunity by allowing students from diverse backgrounds to access higher education, 271(71.32%) respondents students agreed that, student loans scheme increases their knowledge of personal finance and financial management, 250(65.79%) also agreed that, the burden of repaying loans has had a detrimental effect on mental well-being and while 257(67.63%) agreed that, managing loan payments becomes particularly challenging during economic difficulties. This finding agrees with Fredrick, (2024), which stated that, Nigeria loan scheme is expected to provide easy access to higher education for poor students through interest-free loan, it is expected to be accessible to all students seeking higher education in all public institution of higher learning in Nigeria regardless of gender, religion, tribe, position, or disability of any kind. It aims to improve the aim of higher education in Nigeria, by reducing financial constraint</w:t>
      </w:r>
    </w:p>
    <w:p w14:paraId="18DC2758">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2: What is the Perception of KWASU students towards the criteria for accessing the student loan?</w:t>
      </w:r>
    </w:p>
    <w:p w14:paraId="50DE206D">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Table 4.4: Perception of KWASU Students Towards the Criteria for Accessing the Student loan</w:t>
      </w:r>
    </w:p>
    <w:tbl>
      <w:tblPr>
        <w:tblStyle w:val="4"/>
        <w:tblW w:w="972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90"/>
        <w:gridCol w:w="1530"/>
        <w:gridCol w:w="1530"/>
        <w:gridCol w:w="1440"/>
        <w:gridCol w:w="1530"/>
      </w:tblGrid>
      <w:tr w14:paraId="074826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3690" w:type="dxa"/>
            <w:tcBorders>
              <w:top w:val="single" w:color="auto" w:sz="4" w:space="0"/>
              <w:bottom w:val="single" w:color="auto" w:sz="4" w:space="0"/>
            </w:tcBorders>
            <w:tcMar>
              <w:top w:w="0" w:type="dxa"/>
              <w:left w:w="108" w:type="dxa"/>
              <w:bottom w:w="0" w:type="dxa"/>
              <w:right w:w="108" w:type="dxa"/>
            </w:tcMar>
          </w:tcPr>
          <w:p w14:paraId="748EDE0B">
            <w:pPr>
              <w:spacing w:line="360" w:lineRule="auto"/>
              <w:jc w:val="center"/>
              <w:rPr>
                <w:rFonts w:ascii="Times New Roman" w:hAnsi="Times New Roman" w:cs="Times New Roman"/>
                <w:b/>
                <w:bCs/>
                <w:sz w:val="24"/>
              </w:rPr>
            </w:pPr>
            <w:r>
              <w:rPr>
                <w:rFonts w:ascii="Times New Roman" w:hAnsi="Times New Roman" w:eastAsia="SimSun" w:cs="Times New Roman"/>
                <w:b/>
                <w:bCs/>
                <w:sz w:val="24"/>
              </w:rPr>
              <w:t>ITEMS</w:t>
            </w:r>
          </w:p>
        </w:tc>
        <w:tc>
          <w:tcPr>
            <w:tcW w:w="1530" w:type="dxa"/>
            <w:tcBorders>
              <w:top w:val="single" w:color="auto" w:sz="4" w:space="0"/>
              <w:bottom w:val="single" w:color="auto" w:sz="4" w:space="0"/>
            </w:tcBorders>
            <w:tcMar>
              <w:top w:w="0" w:type="dxa"/>
              <w:left w:w="108" w:type="dxa"/>
              <w:bottom w:w="0" w:type="dxa"/>
              <w:right w:w="108" w:type="dxa"/>
            </w:tcMar>
          </w:tcPr>
          <w:p w14:paraId="27E95425">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530" w:type="dxa"/>
            <w:tcBorders>
              <w:top w:val="single" w:color="auto" w:sz="4" w:space="0"/>
              <w:bottom w:val="single" w:color="auto" w:sz="4" w:space="0"/>
            </w:tcBorders>
            <w:tcMar>
              <w:top w:w="0" w:type="dxa"/>
              <w:left w:w="108" w:type="dxa"/>
              <w:bottom w:w="0" w:type="dxa"/>
              <w:right w:w="108" w:type="dxa"/>
            </w:tcMar>
          </w:tcPr>
          <w:p w14:paraId="3D4DC491">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6B7AC032">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530" w:type="dxa"/>
            <w:tcBorders>
              <w:top w:val="single" w:color="auto" w:sz="4" w:space="0"/>
              <w:bottom w:val="single" w:color="auto" w:sz="4" w:space="0"/>
            </w:tcBorders>
            <w:tcMar>
              <w:top w:w="0" w:type="dxa"/>
              <w:left w:w="108" w:type="dxa"/>
              <w:bottom w:w="0" w:type="dxa"/>
              <w:right w:w="108" w:type="dxa"/>
            </w:tcMar>
          </w:tcPr>
          <w:p w14:paraId="5F2C2FFB">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670467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690" w:type="dxa"/>
            <w:tcBorders>
              <w:top w:val="single" w:color="auto" w:sz="4" w:space="0"/>
            </w:tcBorders>
            <w:tcMar>
              <w:top w:w="0" w:type="dxa"/>
              <w:left w:w="108" w:type="dxa"/>
              <w:bottom w:w="0" w:type="dxa"/>
              <w:right w:w="108" w:type="dxa"/>
            </w:tcMar>
          </w:tcPr>
          <w:p w14:paraId="75F5D4CB">
            <w:pPr>
              <w:spacing w:line="360" w:lineRule="auto"/>
              <w:rPr>
                <w:rFonts w:ascii="Times New Roman" w:hAnsi="Times New Roman" w:cs="Times New Roman"/>
                <w:b/>
                <w:bCs/>
                <w:sz w:val="24"/>
              </w:rPr>
            </w:pPr>
            <w:r>
              <w:rPr>
                <w:rFonts w:ascii="Times New Roman" w:hAnsi="Times New Roman" w:eastAsia="SimSun" w:cs="Times New Roman"/>
                <w:sz w:val="24"/>
              </w:rPr>
              <w:t>Applicant must be a Nigerian Citizen,</w:t>
            </w:r>
          </w:p>
        </w:tc>
        <w:tc>
          <w:tcPr>
            <w:tcW w:w="1530" w:type="dxa"/>
            <w:tcBorders>
              <w:top w:val="single" w:color="auto" w:sz="4" w:space="0"/>
            </w:tcBorders>
            <w:tcMar>
              <w:top w:w="0" w:type="dxa"/>
              <w:left w:w="108" w:type="dxa"/>
              <w:bottom w:w="0" w:type="dxa"/>
              <w:right w:w="108" w:type="dxa"/>
            </w:tcMar>
          </w:tcPr>
          <w:p w14:paraId="42A41726">
            <w:pPr>
              <w:spacing w:line="360" w:lineRule="auto"/>
              <w:rPr>
                <w:rFonts w:ascii="Times New Roman" w:hAnsi="Times New Roman" w:cs="Times New Roman"/>
                <w:sz w:val="24"/>
              </w:rPr>
            </w:pPr>
            <w:r>
              <w:rPr>
                <w:rFonts w:ascii="Times New Roman" w:hAnsi="Times New Roman" w:eastAsia="SimSun" w:cs="Times New Roman"/>
                <w:sz w:val="24"/>
              </w:rPr>
              <w:t>181(47.63%)</w:t>
            </w:r>
          </w:p>
          <w:p w14:paraId="72F1635C">
            <w:pPr>
              <w:spacing w:line="360" w:lineRule="auto"/>
              <w:rPr>
                <w:rFonts w:ascii="Times New Roman" w:hAnsi="Times New Roman" w:cs="Times New Roman"/>
                <w:sz w:val="24"/>
              </w:rPr>
            </w:pPr>
          </w:p>
        </w:tc>
        <w:tc>
          <w:tcPr>
            <w:tcW w:w="1530" w:type="dxa"/>
            <w:tcBorders>
              <w:top w:val="single" w:color="auto" w:sz="4" w:space="0"/>
            </w:tcBorders>
            <w:tcMar>
              <w:top w:w="0" w:type="dxa"/>
              <w:left w:w="108" w:type="dxa"/>
              <w:bottom w:w="0" w:type="dxa"/>
              <w:right w:w="108" w:type="dxa"/>
            </w:tcMar>
          </w:tcPr>
          <w:p w14:paraId="317DA4C1">
            <w:pPr>
              <w:spacing w:line="360" w:lineRule="auto"/>
              <w:rPr>
                <w:rFonts w:ascii="Times New Roman" w:hAnsi="Times New Roman" w:cs="Times New Roman"/>
                <w:b/>
                <w:bCs/>
                <w:sz w:val="24"/>
              </w:rPr>
            </w:pPr>
            <w:r>
              <w:rPr>
                <w:rFonts w:ascii="Times New Roman" w:hAnsi="Times New Roman" w:eastAsia="SimSun" w:cs="Times New Roman"/>
                <w:sz w:val="24"/>
              </w:rPr>
              <w:t>127(33.42%)</w:t>
            </w:r>
          </w:p>
        </w:tc>
        <w:tc>
          <w:tcPr>
            <w:tcW w:w="1440" w:type="dxa"/>
            <w:tcBorders>
              <w:top w:val="single" w:color="auto" w:sz="4" w:space="0"/>
            </w:tcBorders>
            <w:tcMar>
              <w:top w:w="0" w:type="dxa"/>
              <w:left w:w="108" w:type="dxa"/>
              <w:bottom w:w="0" w:type="dxa"/>
              <w:right w:w="108" w:type="dxa"/>
            </w:tcMar>
          </w:tcPr>
          <w:p w14:paraId="3C263BFB">
            <w:pPr>
              <w:spacing w:line="360" w:lineRule="auto"/>
              <w:rPr>
                <w:rFonts w:ascii="Times New Roman" w:hAnsi="Times New Roman" w:cs="Times New Roman"/>
                <w:b/>
                <w:bCs/>
                <w:sz w:val="24"/>
              </w:rPr>
            </w:pPr>
            <w:r>
              <w:rPr>
                <w:rFonts w:ascii="Times New Roman" w:hAnsi="Times New Roman" w:eastAsia="SimSun" w:cs="Times New Roman"/>
                <w:sz w:val="24"/>
              </w:rPr>
              <w:t>19(04.10%)</w:t>
            </w:r>
          </w:p>
        </w:tc>
        <w:tc>
          <w:tcPr>
            <w:tcW w:w="1530" w:type="dxa"/>
            <w:tcBorders>
              <w:top w:val="single" w:color="auto" w:sz="4" w:space="0"/>
            </w:tcBorders>
            <w:tcMar>
              <w:top w:w="0" w:type="dxa"/>
              <w:left w:w="108" w:type="dxa"/>
              <w:bottom w:w="0" w:type="dxa"/>
              <w:right w:w="108" w:type="dxa"/>
            </w:tcMar>
          </w:tcPr>
          <w:p w14:paraId="419C1163">
            <w:pPr>
              <w:spacing w:line="360" w:lineRule="auto"/>
              <w:rPr>
                <w:rFonts w:ascii="Times New Roman" w:hAnsi="Times New Roman" w:cs="Times New Roman"/>
                <w:sz w:val="24"/>
              </w:rPr>
            </w:pPr>
            <w:r>
              <w:rPr>
                <w:rFonts w:ascii="Times New Roman" w:hAnsi="Times New Roman" w:eastAsia="SimSun" w:cs="Times New Roman"/>
                <w:sz w:val="24"/>
              </w:rPr>
              <w:t>53(13.95%)</w:t>
            </w:r>
          </w:p>
          <w:p w14:paraId="21D7EB0C">
            <w:pPr>
              <w:spacing w:line="360" w:lineRule="auto"/>
              <w:rPr>
                <w:rFonts w:ascii="Times New Roman" w:hAnsi="Times New Roman" w:cs="Times New Roman"/>
                <w:sz w:val="24"/>
              </w:rPr>
            </w:pPr>
          </w:p>
        </w:tc>
      </w:tr>
      <w:tr w14:paraId="4C1F5F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2EFBE152">
            <w:pPr>
              <w:spacing w:line="360" w:lineRule="auto"/>
              <w:rPr>
                <w:rFonts w:ascii="Times New Roman" w:hAnsi="Times New Roman" w:cs="Times New Roman"/>
                <w:b/>
                <w:bCs/>
                <w:sz w:val="24"/>
              </w:rPr>
            </w:pPr>
            <w:r>
              <w:rPr>
                <w:rFonts w:ascii="Times New Roman" w:hAnsi="Times New Roman" w:eastAsia="SimSun" w:cs="Times New Roman"/>
                <w:sz w:val="24"/>
              </w:rPr>
              <w:t>Applicant must have secured admission into any of the Nigerian universities, polytechnics, colleges of education or any vocational school established by the Federal Government or the Government of any state of the federation.</w:t>
            </w:r>
          </w:p>
        </w:tc>
        <w:tc>
          <w:tcPr>
            <w:tcW w:w="1530" w:type="dxa"/>
            <w:tcMar>
              <w:top w:w="0" w:type="dxa"/>
              <w:left w:w="108" w:type="dxa"/>
              <w:bottom w:w="0" w:type="dxa"/>
              <w:right w:w="108" w:type="dxa"/>
            </w:tcMar>
          </w:tcPr>
          <w:p w14:paraId="6459A92E">
            <w:pPr>
              <w:spacing w:line="360" w:lineRule="auto"/>
              <w:rPr>
                <w:rFonts w:ascii="Times New Roman" w:hAnsi="Times New Roman" w:cs="Times New Roman"/>
                <w:b/>
                <w:bCs/>
                <w:sz w:val="24"/>
              </w:rPr>
            </w:pPr>
            <w:r>
              <w:rPr>
                <w:rFonts w:ascii="Times New Roman" w:hAnsi="Times New Roman" w:eastAsia="SimSun" w:cs="Times New Roman"/>
                <w:sz w:val="24"/>
              </w:rPr>
              <w:t>173(45.53%)</w:t>
            </w:r>
          </w:p>
        </w:tc>
        <w:tc>
          <w:tcPr>
            <w:tcW w:w="1530" w:type="dxa"/>
            <w:tcMar>
              <w:top w:w="0" w:type="dxa"/>
              <w:left w:w="108" w:type="dxa"/>
              <w:bottom w:w="0" w:type="dxa"/>
              <w:right w:w="108" w:type="dxa"/>
            </w:tcMar>
          </w:tcPr>
          <w:p w14:paraId="734DA2A6">
            <w:pPr>
              <w:spacing w:line="360" w:lineRule="auto"/>
              <w:rPr>
                <w:rFonts w:ascii="Times New Roman" w:hAnsi="Times New Roman" w:cs="Times New Roman"/>
                <w:b/>
                <w:bCs/>
                <w:sz w:val="24"/>
              </w:rPr>
            </w:pPr>
            <w:r>
              <w:rPr>
                <w:rFonts w:ascii="Times New Roman" w:hAnsi="Times New Roman" w:eastAsia="SimSun" w:cs="Times New Roman"/>
                <w:sz w:val="24"/>
              </w:rPr>
              <w:t>109(28.68%)</w:t>
            </w:r>
          </w:p>
        </w:tc>
        <w:tc>
          <w:tcPr>
            <w:tcW w:w="1440" w:type="dxa"/>
            <w:tcMar>
              <w:top w:w="0" w:type="dxa"/>
              <w:left w:w="108" w:type="dxa"/>
              <w:bottom w:w="0" w:type="dxa"/>
              <w:right w:w="108" w:type="dxa"/>
            </w:tcMar>
          </w:tcPr>
          <w:p w14:paraId="4D88A0C9">
            <w:pPr>
              <w:spacing w:line="360" w:lineRule="auto"/>
              <w:rPr>
                <w:rFonts w:ascii="Times New Roman" w:hAnsi="Times New Roman" w:cs="Times New Roman"/>
                <w:b/>
                <w:bCs/>
                <w:sz w:val="24"/>
              </w:rPr>
            </w:pPr>
            <w:r>
              <w:rPr>
                <w:rFonts w:ascii="Times New Roman" w:hAnsi="Times New Roman" w:eastAsia="SimSun" w:cs="Times New Roman"/>
                <w:sz w:val="24"/>
              </w:rPr>
              <w:t>67(17.63%)</w:t>
            </w:r>
          </w:p>
        </w:tc>
        <w:tc>
          <w:tcPr>
            <w:tcW w:w="1530" w:type="dxa"/>
            <w:tcMar>
              <w:top w:w="0" w:type="dxa"/>
              <w:left w:w="108" w:type="dxa"/>
              <w:bottom w:w="0" w:type="dxa"/>
              <w:right w:w="108" w:type="dxa"/>
            </w:tcMar>
          </w:tcPr>
          <w:p w14:paraId="771F7730">
            <w:pPr>
              <w:spacing w:line="360" w:lineRule="auto"/>
              <w:rPr>
                <w:rFonts w:ascii="Times New Roman" w:hAnsi="Times New Roman" w:cs="Times New Roman"/>
                <w:b/>
                <w:bCs/>
                <w:sz w:val="24"/>
              </w:rPr>
            </w:pPr>
            <w:r>
              <w:rPr>
                <w:rFonts w:ascii="Times New Roman" w:hAnsi="Times New Roman" w:eastAsia="SimSun" w:cs="Times New Roman"/>
                <w:sz w:val="24"/>
              </w:rPr>
              <w:t>31(08.16%)</w:t>
            </w:r>
          </w:p>
        </w:tc>
      </w:tr>
      <w:tr w14:paraId="2FD2B0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6A9CB73B">
            <w:pPr>
              <w:spacing w:line="360" w:lineRule="auto"/>
              <w:rPr>
                <w:rFonts w:ascii="Times New Roman" w:hAnsi="Times New Roman" w:cs="Times New Roman"/>
                <w:b/>
                <w:bCs/>
                <w:sz w:val="24"/>
              </w:rPr>
            </w:pPr>
            <w:r>
              <w:rPr>
                <w:rFonts w:ascii="Times New Roman" w:hAnsi="Times New Roman" w:eastAsia="SimSun" w:cs="Times New Roman"/>
                <w:sz w:val="24"/>
              </w:rPr>
              <w:t>Students can apply for and receive loans subject to application and identity verification guidelines as provided by the Fund.</w:t>
            </w:r>
          </w:p>
        </w:tc>
        <w:tc>
          <w:tcPr>
            <w:tcW w:w="1530" w:type="dxa"/>
            <w:tcMar>
              <w:top w:w="0" w:type="dxa"/>
              <w:left w:w="108" w:type="dxa"/>
              <w:bottom w:w="0" w:type="dxa"/>
              <w:right w:w="108" w:type="dxa"/>
            </w:tcMar>
          </w:tcPr>
          <w:p w14:paraId="17B7652C">
            <w:pPr>
              <w:spacing w:line="360" w:lineRule="auto"/>
              <w:rPr>
                <w:rFonts w:ascii="Times New Roman" w:hAnsi="Times New Roman" w:cs="Times New Roman"/>
                <w:sz w:val="24"/>
              </w:rPr>
            </w:pPr>
            <w:r>
              <w:rPr>
                <w:rFonts w:ascii="Times New Roman" w:hAnsi="Times New Roman" w:eastAsia="SimSun" w:cs="Times New Roman"/>
                <w:sz w:val="24"/>
              </w:rPr>
              <w:t>158(41.58%)</w:t>
            </w:r>
          </w:p>
          <w:p w14:paraId="1DC3CFD1">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71B0FBB5">
            <w:pPr>
              <w:spacing w:line="360" w:lineRule="auto"/>
              <w:rPr>
                <w:rFonts w:ascii="Times New Roman" w:hAnsi="Times New Roman" w:cs="Times New Roman"/>
                <w:sz w:val="24"/>
              </w:rPr>
            </w:pPr>
            <w:r>
              <w:rPr>
                <w:rFonts w:ascii="Times New Roman" w:hAnsi="Times New Roman" w:eastAsia="SimSun" w:cs="Times New Roman"/>
                <w:sz w:val="24"/>
              </w:rPr>
              <w:t>122(32.11%)</w:t>
            </w:r>
          </w:p>
          <w:p w14:paraId="6442E3C0">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2DB54DD5">
            <w:pPr>
              <w:spacing w:line="360" w:lineRule="auto"/>
              <w:rPr>
                <w:rFonts w:ascii="Times New Roman" w:hAnsi="Times New Roman" w:cs="Times New Roman"/>
                <w:sz w:val="24"/>
              </w:rPr>
            </w:pPr>
            <w:r>
              <w:rPr>
                <w:rFonts w:ascii="Times New Roman" w:hAnsi="Times New Roman" w:eastAsia="SimSun" w:cs="Times New Roman"/>
                <w:sz w:val="24"/>
              </w:rPr>
              <w:t>81(21.32%)</w:t>
            </w:r>
          </w:p>
          <w:p w14:paraId="1F7E5EF1">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1F77C09E">
            <w:pPr>
              <w:spacing w:line="360" w:lineRule="auto"/>
              <w:rPr>
                <w:rFonts w:ascii="Times New Roman" w:hAnsi="Times New Roman" w:cs="Times New Roman"/>
                <w:sz w:val="24"/>
              </w:rPr>
            </w:pPr>
            <w:r>
              <w:rPr>
                <w:rFonts w:ascii="Times New Roman" w:hAnsi="Times New Roman" w:eastAsia="SimSun" w:cs="Times New Roman"/>
                <w:sz w:val="24"/>
              </w:rPr>
              <w:t>19(05.00%)</w:t>
            </w:r>
          </w:p>
          <w:p w14:paraId="64A0FFDD">
            <w:pPr>
              <w:spacing w:line="360" w:lineRule="auto"/>
              <w:rPr>
                <w:rFonts w:ascii="Times New Roman" w:hAnsi="Times New Roman" w:cs="Times New Roman"/>
                <w:b/>
                <w:bCs/>
                <w:sz w:val="24"/>
              </w:rPr>
            </w:pPr>
          </w:p>
        </w:tc>
      </w:tr>
      <w:tr w14:paraId="38446C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40D30439">
            <w:pPr>
              <w:spacing w:line="360" w:lineRule="auto"/>
              <w:rPr>
                <w:rFonts w:ascii="Times New Roman" w:hAnsi="Times New Roman" w:cs="Times New Roman"/>
                <w:b/>
                <w:bCs/>
                <w:sz w:val="24"/>
              </w:rPr>
            </w:pPr>
            <w:r>
              <w:rPr>
                <w:rFonts w:ascii="Times New Roman" w:hAnsi="Times New Roman" w:eastAsia="SimSun" w:cs="Times New Roman"/>
                <w:sz w:val="24"/>
              </w:rPr>
              <w:t>Applicants to the Fund may apply for loans to cover tuition and other fees payable to the school and maintenance allowance payable to the student.</w:t>
            </w:r>
          </w:p>
        </w:tc>
        <w:tc>
          <w:tcPr>
            <w:tcW w:w="1530" w:type="dxa"/>
            <w:tcMar>
              <w:top w:w="0" w:type="dxa"/>
              <w:left w:w="108" w:type="dxa"/>
              <w:bottom w:w="0" w:type="dxa"/>
              <w:right w:w="108" w:type="dxa"/>
            </w:tcMar>
          </w:tcPr>
          <w:p w14:paraId="502537E0">
            <w:pPr>
              <w:spacing w:line="360" w:lineRule="auto"/>
              <w:rPr>
                <w:rFonts w:ascii="Times New Roman" w:hAnsi="Times New Roman" w:cs="Times New Roman"/>
                <w:sz w:val="24"/>
              </w:rPr>
            </w:pPr>
            <w:r>
              <w:rPr>
                <w:rFonts w:ascii="Times New Roman" w:hAnsi="Times New Roman" w:eastAsia="SimSun" w:cs="Times New Roman"/>
                <w:sz w:val="24"/>
              </w:rPr>
              <w:t>159(41.84%)</w:t>
            </w:r>
          </w:p>
          <w:p w14:paraId="4A0268CC">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3EDD7B58">
            <w:pPr>
              <w:spacing w:line="360" w:lineRule="auto"/>
              <w:rPr>
                <w:rFonts w:ascii="Times New Roman" w:hAnsi="Times New Roman" w:cs="Times New Roman"/>
                <w:sz w:val="24"/>
              </w:rPr>
            </w:pPr>
            <w:r>
              <w:rPr>
                <w:rFonts w:ascii="Times New Roman" w:hAnsi="Times New Roman" w:eastAsia="SimSun" w:cs="Times New Roman"/>
                <w:sz w:val="24"/>
              </w:rPr>
              <w:t>138(36.32%)</w:t>
            </w:r>
          </w:p>
          <w:p w14:paraId="69985F83">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51D1B92F">
            <w:pPr>
              <w:spacing w:line="360" w:lineRule="auto"/>
              <w:rPr>
                <w:rFonts w:ascii="Times New Roman" w:hAnsi="Times New Roman" w:cs="Times New Roman"/>
                <w:sz w:val="24"/>
              </w:rPr>
            </w:pPr>
            <w:r>
              <w:rPr>
                <w:rFonts w:ascii="Times New Roman" w:hAnsi="Times New Roman" w:eastAsia="SimSun" w:cs="Times New Roman"/>
                <w:sz w:val="24"/>
              </w:rPr>
              <w:t>10(02.63%)</w:t>
            </w:r>
          </w:p>
          <w:p w14:paraId="1321EEE8">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75BA0E39">
            <w:pPr>
              <w:spacing w:line="360" w:lineRule="auto"/>
              <w:rPr>
                <w:rFonts w:ascii="Times New Roman" w:hAnsi="Times New Roman" w:cs="Times New Roman"/>
                <w:sz w:val="24"/>
              </w:rPr>
            </w:pPr>
            <w:r>
              <w:rPr>
                <w:rFonts w:ascii="Times New Roman" w:hAnsi="Times New Roman" w:eastAsia="SimSun" w:cs="Times New Roman"/>
                <w:sz w:val="24"/>
              </w:rPr>
              <w:t>73(19.21%)</w:t>
            </w:r>
          </w:p>
          <w:p w14:paraId="2E2F1D56">
            <w:pPr>
              <w:spacing w:line="360" w:lineRule="auto"/>
              <w:rPr>
                <w:rFonts w:ascii="Times New Roman" w:hAnsi="Times New Roman" w:cs="Times New Roman"/>
                <w:b/>
                <w:bCs/>
                <w:sz w:val="24"/>
              </w:rPr>
            </w:pPr>
          </w:p>
        </w:tc>
      </w:tr>
      <w:tr w14:paraId="17D245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3410D4AB">
            <w:pPr>
              <w:spacing w:line="360" w:lineRule="auto"/>
              <w:rPr>
                <w:rFonts w:ascii="Times New Roman" w:hAnsi="Times New Roman" w:cs="Times New Roman"/>
                <w:b/>
                <w:bCs/>
                <w:sz w:val="24"/>
              </w:rPr>
            </w:pPr>
            <w:r>
              <w:rPr>
                <w:rFonts w:ascii="Times New Roman" w:hAnsi="Times New Roman" w:eastAsia="SimSun" w:cs="Times New Roman"/>
                <w:sz w:val="24"/>
              </w:rPr>
              <w:t>The repayment plan starts two years after the National Youth Service Corps (NYSC) program.</w:t>
            </w:r>
          </w:p>
        </w:tc>
        <w:tc>
          <w:tcPr>
            <w:tcW w:w="1530" w:type="dxa"/>
            <w:tcMar>
              <w:top w:w="0" w:type="dxa"/>
              <w:left w:w="108" w:type="dxa"/>
              <w:bottom w:w="0" w:type="dxa"/>
              <w:right w:w="108" w:type="dxa"/>
            </w:tcMar>
          </w:tcPr>
          <w:p w14:paraId="7DC08BDA">
            <w:pPr>
              <w:spacing w:line="360" w:lineRule="auto"/>
              <w:rPr>
                <w:rFonts w:ascii="Times New Roman" w:hAnsi="Times New Roman" w:cs="Times New Roman"/>
                <w:sz w:val="24"/>
              </w:rPr>
            </w:pPr>
            <w:r>
              <w:rPr>
                <w:rFonts w:ascii="Times New Roman" w:hAnsi="Times New Roman" w:eastAsia="SimSun" w:cs="Times New Roman"/>
                <w:sz w:val="24"/>
              </w:rPr>
              <w:t>164(43.16%)</w:t>
            </w:r>
          </w:p>
          <w:p w14:paraId="2447214C">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5EC220CE">
            <w:pPr>
              <w:spacing w:line="360" w:lineRule="auto"/>
              <w:rPr>
                <w:rFonts w:ascii="Times New Roman" w:hAnsi="Times New Roman" w:cs="Times New Roman"/>
                <w:sz w:val="24"/>
              </w:rPr>
            </w:pPr>
            <w:r>
              <w:rPr>
                <w:rFonts w:ascii="Times New Roman" w:hAnsi="Times New Roman" w:eastAsia="SimSun" w:cs="Times New Roman"/>
                <w:sz w:val="24"/>
              </w:rPr>
              <w:t>109(28.68%)</w:t>
            </w:r>
          </w:p>
          <w:p w14:paraId="25E8F0B9">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58716D5B">
            <w:pPr>
              <w:spacing w:line="360" w:lineRule="auto"/>
              <w:rPr>
                <w:rFonts w:ascii="Times New Roman" w:hAnsi="Times New Roman" w:cs="Times New Roman"/>
                <w:sz w:val="24"/>
              </w:rPr>
            </w:pPr>
            <w:r>
              <w:rPr>
                <w:rFonts w:ascii="Times New Roman" w:hAnsi="Times New Roman" w:eastAsia="SimSun" w:cs="Times New Roman"/>
                <w:sz w:val="24"/>
              </w:rPr>
              <w:t>55(14.47%)</w:t>
            </w:r>
          </w:p>
          <w:p w14:paraId="4B36DA98">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127D12D4">
            <w:pPr>
              <w:spacing w:line="360" w:lineRule="auto"/>
              <w:rPr>
                <w:rFonts w:ascii="Times New Roman" w:hAnsi="Times New Roman" w:cs="Times New Roman"/>
                <w:sz w:val="24"/>
              </w:rPr>
            </w:pPr>
            <w:r>
              <w:rPr>
                <w:rFonts w:ascii="Times New Roman" w:hAnsi="Times New Roman" w:eastAsia="SimSun" w:cs="Times New Roman"/>
                <w:sz w:val="24"/>
              </w:rPr>
              <w:t>52(13.68%)</w:t>
            </w:r>
          </w:p>
          <w:p w14:paraId="71AAD1FC">
            <w:pPr>
              <w:spacing w:line="360" w:lineRule="auto"/>
              <w:rPr>
                <w:rFonts w:ascii="Times New Roman" w:hAnsi="Times New Roman" w:cs="Times New Roman"/>
                <w:b/>
                <w:bCs/>
                <w:sz w:val="24"/>
              </w:rPr>
            </w:pPr>
          </w:p>
        </w:tc>
      </w:tr>
      <w:tr w14:paraId="73F9A3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Borders>
              <w:bottom w:val="single" w:color="auto" w:sz="4" w:space="0"/>
            </w:tcBorders>
            <w:tcMar>
              <w:top w:w="0" w:type="dxa"/>
              <w:left w:w="108" w:type="dxa"/>
              <w:bottom w:w="0" w:type="dxa"/>
              <w:right w:w="108" w:type="dxa"/>
            </w:tcMar>
          </w:tcPr>
          <w:p w14:paraId="78AE827E">
            <w:pPr>
              <w:spacing w:line="360" w:lineRule="auto"/>
              <w:rPr>
                <w:rFonts w:ascii="Times New Roman" w:hAnsi="Times New Roman" w:cs="Times New Roman"/>
                <w:b/>
                <w:bCs/>
                <w:sz w:val="24"/>
              </w:rPr>
            </w:pPr>
            <w:r>
              <w:rPr>
                <w:rFonts w:ascii="Times New Roman" w:hAnsi="Times New Roman" w:eastAsia="SimSun" w:cs="Times New Roman"/>
                <w:sz w:val="24"/>
              </w:rPr>
              <w:t>Repayment of the loan shall be by monthly deductions not exceeding 10% of the beneficiary’s gross income until the loan and all charges are repaid to the Fund.</w:t>
            </w:r>
          </w:p>
        </w:tc>
        <w:tc>
          <w:tcPr>
            <w:tcW w:w="1530" w:type="dxa"/>
            <w:tcBorders>
              <w:bottom w:val="single" w:color="auto" w:sz="4" w:space="0"/>
            </w:tcBorders>
            <w:tcMar>
              <w:top w:w="0" w:type="dxa"/>
              <w:left w:w="108" w:type="dxa"/>
              <w:bottom w:w="0" w:type="dxa"/>
              <w:right w:w="108" w:type="dxa"/>
            </w:tcMar>
          </w:tcPr>
          <w:p w14:paraId="63480F87">
            <w:pPr>
              <w:spacing w:line="360" w:lineRule="auto"/>
              <w:rPr>
                <w:rFonts w:ascii="Times New Roman" w:hAnsi="Times New Roman" w:cs="Times New Roman"/>
                <w:sz w:val="24"/>
              </w:rPr>
            </w:pPr>
            <w:r>
              <w:rPr>
                <w:rFonts w:ascii="Times New Roman" w:hAnsi="Times New Roman" w:eastAsia="SimSun" w:cs="Times New Roman"/>
                <w:sz w:val="24"/>
              </w:rPr>
              <w:t>177(46.58%)</w:t>
            </w:r>
          </w:p>
          <w:p w14:paraId="42E0DD89">
            <w:pPr>
              <w:spacing w:line="36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391380C8">
            <w:pPr>
              <w:spacing w:line="360" w:lineRule="auto"/>
              <w:rPr>
                <w:rFonts w:ascii="Times New Roman" w:hAnsi="Times New Roman" w:cs="Times New Roman"/>
                <w:sz w:val="24"/>
              </w:rPr>
            </w:pPr>
            <w:r>
              <w:rPr>
                <w:rFonts w:ascii="Times New Roman" w:hAnsi="Times New Roman" w:eastAsia="SimSun" w:cs="Times New Roman"/>
                <w:sz w:val="24"/>
              </w:rPr>
              <w:t>131(34.47%)</w:t>
            </w:r>
          </w:p>
          <w:p w14:paraId="52611FDA">
            <w:pPr>
              <w:spacing w:line="360" w:lineRule="auto"/>
              <w:rPr>
                <w:rFonts w:ascii="Times New Roman" w:hAnsi="Times New Roman" w:cs="Times New Roman"/>
                <w:b/>
                <w:bCs/>
                <w:sz w:val="24"/>
              </w:rPr>
            </w:pPr>
          </w:p>
        </w:tc>
        <w:tc>
          <w:tcPr>
            <w:tcW w:w="1440" w:type="dxa"/>
            <w:tcBorders>
              <w:bottom w:val="single" w:color="auto" w:sz="4" w:space="0"/>
            </w:tcBorders>
            <w:tcMar>
              <w:top w:w="0" w:type="dxa"/>
              <w:left w:w="108" w:type="dxa"/>
              <w:bottom w:w="0" w:type="dxa"/>
              <w:right w:w="108" w:type="dxa"/>
            </w:tcMar>
          </w:tcPr>
          <w:p w14:paraId="07316BC6">
            <w:pPr>
              <w:spacing w:line="360" w:lineRule="auto"/>
              <w:rPr>
                <w:rFonts w:ascii="Times New Roman" w:hAnsi="Times New Roman" w:cs="Times New Roman"/>
                <w:sz w:val="24"/>
              </w:rPr>
            </w:pPr>
            <w:r>
              <w:rPr>
                <w:rFonts w:ascii="Times New Roman" w:hAnsi="Times New Roman" w:eastAsia="SimSun" w:cs="Times New Roman"/>
                <w:sz w:val="24"/>
              </w:rPr>
              <w:t>31(08.16%)</w:t>
            </w:r>
          </w:p>
          <w:p w14:paraId="42A18E9A">
            <w:pPr>
              <w:spacing w:line="36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0E004561">
            <w:pPr>
              <w:spacing w:line="360" w:lineRule="auto"/>
              <w:rPr>
                <w:rFonts w:ascii="Times New Roman" w:hAnsi="Times New Roman" w:cs="Times New Roman"/>
                <w:sz w:val="24"/>
              </w:rPr>
            </w:pPr>
            <w:r>
              <w:rPr>
                <w:rFonts w:ascii="Times New Roman" w:hAnsi="Times New Roman" w:eastAsia="SimSun" w:cs="Times New Roman"/>
                <w:sz w:val="24"/>
              </w:rPr>
              <w:t>41(10.79%)</w:t>
            </w:r>
          </w:p>
          <w:p w14:paraId="53F514A0">
            <w:pPr>
              <w:spacing w:line="360" w:lineRule="auto"/>
              <w:rPr>
                <w:rFonts w:ascii="Times New Roman" w:hAnsi="Times New Roman" w:cs="Times New Roman"/>
                <w:b/>
                <w:bCs/>
                <w:sz w:val="24"/>
              </w:rPr>
            </w:pPr>
          </w:p>
        </w:tc>
      </w:tr>
    </w:tbl>
    <w:p w14:paraId="399B4DFC">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5330F82F">
      <w:pPr>
        <w:pStyle w:val="9"/>
        <w:spacing w:line="480" w:lineRule="auto"/>
        <w:rPr>
          <w:rFonts w:ascii="Times New Roman" w:hAnsi="Times New Roman" w:cs="Times New Roman"/>
          <w:b/>
          <w:bCs/>
          <w:sz w:val="24"/>
        </w:rPr>
      </w:pPr>
      <w:r>
        <w:rPr>
          <w:rFonts w:ascii="Times New Roman" w:hAnsi="Times New Roman" w:cs="Times New Roman"/>
          <w:sz w:val="24"/>
          <w:szCs w:val="24"/>
        </w:rPr>
        <w:t xml:space="preserve">Table 4.4 shows the perception of KWASU students towards the criteria for accessing the student loan. From the table, large percentage of 308(81.05%) of the respondents agreed to the criteria such that applicants must be a Nigerian citizen, 282(74.22%) applicant must have secured admission into any of the Nigerian universities, polytechnics, colleges of education or any vocational school established by the Federal Government or the Government of any state of the federation, 280(73.69%) students can apply for and receive loans subject to application and identity verification guidelines as provided by the fund, 297(78.16%) of the respondents agreed that, </w:t>
      </w:r>
      <w:r>
        <w:rPr>
          <w:rFonts w:ascii="Times New Roman" w:hAnsi="Times New Roman" w:eastAsia="SimSun" w:cs="Times New Roman"/>
          <w:sz w:val="24"/>
        </w:rPr>
        <w:t xml:space="preserve">applicants to the Fund may apply for loans to cover tuition and other fees payable to the school and maintenance allowance payable to the student, 273(71.84%) </w:t>
      </w:r>
      <w:r>
        <w:rPr>
          <w:rFonts w:ascii="Times New Roman" w:hAnsi="Times New Roman" w:cs="Times New Roman"/>
          <w:sz w:val="24"/>
          <w:szCs w:val="24"/>
        </w:rPr>
        <w:t>of the respondents agreed that</w:t>
      </w:r>
      <w:r>
        <w:rPr>
          <w:rFonts w:ascii="Times New Roman" w:hAnsi="Times New Roman" w:eastAsia="SimSun" w:cs="Times New Roman"/>
          <w:sz w:val="24"/>
        </w:rPr>
        <w:t>, the repayment plan starts two years after the National Youth Service Corps (NYSC) program while 308(81.05%) of the respondents agreed that, Repayment of the loan shall be by monthly deductions not exceeding 10% of the beneficiary’s gross income until the loan and all charges are repaid to the Fund</w:t>
      </w:r>
      <w:r>
        <w:rPr>
          <w:rFonts w:ascii="Times New Roman" w:hAnsi="Times New Roman" w:cs="Times New Roman"/>
          <w:sz w:val="24"/>
          <w:szCs w:val="24"/>
        </w:rPr>
        <w:t xml:space="preserve">. </w:t>
      </w:r>
      <w:r>
        <w:rPr>
          <w:rFonts w:ascii="Times New Roman" w:hAnsi="Times New Roman" w:eastAsia="SimSun" w:cs="Times New Roman"/>
          <w:sz w:val="24"/>
        </w:rPr>
        <w:t>This finding is in line with Students Loans Access to Higher Education Act, (2024) which stated that, eligibility for student loans under this Act is contingent upon meeting certain criteria, such as being a Nigerian Citizen, admission into higher education institutions established by the Federal Government or state Government (universities, polytechnics and colleges of education), admissions into a vocational or skills acquisition school licensed by the Federal Government. Identification including biometrics will be provided as part of the application for the purpose of recovery and disbursement of loans. Additionally, the Board shall have the power to make specific regulations regarding the method and process of loan applications and the criteria for granting loans in each financial year.</w:t>
      </w:r>
    </w:p>
    <w:p w14:paraId="18AE1531">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3: What is the level of awareness of the educational loan scheme by KWASU students?</w:t>
      </w:r>
    </w:p>
    <w:p w14:paraId="696FC4C7">
      <w:pPr>
        <w:spacing w:line="360" w:lineRule="auto"/>
        <w:rPr>
          <w:rFonts w:ascii="Times New Roman" w:hAnsi="Times New Roman" w:cs="Times New Roman"/>
          <w:b/>
          <w:bCs/>
          <w:sz w:val="24"/>
        </w:rPr>
      </w:pPr>
      <w:r>
        <w:rPr>
          <w:rFonts w:ascii="Times New Roman" w:hAnsi="Times New Roman" w:eastAsia="SimSun" w:cs="Times New Roman"/>
          <w:b/>
          <w:bCs/>
          <w:sz w:val="24"/>
        </w:rPr>
        <w:t>Table 4.5: Level of Awareness of the Educational Loan Scheme by KWASU Students</w:t>
      </w:r>
    </w:p>
    <w:tbl>
      <w:tblPr>
        <w:tblStyle w:val="4"/>
        <w:tblW w:w="936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1"/>
        <w:gridCol w:w="1521"/>
        <w:gridCol w:w="1476"/>
        <w:gridCol w:w="1476"/>
        <w:gridCol w:w="1476"/>
      </w:tblGrid>
      <w:tr w14:paraId="0140F6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top w:val="single" w:color="auto" w:sz="4" w:space="0"/>
              <w:bottom w:val="single" w:color="auto" w:sz="4" w:space="0"/>
            </w:tcBorders>
            <w:tcMar>
              <w:top w:w="0" w:type="dxa"/>
              <w:left w:w="108" w:type="dxa"/>
              <w:bottom w:w="0" w:type="dxa"/>
              <w:right w:w="108" w:type="dxa"/>
            </w:tcMar>
          </w:tcPr>
          <w:p w14:paraId="7FDCE72C">
            <w:pPr>
              <w:spacing w:line="36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1521" w:type="dxa"/>
            <w:tcBorders>
              <w:top w:val="single" w:color="auto" w:sz="4" w:space="0"/>
              <w:bottom w:val="single" w:color="auto" w:sz="4" w:space="0"/>
            </w:tcBorders>
            <w:tcMar>
              <w:top w:w="0" w:type="dxa"/>
              <w:left w:w="108" w:type="dxa"/>
              <w:bottom w:w="0" w:type="dxa"/>
              <w:right w:w="108" w:type="dxa"/>
            </w:tcMar>
          </w:tcPr>
          <w:p w14:paraId="589D7DDE">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476" w:type="dxa"/>
            <w:tcBorders>
              <w:top w:val="single" w:color="auto" w:sz="4" w:space="0"/>
              <w:bottom w:val="single" w:color="auto" w:sz="4" w:space="0"/>
            </w:tcBorders>
            <w:tcMar>
              <w:top w:w="0" w:type="dxa"/>
              <w:left w:w="108" w:type="dxa"/>
              <w:bottom w:w="0" w:type="dxa"/>
              <w:right w:w="108" w:type="dxa"/>
            </w:tcMar>
          </w:tcPr>
          <w:p w14:paraId="2CF2834B">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76" w:type="dxa"/>
            <w:tcBorders>
              <w:top w:val="single" w:color="auto" w:sz="4" w:space="0"/>
              <w:bottom w:val="single" w:color="auto" w:sz="4" w:space="0"/>
            </w:tcBorders>
            <w:tcMar>
              <w:top w:w="0" w:type="dxa"/>
              <w:left w:w="108" w:type="dxa"/>
              <w:bottom w:w="0" w:type="dxa"/>
              <w:right w:w="108" w:type="dxa"/>
            </w:tcMar>
          </w:tcPr>
          <w:p w14:paraId="6EA39F52">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476" w:type="dxa"/>
            <w:tcBorders>
              <w:top w:val="single" w:color="auto" w:sz="4" w:space="0"/>
              <w:bottom w:val="single" w:color="auto" w:sz="4" w:space="0"/>
            </w:tcBorders>
            <w:tcMar>
              <w:top w:w="0" w:type="dxa"/>
              <w:left w:w="108" w:type="dxa"/>
              <w:bottom w:w="0" w:type="dxa"/>
              <w:right w:w="108" w:type="dxa"/>
            </w:tcMar>
          </w:tcPr>
          <w:p w14:paraId="16240D25">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03A828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top w:val="single" w:color="auto" w:sz="4" w:space="0"/>
            </w:tcBorders>
            <w:tcMar>
              <w:top w:w="0" w:type="dxa"/>
              <w:left w:w="108" w:type="dxa"/>
              <w:bottom w:w="0" w:type="dxa"/>
              <w:right w:w="108" w:type="dxa"/>
            </w:tcMar>
          </w:tcPr>
          <w:p w14:paraId="344B28A5">
            <w:pPr>
              <w:spacing w:line="240" w:lineRule="auto"/>
              <w:rPr>
                <w:rFonts w:ascii="Times New Roman" w:hAnsi="Times New Roman" w:cs="Times New Roman"/>
                <w:b/>
                <w:bCs/>
                <w:sz w:val="24"/>
              </w:rPr>
            </w:pPr>
            <w:r>
              <w:rPr>
                <w:rFonts w:ascii="Times New Roman" w:hAnsi="Times New Roman" w:eastAsia="SimSun" w:cs="Times New Roman"/>
                <w:sz w:val="24"/>
              </w:rPr>
              <w:t>A</w:t>
            </w:r>
            <w:r>
              <w:rPr>
                <w:rFonts w:ascii="Times New Roman" w:hAnsi="Times New Roman" w:eastAsia="Times New Roman" w:cs="Times New Roman"/>
                <w:kern w:val="0"/>
                <w:sz w:val="24"/>
                <w:lang w:eastAsia="en-US"/>
              </w:rPr>
              <w:t>re you aware that Nigerian offers an educational loan scheme for students?</w:t>
            </w:r>
          </w:p>
        </w:tc>
        <w:tc>
          <w:tcPr>
            <w:tcW w:w="1521" w:type="dxa"/>
            <w:tcBorders>
              <w:top w:val="single" w:color="auto" w:sz="4" w:space="0"/>
            </w:tcBorders>
            <w:tcMar>
              <w:top w:w="0" w:type="dxa"/>
              <w:left w:w="108" w:type="dxa"/>
              <w:bottom w:w="0" w:type="dxa"/>
              <w:right w:w="108" w:type="dxa"/>
            </w:tcMar>
          </w:tcPr>
          <w:p w14:paraId="6C7BC3DE">
            <w:pPr>
              <w:spacing w:line="360" w:lineRule="auto"/>
              <w:jc w:val="left"/>
              <w:rPr>
                <w:rFonts w:ascii="Times New Roman" w:hAnsi="Times New Roman" w:cs="Times New Roman"/>
                <w:b/>
                <w:bCs/>
                <w:sz w:val="24"/>
              </w:rPr>
            </w:pPr>
            <w:r>
              <w:rPr>
                <w:rFonts w:ascii="Times New Roman" w:hAnsi="Times New Roman" w:eastAsia="SimSun" w:cs="Times New Roman"/>
                <w:sz w:val="24"/>
              </w:rPr>
              <w:t>114(30%)</w:t>
            </w:r>
          </w:p>
        </w:tc>
        <w:tc>
          <w:tcPr>
            <w:tcW w:w="1476" w:type="dxa"/>
            <w:tcBorders>
              <w:top w:val="single" w:color="auto" w:sz="4" w:space="0"/>
            </w:tcBorders>
            <w:tcMar>
              <w:top w:w="0" w:type="dxa"/>
              <w:left w:w="108" w:type="dxa"/>
              <w:bottom w:w="0" w:type="dxa"/>
              <w:right w:w="108" w:type="dxa"/>
            </w:tcMar>
          </w:tcPr>
          <w:p w14:paraId="5D54E41F">
            <w:pPr>
              <w:spacing w:line="360" w:lineRule="auto"/>
              <w:jc w:val="left"/>
              <w:rPr>
                <w:rFonts w:ascii="Times New Roman" w:hAnsi="Times New Roman" w:cs="Times New Roman"/>
                <w:b/>
                <w:bCs/>
                <w:sz w:val="24"/>
              </w:rPr>
            </w:pPr>
            <w:r>
              <w:rPr>
                <w:rFonts w:ascii="Times New Roman" w:hAnsi="Times New Roman" w:eastAsia="SimSun" w:cs="Times New Roman"/>
                <w:sz w:val="24"/>
              </w:rPr>
              <w:t>139(36.57%)</w:t>
            </w:r>
          </w:p>
        </w:tc>
        <w:tc>
          <w:tcPr>
            <w:tcW w:w="1476" w:type="dxa"/>
            <w:tcBorders>
              <w:top w:val="single" w:color="auto" w:sz="4" w:space="0"/>
            </w:tcBorders>
            <w:tcMar>
              <w:top w:w="0" w:type="dxa"/>
              <w:left w:w="108" w:type="dxa"/>
              <w:bottom w:w="0" w:type="dxa"/>
              <w:right w:w="108" w:type="dxa"/>
            </w:tcMar>
          </w:tcPr>
          <w:p w14:paraId="1D5FCEA8">
            <w:pPr>
              <w:spacing w:line="360" w:lineRule="auto"/>
              <w:jc w:val="left"/>
              <w:rPr>
                <w:rFonts w:ascii="Times New Roman" w:hAnsi="Times New Roman" w:cs="Times New Roman"/>
                <w:b/>
                <w:bCs/>
                <w:sz w:val="24"/>
              </w:rPr>
            </w:pPr>
            <w:r>
              <w:rPr>
                <w:rFonts w:ascii="Times New Roman" w:hAnsi="Times New Roman" w:eastAsia="SimSun" w:cs="Times New Roman"/>
                <w:sz w:val="24"/>
              </w:rPr>
              <w:t>73(19.21%)</w:t>
            </w:r>
          </w:p>
        </w:tc>
        <w:tc>
          <w:tcPr>
            <w:tcW w:w="1476" w:type="dxa"/>
            <w:tcBorders>
              <w:top w:val="single" w:color="auto" w:sz="4" w:space="0"/>
            </w:tcBorders>
            <w:tcMar>
              <w:top w:w="0" w:type="dxa"/>
              <w:left w:w="108" w:type="dxa"/>
              <w:bottom w:w="0" w:type="dxa"/>
              <w:right w:w="108" w:type="dxa"/>
            </w:tcMar>
          </w:tcPr>
          <w:p w14:paraId="7F87CC28">
            <w:pPr>
              <w:spacing w:line="360" w:lineRule="auto"/>
              <w:jc w:val="left"/>
              <w:rPr>
                <w:rFonts w:ascii="Times New Roman" w:hAnsi="Times New Roman" w:cs="Times New Roman"/>
                <w:b/>
                <w:bCs/>
                <w:sz w:val="24"/>
              </w:rPr>
            </w:pPr>
            <w:r>
              <w:rPr>
                <w:rFonts w:ascii="Times New Roman" w:hAnsi="Times New Roman" w:eastAsia="SimSun" w:cs="Times New Roman"/>
                <w:sz w:val="24"/>
              </w:rPr>
              <w:t>54(14.21%)</w:t>
            </w:r>
          </w:p>
          <w:p w14:paraId="17B02587">
            <w:pPr>
              <w:spacing w:line="360" w:lineRule="auto"/>
              <w:jc w:val="left"/>
              <w:rPr>
                <w:rFonts w:ascii="Times New Roman" w:hAnsi="Times New Roman" w:cs="Times New Roman"/>
                <w:b/>
                <w:bCs/>
                <w:sz w:val="24"/>
              </w:rPr>
            </w:pPr>
          </w:p>
        </w:tc>
      </w:tr>
      <w:tr w14:paraId="47944D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Mar>
              <w:top w:w="0" w:type="dxa"/>
              <w:left w:w="108" w:type="dxa"/>
              <w:bottom w:w="0" w:type="dxa"/>
              <w:right w:w="108" w:type="dxa"/>
            </w:tcMar>
          </w:tcPr>
          <w:p w14:paraId="65213B85">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How confident are you in your understanding of the educational loan scheme?</w:t>
            </w:r>
          </w:p>
        </w:tc>
        <w:tc>
          <w:tcPr>
            <w:tcW w:w="1521" w:type="dxa"/>
            <w:tcMar>
              <w:top w:w="0" w:type="dxa"/>
              <w:left w:w="108" w:type="dxa"/>
              <w:bottom w:w="0" w:type="dxa"/>
              <w:right w:w="108" w:type="dxa"/>
            </w:tcMar>
          </w:tcPr>
          <w:p w14:paraId="497CBDC1">
            <w:pPr>
              <w:spacing w:line="360" w:lineRule="auto"/>
              <w:jc w:val="left"/>
              <w:rPr>
                <w:rFonts w:ascii="Times New Roman" w:hAnsi="Times New Roman" w:cs="Times New Roman"/>
                <w:b/>
                <w:bCs/>
                <w:sz w:val="24"/>
              </w:rPr>
            </w:pPr>
            <w:r>
              <w:rPr>
                <w:rFonts w:ascii="Times New Roman" w:hAnsi="Times New Roman" w:eastAsia="SimSun" w:cs="Times New Roman"/>
                <w:sz w:val="24"/>
              </w:rPr>
              <w:t>127(33.42%)</w:t>
            </w:r>
          </w:p>
        </w:tc>
        <w:tc>
          <w:tcPr>
            <w:tcW w:w="1476" w:type="dxa"/>
            <w:tcMar>
              <w:top w:w="0" w:type="dxa"/>
              <w:left w:w="108" w:type="dxa"/>
              <w:bottom w:w="0" w:type="dxa"/>
              <w:right w:w="108" w:type="dxa"/>
            </w:tcMar>
          </w:tcPr>
          <w:p w14:paraId="79072477">
            <w:pPr>
              <w:spacing w:line="360" w:lineRule="auto"/>
              <w:jc w:val="left"/>
              <w:rPr>
                <w:rFonts w:ascii="Times New Roman" w:hAnsi="Times New Roman" w:cs="Times New Roman"/>
                <w:b/>
                <w:bCs/>
                <w:sz w:val="24"/>
              </w:rPr>
            </w:pPr>
            <w:r>
              <w:rPr>
                <w:rFonts w:ascii="Times New Roman" w:hAnsi="Times New Roman" w:eastAsia="SimSun" w:cs="Times New Roman"/>
                <w:sz w:val="24"/>
              </w:rPr>
              <w:t>119(31.31%)</w:t>
            </w:r>
          </w:p>
        </w:tc>
        <w:tc>
          <w:tcPr>
            <w:tcW w:w="1476" w:type="dxa"/>
            <w:tcMar>
              <w:top w:w="0" w:type="dxa"/>
              <w:left w:w="108" w:type="dxa"/>
              <w:bottom w:w="0" w:type="dxa"/>
              <w:right w:w="108" w:type="dxa"/>
            </w:tcMar>
          </w:tcPr>
          <w:p w14:paraId="319C9362">
            <w:pPr>
              <w:spacing w:line="360" w:lineRule="auto"/>
              <w:jc w:val="left"/>
              <w:rPr>
                <w:rFonts w:ascii="Times New Roman" w:hAnsi="Times New Roman" w:cs="Times New Roman"/>
                <w:b/>
                <w:bCs/>
                <w:sz w:val="24"/>
              </w:rPr>
            </w:pPr>
            <w:r>
              <w:rPr>
                <w:rFonts w:ascii="Times New Roman" w:hAnsi="Times New Roman" w:eastAsia="SimSun" w:cs="Times New Roman"/>
                <w:sz w:val="24"/>
              </w:rPr>
              <w:t>46(12.10%)</w:t>
            </w:r>
          </w:p>
        </w:tc>
        <w:tc>
          <w:tcPr>
            <w:tcW w:w="1476" w:type="dxa"/>
            <w:tcMar>
              <w:top w:w="0" w:type="dxa"/>
              <w:left w:w="108" w:type="dxa"/>
              <w:bottom w:w="0" w:type="dxa"/>
              <w:right w:w="108" w:type="dxa"/>
            </w:tcMar>
          </w:tcPr>
          <w:p w14:paraId="40B7B595">
            <w:pPr>
              <w:spacing w:line="360" w:lineRule="auto"/>
              <w:jc w:val="left"/>
              <w:rPr>
                <w:rFonts w:ascii="Times New Roman" w:hAnsi="Times New Roman" w:cs="Times New Roman"/>
                <w:b/>
                <w:bCs/>
                <w:sz w:val="24"/>
              </w:rPr>
            </w:pPr>
            <w:r>
              <w:rPr>
                <w:rFonts w:ascii="Times New Roman" w:hAnsi="Times New Roman" w:eastAsia="SimSun" w:cs="Times New Roman"/>
                <w:sz w:val="24"/>
              </w:rPr>
              <w:t>88(23.15%)</w:t>
            </w:r>
          </w:p>
        </w:tc>
      </w:tr>
      <w:tr w14:paraId="12557D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Mar>
              <w:top w:w="0" w:type="dxa"/>
              <w:left w:w="108" w:type="dxa"/>
              <w:bottom w:w="0" w:type="dxa"/>
              <w:right w:w="108" w:type="dxa"/>
            </w:tcMar>
          </w:tcPr>
          <w:p w14:paraId="1F790D49">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Do you know where to find more information about the educational loan scheme if needed?</w:t>
            </w:r>
          </w:p>
        </w:tc>
        <w:tc>
          <w:tcPr>
            <w:tcW w:w="1521" w:type="dxa"/>
            <w:tcMar>
              <w:top w:w="0" w:type="dxa"/>
              <w:left w:w="108" w:type="dxa"/>
              <w:bottom w:w="0" w:type="dxa"/>
              <w:right w:w="108" w:type="dxa"/>
            </w:tcMar>
          </w:tcPr>
          <w:p w14:paraId="3E294297">
            <w:pPr>
              <w:spacing w:line="360" w:lineRule="auto"/>
              <w:jc w:val="left"/>
              <w:rPr>
                <w:rFonts w:ascii="Times New Roman" w:hAnsi="Times New Roman" w:cs="Times New Roman"/>
                <w:b/>
                <w:bCs/>
                <w:sz w:val="24"/>
              </w:rPr>
            </w:pPr>
            <w:r>
              <w:rPr>
                <w:rFonts w:ascii="Times New Roman" w:hAnsi="Times New Roman" w:eastAsia="SimSun" w:cs="Times New Roman"/>
                <w:sz w:val="24"/>
              </w:rPr>
              <w:t>84(22.10%)</w:t>
            </w:r>
          </w:p>
        </w:tc>
        <w:tc>
          <w:tcPr>
            <w:tcW w:w="1476" w:type="dxa"/>
            <w:tcMar>
              <w:top w:w="0" w:type="dxa"/>
              <w:left w:w="108" w:type="dxa"/>
              <w:bottom w:w="0" w:type="dxa"/>
              <w:right w:w="108" w:type="dxa"/>
            </w:tcMar>
          </w:tcPr>
          <w:p w14:paraId="4FEC7F1C">
            <w:pPr>
              <w:spacing w:line="360" w:lineRule="auto"/>
              <w:jc w:val="left"/>
              <w:rPr>
                <w:rFonts w:ascii="Times New Roman" w:hAnsi="Times New Roman" w:cs="Times New Roman"/>
                <w:b/>
                <w:bCs/>
                <w:sz w:val="24"/>
              </w:rPr>
            </w:pPr>
            <w:r>
              <w:rPr>
                <w:rFonts w:ascii="Times New Roman" w:hAnsi="Times New Roman" w:eastAsia="SimSun" w:cs="Times New Roman"/>
                <w:sz w:val="24"/>
              </w:rPr>
              <w:t>86(22.63%)</w:t>
            </w:r>
          </w:p>
          <w:p w14:paraId="3ED5475D">
            <w:pPr>
              <w:spacing w:line="360" w:lineRule="auto"/>
              <w:jc w:val="left"/>
              <w:rPr>
                <w:rFonts w:ascii="Times New Roman" w:hAnsi="Times New Roman" w:cs="Times New Roman"/>
                <w:b/>
                <w:bCs/>
                <w:sz w:val="24"/>
              </w:rPr>
            </w:pPr>
          </w:p>
        </w:tc>
        <w:tc>
          <w:tcPr>
            <w:tcW w:w="1476" w:type="dxa"/>
            <w:tcMar>
              <w:top w:w="0" w:type="dxa"/>
              <w:left w:w="108" w:type="dxa"/>
              <w:bottom w:w="0" w:type="dxa"/>
              <w:right w:w="108" w:type="dxa"/>
            </w:tcMar>
          </w:tcPr>
          <w:p w14:paraId="171F8DBC">
            <w:pPr>
              <w:spacing w:line="360" w:lineRule="auto"/>
              <w:jc w:val="left"/>
              <w:rPr>
                <w:rFonts w:ascii="Times New Roman" w:hAnsi="Times New Roman" w:cs="Times New Roman"/>
                <w:b/>
                <w:bCs/>
                <w:sz w:val="24"/>
              </w:rPr>
            </w:pPr>
            <w:r>
              <w:rPr>
                <w:rFonts w:ascii="Times New Roman" w:hAnsi="Times New Roman" w:eastAsia="SimSun" w:cs="Times New Roman"/>
                <w:sz w:val="24"/>
              </w:rPr>
              <w:t>101(26.57%)</w:t>
            </w:r>
          </w:p>
          <w:p w14:paraId="308D1BB2">
            <w:pPr>
              <w:spacing w:line="360" w:lineRule="auto"/>
              <w:jc w:val="left"/>
              <w:rPr>
                <w:rFonts w:ascii="Times New Roman" w:hAnsi="Times New Roman" w:cs="Times New Roman"/>
                <w:b/>
                <w:bCs/>
                <w:sz w:val="24"/>
              </w:rPr>
            </w:pPr>
          </w:p>
        </w:tc>
        <w:tc>
          <w:tcPr>
            <w:tcW w:w="1476" w:type="dxa"/>
            <w:tcMar>
              <w:top w:w="0" w:type="dxa"/>
              <w:left w:w="108" w:type="dxa"/>
              <w:bottom w:w="0" w:type="dxa"/>
              <w:right w:w="108" w:type="dxa"/>
            </w:tcMar>
          </w:tcPr>
          <w:p w14:paraId="465B5012">
            <w:pPr>
              <w:spacing w:line="360" w:lineRule="auto"/>
              <w:jc w:val="left"/>
              <w:rPr>
                <w:rFonts w:ascii="Times New Roman" w:hAnsi="Times New Roman" w:cs="Times New Roman"/>
                <w:b/>
                <w:bCs/>
                <w:sz w:val="24"/>
              </w:rPr>
            </w:pPr>
            <w:r>
              <w:rPr>
                <w:rFonts w:ascii="Times New Roman" w:hAnsi="Times New Roman" w:eastAsia="SimSun" w:cs="Times New Roman"/>
                <w:sz w:val="24"/>
              </w:rPr>
              <w:t>109(28.68%)</w:t>
            </w:r>
          </w:p>
        </w:tc>
      </w:tr>
      <w:tr w14:paraId="02846D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bottom w:val="single" w:color="auto" w:sz="4" w:space="0"/>
            </w:tcBorders>
            <w:tcMar>
              <w:top w:w="0" w:type="dxa"/>
              <w:left w:w="108" w:type="dxa"/>
              <w:bottom w:w="0" w:type="dxa"/>
              <w:right w:w="108" w:type="dxa"/>
            </w:tcMar>
          </w:tcPr>
          <w:p w14:paraId="74C2999A">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How frequently do you come across information about the educational loan scheme?</w:t>
            </w:r>
          </w:p>
        </w:tc>
        <w:tc>
          <w:tcPr>
            <w:tcW w:w="1521" w:type="dxa"/>
            <w:tcBorders>
              <w:bottom w:val="single" w:color="auto" w:sz="4" w:space="0"/>
            </w:tcBorders>
            <w:tcMar>
              <w:top w:w="0" w:type="dxa"/>
              <w:left w:w="108" w:type="dxa"/>
              <w:bottom w:w="0" w:type="dxa"/>
              <w:right w:w="108" w:type="dxa"/>
            </w:tcMar>
          </w:tcPr>
          <w:p w14:paraId="688BA7A6">
            <w:pPr>
              <w:spacing w:line="360" w:lineRule="auto"/>
              <w:jc w:val="left"/>
              <w:rPr>
                <w:rFonts w:ascii="Times New Roman" w:hAnsi="Times New Roman" w:cs="Times New Roman"/>
                <w:b/>
                <w:bCs/>
                <w:sz w:val="24"/>
              </w:rPr>
            </w:pPr>
            <w:r>
              <w:rPr>
                <w:rFonts w:ascii="Times New Roman" w:hAnsi="Times New Roman" w:eastAsia="SimSun" w:cs="Times New Roman"/>
                <w:sz w:val="24"/>
              </w:rPr>
              <w:t>81(21.31%)</w:t>
            </w:r>
          </w:p>
          <w:p w14:paraId="50AB6B23">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5B3A03C4">
            <w:pPr>
              <w:spacing w:line="360" w:lineRule="auto"/>
              <w:jc w:val="left"/>
              <w:rPr>
                <w:rFonts w:ascii="Times New Roman" w:hAnsi="Times New Roman" w:cs="Times New Roman"/>
                <w:b/>
                <w:bCs/>
                <w:sz w:val="24"/>
              </w:rPr>
            </w:pPr>
            <w:r>
              <w:rPr>
                <w:rFonts w:ascii="Times New Roman" w:hAnsi="Times New Roman" w:eastAsia="SimSun" w:cs="Times New Roman"/>
                <w:sz w:val="24"/>
              </w:rPr>
              <w:t>69(18.15%)</w:t>
            </w:r>
          </w:p>
          <w:p w14:paraId="5BAF5F2D">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71E32D8B">
            <w:pPr>
              <w:spacing w:line="360" w:lineRule="auto"/>
              <w:jc w:val="left"/>
              <w:rPr>
                <w:rFonts w:ascii="Times New Roman" w:hAnsi="Times New Roman" w:cs="Times New Roman"/>
                <w:b/>
                <w:bCs/>
                <w:sz w:val="24"/>
              </w:rPr>
            </w:pPr>
            <w:r>
              <w:rPr>
                <w:rFonts w:ascii="Times New Roman" w:hAnsi="Times New Roman" w:eastAsia="SimSun" w:cs="Times New Roman"/>
                <w:sz w:val="24"/>
              </w:rPr>
              <w:t>117(30.78%)</w:t>
            </w:r>
          </w:p>
          <w:p w14:paraId="3357126D">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2E6AACDA">
            <w:pPr>
              <w:spacing w:line="360" w:lineRule="auto"/>
              <w:jc w:val="left"/>
              <w:rPr>
                <w:rFonts w:ascii="Times New Roman" w:hAnsi="Times New Roman" w:cs="Times New Roman"/>
                <w:b/>
                <w:bCs/>
                <w:sz w:val="24"/>
              </w:rPr>
            </w:pPr>
            <w:r>
              <w:rPr>
                <w:rFonts w:ascii="Times New Roman" w:hAnsi="Times New Roman" w:eastAsia="SimSun" w:cs="Times New Roman"/>
                <w:sz w:val="24"/>
              </w:rPr>
              <w:t>103(27.10%)</w:t>
            </w:r>
          </w:p>
          <w:p w14:paraId="4D75E516">
            <w:pPr>
              <w:spacing w:line="360" w:lineRule="auto"/>
              <w:jc w:val="left"/>
              <w:rPr>
                <w:rFonts w:ascii="Times New Roman" w:hAnsi="Times New Roman" w:cs="Times New Roman"/>
                <w:b/>
                <w:bCs/>
                <w:sz w:val="24"/>
              </w:rPr>
            </w:pPr>
          </w:p>
        </w:tc>
      </w:tr>
    </w:tbl>
    <w:p w14:paraId="3A0B8E20">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67577C1F">
      <w:pPr>
        <w:spacing w:line="480" w:lineRule="auto"/>
        <w:ind w:firstLine="720"/>
        <w:rPr>
          <w:rFonts w:ascii="Times New Roman" w:hAnsi="Times New Roman" w:eastAsia="SimSun" w:cs="Times New Roman"/>
          <w:sz w:val="24"/>
        </w:rPr>
      </w:pPr>
    </w:p>
    <w:p w14:paraId="4CB23A5E">
      <w:pPr>
        <w:spacing w:line="480" w:lineRule="auto"/>
        <w:ind w:firstLine="720"/>
        <w:rPr>
          <w:rFonts w:ascii="Times New Roman" w:hAnsi="Times New Roman" w:eastAsia="SimSun" w:cs="Times New Roman"/>
          <w:sz w:val="24"/>
        </w:rPr>
      </w:pPr>
    </w:p>
    <w:p w14:paraId="3AAACFE9">
      <w:pPr>
        <w:spacing w:line="480" w:lineRule="auto"/>
        <w:rPr>
          <w:rFonts w:ascii="Times New Roman" w:hAnsi="Times New Roman" w:eastAsia="SimSun" w:cs="Times New Roman"/>
          <w:sz w:val="24"/>
        </w:rPr>
      </w:pPr>
      <w:r>
        <w:rPr>
          <w:rFonts w:ascii="Times New Roman" w:hAnsi="Times New Roman" w:eastAsia="SimSun" w:cs="Times New Roman"/>
          <w:sz w:val="24"/>
        </w:rPr>
        <w:t xml:space="preserve">The table 4.5 represents level of awareness of the educational loan scheme by KWASU students. From the table, 253(66.57%) of the respondents agreed that, they are </w:t>
      </w:r>
      <w:r>
        <w:rPr>
          <w:rFonts w:ascii="Times New Roman" w:hAnsi="Times New Roman" w:eastAsia="Times New Roman" w:cs="Times New Roman"/>
          <w:kern w:val="0"/>
          <w:sz w:val="24"/>
          <w:lang w:eastAsia="en-US"/>
        </w:rPr>
        <w:t>aware that Nigerian offers an educational loan scheme for students</w:t>
      </w:r>
      <w:r>
        <w:rPr>
          <w:rFonts w:ascii="Times New Roman" w:hAnsi="Times New Roman" w:eastAsia="SimSun" w:cs="Times New Roman"/>
          <w:sz w:val="24"/>
        </w:rPr>
        <w:t xml:space="preserve">, 246(64.73%) of the respondents agreed that, they are </w:t>
      </w:r>
      <w:r>
        <w:rPr>
          <w:rFonts w:ascii="Times New Roman" w:hAnsi="Times New Roman" w:eastAsia="Times New Roman" w:cs="Times New Roman"/>
          <w:kern w:val="0"/>
          <w:sz w:val="24"/>
          <w:lang w:eastAsia="en-US"/>
        </w:rPr>
        <w:t xml:space="preserve">confident and understanding of the educational loan scheme, </w:t>
      </w:r>
      <w:r>
        <w:rPr>
          <w:rFonts w:ascii="Times New Roman" w:hAnsi="Times New Roman" w:eastAsia="SimSun" w:cs="Times New Roman"/>
          <w:sz w:val="24"/>
        </w:rPr>
        <w:t xml:space="preserve">170(44.73%) agreed that, they </w:t>
      </w:r>
      <w:r>
        <w:rPr>
          <w:rFonts w:ascii="Times New Roman" w:hAnsi="Times New Roman" w:eastAsia="Times New Roman" w:cs="Times New Roman"/>
          <w:kern w:val="0"/>
          <w:sz w:val="24"/>
          <w:lang w:eastAsia="en-US"/>
        </w:rPr>
        <w:t>know where to find more information about the educational loan scheme if needed,</w:t>
      </w:r>
      <w:r>
        <w:rPr>
          <w:rFonts w:ascii="Times New Roman" w:hAnsi="Times New Roman" w:eastAsia="SimSun" w:cs="Times New Roman"/>
          <w:sz w:val="24"/>
        </w:rPr>
        <w:t xml:space="preserve"> while 150(39.46%) of the respondents agreed that, they are </w:t>
      </w:r>
      <w:r>
        <w:rPr>
          <w:rFonts w:ascii="Times New Roman" w:hAnsi="Times New Roman" w:eastAsia="Times New Roman" w:cs="Times New Roman"/>
          <w:kern w:val="0"/>
          <w:sz w:val="24"/>
          <w:lang w:eastAsia="en-US"/>
        </w:rPr>
        <w:t>frequently come across information about the educational loan scheme</w:t>
      </w:r>
      <w:r>
        <w:rPr>
          <w:rFonts w:ascii="Times New Roman" w:hAnsi="Times New Roman" w:eastAsia="SimSun" w:cs="Times New Roman"/>
          <w:sz w:val="24"/>
        </w:rPr>
        <w:t xml:space="preserve">. This finding is in agreement with Nganga (2016), who stated that, tertiary institutions student loan scheme is a global program with objectives of increasing accessing to tertiary education. The student loans are common forms of financial aid that help students cover the costs of their education. They typically involve borrowing money for tuition fee, books, living expenses, and miscellaneous expenditures. These loans are usually repaid with interest after the student completes their education or when they enter the workforce (Nganga, 2016). </w:t>
      </w:r>
    </w:p>
    <w:p w14:paraId="62FBAD4C">
      <w:pPr>
        <w:spacing w:line="480" w:lineRule="auto"/>
        <w:rPr>
          <w:rFonts w:ascii="Times New Roman" w:hAnsi="Times New Roman" w:eastAsia="SimSun" w:cs="Times New Roman"/>
          <w:sz w:val="24"/>
        </w:rPr>
      </w:pPr>
      <w:r>
        <w:rPr>
          <w:rFonts w:ascii="Times New Roman" w:hAnsi="Times New Roman" w:eastAsia="SimSun" w:cs="Times New Roman"/>
          <w:sz w:val="24"/>
        </w:rPr>
        <w:t xml:space="preserve">Atuahene (2008), added that, the new student loan policy in Ghana is very much welcomed by students due to its anticipated impact on making education more accessible to students from disadvantaged socio-economic backgrounds. Samuel et al (2012), empirical evidence from Sunyani Polytechnic (Ghana) suggests that beneficiaries of student loans spend the amount mostly on course of study and living expenses. </w:t>
      </w:r>
    </w:p>
    <w:p w14:paraId="4AAA6D24">
      <w:pPr>
        <w:widowControl/>
        <w:jc w:val="left"/>
        <w:rPr>
          <w:rFonts w:ascii="Times New Roman" w:hAnsi="Times New Roman" w:eastAsia="SimSun" w:cs="Times New Roman"/>
          <w:b/>
          <w:bCs/>
          <w:sz w:val="24"/>
        </w:rPr>
      </w:pPr>
      <w:r>
        <w:rPr>
          <w:rFonts w:ascii="Times New Roman" w:hAnsi="Times New Roman" w:eastAsia="SimSun" w:cs="Times New Roman"/>
          <w:b/>
          <w:bCs/>
          <w:sz w:val="24"/>
        </w:rPr>
        <w:br w:type="page"/>
      </w:r>
    </w:p>
    <w:p w14:paraId="6C3435FE">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4: how will educational loan scheme be beneficial to KWASU students?</w:t>
      </w:r>
    </w:p>
    <w:p w14:paraId="2A083501">
      <w:pPr>
        <w:spacing w:line="480" w:lineRule="auto"/>
        <w:rPr>
          <w:rFonts w:ascii="Times New Roman" w:hAnsi="Times New Roman" w:cs="Times New Roman"/>
          <w:b/>
          <w:bCs/>
          <w:sz w:val="24"/>
        </w:rPr>
      </w:pPr>
      <w:r>
        <w:rPr>
          <w:rFonts w:ascii="Times New Roman" w:hAnsi="Times New Roman" w:eastAsia="SimSun" w:cs="Times New Roman"/>
          <w:b/>
          <w:bCs/>
          <w:sz w:val="24"/>
        </w:rPr>
        <w:t>Table 4.6: Benefit of the Student’s Loan Scheme</w:t>
      </w:r>
    </w:p>
    <w:tbl>
      <w:tblPr>
        <w:tblStyle w:val="4"/>
        <w:tblW w:w="900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0"/>
        <w:gridCol w:w="1530"/>
        <w:gridCol w:w="1530"/>
        <w:gridCol w:w="1440"/>
        <w:gridCol w:w="1440"/>
      </w:tblGrid>
      <w:tr w14:paraId="233A5B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top w:val="single" w:color="auto" w:sz="4" w:space="0"/>
              <w:bottom w:val="single" w:color="auto" w:sz="4" w:space="0"/>
            </w:tcBorders>
            <w:tcMar>
              <w:top w:w="0" w:type="dxa"/>
              <w:left w:w="108" w:type="dxa"/>
              <w:bottom w:w="0" w:type="dxa"/>
              <w:right w:w="108" w:type="dxa"/>
            </w:tcMar>
          </w:tcPr>
          <w:p w14:paraId="17E63837">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1530" w:type="dxa"/>
            <w:tcBorders>
              <w:top w:val="single" w:color="auto" w:sz="4" w:space="0"/>
              <w:bottom w:val="single" w:color="auto" w:sz="4" w:space="0"/>
            </w:tcBorders>
            <w:tcMar>
              <w:top w:w="0" w:type="dxa"/>
              <w:left w:w="108" w:type="dxa"/>
              <w:bottom w:w="0" w:type="dxa"/>
              <w:right w:w="108" w:type="dxa"/>
            </w:tcMar>
          </w:tcPr>
          <w:p w14:paraId="76074914">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SA </w:t>
            </w:r>
          </w:p>
        </w:tc>
        <w:tc>
          <w:tcPr>
            <w:tcW w:w="1530" w:type="dxa"/>
            <w:tcBorders>
              <w:top w:val="single" w:color="auto" w:sz="4" w:space="0"/>
              <w:bottom w:val="single" w:color="auto" w:sz="4" w:space="0"/>
            </w:tcBorders>
            <w:tcMar>
              <w:top w:w="0" w:type="dxa"/>
              <w:left w:w="108" w:type="dxa"/>
              <w:bottom w:w="0" w:type="dxa"/>
              <w:right w:w="108" w:type="dxa"/>
            </w:tcMar>
          </w:tcPr>
          <w:p w14:paraId="108B7FD3">
            <w:pPr>
              <w:spacing w:line="48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52B3895C">
            <w:pPr>
              <w:spacing w:line="480" w:lineRule="auto"/>
              <w:rPr>
                <w:rFonts w:ascii="Times New Roman" w:hAnsi="Times New Roman" w:cs="Times New Roman"/>
                <w:b/>
                <w:bCs/>
                <w:sz w:val="24"/>
              </w:rPr>
            </w:pPr>
            <w:r>
              <w:rPr>
                <w:rFonts w:ascii="Times New Roman" w:hAnsi="Times New Roman" w:eastAsia="SimSun" w:cs="Times New Roman"/>
                <w:b/>
                <w:bCs/>
                <w:sz w:val="24"/>
              </w:rPr>
              <w:t>D</w:t>
            </w:r>
          </w:p>
        </w:tc>
        <w:tc>
          <w:tcPr>
            <w:tcW w:w="1440" w:type="dxa"/>
            <w:tcBorders>
              <w:top w:val="single" w:color="auto" w:sz="4" w:space="0"/>
              <w:bottom w:val="single" w:color="auto" w:sz="4" w:space="0"/>
            </w:tcBorders>
            <w:tcMar>
              <w:top w:w="0" w:type="dxa"/>
              <w:left w:w="108" w:type="dxa"/>
              <w:bottom w:w="0" w:type="dxa"/>
              <w:right w:w="108" w:type="dxa"/>
            </w:tcMar>
          </w:tcPr>
          <w:p w14:paraId="4CA961BE">
            <w:pPr>
              <w:spacing w:line="480" w:lineRule="auto"/>
              <w:rPr>
                <w:rFonts w:ascii="Times New Roman" w:hAnsi="Times New Roman" w:cs="Times New Roman"/>
                <w:b/>
                <w:bCs/>
                <w:sz w:val="24"/>
              </w:rPr>
            </w:pPr>
            <w:r>
              <w:rPr>
                <w:rFonts w:ascii="Times New Roman" w:hAnsi="Times New Roman" w:eastAsia="SimSun" w:cs="Times New Roman"/>
                <w:b/>
                <w:bCs/>
                <w:sz w:val="24"/>
              </w:rPr>
              <w:t>SD</w:t>
            </w:r>
          </w:p>
        </w:tc>
      </w:tr>
      <w:tr w14:paraId="31794B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top w:val="single" w:color="auto" w:sz="4" w:space="0"/>
            </w:tcBorders>
            <w:tcMar>
              <w:top w:w="0" w:type="dxa"/>
              <w:left w:w="108" w:type="dxa"/>
              <w:bottom w:w="0" w:type="dxa"/>
              <w:right w:w="108" w:type="dxa"/>
            </w:tcMar>
          </w:tcPr>
          <w:p w14:paraId="10CC314C">
            <w:pPr>
              <w:spacing w:line="480" w:lineRule="auto"/>
              <w:rPr>
                <w:rFonts w:ascii="Times New Roman" w:hAnsi="Times New Roman" w:cs="Times New Roman"/>
                <w:b/>
                <w:bCs/>
                <w:sz w:val="24"/>
              </w:rPr>
            </w:pPr>
            <w:r>
              <w:rPr>
                <w:rFonts w:ascii="Times New Roman" w:hAnsi="Times New Roman" w:eastAsia="SimSun" w:cs="Times New Roman"/>
                <w:sz w:val="24"/>
              </w:rPr>
              <w:t>Increased Access to Higher Education</w:t>
            </w:r>
          </w:p>
        </w:tc>
        <w:tc>
          <w:tcPr>
            <w:tcW w:w="1530" w:type="dxa"/>
            <w:tcBorders>
              <w:top w:val="single" w:color="auto" w:sz="4" w:space="0"/>
            </w:tcBorders>
            <w:tcMar>
              <w:top w:w="0" w:type="dxa"/>
              <w:left w:w="108" w:type="dxa"/>
              <w:bottom w:w="0" w:type="dxa"/>
              <w:right w:w="108" w:type="dxa"/>
            </w:tcMar>
          </w:tcPr>
          <w:p w14:paraId="048BF22D">
            <w:pPr>
              <w:spacing w:line="360" w:lineRule="auto"/>
              <w:rPr>
                <w:rFonts w:ascii="Times New Roman" w:hAnsi="Times New Roman" w:cs="Times New Roman"/>
                <w:sz w:val="24"/>
              </w:rPr>
            </w:pPr>
            <w:r>
              <w:rPr>
                <w:rFonts w:ascii="Times New Roman" w:hAnsi="Times New Roman" w:eastAsia="SimSun" w:cs="Times New Roman"/>
                <w:sz w:val="24"/>
              </w:rPr>
              <w:t>142(37.37%)</w:t>
            </w:r>
          </w:p>
        </w:tc>
        <w:tc>
          <w:tcPr>
            <w:tcW w:w="1530" w:type="dxa"/>
            <w:tcBorders>
              <w:top w:val="single" w:color="auto" w:sz="4" w:space="0"/>
            </w:tcBorders>
            <w:tcMar>
              <w:top w:w="0" w:type="dxa"/>
              <w:left w:w="108" w:type="dxa"/>
              <w:bottom w:w="0" w:type="dxa"/>
              <w:right w:w="108" w:type="dxa"/>
            </w:tcMar>
          </w:tcPr>
          <w:p w14:paraId="07D6595B">
            <w:pPr>
              <w:spacing w:line="360" w:lineRule="auto"/>
              <w:rPr>
                <w:rFonts w:ascii="Times New Roman" w:hAnsi="Times New Roman" w:cs="Times New Roman"/>
                <w:sz w:val="24"/>
              </w:rPr>
            </w:pPr>
            <w:r>
              <w:rPr>
                <w:rFonts w:ascii="Times New Roman" w:hAnsi="Times New Roman" w:eastAsia="SimSun" w:cs="Times New Roman"/>
                <w:sz w:val="24"/>
              </w:rPr>
              <w:t>137(36.05%)</w:t>
            </w:r>
          </w:p>
        </w:tc>
        <w:tc>
          <w:tcPr>
            <w:tcW w:w="1440" w:type="dxa"/>
            <w:tcBorders>
              <w:top w:val="single" w:color="auto" w:sz="4" w:space="0"/>
            </w:tcBorders>
            <w:tcMar>
              <w:top w:w="0" w:type="dxa"/>
              <w:left w:w="108" w:type="dxa"/>
              <w:bottom w:w="0" w:type="dxa"/>
              <w:right w:w="108" w:type="dxa"/>
            </w:tcMar>
          </w:tcPr>
          <w:p w14:paraId="452EA398">
            <w:pPr>
              <w:spacing w:line="480" w:lineRule="auto"/>
              <w:rPr>
                <w:rFonts w:ascii="Times New Roman" w:hAnsi="Times New Roman" w:cs="Times New Roman"/>
                <w:b/>
                <w:bCs/>
                <w:sz w:val="24"/>
              </w:rPr>
            </w:pPr>
            <w:r>
              <w:rPr>
                <w:rFonts w:ascii="Times New Roman" w:hAnsi="Times New Roman" w:eastAsia="SimSun" w:cs="Times New Roman"/>
                <w:sz w:val="24"/>
              </w:rPr>
              <w:t>50(13.16%)</w:t>
            </w:r>
          </w:p>
        </w:tc>
        <w:tc>
          <w:tcPr>
            <w:tcW w:w="1440" w:type="dxa"/>
            <w:tcBorders>
              <w:top w:val="single" w:color="auto" w:sz="4" w:space="0"/>
            </w:tcBorders>
            <w:tcMar>
              <w:top w:w="0" w:type="dxa"/>
              <w:left w:w="108" w:type="dxa"/>
              <w:bottom w:w="0" w:type="dxa"/>
              <w:right w:w="108" w:type="dxa"/>
            </w:tcMar>
          </w:tcPr>
          <w:p w14:paraId="2946C627">
            <w:pPr>
              <w:spacing w:line="480" w:lineRule="auto"/>
              <w:rPr>
                <w:rFonts w:ascii="Times New Roman" w:hAnsi="Times New Roman" w:cs="Times New Roman"/>
                <w:b/>
                <w:bCs/>
                <w:sz w:val="24"/>
              </w:rPr>
            </w:pPr>
            <w:r>
              <w:rPr>
                <w:rFonts w:ascii="Times New Roman" w:hAnsi="Times New Roman" w:eastAsia="SimSun" w:cs="Times New Roman"/>
                <w:sz w:val="24"/>
              </w:rPr>
              <w:t>51(13.42%)</w:t>
            </w:r>
          </w:p>
        </w:tc>
      </w:tr>
      <w:tr w14:paraId="4CD38F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154FAAC2">
            <w:pPr>
              <w:spacing w:line="480" w:lineRule="auto"/>
              <w:rPr>
                <w:rFonts w:ascii="Times New Roman" w:hAnsi="Times New Roman" w:cs="Times New Roman"/>
                <w:b/>
                <w:bCs/>
                <w:sz w:val="24"/>
              </w:rPr>
            </w:pPr>
            <w:r>
              <w:rPr>
                <w:rFonts w:ascii="Times New Roman" w:hAnsi="Times New Roman" w:eastAsia="SimSun" w:cs="Times New Roman"/>
                <w:sz w:val="24"/>
              </w:rPr>
              <w:t>Reduced Financial Barriers</w:t>
            </w:r>
          </w:p>
        </w:tc>
        <w:tc>
          <w:tcPr>
            <w:tcW w:w="1530" w:type="dxa"/>
            <w:tcMar>
              <w:top w:w="0" w:type="dxa"/>
              <w:left w:w="108" w:type="dxa"/>
              <w:bottom w:w="0" w:type="dxa"/>
              <w:right w:w="108" w:type="dxa"/>
            </w:tcMar>
          </w:tcPr>
          <w:p w14:paraId="2C568841">
            <w:pPr>
              <w:spacing w:line="480" w:lineRule="auto"/>
              <w:rPr>
                <w:rFonts w:ascii="Times New Roman" w:hAnsi="Times New Roman" w:cs="Times New Roman"/>
                <w:b/>
                <w:bCs/>
                <w:sz w:val="24"/>
              </w:rPr>
            </w:pPr>
            <w:r>
              <w:rPr>
                <w:rFonts w:ascii="Times New Roman" w:hAnsi="Times New Roman" w:eastAsia="SimSun" w:cs="Times New Roman"/>
                <w:sz w:val="24"/>
              </w:rPr>
              <w:t>178(46.84%)</w:t>
            </w:r>
          </w:p>
        </w:tc>
        <w:tc>
          <w:tcPr>
            <w:tcW w:w="1530" w:type="dxa"/>
            <w:tcMar>
              <w:top w:w="0" w:type="dxa"/>
              <w:left w:w="108" w:type="dxa"/>
              <w:bottom w:w="0" w:type="dxa"/>
              <w:right w:w="108" w:type="dxa"/>
            </w:tcMar>
          </w:tcPr>
          <w:p w14:paraId="0EB5ECCC">
            <w:pPr>
              <w:spacing w:line="480" w:lineRule="auto"/>
              <w:rPr>
                <w:rFonts w:ascii="Times New Roman" w:hAnsi="Times New Roman" w:cs="Times New Roman"/>
                <w:b/>
                <w:bCs/>
                <w:sz w:val="24"/>
              </w:rPr>
            </w:pPr>
            <w:r>
              <w:rPr>
                <w:rFonts w:ascii="Times New Roman" w:hAnsi="Times New Roman" w:eastAsia="SimSun" w:cs="Times New Roman"/>
                <w:sz w:val="24"/>
              </w:rPr>
              <w:t>111(29.21%)</w:t>
            </w:r>
          </w:p>
        </w:tc>
        <w:tc>
          <w:tcPr>
            <w:tcW w:w="1440" w:type="dxa"/>
            <w:tcMar>
              <w:top w:w="0" w:type="dxa"/>
              <w:left w:w="108" w:type="dxa"/>
              <w:bottom w:w="0" w:type="dxa"/>
              <w:right w:w="108" w:type="dxa"/>
            </w:tcMar>
          </w:tcPr>
          <w:p w14:paraId="744A1703">
            <w:pPr>
              <w:spacing w:line="480" w:lineRule="auto"/>
              <w:rPr>
                <w:rFonts w:ascii="Times New Roman" w:hAnsi="Times New Roman" w:cs="Times New Roman"/>
                <w:b/>
                <w:bCs/>
                <w:sz w:val="24"/>
              </w:rPr>
            </w:pPr>
            <w:r>
              <w:rPr>
                <w:rFonts w:ascii="Times New Roman" w:hAnsi="Times New Roman" w:eastAsia="SimSun" w:cs="Times New Roman"/>
                <w:sz w:val="24"/>
              </w:rPr>
              <w:t>62(16.32%)</w:t>
            </w:r>
          </w:p>
        </w:tc>
        <w:tc>
          <w:tcPr>
            <w:tcW w:w="1440" w:type="dxa"/>
            <w:tcMar>
              <w:top w:w="0" w:type="dxa"/>
              <w:left w:w="108" w:type="dxa"/>
              <w:bottom w:w="0" w:type="dxa"/>
              <w:right w:w="108" w:type="dxa"/>
            </w:tcMar>
          </w:tcPr>
          <w:p w14:paraId="5961C42D">
            <w:pPr>
              <w:spacing w:line="480" w:lineRule="auto"/>
              <w:rPr>
                <w:rFonts w:ascii="Times New Roman" w:hAnsi="Times New Roman" w:cs="Times New Roman"/>
                <w:b/>
                <w:bCs/>
                <w:sz w:val="24"/>
              </w:rPr>
            </w:pPr>
            <w:r>
              <w:rPr>
                <w:rFonts w:ascii="Times New Roman" w:hAnsi="Times New Roman" w:eastAsia="SimSun" w:cs="Times New Roman"/>
                <w:sz w:val="24"/>
              </w:rPr>
              <w:t>29(07.63%)</w:t>
            </w:r>
          </w:p>
        </w:tc>
      </w:tr>
      <w:tr w14:paraId="22ACF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6B3C5430">
            <w:pPr>
              <w:spacing w:line="480" w:lineRule="auto"/>
              <w:rPr>
                <w:rFonts w:ascii="Times New Roman" w:hAnsi="Times New Roman" w:cs="Times New Roman"/>
                <w:b/>
                <w:bCs/>
                <w:sz w:val="24"/>
              </w:rPr>
            </w:pPr>
            <w:r>
              <w:rPr>
                <w:rFonts w:ascii="Times New Roman" w:hAnsi="Times New Roman" w:eastAsia="SimSun" w:cs="Times New Roman"/>
                <w:sz w:val="24"/>
              </w:rPr>
              <w:t>Improved Economic Mobility</w:t>
            </w:r>
          </w:p>
        </w:tc>
        <w:tc>
          <w:tcPr>
            <w:tcW w:w="1530" w:type="dxa"/>
            <w:tcMar>
              <w:top w:w="0" w:type="dxa"/>
              <w:left w:w="108" w:type="dxa"/>
              <w:bottom w:w="0" w:type="dxa"/>
              <w:right w:w="108" w:type="dxa"/>
            </w:tcMar>
          </w:tcPr>
          <w:p w14:paraId="04769BF2">
            <w:pPr>
              <w:spacing w:line="360" w:lineRule="auto"/>
              <w:rPr>
                <w:rFonts w:ascii="Times New Roman" w:hAnsi="Times New Roman" w:cs="Times New Roman"/>
                <w:sz w:val="24"/>
              </w:rPr>
            </w:pPr>
            <w:r>
              <w:rPr>
                <w:rFonts w:ascii="Times New Roman" w:hAnsi="Times New Roman" w:eastAsia="SimSun" w:cs="Times New Roman"/>
                <w:sz w:val="24"/>
              </w:rPr>
              <w:t>143(37.63%)</w:t>
            </w:r>
          </w:p>
        </w:tc>
        <w:tc>
          <w:tcPr>
            <w:tcW w:w="1530" w:type="dxa"/>
            <w:tcMar>
              <w:top w:w="0" w:type="dxa"/>
              <w:left w:w="108" w:type="dxa"/>
              <w:bottom w:w="0" w:type="dxa"/>
              <w:right w:w="108" w:type="dxa"/>
            </w:tcMar>
          </w:tcPr>
          <w:p w14:paraId="5549329C">
            <w:pPr>
              <w:spacing w:line="360" w:lineRule="auto"/>
              <w:rPr>
                <w:rFonts w:ascii="Times New Roman" w:hAnsi="Times New Roman" w:cs="Times New Roman"/>
                <w:sz w:val="24"/>
              </w:rPr>
            </w:pPr>
            <w:r>
              <w:rPr>
                <w:rFonts w:ascii="Times New Roman" w:hAnsi="Times New Roman" w:eastAsia="SimSun" w:cs="Times New Roman"/>
                <w:sz w:val="24"/>
              </w:rPr>
              <w:t>129(33.95%)</w:t>
            </w:r>
          </w:p>
        </w:tc>
        <w:tc>
          <w:tcPr>
            <w:tcW w:w="1440" w:type="dxa"/>
            <w:tcMar>
              <w:top w:w="0" w:type="dxa"/>
              <w:left w:w="108" w:type="dxa"/>
              <w:bottom w:w="0" w:type="dxa"/>
              <w:right w:w="108" w:type="dxa"/>
            </w:tcMar>
          </w:tcPr>
          <w:p w14:paraId="74275E24">
            <w:pPr>
              <w:spacing w:line="360" w:lineRule="auto"/>
              <w:rPr>
                <w:rFonts w:ascii="Times New Roman" w:hAnsi="Times New Roman" w:cs="Times New Roman"/>
                <w:sz w:val="24"/>
              </w:rPr>
            </w:pPr>
            <w:r>
              <w:rPr>
                <w:rFonts w:ascii="Times New Roman" w:hAnsi="Times New Roman" w:eastAsia="SimSun" w:cs="Times New Roman"/>
                <w:sz w:val="24"/>
              </w:rPr>
              <w:t>94(24.74%)</w:t>
            </w:r>
          </w:p>
        </w:tc>
        <w:tc>
          <w:tcPr>
            <w:tcW w:w="1440" w:type="dxa"/>
            <w:tcMar>
              <w:top w:w="0" w:type="dxa"/>
              <w:left w:w="108" w:type="dxa"/>
              <w:bottom w:w="0" w:type="dxa"/>
              <w:right w:w="108" w:type="dxa"/>
            </w:tcMar>
          </w:tcPr>
          <w:p w14:paraId="25537242">
            <w:pPr>
              <w:spacing w:line="360" w:lineRule="auto"/>
              <w:rPr>
                <w:rFonts w:ascii="Times New Roman" w:hAnsi="Times New Roman" w:cs="Times New Roman"/>
                <w:sz w:val="24"/>
              </w:rPr>
            </w:pPr>
            <w:r>
              <w:rPr>
                <w:rFonts w:ascii="Times New Roman" w:hAnsi="Times New Roman" w:eastAsia="SimSun" w:cs="Times New Roman"/>
                <w:sz w:val="24"/>
              </w:rPr>
              <w:t>14(03.68%)</w:t>
            </w:r>
          </w:p>
        </w:tc>
      </w:tr>
      <w:tr w14:paraId="655F8D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61064F70">
            <w:pPr>
              <w:spacing w:line="480" w:lineRule="auto"/>
              <w:rPr>
                <w:rFonts w:ascii="Times New Roman" w:hAnsi="Times New Roman" w:cs="Times New Roman"/>
                <w:b/>
                <w:bCs/>
                <w:sz w:val="24"/>
              </w:rPr>
            </w:pPr>
            <w:r>
              <w:rPr>
                <w:rFonts w:ascii="Times New Roman" w:hAnsi="Times New Roman" w:eastAsia="SimSun" w:cs="Times New Roman"/>
                <w:sz w:val="24"/>
              </w:rPr>
              <w:t>Mitigation of Student Debt</w:t>
            </w:r>
          </w:p>
        </w:tc>
        <w:tc>
          <w:tcPr>
            <w:tcW w:w="1530" w:type="dxa"/>
            <w:tcMar>
              <w:top w:w="0" w:type="dxa"/>
              <w:left w:w="108" w:type="dxa"/>
              <w:bottom w:w="0" w:type="dxa"/>
              <w:right w:w="108" w:type="dxa"/>
            </w:tcMar>
          </w:tcPr>
          <w:p w14:paraId="4A225347">
            <w:pPr>
              <w:spacing w:line="360" w:lineRule="auto"/>
              <w:rPr>
                <w:rFonts w:ascii="Times New Roman" w:hAnsi="Times New Roman" w:cs="Times New Roman"/>
                <w:sz w:val="24"/>
              </w:rPr>
            </w:pPr>
            <w:r>
              <w:rPr>
                <w:rFonts w:ascii="Times New Roman" w:hAnsi="Times New Roman" w:eastAsia="SimSun" w:cs="Times New Roman"/>
                <w:sz w:val="24"/>
              </w:rPr>
              <w:t>155(40.79%)</w:t>
            </w:r>
          </w:p>
        </w:tc>
        <w:tc>
          <w:tcPr>
            <w:tcW w:w="1530" w:type="dxa"/>
            <w:tcMar>
              <w:top w:w="0" w:type="dxa"/>
              <w:left w:w="108" w:type="dxa"/>
              <w:bottom w:w="0" w:type="dxa"/>
              <w:right w:w="108" w:type="dxa"/>
            </w:tcMar>
          </w:tcPr>
          <w:p w14:paraId="21E1B199">
            <w:pPr>
              <w:spacing w:line="360" w:lineRule="auto"/>
              <w:rPr>
                <w:rFonts w:ascii="Times New Roman" w:hAnsi="Times New Roman" w:cs="Times New Roman"/>
                <w:sz w:val="24"/>
              </w:rPr>
            </w:pPr>
            <w:r>
              <w:rPr>
                <w:rFonts w:ascii="Times New Roman" w:hAnsi="Times New Roman" w:eastAsia="SimSun" w:cs="Times New Roman"/>
                <w:sz w:val="24"/>
              </w:rPr>
              <w:t>152(40.00%)</w:t>
            </w:r>
          </w:p>
        </w:tc>
        <w:tc>
          <w:tcPr>
            <w:tcW w:w="1440" w:type="dxa"/>
            <w:tcMar>
              <w:top w:w="0" w:type="dxa"/>
              <w:left w:w="108" w:type="dxa"/>
              <w:bottom w:w="0" w:type="dxa"/>
              <w:right w:w="108" w:type="dxa"/>
            </w:tcMar>
          </w:tcPr>
          <w:p w14:paraId="6A66F626">
            <w:pPr>
              <w:spacing w:line="360" w:lineRule="auto"/>
              <w:rPr>
                <w:rFonts w:ascii="Times New Roman" w:hAnsi="Times New Roman" w:cs="Times New Roman"/>
                <w:sz w:val="24"/>
              </w:rPr>
            </w:pPr>
            <w:r>
              <w:rPr>
                <w:rFonts w:ascii="Times New Roman" w:hAnsi="Times New Roman" w:eastAsia="SimSun" w:cs="Times New Roman"/>
                <w:sz w:val="24"/>
              </w:rPr>
              <w:t>18(04.74%)</w:t>
            </w:r>
          </w:p>
        </w:tc>
        <w:tc>
          <w:tcPr>
            <w:tcW w:w="1440" w:type="dxa"/>
            <w:tcMar>
              <w:top w:w="0" w:type="dxa"/>
              <w:left w:w="108" w:type="dxa"/>
              <w:bottom w:w="0" w:type="dxa"/>
              <w:right w:w="108" w:type="dxa"/>
            </w:tcMar>
          </w:tcPr>
          <w:p w14:paraId="0AFDF928">
            <w:pPr>
              <w:spacing w:line="360" w:lineRule="auto"/>
              <w:rPr>
                <w:rFonts w:ascii="Times New Roman" w:hAnsi="Times New Roman" w:cs="Times New Roman"/>
                <w:sz w:val="24"/>
              </w:rPr>
            </w:pPr>
            <w:r>
              <w:rPr>
                <w:rFonts w:ascii="Times New Roman" w:hAnsi="Times New Roman" w:eastAsia="SimSun" w:cs="Times New Roman"/>
                <w:sz w:val="24"/>
              </w:rPr>
              <w:t>55(14.47%)</w:t>
            </w:r>
          </w:p>
        </w:tc>
      </w:tr>
      <w:tr w14:paraId="5D1F17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bottom w:val="single" w:color="auto" w:sz="4" w:space="0"/>
            </w:tcBorders>
            <w:tcMar>
              <w:top w:w="0" w:type="dxa"/>
              <w:left w:w="108" w:type="dxa"/>
              <w:bottom w:w="0" w:type="dxa"/>
              <w:right w:w="108" w:type="dxa"/>
            </w:tcMar>
          </w:tcPr>
          <w:p w14:paraId="1DCF96CA">
            <w:pPr>
              <w:spacing w:line="480" w:lineRule="auto"/>
              <w:rPr>
                <w:rFonts w:ascii="Times New Roman" w:hAnsi="Times New Roman" w:cs="Times New Roman"/>
                <w:b/>
                <w:bCs/>
                <w:sz w:val="24"/>
              </w:rPr>
            </w:pPr>
            <w:r>
              <w:rPr>
                <w:rFonts w:ascii="Times New Roman" w:hAnsi="Times New Roman" w:eastAsia="SimSun" w:cs="Times New Roman"/>
                <w:sz w:val="24"/>
              </w:rPr>
              <w:t xml:space="preserve">Long term benefit </w:t>
            </w:r>
          </w:p>
        </w:tc>
        <w:tc>
          <w:tcPr>
            <w:tcW w:w="1530" w:type="dxa"/>
            <w:tcBorders>
              <w:bottom w:val="single" w:color="auto" w:sz="4" w:space="0"/>
            </w:tcBorders>
            <w:tcMar>
              <w:top w:w="0" w:type="dxa"/>
              <w:left w:w="108" w:type="dxa"/>
              <w:bottom w:w="0" w:type="dxa"/>
              <w:right w:w="108" w:type="dxa"/>
            </w:tcMar>
          </w:tcPr>
          <w:p w14:paraId="16FC6AA1">
            <w:pPr>
              <w:spacing w:line="360" w:lineRule="auto"/>
              <w:rPr>
                <w:rFonts w:ascii="Times New Roman" w:hAnsi="Times New Roman" w:cs="Times New Roman"/>
                <w:sz w:val="24"/>
              </w:rPr>
            </w:pPr>
            <w:r>
              <w:rPr>
                <w:rFonts w:ascii="Times New Roman" w:hAnsi="Times New Roman" w:eastAsia="SimSun" w:cs="Times New Roman"/>
                <w:sz w:val="24"/>
              </w:rPr>
              <w:t>165(43.42%)</w:t>
            </w:r>
          </w:p>
          <w:p w14:paraId="3FD88864">
            <w:pPr>
              <w:spacing w:line="48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6F972563">
            <w:pPr>
              <w:spacing w:line="360" w:lineRule="auto"/>
              <w:rPr>
                <w:rFonts w:ascii="Times New Roman" w:hAnsi="Times New Roman" w:cs="Times New Roman"/>
                <w:sz w:val="24"/>
              </w:rPr>
            </w:pPr>
            <w:r>
              <w:rPr>
                <w:rFonts w:ascii="Times New Roman" w:hAnsi="Times New Roman" w:eastAsia="SimSun" w:cs="Times New Roman"/>
                <w:sz w:val="24"/>
              </w:rPr>
              <w:t>97(25.53%)</w:t>
            </w:r>
          </w:p>
          <w:p w14:paraId="70F54954">
            <w:pPr>
              <w:spacing w:line="480" w:lineRule="auto"/>
              <w:rPr>
                <w:rFonts w:ascii="Times New Roman" w:hAnsi="Times New Roman" w:cs="Times New Roman"/>
                <w:b/>
                <w:bCs/>
                <w:sz w:val="24"/>
              </w:rPr>
            </w:pPr>
          </w:p>
        </w:tc>
        <w:tc>
          <w:tcPr>
            <w:tcW w:w="1440" w:type="dxa"/>
            <w:tcBorders>
              <w:bottom w:val="single" w:color="auto" w:sz="4" w:space="0"/>
            </w:tcBorders>
            <w:tcMar>
              <w:top w:w="0" w:type="dxa"/>
              <w:left w:w="108" w:type="dxa"/>
              <w:bottom w:w="0" w:type="dxa"/>
              <w:right w:w="108" w:type="dxa"/>
            </w:tcMar>
          </w:tcPr>
          <w:p w14:paraId="0D0B1607">
            <w:pPr>
              <w:spacing w:line="480" w:lineRule="auto"/>
              <w:rPr>
                <w:rFonts w:ascii="Times New Roman" w:hAnsi="Times New Roman" w:cs="Times New Roman"/>
                <w:b/>
                <w:bCs/>
                <w:sz w:val="24"/>
              </w:rPr>
            </w:pPr>
            <w:r>
              <w:rPr>
                <w:rFonts w:ascii="Times New Roman" w:hAnsi="Times New Roman" w:eastAsia="SimSun" w:cs="Times New Roman"/>
                <w:sz w:val="24"/>
              </w:rPr>
              <w:t>87(22.89%)</w:t>
            </w:r>
          </w:p>
        </w:tc>
        <w:tc>
          <w:tcPr>
            <w:tcW w:w="1440" w:type="dxa"/>
            <w:tcBorders>
              <w:bottom w:val="single" w:color="auto" w:sz="4" w:space="0"/>
            </w:tcBorders>
            <w:tcMar>
              <w:top w:w="0" w:type="dxa"/>
              <w:left w:w="108" w:type="dxa"/>
              <w:bottom w:w="0" w:type="dxa"/>
              <w:right w:w="108" w:type="dxa"/>
            </w:tcMar>
          </w:tcPr>
          <w:p w14:paraId="5ABDB64E">
            <w:pPr>
              <w:spacing w:line="360" w:lineRule="auto"/>
              <w:rPr>
                <w:rFonts w:ascii="Times New Roman" w:hAnsi="Times New Roman" w:cs="Times New Roman"/>
                <w:sz w:val="24"/>
              </w:rPr>
            </w:pPr>
            <w:r>
              <w:rPr>
                <w:rFonts w:ascii="Times New Roman" w:hAnsi="Times New Roman" w:eastAsia="SimSun" w:cs="Times New Roman"/>
                <w:sz w:val="24"/>
              </w:rPr>
              <w:t>31(08.16%)</w:t>
            </w:r>
          </w:p>
          <w:p w14:paraId="7D58BD6A">
            <w:pPr>
              <w:spacing w:line="480" w:lineRule="auto"/>
              <w:rPr>
                <w:rFonts w:ascii="Times New Roman" w:hAnsi="Times New Roman" w:cs="Times New Roman"/>
                <w:b/>
                <w:bCs/>
                <w:sz w:val="24"/>
              </w:rPr>
            </w:pPr>
          </w:p>
        </w:tc>
      </w:tr>
    </w:tbl>
    <w:p w14:paraId="0CAA6D3F">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5583CAE7">
      <w:pPr>
        <w:spacing w:line="480" w:lineRule="auto"/>
        <w:rPr>
          <w:rFonts w:ascii="Times New Roman" w:hAnsi="Times New Roman" w:cs="Times New Roman"/>
          <w:b/>
          <w:bCs/>
          <w:sz w:val="24"/>
        </w:rPr>
      </w:pPr>
      <w:r>
        <w:rPr>
          <w:rFonts w:ascii="Times New Roman" w:hAnsi="Times New Roman" w:eastAsia="SimSun" w:cs="Times New Roman"/>
          <w:sz w:val="24"/>
        </w:rPr>
        <w:t>Table 4.6 represents the benefits of student’s loan scheme to KWASU students. The table shows that, 279(73.42%) of the respondents agreed that, the benefits of student’s loan scheme include increased access to higher education, 289(76.05%) of the respondents agreed that, it reduced financial barriers, 272(71.58%) of the respondents agreed that, it improved economic mobility, 307(80.79%) of the respondents agreed that, it mitigate the students debt, while 262(68.95) of the respondents agreed that, is a long-term benefits. This is in accordance to Agbelusi (2023), who stated that, the benefit of the student loan implementation in Nigeria includes the following: increased access to higher education, reduced financial barriers, improved economic mobility, mitigating of students debt and long-term benefits. He further stated that by providing access to affordable student loans, this Act has the potential to increase the number of individuals pursuing higher education, particularly those from low-income backgrounds who may otherwise be unable to afford it (Agbelusi,2023). He also stated that, the availability of student loans can alleviate the financial barriers that often deter individuals from enrolling higher education or learning a skill, thereby promoting greater socio-economic diversity within higher education institutions.</w:t>
      </w:r>
    </w:p>
    <w:p w14:paraId="3C0BD138">
      <w:pPr>
        <w:spacing w:line="480" w:lineRule="auto"/>
        <w:rPr>
          <w:rFonts w:ascii="Times New Roman" w:hAnsi="Times New Roman" w:cs="Times New Roman"/>
          <w:b/>
          <w:bCs/>
          <w:sz w:val="24"/>
        </w:rPr>
      </w:pPr>
      <w:r>
        <w:rPr>
          <w:rFonts w:ascii="Times New Roman" w:hAnsi="Times New Roman" w:eastAsia="SimSun" w:cs="Times New Roman"/>
          <w:b/>
          <w:bCs/>
          <w:sz w:val="24"/>
        </w:rPr>
        <w:t>RQ. 5: What are the challenges affecting the implementation of the student loan scheme</w:t>
      </w:r>
    </w:p>
    <w:p w14:paraId="2C66135B">
      <w:pPr>
        <w:spacing w:line="480" w:lineRule="auto"/>
        <w:rPr>
          <w:rFonts w:ascii="Times New Roman" w:hAnsi="Times New Roman" w:cs="Times New Roman"/>
          <w:b/>
          <w:bCs/>
          <w:sz w:val="24"/>
        </w:rPr>
      </w:pPr>
      <w:r>
        <w:rPr>
          <w:rFonts w:ascii="Times New Roman" w:hAnsi="Times New Roman" w:eastAsia="SimSun" w:cs="Times New Roman"/>
          <w:b/>
          <w:bCs/>
          <w:sz w:val="24"/>
        </w:rPr>
        <w:t>Table 4.7: Challenges Affecting the Implementation of the Student Loan Scheme</w:t>
      </w:r>
    </w:p>
    <w:tbl>
      <w:tblPr>
        <w:tblStyle w:val="4"/>
        <w:tblW w:w="927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59"/>
        <w:gridCol w:w="1476"/>
        <w:gridCol w:w="1476"/>
        <w:gridCol w:w="1356"/>
        <w:gridCol w:w="1406"/>
      </w:tblGrid>
      <w:tr w14:paraId="7FAD21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Borders>
              <w:top w:val="single" w:color="auto" w:sz="4" w:space="0"/>
              <w:bottom w:val="single" w:color="auto" w:sz="4" w:space="0"/>
            </w:tcBorders>
            <w:tcMar>
              <w:top w:w="0" w:type="dxa"/>
              <w:left w:w="108" w:type="dxa"/>
              <w:bottom w:w="0" w:type="dxa"/>
              <w:right w:w="108" w:type="dxa"/>
            </w:tcMar>
          </w:tcPr>
          <w:p w14:paraId="630164DF">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236" w:type="dxa"/>
            <w:tcBorders>
              <w:top w:val="single" w:color="auto" w:sz="4" w:space="0"/>
              <w:bottom w:val="single" w:color="auto" w:sz="4" w:space="0"/>
            </w:tcBorders>
            <w:tcMar>
              <w:top w:w="0" w:type="dxa"/>
              <w:left w:w="108" w:type="dxa"/>
              <w:bottom w:w="0" w:type="dxa"/>
              <w:right w:w="108" w:type="dxa"/>
            </w:tcMar>
          </w:tcPr>
          <w:p w14:paraId="47879E8C">
            <w:pPr>
              <w:spacing w:line="480" w:lineRule="auto"/>
              <w:rPr>
                <w:rFonts w:ascii="Times New Roman" w:hAnsi="Times New Roman" w:cs="Times New Roman"/>
                <w:b/>
                <w:bCs/>
                <w:sz w:val="24"/>
              </w:rPr>
            </w:pPr>
            <w:r>
              <w:rPr>
                <w:rFonts w:ascii="Times New Roman" w:hAnsi="Times New Roman" w:eastAsia="SimSun" w:cs="Times New Roman"/>
                <w:b/>
                <w:bCs/>
                <w:sz w:val="24"/>
              </w:rPr>
              <w:t>SA</w:t>
            </w:r>
          </w:p>
        </w:tc>
        <w:tc>
          <w:tcPr>
            <w:tcW w:w="1476" w:type="dxa"/>
            <w:tcBorders>
              <w:top w:val="single" w:color="auto" w:sz="4" w:space="0"/>
              <w:bottom w:val="single" w:color="auto" w:sz="4" w:space="0"/>
            </w:tcBorders>
            <w:tcMar>
              <w:top w:w="0" w:type="dxa"/>
              <w:left w:w="108" w:type="dxa"/>
              <w:bottom w:w="0" w:type="dxa"/>
              <w:right w:w="108" w:type="dxa"/>
            </w:tcMar>
          </w:tcPr>
          <w:p w14:paraId="38DA2B0A">
            <w:pPr>
              <w:spacing w:line="480" w:lineRule="auto"/>
              <w:rPr>
                <w:rFonts w:ascii="Times New Roman" w:hAnsi="Times New Roman" w:cs="Times New Roman"/>
                <w:b/>
                <w:bCs/>
                <w:sz w:val="24"/>
              </w:rPr>
            </w:pPr>
            <w:r>
              <w:rPr>
                <w:rFonts w:ascii="Times New Roman" w:hAnsi="Times New Roman" w:eastAsia="SimSun" w:cs="Times New Roman"/>
                <w:b/>
                <w:bCs/>
                <w:sz w:val="24"/>
              </w:rPr>
              <w:t>A</w:t>
            </w:r>
          </w:p>
        </w:tc>
        <w:tc>
          <w:tcPr>
            <w:tcW w:w="1356" w:type="dxa"/>
            <w:tcBorders>
              <w:top w:val="single" w:color="auto" w:sz="4" w:space="0"/>
              <w:bottom w:val="single" w:color="auto" w:sz="4" w:space="0"/>
            </w:tcBorders>
            <w:tcMar>
              <w:top w:w="0" w:type="dxa"/>
              <w:left w:w="108" w:type="dxa"/>
              <w:bottom w:w="0" w:type="dxa"/>
              <w:right w:w="108" w:type="dxa"/>
            </w:tcMar>
          </w:tcPr>
          <w:p w14:paraId="24B1F1BB">
            <w:pPr>
              <w:spacing w:line="480" w:lineRule="auto"/>
              <w:rPr>
                <w:rFonts w:ascii="Times New Roman" w:hAnsi="Times New Roman" w:cs="Times New Roman"/>
                <w:b/>
                <w:bCs/>
                <w:sz w:val="24"/>
              </w:rPr>
            </w:pPr>
            <w:r>
              <w:rPr>
                <w:rFonts w:ascii="Times New Roman" w:hAnsi="Times New Roman" w:eastAsia="SimSun" w:cs="Times New Roman"/>
                <w:b/>
                <w:bCs/>
                <w:sz w:val="24"/>
              </w:rPr>
              <w:t>D</w:t>
            </w:r>
          </w:p>
        </w:tc>
        <w:tc>
          <w:tcPr>
            <w:tcW w:w="1435" w:type="dxa"/>
            <w:tcBorders>
              <w:top w:val="single" w:color="auto" w:sz="4" w:space="0"/>
              <w:bottom w:val="single" w:color="auto" w:sz="4" w:space="0"/>
            </w:tcBorders>
            <w:tcMar>
              <w:top w:w="0" w:type="dxa"/>
              <w:left w:w="108" w:type="dxa"/>
              <w:bottom w:w="0" w:type="dxa"/>
              <w:right w:w="108" w:type="dxa"/>
            </w:tcMar>
          </w:tcPr>
          <w:p w14:paraId="59935744">
            <w:pPr>
              <w:spacing w:line="480" w:lineRule="auto"/>
              <w:rPr>
                <w:rFonts w:ascii="Times New Roman" w:hAnsi="Times New Roman" w:cs="Times New Roman"/>
                <w:b/>
                <w:bCs/>
                <w:sz w:val="24"/>
              </w:rPr>
            </w:pPr>
            <w:r>
              <w:rPr>
                <w:rFonts w:ascii="Times New Roman" w:hAnsi="Times New Roman" w:eastAsia="SimSun" w:cs="Times New Roman"/>
                <w:b/>
                <w:bCs/>
                <w:sz w:val="24"/>
              </w:rPr>
              <w:t>SD</w:t>
            </w:r>
          </w:p>
        </w:tc>
      </w:tr>
      <w:tr w14:paraId="53C6F0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Borders>
              <w:top w:val="single" w:color="auto" w:sz="4" w:space="0"/>
            </w:tcBorders>
            <w:tcMar>
              <w:top w:w="0" w:type="dxa"/>
              <w:left w:w="108" w:type="dxa"/>
              <w:bottom w:w="0" w:type="dxa"/>
              <w:right w:w="108" w:type="dxa"/>
            </w:tcMar>
          </w:tcPr>
          <w:p w14:paraId="2FE25372">
            <w:pPr>
              <w:spacing w:line="480" w:lineRule="auto"/>
              <w:rPr>
                <w:rFonts w:ascii="Times New Roman" w:hAnsi="Times New Roman" w:cs="Times New Roman"/>
                <w:b/>
                <w:bCs/>
                <w:sz w:val="24"/>
              </w:rPr>
            </w:pPr>
            <w:r>
              <w:rPr>
                <w:rFonts w:ascii="Times New Roman" w:hAnsi="Times New Roman" w:eastAsia="SimSun" w:cs="Times New Roman"/>
                <w:sz w:val="24"/>
              </w:rPr>
              <w:t>Lack of National identification system</w:t>
            </w:r>
          </w:p>
        </w:tc>
        <w:tc>
          <w:tcPr>
            <w:tcW w:w="236" w:type="dxa"/>
            <w:tcBorders>
              <w:top w:val="single" w:color="auto" w:sz="4" w:space="0"/>
            </w:tcBorders>
            <w:tcMar>
              <w:top w:w="0" w:type="dxa"/>
              <w:left w:w="108" w:type="dxa"/>
              <w:bottom w:w="0" w:type="dxa"/>
              <w:right w:w="108" w:type="dxa"/>
            </w:tcMar>
          </w:tcPr>
          <w:p w14:paraId="18A80E2A">
            <w:pPr>
              <w:spacing w:line="360" w:lineRule="auto"/>
              <w:rPr>
                <w:rFonts w:ascii="Times New Roman" w:hAnsi="Times New Roman" w:cs="Times New Roman"/>
                <w:sz w:val="24"/>
              </w:rPr>
            </w:pPr>
            <w:r>
              <w:rPr>
                <w:rFonts w:ascii="Times New Roman" w:hAnsi="Times New Roman" w:eastAsia="SimSun" w:cs="Times New Roman"/>
                <w:sz w:val="24"/>
              </w:rPr>
              <w:t>154(40.53%)</w:t>
            </w:r>
          </w:p>
        </w:tc>
        <w:tc>
          <w:tcPr>
            <w:tcW w:w="1476" w:type="dxa"/>
            <w:tcBorders>
              <w:top w:val="single" w:color="auto" w:sz="4" w:space="0"/>
            </w:tcBorders>
            <w:tcMar>
              <w:top w:w="0" w:type="dxa"/>
              <w:left w:w="108" w:type="dxa"/>
              <w:bottom w:w="0" w:type="dxa"/>
              <w:right w:w="108" w:type="dxa"/>
            </w:tcMar>
          </w:tcPr>
          <w:p w14:paraId="02341B42">
            <w:pPr>
              <w:spacing w:line="360" w:lineRule="auto"/>
              <w:rPr>
                <w:rFonts w:ascii="Times New Roman" w:hAnsi="Times New Roman" w:cs="Times New Roman"/>
                <w:sz w:val="24"/>
              </w:rPr>
            </w:pPr>
            <w:r>
              <w:rPr>
                <w:rFonts w:ascii="Times New Roman" w:hAnsi="Times New Roman" w:eastAsia="SimSun" w:cs="Times New Roman"/>
                <w:sz w:val="24"/>
              </w:rPr>
              <w:t>109(28.68%)</w:t>
            </w:r>
          </w:p>
        </w:tc>
        <w:tc>
          <w:tcPr>
            <w:tcW w:w="1356" w:type="dxa"/>
            <w:tcBorders>
              <w:top w:val="single" w:color="auto" w:sz="4" w:space="0"/>
            </w:tcBorders>
            <w:tcMar>
              <w:top w:w="0" w:type="dxa"/>
              <w:left w:w="108" w:type="dxa"/>
              <w:bottom w:w="0" w:type="dxa"/>
              <w:right w:w="108" w:type="dxa"/>
            </w:tcMar>
          </w:tcPr>
          <w:p w14:paraId="240656B8">
            <w:pPr>
              <w:spacing w:line="360" w:lineRule="auto"/>
              <w:rPr>
                <w:rFonts w:ascii="Times New Roman" w:hAnsi="Times New Roman" w:cs="Times New Roman"/>
                <w:sz w:val="24"/>
              </w:rPr>
            </w:pPr>
            <w:r>
              <w:rPr>
                <w:rFonts w:ascii="Times New Roman" w:hAnsi="Times New Roman" w:eastAsia="SimSun" w:cs="Times New Roman"/>
                <w:sz w:val="24"/>
              </w:rPr>
              <w:t>88(23.16%)</w:t>
            </w:r>
          </w:p>
        </w:tc>
        <w:tc>
          <w:tcPr>
            <w:tcW w:w="1435" w:type="dxa"/>
            <w:tcBorders>
              <w:top w:val="single" w:color="auto" w:sz="4" w:space="0"/>
            </w:tcBorders>
            <w:tcMar>
              <w:top w:w="0" w:type="dxa"/>
              <w:left w:w="108" w:type="dxa"/>
              <w:bottom w:w="0" w:type="dxa"/>
              <w:right w:w="108" w:type="dxa"/>
            </w:tcMar>
          </w:tcPr>
          <w:p w14:paraId="22399CFA">
            <w:pPr>
              <w:spacing w:line="360" w:lineRule="auto"/>
              <w:rPr>
                <w:rFonts w:ascii="Times New Roman" w:hAnsi="Times New Roman" w:cs="Times New Roman"/>
                <w:sz w:val="24"/>
              </w:rPr>
            </w:pPr>
            <w:r>
              <w:rPr>
                <w:rFonts w:ascii="Times New Roman" w:hAnsi="Times New Roman" w:eastAsia="SimSun" w:cs="Times New Roman"/>
                <w:sz w:val="24"/>
              </w:rPr>
              <w:t>29(07.63%)</w:t>
            </w:r>
          </w:p>
        </w:tc>
      </w:tr>
      <w:tr w14:paraId="26AF67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11FF4A4C">
            <w:pPr>
              <w:spacing w:line="480" w:lineRule="auto"/>
              <w:rPr>
                <w:rFonts w:ascii="Times New Roman" w:hAnsi="Times New Roman" w:cs="Times New Roman"/>
                <w:b/>
                <w:bCs/>
                <w:sz w:val="24"/>
              </w:rPr>
            </w:pPr>
            <w:r>
              <w:rPr>
                <w:rFonts w:ascii="Times New Roman" w:hAnsi="Times New Roman" w:eastAsia="SimSun" w:cs="Times New Roman"/>
                <w:sz w:val="24"/>
              </w:rPr>
              <w:t>Inefficient management and Corruption</w:t>
            </w:r>
          </w:p>
        </w:tc>
        <w:tc>
          <w:tcPr>
            <w:tcW w:w="236" w:type="dxa"/>
            <w:tcMar>
              <w:top w:w="0" w:type="dxa"/>
              <w:left w:w="108" w:type="dxa"/>
              <w:bottom w:w="0" w:type="dxa"/>
              <w:right w:w="108" w:type="dxa"/>
            </w:tcMar>
          </w:tcPr>
          <w:p w14:paraId="09D1EF6C">
            <w:pPr>
              <w:spacing w:line="360" w:lineRule="auto"/>
              <w:rPr>
                <w:rFonts w:ascii="Times New Roman" w:hAnsi="Times New Roman" w:cs="Times New Roman"/>
                <w:sz w:val="24"/>
              </w:rPr>
            </w:pPr>
            <w:r>
              <w:rPr>
                <w:rFonts w:ascii="Times New Roman" w:hAnsi="Times New Roman" w:eastAsia="SimSun" w:cs="Times New Roman"/>
                <w:sz w:val="24"/>
              </w:rPr>
              <w:t>124(32.63%)</w:t>
            </w:r>
          </w:p>
        </w:tc>
        <w:tc>
          <w:tcPr>
            <w:tcW w:w="1476" w:type="dxa"/>
            <w:tcMar>
              <w:top w:w="0" w:type="dxa"/>
              <w:left w:w="108" w:type="dxa"/>
              <w:bottom w:w="0" w:type="dxa"/>
              <w:right w:w="108" w:type="dxa"/>
            </w:tcMar>
          </w:tcPr>
          <w:p w14:paraId="55DAC359">
            <w:pPr>
              <w:spacing w:line="360" w:lineRule="auto"/>
              <w:rPr>
                <w:rFonts w:ascii="Times New Roman" w:hAnsi="Times New Roman" w:cs="Times New Roman"/>
                <w:sz w:val="24"/>
              </w:rPr>
            </w:pPr>
            <w:r>
              <w:rPr>
                <w:rFonts w:ascii="Times New Roman" w:hAnsi="Times New Roman" w:eastAsia="SimSun" w:cs="Times New Roman"/>
                <w:sz w:val="24"/>
              </w:rPr>
              <w:t>163(42.89%)</w:t>
            </w:r>
          </w:p>
        </w:tc>
        <w:tc>
          <w:tcPr>
            <w:tcW w:w="1356" w:type="dxa"/>
            <w:tcMar>
              <w:top w:w="0" w:type="dxa"/>
              <w:left w:w="108" w:type="dxa"/>
              <w:bottom w:w="0" w:type="dxa"/>
              <w:right w:w="108" w:type="dxa"/>
            </w:tcMar>
          </w:tcPr>
          <w:p w14:paraId="44850140">
            <w:pPr>
              <w:spacing w:line="360" w:lineRule="auto"/>
              <w:rPr>
                <w:rFonts w:ascii="Times New Roman" w:hAnsi="Times New Roman" w:cs="Times New Roman"/>
                <w:sz w:val="24"/>
              </w:rPr>
            </w:pPr>
            <w:r>
              <w:rPr>
                <w:rFonts w:ascii="Times New Roman" w:hAnsi="Times New Roman" w:eastAsia="SimSun" w:cs="Times New Roman"/>
                <w:sz w:val="24"/>
              </w:rPr>
              <w:t>71(18.68%)</w:t>
            </w:r>
          </w:p>
        </w:tc>
        <w:tc>
          <w:tcPr>
            <w:tcW w:w="1435" w:type="dxa"/>
            <w:tcMar>
              <w:top w:w="0" w:type="dxa"/>
              <w:left w:w="108" w:type="dxa"/>
              <w:bottom w:w="0" w:type="dxa"/>
              <w:right w:w="108" w:type="dxa"/>
            </w:tcMar>
          </w:tcPr>
          <w:p w14:paraId="3D8DDEE0">
            <w:pPr>
              <w:spacing w:line="360" w:lineRule="auto"/>
              <w:rPr>
                <w:rFonts w:ascii="Times New Roman" w:hAnsi="Times New Roman" w:cs="Times New Roman"/>
                <w:sz w:val="24"/>
              </w:rPr>
            </w:pPr>
            <w:r>
              <w:rPr>
                <w:rFonts w:ascii="Times New Roman" w:hAnsi="Times New Roman" w:eastAsia="SimSun" w:cs="Times New Roman"/>
                <w:sz w:val="24"/>
              </w:rPr>
              <w:t>22(05.79%)</w:t>
            </w:r>
          </w:p>
        </w:tc>
      </w:tr>
      <w:tr w14:paraId="464108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32214322">
            <w:pPr>
              <w:spacing w:line="480" w:lineRule="auto"/>
              <w:rPr>
                <w:rFonts w:ascii="Times New Roman" w:hAnsi="Times New Roman" w:cs="Times New Roman"/>
                <w:b/>
                <w:bCs/>
                <w:sz w:val="24"/>
              </w:rPr>
            </w:pPr>
            <w:r>
              <w:rPr>
                <w:rFonts w:ascii="Times New Roman" w:hAnsi="Times New Roman" w:eastAsia="SimSun" w:cs="Times New Roman"/>
                <w:sz w:val="24"/>
              </w:rPr>
              <w:t xml:space="preserve">Delay in loan disbursement </w:t>
            </w:r>
          </w:p>
        </w:tc>
        <w:tc>
          <w:tcPr>
            <w:tcW w:w="236" w:type="dxa"/>
            <w:tcMar>
              <w:top w:w="0" w:type="dxa"/>
              <w:left w:w="108" w:type="dxa"/>
              <w:bottom w:w="0" w:type="dxa"/>
              <w:right w:w="108" w:type="dxa"/>
            </w:tcMar>
          </w:tcPr>
          <w:p w14:paraId="27C26C46">
            <w:pPr>
              <w:spacing w:line="360" w:lineRule="auto"/>
              <w:rPr>
                <w:rFonts w:ascii="Times New Roman" w:hAnsi="Times New Roman" w:cs="Times New Roman"/>
                <w:sz w:val="24"/>
              </w:rPr>
            </w:pPr>
            <w:r>
              <w:rPr>
                <w:rFonts w:ascii="Times New Roman" w:hAnsi="Times New Roman" w:eastAsia="SimSun" w:cs="Times New Roman"/>
                <w:sz w:val="24"/>
              </w:rPr>
              <w:t>118(31.05%)</w:t>
            </w:r>
          </w:p>
          <w:p w14:paraId="41192F57">
            <w:pPr>
              <w:spacing w:line="480" w:lineRule="auto"/>
              <w:rPr>
                <w:rFonts w:ascii="Times New Roman" w:hAnsi="Times New Roman" w:cs="Times New Roman"/>
                <w:b/>
                <w:bCs/>
                <w:sz w:val="24"/>
              </w:rPr>
            </w:pPr>
          </w:p>
        </w:tc>
        <w:tc>
          <w:tcPr>
            <w:tcW w:w="1476" w:type="dxa"/>
            <w:tcMar>
              <w:top w:w="0" w:type="dxa"/>
              <w:left w:w="108" w:type="dxa"/>
              <w:bottom w:w="0" w:type="dxa"/>
              <w:right w:w="108" w:type="dxa"/>
            </w:tcMar>
          </w:tcPr>
          <w:p w14:paraId="3CA86038">
            <w:pPr>
              <w:spacing w:line="360" w:lineRule="auto"/>
              <w:rPr>
                <w:rFonts w:ascii="Times New Roman" w:hAnsi="Times New Roman" w:cs="Times New Roman"/>
                <w:sz w:val="24"/>
              </w:rPr>
            </w:pPr>
            <w:r>
              <w:rPr>
                <w:rFonts w:ascii="Times New Roman" w:hAnsi="Times New Roman" w:eastAsia="SimSun" w:cs="Times New Roman"/>
                <w:sz w:val="24"/>
              </w:rPr>
              <w:t>143(37.63%)</w:t>
            </w:r>
          </w:p>
          <w:p w14:paraId="7E39FB16">
            <w:pPr>
              <w:spacing w:line="480" w:lineRule="auto"/>
              <w:rPr>
                <w:rFonts w:ascii="Times New Roman" w:hAnsi="Times New Roman" w:cs="Times New Roman"/>
                <w:b/>
                <w:bCs/>
                <w:sz w:val="24"/>
              </w:rPr>
            </w:pPr>
          </w:p>
        </w:tc>
        <w:tc>
          <w:tcPr>
            <w:tcW w:w="1356" w:type="dxa"/>
            <w:tcMar>
              <w:top w:w="0" w:type="dxa"/>
              <w:left w:w="108" w:type="dxa"/>
              <w:bottom w:w="0" w:type="dxa"/>
              <w:right w:w="108" w:type="dxa"/>
            </w:tcMar>
          </w:tcPr>
          <w:p w14:paraId="27944870">
            <w:pPr>
              <w:spacing w:line="360" w:lineRule="auto"/>
              <w:rPr>
                <w:rFonts w:ascii="Times New Roman" w:hAnsi="Times New Roman" w:cs="Times New Roman"/>
                <w:sz w:val="24"/>
              </w:rPr>
            </w:pPr>
            <w:r>
              <w:rPr>
                <w:rFonts w:ascii="Times New Roman" w:hAnsi="Times New Roman" w:eastAsia="SimSun" w:cs="Times New Roman"/>
                <w:sz w:val="24"/>
              </w:rPr>
              <w:t>57(15.00%)</w:t>
            </w:r>
          </w:p>
          <w:p w14:paraId="11627D12">
            <w:pPr>
              <w:spacing w:line="480" w:lineRule="auto"/>
              <w:rPr>
                <w:rFonts w:ascii="Times New Roman" w:hAnsi="Times New Roman" w:cs="Times New Roman"/>
                <w:b/>
                <w:bCs/>
                <w:sz w:val="24"/>
              </w:rPr>
            </w:pPr>
          </w:p>
        </w:tc>
        <w:tc>
          <w:tcPr>
            <w:tcW w:w="1435" w:type="dxa"/>
            <w:tcMar>
              <w:top w:w="0" w:type="dxa"/>
              <w:left w:w="108" w:type="dxa"/>
              <w:bottom w:w="0" w:type="dxa"/>
              <w:right w:w="108" w:type="dxa"/>
            </w:tcMar>
          </w:tcPr>
          <w:p w14:paraId="0A64DB9B">
            <w:pPr>
              <w:spacing w:line="360" w:lineRule="auto"/>
              <w:rPr>
                <w:rFonts w:ascii="Times New Roman" w:hAnsi="Times New Roman" w:cs="Times New Roman"/>
                <w:sz w:val="24"/>
              </w:rPr>
            </w:pPr>
            <w:r>
              <w:rPr>
                <w:rFonts w:ascii="Times New Roman" w:hAnsi="Times New Roman" w:eastAsia="SimSun" w:cs="Times New Roman"/>
                <w:sz w:val="24"/>
              </w:rPr>
              <w:t>62(16.32%)</w:t>
            </w:r>
          </w:p>
        </w:tc>
      </w:tr>
      <w:tr w14:paraId="28AEE7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47F942F4">
            <w:pPr>
              <w:spacing w:line="480" w:lineRule="auto"/>
              <w:rPr>
                <w:rFonts w:ascii="Times New Roman" w:hAnsi="Times New Roman" w:cs="Times New Roman"/>
                <w:b/>
                <w:bCs/>
                <w:sz w:val="24"/>
              </w:rPr>
            </w:pPr>
            <w:r>
              <w:rPr>
                <w:rFonts w:ascii="Times New Roman" w:hAnsi="Times New Roman" w:eastAsia="SimSun" w:cs="Times New Roman"/>
                <w:sz w:val="24"/>
              </w:rPr>
              <w:t xml:space="preserve">Government policies </w:t>
            </w:r>
          </w:p>
        </w:tc>
        <w:tc>
          <w:tcPr>
            <w:tcW w:w="236" w:type="dxa"/>
            <w:tcMar>
              <w:top w:w="0" w:type="dxa"/>
              <w:left w:w="108" w:type="dxa"/>
              <w:bottom w:w="0" w:type="dxa"/>
              <w:right w:w="108" w:type="dxa"/>
            </w:tcMar>
          </w:tcPr>
          <w:p w14:paraId="408A73FD">
            <w:pPr>
              <w:spacing w:line="360" w:lineRule="auto"/>
              <w:rPr>
                <w:rFonts w:ascii="Times New Roman" w:hAnsi="Times New Roman" w:cs="Times New Roman"/>
                <w:sz w:val="24"/>
              </w:rPr>
            </w:pPr>
            <w:r>
              <w:rPr>
                <w:rFonts w:ascii="Times New Roman" w:hAnsi="Times New Roman" w:eastAsia="SimSun" w:cs="Times New Roman"/>
                <w:sz w:val="24"/>
              </w:rPr>
              <w:t>122(32.11%)</w:t>
            </w:r>
          </w:p>
        </w:tc>
        <w:tc>
          <w:tcPr>
            <w:tcW w:w="1476" w:type="dxa"/>
            <w:tcMar>
              <w:top w:w="0" w:type="dxa"/>
              <w:left w:w="108" w:type="dxa"/>
              <w:bottom w:w="0" w:type="dxa"/>
              <w:right w:w="108" w:type="dxa"/>
            </w:tcMar>
          </w:tcPr>
          <w:p w14:paraId="1A909996">
            <w:pPr>
              <w:spacing w:line="360" w:lineRule="auto"/>
              <w:rPr>
                <w:rFonts w:ascii="Times New Roman" w:hAnsi="Times New Roman" w:cs="Times New Roman"/>
                <w:sz w:val="24"/>
              </w:rPr>
            </w:pPr>
            <w:r>
              <w:rPr>
                <w:rFonts w:ascii="Times New Roman" w:hAnsi="Times New Roman" w:eastAsia="SimSun" w:cs="Times New Roman"/>
                <w:sz w:val="24"/>
              </w:rPr>
              <w:t>115(30.26%)</w:t>
            </w:r>
          </w:p>
        </w:tc>
        <w:tc>
          <w:tcPr>
            <w:tcW w:w="1356" w:type="dxa"/>
            <w:tcMar>
              <w:top w:w="0" w:type="dxa"/>
              <w:left w:w="108" w:type="dxa"/>
              <w:bottom w:w="0" w:type="dxa"/>
              <w:right w:w="108" w:type="dxa"/>
            </w:tcMar>
          </w:tcPr>
          <w:p w14:paraId="3860DFD1">
            <w:pPr>
              <w:spacing w:line="360" w:lineRule="auto"/>
              <w:rPr>
                <w:rFonts w:ascii="Times New Roman" w:hAnsi="Times New Roman" w:cs="Times New Roman"/>
                <w:sz w:val="24"/>
              </w:rPr>
            </w:pPr>
            <w:r>
              <w:rPr>
                <w:rFonts w:ascii="Times New Roman" w:hAnsi="Times New Roman" w:eastAsia="SimSun" w:cs="Times New Roman"/>
                <w:sz w:val="24"/>
              </w:rPr>
              <w:t>59(15.53%)</w:t>
            </w:r>
          </w:p>
        </w:tc>
        <w:tc>
          <w:tcPr>
            <w:tcW w:w="1435" w:type="dxa"/>
            <w:tcMar>
              <w:top w:w="0" w:type="dxa"/>
              <w:left w:w="108" w:type="dxa"/>
              <w:bottom w:w="0" w:type="dxa"/>
              <w:right w:w="108" w:type="dxa"/>
            </w:tcMar>
          </w:tcPr>
          <w:p w14:paraId="777723F9">
            <w:pPr>
              <w:spacing w:line="360" w:lineRule="auto"/>
              <w:rPr>
                <w:rFonts w:ascii="Times New Roman" w:hAnsi="Times New Roman" w:cs="Times New Roman"/>
                <w:sz w:val="24"/>
              </w:rPr>
            </w:pPr>
            <w:r>
              <w:rPr>
                <w:rFonts w:ascii="Times New Roman" w:hAnsi="Times New Roman" w:eastAsia="SimSun" w:cs="Times New Roman"/>
                <w:sz w:val="24"/>
              </w:rPr>
              <w:t>84(22.11%)</w:t>
            </w:r>
          </w:p>
        </w:tc>
      </w:tr>
      <w:tr w14:paraId="57375D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Borders>
              <w:bottom w:val="single" w:color="auto" w:sz="4" w:space="0"/>
            </w:tcBorders>
            <w:tcMar>
              <w:top w:w="0" w:type="dxa"/>
              <w:left w:w="108" w:type="dxa"/>
              <w:bottom w:w="0" w:type="dxa"/>
              <w:right w:w="108" w:type="dxa"/>
            </w:tcMar>
          </w:tcPr>
          <w:p w14:paraId="5906075C">
            <w:pPr>
              <w:spacing w:line="480" w:lineRule="auto"/>
              <w:rPr>
                <w:rFonts w:ascii="Times New Roman" w:hAnsi="Times New Roman" w:cs="Times New Roman"/>
                <w:b/>
                <w:bCs/>
                <w:sz w:val="24"/>
              </w:rPr>
            </w:pPr>
            <w:r>
              <w:rPr>
                <w:rFonts w:ascii="Times New Roman" w:hAnsi="Times New Roman" w:eastAsia="SimSun" w:cs="Times New Roman"/>
                <w:sz w:val="24"/>
              </w:rPr>
              <w:t xml:space="preserve">Difficulty in recovering loans </w:t>
            </w:r>
          </w:p>
        </w:tc>
        <w:tc>
          <w:tcPr>
            <w:tcW w:w="236" w:type="dxa"/>
            <w:tcBorders>
              <w:bottom w:val="single" w:color="auto" w:sz="4" w:space="0"/>
            </w:tcBorders>
            <w:tcMar>
              <w:top w:w="0" w:type="dxa"/>
              <w:left w:w="108" w:type="dxa"/>
              <w:bottom w:w="0" w:type="dxa"/>
              <w:right w:w="108" w:type="dxa"/>
            </w:tcMar>
          </w:tcPr>
          <w:p w14:paraId="57552E56">
            <w:pPr>
              <w:spacing w:line="360" w:lineRule="auto"/>
              <w:rPr>
                <w:rFonts w:ascii="Times New Roman" w:hAnsi="Times New Roman" w:cs="Times New Roman"/>
                <w:sz w:val="24"/>
              </w:rPr>
            </w:pPr>
            <w:r>
              <w:rPr>
                <w:rFonts w:ascii="Times New Roman" w:hAnsi="Times New Roman" w:eastAsia="SimSun" w:cs="Times New Roman"/>
                <w:sz w:val="24"/>
              </w:rPr>
              <w:t>129(33.95%)</w:t>
            </w:r>
          </w:p>
        </w:tc>
        <w:tc>
          <w:tcPr>
            <w:tcW w:w="1476" w:type="dxa"/>
            <w:tcBorders>
              <w:bottom w:val="single" w:color="auto" w:sz="4" w:space="0"/>
            </w:tcBorders>
            <w:tcMar>
              <w:top w:w="0" w:type="dxa"/>
              <w:left w:w="108" w:type="dxa"/>
              <w:bottom w:w="0" w:type="dxa"/>
              <w:right w:w="108" w:type="dxa"/>
            </w:tcMar>
          </w:tcPr>
          <w:p w14:paraId="79DF71E1">
            <w:pPr>
              <w:spacing w:line="360" w:lineRule="auto"/>
              <w:rPr>
                <w:rFonts w:ascii="Times New Roman" w:hAnsi="Times New Roman" w:cs="Times New Roman"/>
                <w:sz w:val="24"/>
              </w:rPr>
            </w:pPr>
            <w:r>
              <w:rPr>
                <w:rFonts w:ascii="Times New Roman" w:hAnsi="Times New Roman" w:eastAsia="SimSun" w:cs="Times New Roman"/>
                <w:sz w:val="24"/>
              </w:rPr>
              <w:t>103(27.11%)</w:t>
            </w:r>
          </w:p>
        </w:tc>
        <w:tc>
          <w:tcPr>
            <w:tcW w:w="1356" w:type="dxa"/>
            <w:tcBorders>
              <w:bottom w:val="single" w:color="auto" w:sz="4" w:space="0"/>
            </w:tcBorders>
            <w:tcMar>
              <w:top w:w="0" w:type="dxa"/>
              <w:left w:w="108" w:type="dxa"/>
              <w:bottom w:w="0" w:type="dxa"/>
              <w:right w:w="108" w:type="dxa"/>
            </w:tcMar>
          </w:tcPr>
          <w:p w14:paraId="0C20C060">
            <w:pPr>
              <w:spacing w:line="360" w:lineRule="auto"/>
              <w:rPr>
                <w:rFonts w:ascii="Times New Roman" w:hAnsi="Times New Roman" w:cs="Times New Roman"/>
                <w:b/>
                <w:bCs/>
                <w:sz w:val="24"/>
              </w:rPr>
            </w:pPr>
            <w:r>
              <w:rPr>
                <w:rFonts w:ascii="Times New Roman" w:hAnsi="Times New Roman" w:eastAsia="SimSun" w:cs="Times New Roman"/>
                <w:sz w:val="24"/>
              </w:rPr>
              <w:t>77(20.26%)</w:t>
            </w:r>
          </w:p>
        </w:tc>
        <w:tc>
          <w:tcPr>
            <w:tcW w:w="1435" w:type="dxa"/>
            <w:tcBorders>
              <w:bottom w:val="single" w:color="auto" w:sz="4" w:space="0"/>
            </w:tcBorders>
            <w:tcMar>
              <w:top w:w="0" w:type="dxa"/>
              <w:left w:w="108" w:type="dxa"/>
              <w:bottom w:w="0" w:type="dxa"/>
              <w:right w:w="108" w:type="dxa"/>
            </w:tcMar>
          </w:tcPr>
          <w:p w14:paraId="5F80CB42">
            <w:pPr>
              <w:spacing w:line="360" w:lineRule="auto"/>
              <w:rPr>
                <w:rFonts w:ascii="Times New Roman" w:hAnsi="Times New Roman" w:cs="Times New Roman"/>
                <w:sz w:val="24"/>
              </w:rPr>
            </w:pPr>
            <w:r>
              <w:rPr>
                <w:rFonts w:ascii="Times New Roman" w:hAnsi="Times New Roman" w:eastAsia="SimSun" w:cs="Times New Roman"/>
                <w:sz w:val="24"/>
              </w:rPr>
              <w:t>71(18.68%)</w:t>
            </w:r>
          </w:p>
        </w:tc>
      </w:tr>
    </w:tbl>
    <w:p w14:paraId="2A387E89">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43558399">
      <w:pPr>
        <w:spacing w:line="480" w:lineRule="auto"/>
        <w:rPr>
          <w:rFonts w:ascii="Times New Roman" w:hAnsi="Times New Roman" w:cs="Times New Roman"/>
          <w:b/>
          <w:bCs/>
          <w:sz w:val="24"/>
        </w:rPr>
      </w:pPr>
      <w:r>
        <w:rPr>
          <w:rFonts w:ascii="Times New Roman" w:hAnsi="Times New Roman" w:eastAsia="SimSun" w:cs="Times New Roman"/>
          <w:sz w:val="24"/>
        </w:rPr>
        <w:t>Table 4.7 represents challenges affecting the implementation of the student loan scheme. From the table, 263(69.21%) of the respondents agreed to lack of national identification system,  287(75.52%) of the respondents agreed that, inefficient management and corruption, 261(68.68%) of the respondents agreed that, delay in loan disbursement, 237(62.37%) of the respondents agreed that, government policies while 232(61.06%) of the respondents agreed that, difficulty in recovering loans as the challenges affecting the implementation of the student loan scheme. This finding is supported by Agbelusi (2023), who stated that, the benefit of the student loan implementation in Nigeria includes the following: lack of national identification system, inefficient management and corruption, delay in loan disbursement, government policies and difficulty in recovering loans. However, Ally (2015), experience from Tanzania suggests that student loan scheme has failed to support eligible students and needy poor students, and also failed to recover educational costs as expected. This suggests that, some factors influence student access to student loan schemes but has not been discovered. This invariably will affect the extent to which the loan scheme can contribute to students successful financing of their cost of education at the highest level. Ogunoode et al., (2023) stated that, Nigeria's credit culture is still developing, with challenges related to identity management, high interest rates, and limited credit histories. Many rely on informal options like community savings groups or local moneylenders. Historical difficulties in loan recovery by the government add to these concerns.</w:t>
      </w:r>
    </w:p>
    <w:p w14:paraId="42A64D43">
      <w:pPr>
        <w:spacing w:line="480" w:lineRule="auto"/>
        <w:ind w:firstLine="720"/>
        <w:rPr>
          <w:rFonts w:ascii="Times New Roman" w:hAnsi="Times New Roman" w:cs="Times New Roman"/>
          <w:b/>
          <w:bCs/>
          <w:sz w:val="24"/>
        </w:rPr>
      </w:pPr>
    </w:p>
    <w:p w14:paraId="00EEE487">
      <w:pPr>
        <w:spacing w:line="480" w:lineRule="auto"/>
        <w:jc w:val="left"/>
        <w:rPr>
          <w:rFonts w:ascii="Times New Roman" w:hAnsi="Times New Roman" w:cs="Times New Roman"/>
          <w:b/>
          <w:bCs/>
          <w:sz w:val="24"/>
        </w:rPr>
      </w:pPr>
    </w:p>
    <w:p w14:paraId="67C1B2B5">
      <w:pPr>
        <w:spacing w:line="480" w:lineRule="auto"/>
        <w:jc w:val="left"/>
        <w:rPr>
          <w:rFonts w:ascii="Times New Roman" w:hAnsi="Times New Roman" w:cs="Times New Roman"/>
          <w:b/>
          <w:bCs/>
          <w:sz w:val="24"/>
        </w:rPr>
      </w:pPr>
    </w:p>
    <w:p w14:paraId="0CF1B548">
      <w:pPr>
        <w:widowControl/>
        <w:spacing w:after="160" w:line="259" w:lineRule="auto"/>
        <w:jc w:val="left"/>
        <w:rPr>
          <w:rFonts w:ascii="Times New Roman" w:hAnsi="Times New Roman" w:cs="Times New Roman"/>
          <w:b/>
          <w:bCs/>
          <w:sz w:val="24"/>
        </w:rPr>
      </w:pPr>
      <w:bookmarkStart w:id="52" w:name="_Toc85665948"/>
      <w:r>
        <w:rPr>
          <w:rFonts w:ascii="Times New Roman" w:hAnsi="Times New Roman" w:cs="Times New Roman"/>
          <w:b/>
          <w:bCs/>
          <w:sz w:val="24"/>
        </w:rPr>
        <w:br w:type="page"/>
      </w:r>
    </w:p>
    <w:p w14:paraId="2FC43CD6">
      <w:pPr>
        <w:keepNext/>
        <w:keepLines/>
        <w:spacing w:line="480" w:lineRule="auto"/>
        <w:jc w:val="center"/>
        <w:outlineLvl w:val="0"/>
        <w:rPr>
          <w:rFonts w:ascii="Times New Roman" w:hAnsi="Times New Roman" w:cs="Times New Roman"/>
          <w:b/>
          <w:bCs/>
          <w:sz w:val="24"/>
        </w:rPr>
      </w:pPr>
      <w:bookmarkStart w:id="53" w:name="_Toc170896443"/>
      <w:r>
        <w:rPr>
          <w:rFonts w:ascii="Times New Roman" w:hAnsi="Times New Roman" w:eastAsia="SimSun" w:cs="Times New Roman"/>
          <w:b/>
          <w:bCs/>
          <w:sz w:val="24"/>
        </w:rPr>
        <w:t>CHAPTER</w:t>
      </w:r>
      <w:bookmarkEnd w:id="52"/>
      <w:r>
        <w:rPr>
          <w:rFonts w:ascii="Times New Roman" w:hAnsi="Times New Roman" w:eastAsia="SimSun" w:cs="Times New Roman"/>
          <w:b/>
          <w:bCs/>
          <w:sz w:val="24"/>
        </w:rPr>
        <w:t xml:space="preserve"> FIVE</w:t>
      </w:r>
      <w:bookmarkEnd w:id="53"/>
    </w:p>
    <w:p w14:paraId="165EA1A1">
      <w:pPr>
        <w:keepNext/>
        <w:keepLines/>
        <w:spacing w:line="480" w:lineRule="auto"/>
        <w:jc w:val="center"/>
        <w:outlineLvl w:val="0"/>
        <w:rPr>
          <w:rFonts w:ascii="Times New Roman" w:hAnsi="Times New Roman" w:cs="Times New Roman"/>
          <w:b/>
          <w:bCs/>
          <w:sz w:val="24"/>
        </w:rPr>
      </w:pPr>
      <w:bookmarkStart w:id="54" w:name="_Toc85665949"/>
      <w:bookmarkStart w:id="55" w:name="_Toc170896444"/>
      <w:r>
        <w:rPr>
          <w:rFonts w:ascii="Times New Roman" w:hAnsi="Times New Roman" w:eastAsia="SimSun" w:cs="Times New Roman"/>
          <w:b/>
          <w:bCs/>
          <w:sz w:val="24"/>
        </w:rPr>
        <w:t>SUMMARY,</w:t>
      </w:r>
      <w:bookmarkEnd w:id="54"/>
      <w:r>
        <w:rPr>
          <w:rFonts w:ascii="Times New Roman" w:hAnsi="Times New Roman" w:eastAsia="SimSun" w:cs="Times New Roman"/>
          <w:b/>
          <w:bCs/>
          <w:sz w:val="24"/>
        </w:rPr>
        <w:t xml:space="preserve"> CONCLUSION AND RECOMMENDATIONS</w:t>
      </w:r>
      <w:bookmarkEnd w:id="55"/>
    </w:p>
    <w:p w14:paraId="476B66B1">
      <w:pPr>
        <w:pStyle w:val="2"/>
        <w:spacing w:before="0" w:line="480" w:lineRule="auto"/>
        <w:rPr>
          <w:rFonts w:ascii="Times New Roman" w:hAnsi="Times New Roman"/>
          <w:b w:val="0"/>
          <w:bCs w:val="0"/>
          <w:color w:val="auto"/>
          <w:sz w:val="24"/>
          <w:szCs w:val="24"/>
        </w:rPr>
      </w:pPr>
      <w:bookmarkStart w:id="56" w:name="_Toc170896445"/>
      <w:r>
        <w:rPr>
          <w:rFonts w:ascii="Times New Roman" w:hAnsi="Times New Roman" w:eastAsia="Calibri"/>
          <w:color w:val="auto"/>
          <w:sz w:val="24"/>
          <w:szCs w:val="24"/>
          <w:lang w:eastAsia="en-US"/>
        </w:rPr>
        <w:t>5.1 Introduction</w:t>
      </w:r>
      <w:bookmarkEnd w:id="56"/>
    </w:p>
    <w:p w14:paraId="7E4F7FE5">
      <w:pPr>
        <w:spacing w:line="480" w:lineRule="auto"/>
        <w:rPr>
          <w:rFonts w:ascii="Times New Roman" w:hAnsi="Times New Roman" w:cs="Times New Roman"/>
          <w:b/>
          <w:bCs/>
          <w:sz w:val="24"/>
        </w:rPr>
      </w:pPr>
      <w:r>
        <w:rPr>
          <w:rFonts w:ascii="Times New Roman" w:hAnsi="Times New Roman" w:eastAsia="Calibri" w:cs="Times New Roman"/>
          <w:sz w:val="24"/>
          <w:lang w:eastAsia="en-US"/>
        </w:rPr>
        <w:t>This chapter provides the summary of findings, conclusion, recommendations from the presentation of the results.</w:t>
      </w:r>
    </w:p>
    <w:p w14:paraId="4AEA6E19">
      <w:pPr>
        <w:spacing w:line="480" w:lineRule="auto"/>
        <w:outlineLvl w:val="0"/>
        <w:rPr>
          <w:rFonts w:ascii="Times New Roman" w:hAnsi="Times New Roman" w:cs="Times New Roman"/>
          <w:b/>
          <w:bCs/>
          <w:sz w:val="24"/>
        </w:rPr>
      </w:pPr>
      <w:bookmarkStart w:id="57" w:name="_Toc85665950"/>
      <w:bookmarkStart w:id="58" w:name="_Toc170896446"/>
      <w:r>
        <w:rPr>
          <w:rFonts w:ascii="Times New Roman" w:hAnsi="Times New Roman" w:eastAsia="SimSun" w:cs="Times New Roman"/>
          <w:b/>
          <w:bCs/>
          <w:sz w:val="24"/>
        </w:rPr>
        <w:t>5.2</w:t>
      </w:r>
      <w:bookmarkEnd w:id="57"/>
      <w:r>
        <w:rPr>
          <w:rFonts w:ascii="Times New Roman" w:hAnsi="Times New Roman" w:eastAsia="SimSun" w:cs="Times New Roman"/>
          <w:b/>
          <w:bCs/>
          <w:sz w:val="24"/>
        </w:rPr>
        <w:t xml:space="preserve"> Summary of the findings</w:t>
      </w:r>
      <w:bookmarkEnd w:id="58"/>
    </w:p>
    <w:p w14:paraId="1E8EA34E">
      <w:pPr>
        <w:spacing w:line="480" w:lineRule="auto"/>
        <w:rPr>
          <w:rFonts w:ascii="Times New Roman" w:hAnsi="Times New Roman" w:cs="Times New Roman"/>
          <w:b/>
          <w:bCs/>
          <w:sz w:val="24"/>
        </w:rPr>
      </w:pPr>
      <w:r>
        <w:rPr>
          <w:rFonts w:ascii="Times New Roman" w:hAnsi="Times New Roman" w:eastAsia="Calibri" w:cs="Times New Roman"/>
          <w:sz w:val="24"/>
          <w:lang w:eastAsia="en-US"/>
        </w:rPr>
        <w:t>This study investigated the Perception of Kwara State University Students toward Nigeria Student’s Loan Scheme. In order to achieve the objective of the study, research questions were answered which provided the basis for data analysis and the findings revealed the following.</w:t>
      </w:r>
    </w:p>
    <w:p w14:paraId="611BA23A">
      <w:pPr>
        <w:pStyle w:val="14"/>
        <w:numPr>
          <w:ilvl w:val="0"/>
          <w:numId w:val="19"/>
        </w:numPr>
        <w:spacing w:line="480" w:lineRule="auto"/>
        <w:rPr>
          <w:rFonts w:ascii="Times New Roman" w:hAnsi="Times New Roman" w:cs="Times New Roman"/>
          <w:b/>
          <w:bCs/>
          <w:sz w:val="24"/>
        </w:rPr>
      </w:pPr>
      <w:r>
        <w:rPr>
          <w:rFonts w:ascii="Times New Roman" w:hAnsi="Times New Roman" w:eastAsia="SimSun" w:cs="Times New Roman"/>
          <w:sz w:val="24"/>
        </w:rPr>
        <w:t xml:space="preserve">The findings on research question one revealed the perception of KWASU students toward the educational loan scheme is </w:t>
      </w:r>
      <w:r>
        <w:rPr>
          <w:rFonts w:ascii="Times New Roman" w:hAnsi="Times New Roman" w:eastAsia="Times New Roman" w:cs="Times New Roman"/>
          <w:sz w:val="24"/>
        </w:rPr>
        <w:t>that, student loans scheme promote equal opportunity by allowing students from diverse backgrounds to access higher education, student loans scheme increased your knowledge of personal finance and financial management, the burden of repaying loans has had a detrimental effect on mental well-being and managing loan payments becomes particularly challenging during economic difficulties.</w:t>
      </w:r>
    </w:p>
    <w:p w14:paraId="7C2B826D">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The findings on research question two revealed the perception of KWASU students towards the criteria for accessing the students loan scheme is that, the applicants must be a Nigerian citizen, applicant must have secured admission into any of the Nigerian universities, polytechnics, colleges of education or any vocational school established by the Federal Government or the Government of any state of the federation, students can apply for and receive loans subject to application and identity verification guidelines as provided by the fund, applicants to the Fund may apply for loans to cover tuition and other fees payable to the school and maintenance allowance payable to the student, the repayment plan starts two years after the National Youth Service Corps (NYSC) program.</w:t>
      </w:r>
    </w:p>
    <w:p w14:paraId="2C379D5D">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 xml:space="preserve">The findings on research question three revealed the level of awareness of the educational loan scheme by students is that, most students </w:t>
      </w:r>
      <w:r>
        <w:rPr>
          <w:rFonts w:ascii="Times New Roman" w:hAnsi="Times New Roman" w:eastAsia="Times New Roman" w:cs="Times New Roman"/>
          <w:kern w:val="0"/>
          <w:sz w:val="24"/>
          <w:lang w:eastAsia="en-US"/>
        </w:rPr>
        <w:t xml:space="preserve">aware that Nigerian offers an educational loan scheme for students and that they are confident to their understanding of the educational loan scheme but students don't know </w:t>
      </w:r>
      <w:r>
        <w:rPr>
          <w:rFonts w:ascii="Times New Roman" w:hAnsi="Times New Roman" w:cs="Times New Roman"/>
          <w:sz w:val="24"/>
        </w:rPr>
        <w:t>where to find more information about the educational loan scheme if needed and frequency they come across information about the educational loan scheme is low.</w:t>
      </w:r>
    </w:p>
    <w:p w14:paraId="6C9CC5BC">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The findings on research question four revealed that, the benefits of student’s loan scheme are increased access to higher education, reduced financial barriers, improved economic mobility, mitigating of student’s debt and long-term benefits.</w:t>
      </w:r>
    </w:p>
    <w:p w14:paraId="7241359F">
      <w:pPr>
        <w:pStyle w:val="14"/>
        <w:numPr>
          <w:ilvl w:val="0"/>
          <w:numId w:val="19"/>
        </w:numPr>
        <w:spacing w:line="480" w:lineRule="auto"/>
        <w:rPr>
          <w:rFonts w:ascii="Times New Roman" w:hAnsi="Times New Roman" w:cs="Times New Roman"/>
          <w:sz w:val="24"/>
        </w:rPr>
      </w:pPr>
      <w:r>
        <w:rPr>
          <w:rFonts w:ascii="Times New Roman" w:hAnsi="Times New Roman" w:cs="Times New Roman"/>
          <w:sz w:val="24"/>
        </w:rPr>
        <w:t>The findings on research question five revealed that, the challenges affecting the implementation of the student loan scheme are lack of national identification system, inefficient management and corruption, delay in loan disbursement, government policies and difficulty in recovering loans as the challenges affecting the implementation of the student loan scheme.</w:t>
      </w:r>
    </w:p>
    <w:p w14:paraId="1286E775">
      <w:pPr>
        <w:pStyle w:val="2"/>
        <w:spacing w:before="0"/>
        <w:rPr>
          <w:rFonts w:ascii="Times New Roman" w:hAnsi="Times New Roman"/>
          <w:b w:val="0"/>
          <w:bCs w:val="0"/>
          <w:color w:val="auto"/>
          <w:sz w:val="24"/>
          <w:szCs w:val="24"/>
        </w:rPr>
      </w:pPr>
      <w:bookmarkStart w:id="59" w:name="_Toc170896447"/>
      <w:r>
        <w:rPr>
          <w:rFonts w:ascii="Times New Roman" w:hAnsi="Times New Roman" w:eastAsia="SimSun"/>
          <w:color w:val="auto"/>
          <w:sz w:val="24"/>
          <w:szCs w:val="24"/>
        </w:rPr>
        <w:t>5.3 Conclusion</w:t>
      </w:r>
      <w:bookmarkEnd w:id="59"/>
      <w:r>
        <w:rPr>
          <w:rFonts w:ascii="Times New Roman" w:hAnsi="Times New Roman" w:eastAsia="SimSun"/>
          <w:color w:val="auto"/>
          <w:sz w:val="24"/>
          <w:szCs w:val="24"/>
        </w:rPr>
        <w:t xml:space="preserve"> </w:t>
      </w:r>
    </w:p>
    <w:p w14:paraId="7B4EC584">
      <w:pPr>
        <w:spacing w:line="480" w:lineRule="auto"/>
        <w:rPr>
          <w:rFonts w:ascii="Times New Roman" w:hAnsi="Times New Roman" w:eastAsia="SimSun" w:cs="Times New Roman"/>
          <w:sz w:val="24"/>
        </w:rPr>
      </w:pPr>
      <w:r>
        <w:rPr>
          <w:rFonts w:ascii="Times New Roman" w:hAnsi="Times New Roman" w:eastAsia="SimSun" w:cs="Times New Roman"/>
          <w:sz w:val="24"/>
        </w:rPr>
        <w:t>The study concluded that, students perceive the educational loan scheme as a tool for promoting equal opportunity in higher education, enabling access for students from diverse backgrounds. While the scheme enhances their understanding of personal finance, the burden of loan repayment adversely affects their mental well-being, particularly challenging during economic downturns. Criteria for accessing the scheme require applicants to be Nigerian citizens with admission to recognized educational institutions. Loans cover tuition and maintenance, starting repayment after two years post-NYSC.</w:t>
      </w:r>
    </w:p>
    <w:p w14:paraId="7DFB9642">
      <w:pPr>
        <w:spacing w:line="480" w:lineRule="auto"/>
        <w:rPr>
          <w:rFonts w:ascii="Times New Roman" w:hAnsi="Times New Roman" w:eastAsia="SimSun" w:cs="Times New Roman"/>
          <w:sz w:val="24"/>
        </w:rPr>
      </w:pPr>
      <w:r>
        <w:rPr>
          <w:rFonts w:ascii="Times New Roman" w:hAnsi="Times New Roman" w:eastAsia="SimSun" w:cs="Times New Roman"/>
          <w:sz w:val="24"/>
        </w:rPr>
        <w:t>Despite awareness of Nigeria's educational loan scheme, Kwara State students lack sufficient information sources, hindering their ability to access detailed program specifics. Although confident in their understanding of the scheme, students struggle to find reliable information when needed due to infrequent exposure to such resources. The scheme's benefits include broader access to education, reduced financial barriers, economic mobility, debt mitigation, and long-term advantages. Challenges in implementation include a lack of national identification systems, administrative inefficiencies, corruption, delayed disbursements, government policies, and difficulties in loan recovery.</w:t>
      </w:r>
    </w:p>
    <w:p w14:paraId="3A112B92">
      <w:pPr>
        <w:pStyle w:val="2"/>
        <w:spacing w:before="0" w:line="480" w:lineRule="auto"/>
        <w:rPr>
          <w:rFonts w:ascii="Times New Roman" w:hAnsi="Times New Roman" w:eastAsia="SimSun"/>
          <w:b w:val="0"/>
          <w:bCs w:val="0"/>
          <w:color w:val="auto"/>
          <w:sz w:val="24"/>
          <w:szCs w:val="24"/>
        </w:rPr>
      </w:pPr>
      <w:bookmarkStart w:id="60" w:name="_Toc170896448"/>
      <w:r>
        <w:rPr>
          <w:rFonts w:ascii="Times New Roman" w:hAnsi="Times New Roman" w:eastAsia="SimSun"/>
          <w:color w:val="auto"/>
          <w:kern w:val="2"/>
          <w:sz w:val="24"/>
          <w:szCs w:val="24"/>
        </w:rPr>
        <w:t>5.4 Recommendation</w:t>
      </w:r>
      <w:bookmarkEnd w:id="60"/>
      <w:r>
        <w:rPr>
          <w:rFonts w:ascii="Times New Roman" w:hAnsi="Times New Roman" w:eastAsia="SimSun"/>
          <w:b w:val="0"/>
          <w:bCs w:val="0"/>
          <w:color w:val="auto"/>
          <w:kern w:val="2"/>
          <w:sz w:val="24"/>
          <w:szCs w:val="24"/>
        </w:rPr>
        <w:t xml:space="preserve"> </w:t>
      </w:r>
    </w:p>
    <w:p w14:paraId="3FC15648">
      <w:pPr>
        <w:spacing w:line="480" w:lineRule="auto"/>
        <w:rPr>
          <w:rFonts w:ascii="Times New Roman" w:hAnsi="Times New Roman" w:cs="Times New Roman"/>
          <w:b/>
          <w:bCs/>
          <w:sz w:val="24"/>
        </w:rPr>
      </w:pPr>
      <w:r>
        <w:rPr>
          <w:rFonts w:ascii="Times New Roman" w:hAnsi="Times New Roman" w:eastAsia="SimSun" w:cs="Times New Roman"/>
          <w:sz w:val="24"/>
        </w:rPr>
        <w:t xml:space="preserve">Based on the findings of this study which lead to the conclusion reached, the study recommended as follows; </w:t>
      </w:r>
    </w:p>
    <w:p w14:paraId="7717E49D">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Students’ Loan Boards should expand its scope beyond payment of school fees. This is because there are other education cost components that are more demanding such as textbooks, accommodation, feeding and upkeep</w:t>
      </w:r>
      <w:r>
        <w:rPr>
          <w:rFonts w:ascii="Times New Roman" w:hAnsi="Times New Roman" w:cs="Times New Roman"/>
          <w:sz w:val="24"/>
        </w:rPr>
        <w:t>ing</w:t>
      </w:r>
      <w:r>
        <w:rPr>
          <w:rFonts w:ascii="Times New Roman" w:hAnsi="Times New Roman" w:eastAsia="SimSun" w:cs="Times New Roman"/>
          <w:sz w:val="24"/>
        </w:rPr>
        <w:t xml:space="preserve">. </w:t>
      </w:r>
    </w:p>
    <w:p w14:paraId="6AAA60C8">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Board should relax its policy on provision of guarantors to access loan and concentrate on withholding certificates as collateral. This recommendation is made because majority of the respondents are afraid of their inability to provide guarantors that are willing to guarantee them to access the loan.</w:t>
      </w:r>
    </w:p>
    <w:p w14:paraId="254FBB57">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The loan selection process should continuously be assessed or contrasted with that of the countries especially in the western world and other African countries where the loan schemes have been used for quite some time.</w:t>
      </w:r>
    </w:p>
    <w:p w14:paraId="7ED2B48B">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The Student Loan Board should put in place measures to ensure that loan scheme processes if fair and transparent. The criteria used in the selection of the students should be made known to the general public after each selection process. The information regarding the loan process should be through popular media in all regions of the country.</w:t>
      </w:r>
    </w:p>
    <w:p w14:paraId="746544AF">
      <w:pPr>
        <w:pStyle w:val="14"/>
        <w:numPr>
          <w:ilvl w:val="0"/>
          <w:numId w:val="20"/>
        </w:numPr>
        <w:spacing w:line="480" w:lineRule="auto"/>
        <w:rPr>
          <w:rFonts w:ascii="Times New Roman" w:hAnsi="Times New Roman" w:cs="Times New Roman"/>
          <w:sz w:val="24"/>
        </w:rPr>
      </w:pPr>
      <w:r>
        <w:rPr>
          <w:rFonts w:ascii="Times New Roman" w:hAnsi="Times New Roman" w:cs="Times New Roman"/>
          <w:sz w:val="24"/>
        </w:rPr>
        <w:t>The loan-granting body should step up measures to ensure that the students repay the loans. Such measures may include helping students maintain a positive attitude towards the repayment of the loans through clear and regular communication in the form of reminders for payment schedules and amounts due.</w:t>
      </w:r>
    </w:p>
    <w:p w14:paraId="592B352A">
      <w:pPr>
        <w:widowControl/>
        <w:jc w:val="left"/>
        <w:rPr>
          <w:rFonts w:ascii="Times New Roman" w:hAnsi="Times New Roman" w:cs="Times New Roman"/>
          <w:b/>
          <w:bCs/>
          <w:sz w:val="24"/>
        </w:rPr>
      </w:pPr>
      <w:r>
        <w:rPr>
          <w:rFonts w:ascii="Times New Roman" w:hAnsi="Times New Roman" w:cs="Times New Roman"/>
          <w:b/>
          <w:bCs/>
          <w:sz w:val="24"/>
        </w:rPr>
        <w:br w:type="page"/>
      </w:r>
    </w:p>
    <w:p w14:paraId="5863236B">
      <w:pPr>
        <w:pStyle w:val="2"/>
        <w:jc w:val="center"/>
        <w:rPr>
          <w:rFonts w:ascii="Times New Roman" w:hAnsi="Times New Roman"/>
          <w:b w:val="0"/>
          <w:bCs w:val="0"/>
          <w:color w:val="auto"/>
          <w:sz w:val="24"/>
        </w:rPr>
      </w:pPr>
      <w:bookmarkStart w:id="61" w:name="_Toc170896449"/>
      <w:r>
        <w:rPr>
          <w:rFonts w:ascii="Times New Roman" w:hAnsi="Times New Roman"/>
          <w:color w:val="auto"/>
          <w:sz w:val="24"/>
        </w:rPr>
        <w:t>References</w:t>
      </w:r>
      <w:bookmarkEnd w:id="61"/>
    </w:p>
    <w:p w14:paraId="6E5295B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Agbelusi, M. (2023). The student loans act 2023: </w:t>
      </w:r>
      <w:r>
        <w:rPr>
          <w:rFonts w:ascii="Times New Roman" w:hAnsi="Times New Roman" w:cs="Times New Roman"/>
          <w:i/>
          <w:iCs/>
          <w:sz w:val="24"/>
        </w:rPr>
        <w:t>Impact on higher education funding in Nigeria</w:t>
      </w:r>
      <w:r>
        <w:rPr>
          <w:rFonts w:ascii="Times New Roman" w:hAnsi="Times New Roman" w:cs="Times New Roman"/>
          <w:sz w:val="24"/>
        </w:rPr>
        <w:t>. Vol. 21 No. 2 (2023). December 21, 2023.</w:t>
      </w:r>
    </w:p>
    <w:p w14:paraId="714753A4">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Akomolafe, C. O. &amp; Ibijola, E. Y. (2014). Accreditation of academic programmes and quality assurance in universities in South-West Nigeria. </w:t>
      </w:r>
      <w:r>
        <w:rPr>
          <w:rFonts w:ascii="Times New Roman" w:hAnsi="Times New Roman" w:cs="Times New Roman"/>
          <w:i/>
          <w:iCs/>
          <w:sz w:val="24"/>
        </w:rPr>
        <w:t>www.globalconference.eu/proceeding/vol.1. pdf [Accessed 10 August 2015]</w:t>
      </w:r>
      <w:r>
        <w:rPr>
          <w:rFonts w:ascii="Times New Roman" w:hAnsi="Times New Roman" w:cs="Times New Roman"/>
          <w:sz w:val="24"/>
        </w:rPr>
        <w:t>.</w:t>
      </w:r>
    </w:p>
    <w:p w14:paraId="5860AEA4">
      <w:pPr>
        <w:spacing w:before="240" w:line="360" w:lineRule="auto"/>
        <w:ind w:left="720" w:hanging="720"/>
        <w:rPr>
          <w:rFonts w:ascii="Times New Roman" w:hAnsi="Times New Roman" w:cs="Times New Roman"/>
          <w:sz w:val="24"/>
        </w:rPr>
      </w:pPr>
      <w:r>
        <w:rPr>
          <w:rFonts w:ascii="Times New Roman" w:hAnsi="Times New Roman" w:cs="Times New Roman"/>
          <w:sz w:val="24"/>
        </w:rPr>
        <w:t>Akpan, C. P. &amp; Etor, C. R. (2016) Accreditation of academic programmes and quality University Education in South-South Nigeria. I</w:t>
      </w:r>
      <w:r>
        <w:rPr>
          <w:rFonts w:ascii="Times New Roman" w:hAnsi="Times New Roman" w:cs="Times New Roman"/>
          <w:i/>
          <w:iCs/>
          <w:sz w:val="24"/>
        </w:rPr>
        <w:t xml:space="preserve">nternational Journal of </w:t>
      </w:r>
      <w:r>
        <w:rPr>
          <w:rFonts w:ascii="Times New Roman" w:hAnsi="Times New Roman" w:cs="Times New Roman"/>
          <w:i/>
          <w:iCs/>
          <w:sz w:val="24"/>
        </w:rPr>
        <w:tab/>
      </w:r>
      <w:r>
        <w:rPr>
          <w:rFonts w:ascii="Times New Roman" w:hAnsi="Times New Roman" w:cs="Times New Roman"/>
          <w:i/>
          <w:iCs/>
          <w:sz w:val="24"/>
        </w:rPr>
        <w:t>Educational Studies,</w:t>
      </w:r>
      <w:r>
        <w:rPr>
          <w:rFonts w:ascii="Times New Roman" w:hAnsi="Times New Roman" w:cs="Times New Roman"/>
          <w:sz w:val="24"/>
        </w:rPr>
        <w:t xml:space="preserve"> 13(2), 37-54.</w:t>
      </w:r>
    </w:p>
    <w:p w14:paraId="1018B15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Akpan, C. P., Ntukidem, P. J., Ekpiken W. &amp; Etor R. (2009). The challenges of teacher’s education in Nigeria. </w:t>
      </w:r>
      <w:r>
        <w:rPr>
          <w:rFonts w:ascii="Times New Roman" w:hAnsi="Times New Roman" w:cs="Times New Roman"/>
          <w:i/>
          <w:iCs/>
          <w:sz w:val="24"/>
        </w:rPr>
        <w:t>International Journal of Internet Education,</w:t>
      </w:r>
      <w:r>
        <w:rPr>
          <w:rFonts w:ascii="Times New Roman" w:hAnsi="Times New Roman" w:cs="Times New Roman"/>
          <w:sz w:val="24"/>
        </w:rPr>
        <w:t xml:space="preserve"> 4, 169-178.</w:t>
      </w:r>
    </w:p>
    <w:p w14:paraId="1E58B97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Alechenu, J. (2012), November 13. Nigerian universities lack enough lecturers. </w:t>
      </w:r>
      <w:r>
        <w:rPr>
          <w:rFonts w:ascii="Times New Roman" w:hAnsi="Times New Roman" w:cs="Times New Roman"/>
          <w:i/>
          <w:iCs/>
          <w:sz w:val="24"/>
        </w:rPr>
        <w:t>The Punch Newspaper</w:t>
      </w:r>
      <w:r>
        <w:rPr>
          <w:rFonts w:ascii="Times New Roman" w:hAnsi="Times New Roman" w:cs="Times New Roman"/>
          <w:sz w:val="24"/>
        </w:rPr>
        <w:t>. p: 43.</w:t>
      </w:r>
    </w:p>
    <w:p w14:paraId="4CD0CA8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Ally, A. M. (2015). Sustainability of higher education students‟ Loan Scheme (HESLS) in Tanzania. </w:t>
      </w:r>
      <w:r>
        <w:rPr>
          <w:rFonts w:ascii="Times New Roman" w:hAnsi="Times New Roman" w:cs="Times New Roman"/>
          <w:i/>
          <w:iCs/>
          <w:sz w:val="24"/>
        </w:rPr>
        <w:t>European Journal of Business and Management</w:t>
      </w:r>
      <w:r>
        <w:rPr>
          <w:rFonts w:ascii="Times New Roman" w:hAnsi="Times New Roman" w:cs="Times New Roman"/>
          <w:sz w:val="24"/>
        </w:rPr>
        <w:t xml:space="preserve">. ISSN 2222-1905 (Paper) ISSN 2222-2839 (Online) Vol.7(9). </w:t>
      </w:r>
      <w:r>
        <w:fldChar w:fldCharType="begin"/>
      </w:r>
      <w:r>
        <w:instrText xml:space="preserve"> HYPERLINK "http://www.iiste.org." </w:instrText>
      </w:r>
      <w:r>
        <w:fldChar w:fldCharType="separate"/>
      </w:r>
      <w:r>
        <w:rPr>
          <w:rStyle w:val="7"/>
          <w:rFonts w:ascii="Times New Roman" w:hAnsi="Times New Roman" w:cs="Times New Roman"/>
          <w:color w:val="auto"/>
          <w:sz w:val="24"/>
        </w:rPr>
        <w:t>www.iiste.org.</w:t>
      </w:r>
      <w:r>
        <w:rPr>
          <w:rStyle w:val="7"/>
          <w:rFonts w:ascii="Times New Roman" w:hAnsi="Times New Roman" w:cs="Times New Roman"/>
          <w:color w:val="auto"/>
          <w:sz w:val="24"/>
        </w:rPr>
        <w:fldChar w:fldCharType="end"/>
      </w:r>
    </w:p>
    <w:p w14:paraId="00F74A6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Asian Development Bank, (2009). Good practice in cost sharing and financing in higher education. </w:t>
      </w:r>
      <w:r>
        <w:rPr>
          <w:rFonts w:ascii="Times New Roman" w:hAnsi="Times New Roman" w:cs="Times New Roman"/>
          <w:i/>
          <w:iCs/>
          <w:sz w:val="24"/>
        </w:rPr>
        <w:t>Focus On Education</w:t>
      </w:r>
      <w:r>
        <w:rPr>
          <w:rFonts w:ascii="Times New Roman" w:hAnsi="Times New Roman" w:cs="Times New Roman"/>
          <w:sz w:val="24"/>
        </w:rPr>
        <w:t xml:space="preserve">. ISBN 978-971-561-849-6. </w:t>
      </w:r>
      <w:r>
        <w:fldChar w:fldCharType="begin"/>
      </w:r>
      <w:r>
        <w:instrText xml:space="preserve"> HYPERLINK "http://www.adb.org." </w:instrText>
      </w:r>
      <w:r>
        <w:fldChar w:fldCharType="separate"/>
      </w:r>
      <w:r>
        <w:rPr>
          <w:rStyle w:val="7"/>
          <w:rFonts w:ascii="Times New Roman" w:hAnsi="Times New Roman" w:cs="Times New Roman"/>
          <w:color w:val="auto"/>
          <w:sz w:val="24"/>
        </w:rPr>
        <w:t>www.adb.org.</w:t>
      </w:r>
      <w:r>
        <w:rPr>
          <w:rStyle w:val="7"/>
          <w:rFonts w:ascii="Times New Roman" w:hAnsi="Times New Roman" w:cs="Times New Roman"/>
          <w:color w:val="auto"/>
          <w:sz w:val="24"/>
        </w:rPr>
        <w:fldChar w:fldCharType="end"/>
      </w:r>
    </w:p>
    <w:p w14:paraId="29EE40B0">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Atuahene, F. (2008). The challenge of financing higher education and the role of student loans scheme: </w:t>
      </w:r>
      <w:r>
        <w:rPr>
          <w:rFonts w:ascii="Times New Roman" w:hAnsi="Times New Roman" w:cs="Times New Roman"/>
          <w:i/>
          <w:iCs/>
          <w:sz w:val="24"/>
        </w:rPr>
        <w:t>An Analysis of The Student Loan Trust Fund (SLTF) in Ghana</w:t>
      </w:r>
      <w:r>
        <w:rPr>
          <w:rFonts w:ascii="Times New Roman" w:hAnsi="Times New Roman" w:cs="Times New Roman"/>
          <w:sz w:val="24"/>
        </w:rPr>
        <w:t>. High Educ, 56:407–421 DOI 10.1007/s10734-007-9101-5.</w:t>
      </w:r>
    </w:p>
    <w:p w14:paraId="34346FAA">
      <w:pPr>
        <w:spacing w:before="240" w:line="360" w:lineRule="auto"/>
        <w:ind w:left="720" w:hanging="720"/>
        <w:rPr>
          <w:rFonts w:ascii="Times New Roman" w:hAnsi="Times New Roman" w:cs="Times New Roman"/>
          <w:sz w:val="24"/>
        </w:rPr>
      </w:pPr>
      <w:r>
        <w:rPr>
          <w:rFonts w:ascii="Times New Roman" w:hAnsi="Times New Roman" w:cs="Times New Roman"/>
          <w:sz w:val="24"/>
        </w:rPr>
        <w:t>Bamiro, O. (2012, June 26) Dean canvasses increased education funding. The Punch Newspaper, 41.</w:t>
      </w:r>
    </w:p>
    <w:p w14:paraId="610B7B7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Bloom, D. Canning, D. and Chan, K. (2006). Higher education and economic development in Africa. </w:t>
      </w:r>
      <w:r>
        <w:rPr>
          <w:rFonts w:ascii="Times New Roman" w:hAnsi="Times New Roman" w:cs="Times New Roman"/>
          <w:i/>
          <w:iCs/>
          <w:sz w:val="24"/>
        </w:rPr>
        <w:t>Human Development Sector Africa Region. Harvard University.</w:t>
      </w:r>
    </w:p>
    <w:p w14:paraId="2A007A08">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Chapman, B. and Sinning, M. (2011). Student loan reforms for German higher education: </w:t>
      </w:r>
      <w:r>
        <w:rPr>
          <w:rFonts w:ascii="Times New Roman" w:hAnsi="Times New Roman" w:cs="Times New Roman"/>
          <w:i/>
          <w:iCs/>
          <w:sz w:val="24"/>
        </w:rPr>
        <w:t>Financing Tuition Fees. Ruhr Economic Papers #244, ISSN</w:t>
      </w:r>
      <w:r>
        <w:rPr>
          <w:rFonts w:ascii="Times New Roman" w:hAnsi="Times New Roman" w:cs="Times New Roman"/>
          <w:sz w:val="24"/>
        </w:rPr>
        <w:t xml:space="preserve"> 1864-4872 (online)</w:t>
      </w:r>
    </w:p>
    <w:p w14:paraId="6F56474A">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Dente, B. and Piraino, N. (2011) Models for determining the efficiency of student loans policies. </w:t>
      </w:r>
      <w:r>
        <w:rPr>
          <w:rFonts w:ascii="Times New Roman" w:hAnsi="Times New Roman" w:cs="Times New Roman"/>
          <w:i/>
          <w:iCs/>
          <w:sz w:val="24"/>
        </w:rPr>
        <w:t>Journal of Higher Education Policy and Management,</w:t>
      </w:r>
      <w:r>
        <w:rPr>
          <w:rFonts w:ascii="Times New Roman" w:hAnsi="Times New Roman" w:cs="Times New Roman"/>
          <w:sz w:val="24"/>
        </w:rPr>
        <w:t xml:space="preserve"> 33:4, 375-386, DOI: 10.1080/1360080X.2011.585737. </w:t>
      </w:r>
      <w:r>
        <w:fldChar w:fldCharType="begin"/>
      </w:r>
      <w:r>
        <w:instrText xml:space="preserve"> HYPERLINK "http://www.tandfonline.com/loi/cjhe20." </w:instrText>
      </w:r>
      <w:r>
        <w:fldChar w:fldCharType="separate"/>
      </w:r>
      <w:r>
        <w:rPr>
          <w:rStyle w:val="7"/>
          <w:rFonts w:ascii="Times New Roman" w:hAnsi="Times New Roman" w:cs="Times New Roman"/>
          <w:sz w:val="24"/>
        </w:rPr>
        <w:t>http://www.tandfonline.com/loi/cjhe20.</w:t>
      </w:r>
      <w:r>
        <w:rPr>
          <w:rStyle w:val="7"/>
          <w:rFonts w:ascii="Times New Roman" w:hAnsi="Times New Roman" w:cs="Times New Roman"/>
          <w:sz w:val="24"/>
        </w:rPr>
        <w:fldChar w:fldCharType="end"/>
      </w:r>
    </w:p>
    <w:p w14:paraId="5BF9DF8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Doan, D., Kang, J.&amp; Zhu, Y. (2020). Financing higher education in Vietnam: Student loan reform. </w:t>
      </w:r>
      <w:r>
        <w:rPr>
          <w:rFonts w:ascii="Times New Roman" w:hAnsi="Times New Roman" w:cs="Times New Roman"/>
          <w:i/>
          <w:iCs/>
          <w:sz w:val="24"/>
        </w:rPr>
        <w:t>Centre for Global Higher Education working paper series</w:t>
      </w:r>
      <w:r>
        <w:rPr>
          <w:rFonts w:ascii="Times New Roman" w:hAnsi="Times New Roman" w:cs="Times New Roman"/>
          <w:sz w:val="24"/>
        </w:rPr>
        <w:t>, No. 51.</w:t>
      </w:r>
    </w:p>
    <w:p w14:paraId="1C017C2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Duze, C.O. (2011). Falling standards of education in Nigeria: </w:t>
      </w:r>
      <w:r>
        <w:rPr>
          <w:rFonts w:ascii="Times New Roman" w:hAnsi="Times New Roman" w:cs="Times New Roman"/>
          <w:i/>
          <w:iCs/>
          <w:sz w:val="24"/>
        </w:rPr>
        <w:t>An Empirical Evidence in Delta State of Nigeria</w:t>
      </w:r>
      <w:r>
        <w:rPr>
          <w:rFonts w:ascii="Times New Roman" w:hAnsi="Times New Roman" w:cs="Times New Roman"/>
          <w:sz w:val="24"/>
        </w:rPr>
        <w:t xml:space="preserve">. Lwati: a journal of contemporary research, 8. </w:t>
      </w:r>
    </w:p>
    <w:p w14:paraId="00041DB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Dynarski, S. (2014). An economist’s perspective on student loans in the United States. </w:t>
      </w:r>
      <w:r>
        <w:rPr>
          <w:rFonts w:ascii="Times New Roman" w:hAnsi="Times New Roman" w:cs="Times New Roman"/>
          <w:i/>
          <w:iCs/>
          <w:sz w:val="24"/>
        </w:rPr>
        <w:t>ES Working Paper Series. East-West Center/Korean Development Institute Conference on a New Direction in Human Capital Policy</w:t>
      </w:r>
      <w:r>
        <w:rPr>
          <w:rFonts w:ascii="Times New Roman" w:hAnsi="Times New Roman" w:cs="Times New Roman"/>
          <w:sz w:val="24"/>
        </w:rPr>
        <w:t>. dynarski@umich.edu.</w:t>
      </w:r>
    </w:p>
    <w:p w14:paraId="38F59907">
      <w:pPr>
        <w:spacing w:before="240" w:line="360" w:lineRule="auto"/>
        <w:ind w:left="720" w:hanging="720"/>
        <w:rPr>
          <w:rFonts w:ascii="Times New Roman" w:hAnsi="Times New Roman"/>
          <w:sz w:val="24"/>
        </w:rPr>
      </w:pPr>
      <w:r>
        <w:rPr>
          <w:rFonts w:ascii="Times New Roman" w:hAnsi="Times New Roman"/>
          <w:sz w:val="24"/>
        </w:rPr>
        <w:t xml:space="preserve">Fatimayin, F., Edinoh, K.,O, O.I.G (2024). Perception of undergraduate students on implementation of student loan programme in tertiary education in Nigeria. </w:t>
      </w:r>
      <w:r>
        <w:rPr>
          <w:rFonts w:ascii="Times New Roman" w:hAnsi="Times New Roman"/>
          <w:i/>
          <w:iCs/>
          <w:sz w:val="24"/>
        </w:rPr>
        <w:t>Central Asian Journal of Social Sciences and History</w:t>
      </w:r>
      <w:r>
        <w:rPr>
          <w:rFonts w:ascii="Times New Roman" w:hAnsi="Times New Roman"/>
          <w:sz w:val="24"/>
        </w:rPr>
        <w:t>, 5(3), 6–11.</w:t>
      </w:r>
    </w:p>
    <w:p w14:paraId="40FC725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Federal Republic of Nigeria 2013. National policy on education. 6th Edn., Yaba, Lagos. Nigeria: </w:t>
      </w:r>
      <w:r>
        <w:rPr>
          <w:rFonts w:ascii="Times New Roman" w:hAnsi="Times New Roman" w:cs="Times New Roman"/>
          <w:i/>
          <w:iCs/>
          <w:sz w:val="24"/>
        </w:rPr>
        <w:t>NERDC Press</w:t>
      </w:r>
      <w:r>
        <w:rPr>
          <w:rFonts w:ascii="Times New Roman" w:hAnsi="Times New Roman" w:cs="Times New Roman"/>
          <w:sz w:val="24"/>
        </w:rPr>
        <w:t>. ISBN: 978-054-216-7</w:t>
      </w:r>
    </w:p>
    <w:p w14:paraId="2FBA6DC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Finnie, R. (2002) Student loans, student financial aid and post-secondary education </w:t>
      </w:r>
      <w:r>
        <w:rPr>
          <w:rFonts w:ascii="Times New Roman" w:hAnsi="Times New Roman" w:cs="Times New Roman"/>
          <w:sz w:val="24"/>
        </w:rPr>
        <w:tab/>
      </w:r>
      <w:r>
        <w:rPr>
          <w:rFonts w:ascii="Times New Roman" w:hAnsi="Times New Roman" w:cs="Times New Roman"/>
          <w:sz w:val="24"/>
        </w:rPr>
        <w:t xml:space="preserve">in Canada, </w:t>
      </w:r>
      <w:r>
        <w:rPr>
          <w:rFonts w:ascii="Times New Roman" w:hAnsi="Times New Roman" w:cs="Times New Roman"/>
          <w:i/>
          <w:iCs/>
          <w:sz w:val="24"/>
        </w:rPr>
        <w:t>Journal of Higher Education Policy and Management</w:t>
      </w:r>
      <w:r>
        <w:rPr>
          <w:rFonts w:ascii="Times New Roman" w:hAnsi="Times New Roman" w:cs="Times New Roman"/>
          <w:sz w:val="24"/>
        </w:rPr>
        <w:t xml:space="preserve">, 24:2, 155-170, DOI: 10.1080/136008002200013482. </w:t>
      </w:r>
      <w:r>
        <w:fldChar w:fldCharType="begin"/>
      </w:r>
      <w:r>
        <w:instrText xml:space="preserve"> HYPERLINK "http://www.tandfonline.com/loi/cjhe20." </w:instrText>
      </w:r>
      <w:r>
        <w:fldChar w:fldCharType="separate"/>
      </w:r>
      <w:r>
        <w:rPr>
          <w:rFonts w:ascii="Times New Roman" w:hAnsi="Times New Roman" w:cs="Times New Roman"/>
          <w:sz w:val="24"/>
        </w:rPr>
        <w:t>http://www.tandfonline.com/loi/cjhe20.</w:t>
      </w:r>
      <w:r>
        <w:rPr>
          <w:rFonts w:ascii="Times New Roman" w:hAnsi="Times New Roman" w:cs="Times New Roman"/>
          <w:sz w:val="24"/>
        </w:rPr>
        <w:fldChar w:fldCharType="end"/>
      </w:r>
    </w:p>
    <w:p w14:paraId="1E128220">
      <w:pPr>
        <w:spacing w:before="240" w:line="360" w:lineRule="auto"/>
        <w:ind w:left="720" w:hanging="720"/>
        <w:rPr>
          <w:rFonts w:ascii="Times New Roman" w:hAnsi="Times New Roman" w:cs="Times New Roman"/>
          <w:sz w:val="24"/>
        </w:rPr>
      </w:pPr>
      <w:r>
        <w:rPr>
          <w:rFonts w:ascii="Times New Roman" w:hAnsi="Times New Roman" w:cs="Times New Roman"/>
          <w:sz w:val="24"/>
        </w:rPr>
        <w:t>Franklin, M., Ince, E., &amp; Hosein, R. (2014). Avoiding vertical inefficiencies in funding tertiary level education (TLE) in resource abundant states. </w:t>
      </w:r>
      <w:r>
        <w:rPr>
          <w:rFonts w:ascii="Times New Roman" w:hAnsi="Times New Roman" w:cs="Times New Roman"/>
          <w:i/>
          <w:iCs/>
          <w:sz w:val="24"/>
        </w:rPr>
        <w:t>Social and Economic Studies</w:t>
      </w:r>
      <w:r>
        <w:rPr>
          <w:rFonts w:ascii="Times New Roman" w:hAnsi="Times New Roman" w:cs="Times New Roman"/>
          <w:sz w:val="24"/>
        </w:rPr>
        <w:t>, 63(1), 111–152. http://www.jstor.org/stable/24384101</w:t>
      </w:r>
    </w:p>
    <w:p w14:paraId="2F905973">
      <w:pPr>
        <w:spacing w:before="240" w:line="360" w:lineRule="auto"/>
        <w:ind w:left="720" w:hanging="720"/>
        <w:rPr>
          <w:rFonts w:ascii="Times New Roman" w:hAnsi="Times New Roman" w:cs="Times New Roman"/>
          <w:sz w:val="24"/>
        </w:rPr>
      </w:pPr>
    </w:p>
    <w:p w14:paraId="3963ED4D">
      <w:pPr>
        <w:spacing w:before="240" w:line="360" w:lineRule="auto"/>
        <w:ind w:left="720" w:hanging="720"/>
        <w:rPr>
          <w:rFonts w:ascii="Times New Roman" w:hAnsi="Times New Roman" w:cs="Times New Roman"/>
          <w:sz w:val="24"/>
        </w:rPr>
      </w:pPr>
    </w:p>
    <w:p w14:paraId="4716D1C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Gudo, C. (2014). Financing higher education in Kenya: Public-Private partnership approach. </w:t>
      </w:r>
      <w:r>
        <w:rPr>
          <w:rFonts w:ascii="Times New Roman" w:hAnsi="Times New Roman" w:cs="Times New Roman"/>
          <w:i/>
          <w:iCs/>
          <w:sz w:val="24"/>
        </w:rPr>
        <w:t>International Journal of Educational Policy Research and Review</w:t>
      </w:r>
      <w:r>
        <w:rPr>
          <w:rFonts w:ascii="Times New Roman" w:hAnsi="Times New Roman" w:cs="Times New Roman"/>
          <w:sz w:val="24"/>
        </w:rPr>
        <w:t xml:space="preserve">, Vol.1 (1), pp. 001-005, </w:t>
      </w:r>
      <w:r>
        <w:fldChar w:fldCharType="begin"/>
      </w:r>
      <w:r>
        <w:instrText xml:space="preserve"> HYPERLINK "http://www.journalissues.org/journals/ijeprr/." </w:instrText>
      </w:r>
      <w:r>
        <w:fldChar w:fldCharType="separate"/>
      </w:r>
      <w:r>
        <w:rPr>
          <w:rFonts w:ascii="Times New Roman" w:hAnsi="Times New Roman" w:cs="Times New Roman"/>
          <w:sz w:val="24"/>
        </w:rPr>
        <w:t>http://www.journalissues.org/journals/ijeprr/.</w:t>
      </w:r>
      <w:r>
        <w:rPr>
          <w:rFonts w:ascii="Times New Roman" w:hAnsi="Times New Roman" w:cs="Times New Roman"/>
          <w:sz w:val="24"/>
        </w:rPr>
        <w:fldChar w:fldCharType="end"/>
      </w:r>
    </w:p>
    <w:p w14:paraId="5179A19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Ismail, S., Serguieva, A and Singh, S. (2010). “Students’ Attitude towards Loan Repayment: </w:t>
      </w:r>
      <w:r>
        <w:rPr>
          <w:rFonts w:ascii="Times New Roman" w:hAnsi="Times New Roman" w:cs="Times New Roman"/>
          <w:i/>
          <w:iCs/>
          <w:sz w:val="24"/>
        </w:rPr>
        <w:t>A Theoretical Framework,” J. Econ. Dev</w:t>
      </w:r>
      <w:r>
        <w:rPr>
          <w:rFonts w:ascii="Times New Roman" w:hAnsi="Times New Roman" w:cs="Times New Roman"/>
          <w:sz w:val="24"/>
        </w:rPr>
        <w:t>.</w:t>
      </w:r>
    </w:p>
    <w:p w14:paraId="70DE033F">
      <w:pPr>
        <w:spacing w:before="240" w:line="360" w:lineRule="auto"/>
        <w:ind w:left="720" w:hanging="720"/>
        <w:rPr>
          <w:rFonts w:ascii="Times New Roman" w:hAnsi="Times New Roman" w:cs="Times New Roman"/>
          <w:sz w:val="24"/>
        </w:rPr>
      </w:pPr>
      <w:r>
        <w:rPr>
          <w:rFonts w:ascii="Times New Roman" w:hAnsi="Times New Roman" w:cs="Times New Roman"/>
          <w:sz w:val="24"/>
        </w:rPr>
        <w:t>Jackson, S.L. (2009). Research methods and statistics: a critical thinking approach (3rd edition). Belmont, CA: Wadsworth.</w:t>
      </w:r>
    </w:p>
    <w:p w14:paraId="7FBC3BD1">
      <w:pPr>
        <w:spacing w:before="240" w:line="360" w:lineRule="auto"/>
        <w:ind w:left="720" w:hanging="720"/>
        <w:rPr>
          <w:rFonts w:ascii="Times New Roman" w:hAnsi="Times New Roman" w:cs="Times New Roman"/>
          <w:sz w:val="24"/>
        </w:rPr>
      </w:pPr>
      <w:r>
        <w:rPr>
          <w:rFonts w:ascii="Times New Roman" w:hAnsi="Times New Roman" w:cs="Times New Roman"/>
          <w:sz w:val="24"/>
        </w:rPr>
        <w:t>Johnston, A. and Barr, N. (2013) Student loan reform, interest subsidies and costly technicalities: lessons from the UK experience, J</w:t>
      </w:r>
      <w:r>
        <w:rPr>
          <w:rFonts w:ascii="Times New Roman" w:hAnsi="Times New Roman" w:cs="Times New Roman"/>
          <w:i/>
          <w:iCs/>
          <w:sz w:val="24"/>
        </w:rPr>
        <w:t xml:space="preserve">ournal of Higher Education </w:t>
      </w:r>
      <w:r>
        <w:rPr>
          <w:rFonts w:ascii="Times New Roman" w:hAnsi="Times New Roman" w:cs="Times New Roman"/>
          <w:i/>
          <w:iCs/>
          <w:sz w:val="24"/>
        </w:rPr>
        <w:tab/>
      </w:r>
      <w:r>
        <w:rPr>
          <w:rFonts w:ascii="Times New Roman" w:hAnsi="Times New Roman" w:cs="Times New Roman"/>
          <w:i/>
          <w:iCs/>
          <w:sz w:val="24"/>
        </w:rPr>
        <w:t>Policy and Management</w:t>
      </w:r>
      <w:r>
        <w:rPr>
          <w:rFonts w:ascii="Times New Roman" w:hAnsi="Times New Roman" w:cs="Times New Roman"/>
          <w:sz w:val="24"/>
        </w:rPr>
        <w:t>, 35:2, 167-178, DOI: 10.1080/1360080X.2013.775925. http://www.tandfonline.com/loi/cjhe20.</w:t>
      </w:r>
    </w:p>
    <w:p w14:paraId="734FAB52">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Kivati, G. (2017). The role of Kenya’s formal higher education in sustainable development within the context of globalization. </w:t>
      </w:r>
      <w:r>
        <w:rPr>
          <w:rFonts w:ascii="Times New Roman" w:hAnsi="Times New Roman" w:cs="Times New Roman"/>
          <w:i/>
          <w:iCs/>
          <w:sz w:val="24"/>
        </w:rPr>
        <w:t>Springer International Publishing</w:t>
      </w:r>
      <w:r>
        <w:rPr>
          <w:rFonts w:ascii="Times New Roman" w:hAnsi="Times New Roman" w:cs="Times New Roman"/>
          <w:sz w:val="24"/>
        </w:rPr>
        <w:t xml:space="preserve">. </w:t>
      </w:r>
      <w:r>
        <w:fldChar w:fldCharType="begin"/>
      </w:r>
      <w:r>
        <w:instrText xml:space="preserve"> HYPERLINK "http://www.springer.com/978-3-319-47888-3." </w:instrText>
      </w:r>
      <w:r>
        <w:fldChar w:fldCharType="separate"/>
      </w:r>
      <w:r>
        <w:rPr>
          <w:rFonts w:ascii="Times New Roman" w:hAnsi="Times New Roman" w:cs="Times New Roman"/>
          <w:sz w:val="24"/>
        </w:rPr>
        <w:t>http://www.springer.com/978-3-319-47888-3.</w:t>
      </w:r>
      <w:r>
        <w:rPr>
          <w:rFonts w:ascii="Times New Roman" w:hAnsi="Times New Roman" w:cs="Times New Roman"/>
          <w:sz w:val="24"/>
        </w:rPr>
        <w:fldChar w:fldCharType="end"/>
      </w:r>
    </w:p>
    <w:p w14:paraId="526C664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Kossey, M.M. &amp;Ishengoma, J.M. (2012) Issues and challenges of student financing systems in Africa: The case of Tanzania. </w:t>
      </w:r>
      <w:r>
        <w:rPr>
          <w:rFonts w:ascii="Times New Roman" w:hAnsi="Times New Roman" w:cs="Times New Roman"/>
          <w:i/>
          <w:iCs/>
          <w:sz w:val="24"/>
        </w:rPr>
        <w:t>Journal of Higher Education in Africa</w:t>
      </w:r>
      <w:r>
        <w:rPr>
          <w:rFonts w:ascii="Times New Roman" w:hAnsi="Times New Roman" w:cs="Times New Roman"/>
          <w:sz w:val="24"/>
        </w:rPr>
        <w:t>, 10 (2), 67-90.</w:t>
      </w:r>
    </w:p>
    <w:p w14:paraId="239D2E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Kwasi-Agyeman, F. (2015). Organizing higher education funding in Ghana: The Case </w:t>
      </w:r>
      <w:r>
        <w:rPr>
          <w:rFonts w:ascii="Times New Roman" w:hAnsi="Times New Roman" w:cs="Times New Roman"/>
          <w:sz w:val="24"/>
        </w:rPr>
        <w:tab/>
      </w:r>
      <w:r>
        <w:rPr>
          <w:rFonts w:ascii="Times New Roman" w:hAnsi="Times New Roman" w:cs="Times New Roman"/>
          <w:sz w:val="24"/>
        </w:rPr>
        <w:t xml:space="preserve">of Ghana Education Trust Fund (GETFund). </w:t>
      </w:r>
      <w:r>
        <w:rPr>
          <w:rFonts w:ascii="Times New Roman" w:hAnsi="Times New Roman" w:cs="Times New Roman"/>
          <w:i/>
          <w:iCs/>
          <w:sz w:val="24"/>
        </w:rPr>
        <w:t>Institute of Educational Research Faculty of Education, University of Oslo</w:t>
      </w:r>
      <w:r>
        <w:rPr>
          <w:rFonts w:ascii="Times New Roman" w:hAnsi="Times New Roman" w:cs="Times New Roman"/>
          <w:sz w:val="24"/>
        </w:rPr>
        <w:t>.</w:t>
      </w:r>
    </w:p>
    <w:p w14:paraId="60147E1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Layzell, D. T. (2007). State higher education funding models: An assessment of current and emerging approaches. </w:t>
      </w:r>
      <w:r>
        <w:rPr>
          <w:rFonts w:ascii="Times New Roman" w:hAnsi="Times New Roman" w:cs="Times New Roman"/>
          <w:i/>
          <w:iCs/>
          <w:sz w:val="24"/>
        </w:rPr>
        <w:t>Journal of Education Finance,</w:t>
      </w:r>
      <w:r>
        <w:rPr>
          <w:rFonts w:ascii="Times New Roman" w:hAnsi="Times New Roman" w:cs="Times New Roman"/>
          <w:sz w:val="24"/>
        </w:rPr>
        <w:t xml:space="preserve"> 1-19.</w:t>
      </w:r>
    </w:p>
    <w:p w14:paraId="0D36DB28">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Li, W. (2013). The economics of student loan borrowing and repayment. </w:t>
      </w:r>
      <w:r>
        <w:rPr>
          <w:rFonts w:ascii="Times New Roman" w:hAnsi="Times New Roman" w:cs="Times New Roman"/>
          <w:i/>
          <w:iCs/>
          <w:sz w:val="24"/>
        </w:rPr>
        <w:t>Business Review Q3</w:t>
      </w:r>
      <w:r>
        <w:rPr>
          <w:rFonts w:ascii="Times New Roman" w:hAnsi="Times New Roman" w:cs="Times New Roman"/>
          <w:sz w:val="24"/>
        </w:rPr>
        <w:t>, 1-10.</w:t>
      </w:r>
    </w:p>
    <w:p w14:paraId="38959B57">
      <w:pPr>
        <w:spacing w:before="240" w:line="360" w:lineRule="auto"/>
        <w:ind w:left="720" w:hanging="720"/>
        <w:rPr>
          <w:rFonts w:ascii="Times New Roman" w:hAnsi="Times New Roman" w:cs="Times New Roman"/>
          <w:sz w:val="24"/>
        </w:rPr>
      </w:pPr>
    </w:p>
    <w:p w14:paraId="51454F46">
      <w:pPr>
        <w:spacing w:before="240" w:line="360" w:lineRule="auto"/>
        <w:ind w:left="720" w:hanging="720"/>
        <w:rPr>
          <w:rFonts w:ascii="Times New Roman" w:hAnsi="Times New Roman" w:cs="Times New Roman"/>
          <w:sz w:val="24"/>
        </w:rPr>
      </w:pPr>
    </w:p>
    <w:p w14:paraId="0C823EF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Masaiti, G. and Shen, H. (2013). Cost Sharing in Zambia’s Public Universities: Prospects and Challenges. </w:t>
      </w:r>
      <w:r>
        <w:rPr>
          <w:rFonts w:ascii="Times New Roman" w:hAnsi="Times New Roman" w:cs="Times New Roman"/>
          <w:i/>
          <w:iCs/>
          <w:sz w:val="24"/>
        </w:rPr>
        <w:t>European Journal of Educational Research</w:t>
      </w:r>
      <w:r>
        <w:rPr>
          <w:rFonts w:ascii="Times New Roman" w:hAnsi="Times New Roman" w:cs="Times New Roman"/>
          <w:sz w:val="24"/>
        </w:rPr>
        <w:t>. Vol. 2(1), pp: 1-15, ISSN 2165-8714. http://www.eu-jer.com. DOI:10.12973/eu-jer.2.1.1.</w:t>
      </w:r>
    </w:p>
    <w:p w14:paraId="3B28E66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Modisproject (2017) Perception of factors responsible for delay in successful completion of postgraduate programme in nursing sciences department, University of Nigeria, Enugu Campus. </w:t>
      </w:r>
      <w:r>
        <w:fldChar w:fldCharType="begin"/>
      </w:r>
      <w:r>
        <w:instrText xml:space="preserve"> HYPERLINK "https://www.modishproject.com/perception-of-factors-responsible-for-delay-in-successful-completion-of-postgraduate-programme-in-nursing-sciences-department-university-of-nigeria-enugu-campus/" </w:instrText>
      </w:r>
      <w:r>
        <w:fldChar w:fldCharType="separate"/>
      </w:r>
      <w:r>
        <w:rPr>
          <w:rStyle w:val="7"/>
          <w:rFonts w:ascii="Times New Roman" w:hAnsi="Times New Roman" w:cs="Times New Roman"/>
          <w:sz w:val="24"/>
        </w:rPr>
        <w:t>https://www.modishproject.com/perception-of-factors-responsible-for-delay-in-successful-completion-of-postgraduate-programme-in-nursing-sciences-department-university-of-nigeria-enugu-campus/</w:t>
      </w:r>
      <w:r>
        <w:rPr>
          <w:rStyle w:val="7"/>
          <w:rFonts w:ascii="Times New Roman" w:hAnsi="Times New Roman" w:cs="Times New Roman"/>
          <w:sz w:val="24"/>
        </w:rPr>
        <w:fldChar w:fldCharType="end"/>
      </w:r>
      <w:r>
        <w:rPr>
          <w:rFonts w:ascii="Times New Roman" w:hAnsi="Times New Roman" w:cs="Times New Roman"/>
          <w:sz w:val="24"/>
        </w:rPr>
        <w:t>National Policy on Education, 6th Edition, 2013.</w:t>
      </w:r>
    </w:p>
    <w:p w14:paraId="2B1B9B5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Nganga, M. (2016). “Factors affecting repayment of education loan among university students in Kenya,” </w:t>
      </w:r>
      <w:r>
        <w:rPr>
          <w:rFonts w:ascii="Times New Roman" w:hAnsi="Times New Roman" w:cs="Times New Roman"/>
          <w:i/>
          <w:iCs/>
          <w:sz w:val="24"/>
        </w:rPr>
        <w:t>Master’s Thesis</w:t>
      </w:r>
      <w:r>
        <w:rPr>
          <w:rFonts w:ascii="Times New Roman" w:hAnsi="Times New Roman" w:cs="Times New Roman"/>
          <w:sz w:val="24"/>
        </w:rPr>
        <w:t>, KCA University, 2016.</w:t>
      </w:r>
    </w:p>
    <w:p w14:paraId="5D22381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Nyahende, V.R. (2013). The success of students’ loans in financing higher education in Tanzania. </w:t>
      </w:r>
      <w:r>
        <w:rPr>
          <w:rFonts w:ascii="Times New Roman" w:hAnsi="Times New Roman" w:cs="Times New Roman"/>
          <w:i/>
          <w:iCs/>
          <w:sz w:val="24"/>
        </w:rPr>
        <w:t>Journal of Higher Education Studies</w:t>
      </w:r>
      <w:r>
        <w:rPr>
          <w:rFonts w:ascii="Times New Roman" w:hAnsi="Times New Roman" w:cs="Times New Roman"/>
          <w:sz w:val="24"/>
        </w:rPr>
        <w:t>, 3(3), 47 – 61.</w:t>
      </w:r>
    </w:p>
    <w:p w14:paraId="04CF612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Obadara, O. E. &amp; Alaka, A. A. (2013). Accreditation and quality assurance in Nigerian universities. </w:t>
      </w:r>
      <w:r>
        <w:rPr>
          <w:rFonts w:ascii="Times New Roman" w:hAnsi="Times New Roman" w:cs="Times New Roman"/>
          <w:i/>
          <w:iCs/>
          <w:sz w:val="24"/>
        </w:rPr>
        <w:t>Journal of Education and Practice</w:t>
      </w:r>
      <w:r>
        <w:rPr>
          <w:rFonts w:ascii="Times New Roman" w:hAnsi="Times New Roman" w:cs="Times New Roman"/>
          <w:sz w:val="24"/>
        </w:rPr>
        <w:t>. 4, 13-41.</w:t>
      </w:r>
    </w:p>
    <w:p w14:paraId="22CF5D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Dahiru, K. M. &amp; Jogbojogbo, S. S. (2023). “Students’ Loans Programme and Tertiary Education in Nigeria,” </w:t>
      </w:r>
      <w:r>
        <w:rPr>
          <w:rFonts w:ascii="Times New Roman" w:hAnsi="Times New Roman" w:cs="Times New Roman"/>
          <w:i/>
          <w:iCs/>
          <w:sz w:val="24"/>
        </w:rPr>
        <w:t>Best J. Innov. Sci. Res. Dev</w:t>
      </w:r>
      <w:r>
        <w:rPr>
          <w:rFonts w:ascii="Times New Roman" w:hAnsi="Times New Roman" w:cs="Times New Roman"/>
          <w:sz w:val="24"/>
        </w:rPr>
        <w:t xml:space="preserve">., vol. </w:t>
      </w:r>
      <w:r>
        <w:rPr>
          <w:rFonts w:ascii="Times New Roman" w:hAnsi="Times New Roman" w:cs="Times New Roman"/>
          <w:sz w:val="24"/>
        </w:rPr>
        <w:tab/>
      </w:r>
      <w:r>
        <w:rPr>
          <w:rFonts w:ascii="Times New Roman" w:hAnsi="Times New Roman" w:cs="Times New Roman"/>
          <w:sz w:val="24"/>
        </w:rPr>
        <w:t>2, no. 7, pp. 78–87.</w:t>
      </w:r>
    </w:p>
    <w:p w14:paraId="0849926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&amp; Ohibime E. O (2021) Administration of Geography Programme in Nigerian Public Universities: Problems and Solutions. </w:t>
      </w:r>
      <w:r>
        <w:rPr>
          <w:rFonts w:ascii="Times New Roman" w:hAnsi="Times New Roman" w:cs="Times New Roman"/>
          <w:i/>
          <w:iCs/>
          <w:sz w:val="24"/>
        </w:rPr>
        <w:t>Central Asian Journal Of Social Sciences and History.</w:t>
      </w:r>
      <w:r>
        <w:rPr>
          <w:rFonts w:ascii="Times New Roman" w:hAnsi="Times New Roman" w:cs="Times New Roman"/>
          <w:sz w:val="24"/>
        </w:rPr>
        <w:t xml:space="preserve"> 02 (08)</w:t>
      </w:r>
    </w:p>
    <w:p w14:paraId="09819FF5">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Ukozor, C. U. &amp; V. O. Ayoko (2023). “Students’ Loan in Tertiary </w:t>
      </w:r>
      <w:r>
        <w:rPr>
          <w:rFonts w:ascii="Times New Roman" w:hAnsi="Times New Roman" w:cs="Times New Roman"/>
          <w:sz w:val="24"/>
        </w:rPr>
        <w:tab/>
      </w:r>
      <w:r>
        <w:rPr>
          <w:rFonts w:ascii="Times New Roman" w:hAnsi="Times New Roman" w:cs="Times New Roman"/>
          <w:sz w:val="24"/>
        </w:rPr>
        <w:t xml:space="preserve">Education in Nigeria: </w:t>
      </w:r>
      <w:r>
        <w:rPr>
          <w:rFonts w:ascii="Times New Roman" w:hAnsi="Times New Roman" w:cs="Times New Roman"/>
          <w:i/>
          <w:iCs/>
          <w:sz w:val="24"/>
        </w:rPr>
        <w:t>Pre-conditions for Effective Implementation</w:t>
      </w:r>
      <w:r>
        <w:rPr>
          <w:rFonts w:ascii="Times New Roman" w:hAnsi="Times New Roman" w:cs="Times New Roman"/>
          <w:sz w:val="24"/>
        </w:rPr>
        <w:t>,” Best J. Innov.</w:t>
      </w:r>
      <w:r>
        <w:rPr>
          <w:rFonts w:ascii="Times New Roman" w:hAnsi="Times New Roman" w:cs="Times New Roman"/>
          <w:sz w:val="24"/>
        </w:rPr>
        <w:tab/>
      </w:r>
      <w:r>
        <w:rPr>
          <w:rFonts w:ascii="Times New Roman" w:hAnsi="Times New Roman" w:cs="Times New Roman"/>
          <w:sz w:val="24"/>
        </w:rPr>
        <w:t>Sci. Res. Dev., vol. 2, no. 2, pp. 97–104.</w:t>
      </w:r>
    </w:p>
    <w:p w14:paraId="4CE23220">
      <w:pPr>
        <w:spacing w:before="240" w:line="360" w:lineRule="auto"/>
        <w:ind w:left="720" w:hanging="720"/>
        <w:rPr>
          <w:rFonts w:ascii="Times New Roman" w:hAnsi="Times New Roman" w:cs="Times New Roman"/>
          <w:sz w:val="24"/>
        </w:rPr>
      </w:pPr>
      <w:r>
        <w:rPr>
          <w:rFonts w:ascii="Times New Roman" w:hAnsi="Times New Roman" w:cs="Times New Roman"/>
          <w:sz w:val="24"/>
        </w:rPr>
        <w:t>Ogunode, N.J. (2020). Administration of Public Universities in Nigeria: Problems and Solutions.</w:t>
      </w:r>
      <w:r>
        <w:rPr>
          <w:rFonts w:ascii="Times New Roman" w:hAnsi="Times New Roman" w:cs="Times New Roman"/>
          <w:i/>
          <w:iCs/>
          <w:sz w:val="24"/>
        </w:rPr>
        <w:t xml:space="preserve"> Journal Sinestesia, </w:t>
      </w:r>
      <w:r>
        <w:rPr>
          <w:rFonts w:ascii="Times New Roman" w:hAnsi="Times New Roman" w:cs="Times New Roman"/>
          <w:sz w:val="24"/>
        </w:rPr>
        <w:t>Vol. 10, No.2, p:86-96</w:t>
      </w:r>
    </w:p>
    <w:p w14:paraId="1CA9D157">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N.J., Ahmed L, Gregory, D &amp; Abubakar, L. (2020) Administration of Public Educational Institutions in Nigeria: Problem and Suggestion. </w:t>
      </w:r>
      <w:r>
        <w:rPr>
          <w:rFonts w:ascii="Times New Roman" w:hAnsi="Times New Roman" w:cs="Times New Roman"/>
          <w:i/>
          <w:iCs/>
          <w:sz w:val="24"/>
        </w:rPr>
        <w:t>European Scholar Journal (ESJ)</w:t>
      </w:r>
      <w:r>
        <w:rPr>
          <w:rFonts w:ascii="Times New Roman" w:hAnsi="Times New Roman" w:cs="Times New Roman"/>
          <w:sz w:val="24"/>
        </w:rPr>
        <w:t>, Vol. 1 No.3, pp:1-11</w:t>
      </w:r>
    </w:p>
    <w:p w14:paraId="39D0B6A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Ojo, J., Chime, V., Adebulu, T., Olafusi, E., Shibayan, D., &amp; Owolabi, F. (2023) (Eds.). Falling apart: How students live, learn in dreadful conditions in Nigeria’s tertiary institution. Retrieved from </w:t>
      </w:r>
      <w:r>
        <w:fldChar w:fldCharType="begin"/>
      </w:r>
      <w:r>
        <w:instrText xml:space="preserve"> HYPERLINK "https://www.thecable.ng/falling-apart-how-students-live-learn-in-dreadful-conditions-in-nigerias-tertiary-institutions" </w:instrText>
      </w:r>
      <w:r>
        <w:fldChar w:fldCharType="separate"/>
      </w:r>
      <w:r>
        <w:rPr>
          <w:rStyle w:val="7"/>
          <w:rFonts w:ascii="Times New Roman" w:hAnsi="Times New Roman" w:cs="Times New Roman"/>
          <w:sz w:val="24"/>
        </w:rPr>
        <w:t>https://www.thecable.ng/falling-apart-how-students-live-learn-in-dreadful-conditions-in-nigerias-tertiary-institutions</w:t>
      </w:r>
      <w:r>
        <w:rPr>
          <w:rStyle w:val="7"/>
          <w:rFonts w:ascii="Times New Roman" w:hAnsi="Times New Roman" w:cs="Times New Roman"/>
          <w:sz w:val="24"/>
        </w:rPr>
        <w:fldChar w:fldCharType="end"/>
      </w:r>
    </w:p>
    <w:p w14:paraId="16FCA394">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Okae-Adjei, S. (2012). Student Loans as an Alternative to Funding Higher Education </w:t>
      </w:r>
      <w:r>
        <w:rPr>
          <w:rFonts w:ascii="Times New Roman" w:hAnsi="Times New Roman" w:cs="Times New Roman"/>
          <w:sz w:val="24"/>
        </w:rPr>
        <w:tab/>
      </w:r>
      <w:r>
        <w:rPr>
          <w:rFonts w:ascii="Times New Roman" w:hAnsi="Times New Roman" w:cs="Times New Roman"/>
          <w:sz w:val="24"/>
        </w:rPr>
        <w:t xml:space="preserve">in Ghana: An Analysis of the Students Loan Trust Fund. Interdisciplinary Journal of Contemporary Research in Business. </w:t>
      </w:r>
      <w:r>
        <w:rPr>
          <w:rFonts w:ascii="Times New Roman" w:hAnsi="Times New Roman" w:cs="Times New Roman"/>
          <w:i/>
          <w:iCs/>
          <w:sz w:val="24"/>
        </w:rPr>
        <w:t>Institute of Interdisciplinary Business Research</w:t>
      </w:r>
      <w:r>
        <w:rPr>
          <w:rFonts w:ascii="Times New Roman" w:hAnsi="Times New Roman" w:cs="Times New Roman"/>
          <w:sz w:val="24"/>
        </w:rPr>
        <w:t>. Vol. 4(6). ijcrb.webs.com.</w:t>
      </w:r>
    </w:p>
    <w:p w14:paraId="751C15FE">
      <w:pPr>
        <w:spacing w:before="240" w:line="360" w:lineRule="auto"/>
        <w:ind w:left="720" w:hanging="720"/>
        <w:rPr>
          <w:rFonts w:ascii="Times New Roman" w:hAnsi="Times New Roman" w:cs="Times New Roman"/>
          <w:sz w:val="24"/>
        </w:rPr>
      </w:pPr>
      <w:r>
        <w:rPr>
          <w:rFonts w:ascii="Times New Roman" w:hAnsi="Times New Roman" w:cs="Times New Roman"/>
          <w:sz w:val="24"/>
        </w:rPr>
        <w:t>Oketch, M. (2016). Financing higher education in sub-Saharan Africa: Some Reflections and Implications For Sustainable Development. High Educ 72:525–539, DOI 10.1007/s10734-016-0044-6.</w:t>
      </w:r>
    </w:p>
    <w:p w14:paraId="5184981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Okpa, O.E. (2015). Incentives and academic staff service delivery efficiency in universities in south-south Nigeria. </w:t>
      </w:r>
      <w:r>
        <w:rPr>
          <w:rFonts w:ascii="Times New Roman" w:hAnsi="Times New Roman" w:cs="Times New Roman"/>
          <w:i/>
          <w:iCs/>
          <w:sz w:val="24"/>
        </w:rPr>
        <w:t>Unpublished PhD Dissertation, Faculty of Education, University of Calabar</w:t>
      </w:r>
      <w:r>
        <w:rPr>
          <w:rFonts w:ascii="Times New Roman" w:hAnsi="Times New Roman" w:cs="Times New Roman"/>
          <w:sz w:val="24"/>
        </w:rPr>
        <w:t>.</w:t>
      </w:r>
    </w:p>
    <w:p w14:paraId="66CAF2D5">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Okpa, O.E. (2019) Quality service delivery and students’ satisfaction in public universities in South Eastern Nigeria. </w:t>
      </w:r>
      <w:r>
        <w:rPr>
          <w:rFonts w:ascii="Times New Roman" w:hAnsi="Times New Roman" w:cs="Times New Roman"/>
          <w:i/>
          <w:iCs/>
          <w:sz w:val="24"/>
        </w:rPr>
        <w:t>International Journal of Engineering Applied Sciences and Technology</w:t>
      </w:r>
      <w:r>
        <w:rPr>
          <w:rFonts w:ascii="Times New Roman" w:hAnsi="Times New Roman" w:cs="Times New Roman"/>
          <w:sz w:val="24"/>
        </w:rPr>
        <w:t>, 4, 100-107</w:t>
      </w:r>
    </w:p>
    <w:p w14:paraId="12D2BEB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Onda, S (2021, Dec 21) No Nigerian Professor Earns Above N416,000 Monthly – ASUU (Daily Trust). Retrieved from </w:t>
      </w:r>
      <w:r>
        <w:fldChar w:fldCharType="begin"/>
      </w:r>
      <w:r>
        <w:instrText xml:space="preserve"> HYPERLINK "https://dailytrust.com/no-nigerian-professor-earns-above-n416000-monthly-asuu/." </w:instrText>
      </w:r>
      <w:r>
        <w:fldChar w:fldCharType="separate"/>
      </w:r>
      <w:r>
        <w:rPr>
          <w:rStyle w:val="7"/>
          <w:rFonts w:ascii="Times New Roman" w:hAnsi="Times New Roman" w:cs="Times New Roman"/>
          <w:sz w:val="24"/>
        </w:rPr>
        <w:t>https://dailytrust.com/no-nigerian-professor-earns-above-n416000-monthly-asuu/.</w:t>
      </w:r>
      <w:r>
        <w:rPr>
          <w:rStyle w:val="7"/>
          <w:rFonts w:ascii="Times New Roman" w:hAnsi="Times New Roman" w:cs="Times New Roman"/>
          <w:sz w:val="24"/>
        </w:rPr>
        <w:fldChar w:fldCharType="end"/>
      </w:r>
    </w:p>
    <w:p w14:paraId="39EBCE3F">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Oosterbeek, H., &amp; van den Broek, A. (2009). An empirical analysis of borrowing </w:t>
      </w:r>
      <w:r>
        <w:rPr>
          <w:rFonts w:ascii="Times New Roman" w:hAnsi="Times New Roman" w:cs="Times New Roman"/>
          <w:sz w:val="24"/>
        </w:rPr>
        <w:tab/>
      </w:r>
      <w:r>
        <w:rPr>
          <w:rFonts w:ascii="Times New Roman" w:hAnsi="Times New Roman" w:cs="Times New Roman"/>
          <w:sz w:val="24"/>
        </w:rPr>
        <w:t xml:space="preserve">behavior of higher education students in the Netherlands. </w:t>
      </w:r>
      <w:r>
        <w:rPr>
          <w:rFonts w:ascii="Times New Roman" w:hAnsi="Times New Roman" w:cs="Times New Roman"/>
          <w:i/>
          <w:iCs/>
          <w:sz w:val="24"/>
        </w:rPr>
        <w:t xml:space="preserve">Economics of Education Review </w:t>
      </w:r>
      <w:r>
        <w:rPr>
          <w:rFonts w:ascii="Times New Roman" w:hAnsi="Times New Roman" w:cs="Times New Roman"/>
          <w:sz w:val="24"/>
        </w:rPr>
        <w:t>28(2), 170-177.</w:t>
      </w:r>
    </w:p>
    <w:p w14:paraId="26541736">
      <w:pPr>
        <w:spacing w:before="240" w:line="360" w:lineRule="auto"/>
        <w:ind w:left="720" w:hanging="720"/>
        <w:rPr>
          <w:rFonts w:ascii="Times New Roman" w:hAnsi="Times New Roman" w:cs="Times New Roman"/>
          <w:sz w:val="24"/>
        </w:rPr>
      </w:pPr>
      <w:r>
        <w:rPr>
          <w:rFonts w:ascii="Times New Roman" w:hAnsi="Times New Roman" w:cs="Times New Roman"/>
          <w:sz w:val="24"/>
        </w:rPr>
        <w:t>Oreopoulos, P., &amp; Petronijevic, U. (2013). Making college worth it: A review of the returns to higher education. The Future of Children 23(1), 41-65.</w:t>
      </w:r>
    </w:p>
    <w:p w14:paraId="030B41A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Samuel, Y. A., Ernest, K. and Gyamfi, C. (2012). Attitudes towards Tuition Fees Payment in Tertiary Education: A Survey of Sunyani Polytechnic Marketing Students in Sunyani Ghana. </w:t>
      </w:r>
      <w:r>
        <w:rPr>
          <w:rFonts w:ascii="Times New Roman" w:hAnsi="Times New Roman" w:cs="Times New Roman"/>
          <w:i/>
          <w:iCs/>
          <w:sz w:val="24"/>
        </w:rPr>
        <w:t>International Review of Management and Marketing,</w:t>
      </w:r>
      <w:r>
        <w:rPr>
          <w:rFonts w:ascii="Times New Roman" w:hAnsi="Times New Roman" w:cs="Times New Roman"/>
          <w:sz w:val="24"/>
        </w:rPr>
        <w:t xml:space="preserve"> Vol. 2(4), pp.231-240. ISSN: 2146-4405. </w:t>
      </w:r>
      <w:r>
        <w:fldChar w:fldCharType="begin"/>
      </w:r>
      <w:r>
        <w:instrText xml:space="preserve"> HYPERLINK "http://www.econjournals.com." </w:instrText>
      </w:r>
      <w:r>
        <w:fldChar w:fldCharType="separate"/>
      </w:r>
      <w:r>
        <w:rPr>
          <w:rFonts w:ascii="Times New Roman" w:hAnsi="Times New Roman" w:cs="Times New Roman"/>
          <w:sz w:val="24"/>
        </w:rPr>
        <w:t>www.econjournals.com.</w:t>
      </w:r>
      <w:r>
        <w:rPr>
          <w:rFonts w:ascii="Times New Roman" w:hAnsi="Times New Roman" w:cs="Times New Roman"/>
          <w:sz w:val="24"/>
        </w:rPr>
        <w:fldChar w:fldCharType="end"/>
      </w:r>
    </w:p>
    <w:p w14:paraId="36B4432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Slaymaker, T. Christiansen, K. &amp; Hemming, I. (2005) Community-based approaches and service delivery: Issues and options in difficult environments and partnerships. Overseas Development Institute, February. </w:t>
      </w:r>
    </w:p>
    <w:p w14:paraId="5DD5657C">
      <w:pPr>
        <w:spacing w:before="240" w:line="360" w:lineRule="auto"/>
        <w:ind w:left="720" w:hanging="720"/>
        <w:rPr>
          <w:rFonts w:ascii="Times New Roman" w:hAnsi="Times New Roman" w:cs="Times New Roman"/>
          <w:sz w:val="24"/>
        </w:rPr>
      </w:pPr>
      <w:r>
        <w:rPr>
          <w:rFonts w:ascii="Times New Roman" w:hAnsi="Times New Roman" w:cs="Times New Roman"/>
          <w:sz w:val="24"/>
        </w:rPr>
        <w:t>Students Loan Access to Higher Education Act 2023</w:t>
      </w:r>
    </w:p>
    <w:p w14:paraId="1BA43A96">
      <w:pPr>
        <w:spacing w:before="240" w:line="360" w:lineRule="auto"/>
        <w:ind w:left="720" w:hanging="720"/>
        <w:rPr>
          <w:rFonts w:ascii="Times New Roman" w:hAnsi="Times New Roman" w:cs="Times New Roman"/>
          <w:sz w:val="24"/>
        </w:rPr>
      </w:pPr>
      <w:r>
        <w:rPr>
          <w:rFonts w:ascii="Times New Roman" w:hAnsi="Times New Roman" w:cs="Times New Roman"/>
          <w:sz w:val="24"/>
        </w:rPr>
        <w:t>Students Loans (Access to Higher Education) (Repeal and Re-Enactment) Bill, 2024</w:t>
      </w:r>
    </w:p>
    <w:p w14:paraId="44110D9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Tessema, M. &amp; Ready, K. (2014). The Effect of Ethnic Minority College Students’ Engagement in Effective Educational Practices on GPA and College Satisfaction, the Case of a Mid-Sized U.S. University. </w:t>
      </w:r>
      <w:r>
        <w:rPr>
          <w:rFonts w:ascii="Times New Roman" w:hAnsi="Times New Roman" w:cs="Times New Roman"/>
          <w:i/>
          <w:iCs/>
          <w:sz w:val="24"/>
        </w:rPr>
        <w:t>International Journal of Education and Social Sciences</w:t>
      </w:r>
      <w:r>
        <w:rPr>
          <w:rFonts w:ascii="Times New Roman" w:hAnsi="Times New Roman" w:cs="Times New Roman"/>
          <w:sz w:val="24"/>
        </w:rPr>
        <w:t xml:space="preserve">. 1. 119-129. </w:t>
      </w:r>
    </w:p>
    <w:p w14:paraId="2C69033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Thompson, Nii &amp; Casely-Hayford, Leslie. (2008). The Financing and outcomes of education in Ghana. </w:t>
      </w:r>
      <w:r>
        <w:fldChar w:fldCharType="begin"/>
      </w:r>
      <w:r>
        <w:instrText xml:space="preserve"> HYPERLINK "http://lst-iiep.iiep-unesco.org/cgi%20bin/wwwi32.exe/%5bin=epidoc1.in%5d/?t2000=02720%200/(100)" </w:instrText>
      </w:r>
      <w:r>
        <w:fldChar w:fldCharType="separate"/>
      </w:r>
      <w:r>
        <w:rPr>
          <w:rStyle w:val="7"/>
          <w:rFonts w:ascii="Times New Roman" w:hAnsi="Times New Roman" w:cs="Times New Roman"/>
          <w:sz w:val="24"/>
        </w:rPr>
        <w:t>http://lst-iiep.iiep-unesco.org/cgi bin/wwwi32.exe/[in=epidoc1.in]/?t2000=02720 0/(100)</w:t>
      </w:r>
      <w:r>
        <w:rPr>
          <w:rStyle w:val="7"/>
          <w:rFonts w:ascii="Times New Roman" w:hAnsi="Times New Roman" w:cs="Times New Roman"/>
          <w:sz w:val="24"/>
        </w:rPr>
        <w:fldChar w:fldCharType="end"/>
      </w:r>
      <w:r>
        <w:rPr>
          <w:rFonts w:ascii="Times New Roman" w:hAnsi="Times New Roman" w:cs="Times New Roman"/>
          <w:sz w:val="24"/>
        </w:rPr>
        <w:t xml:space="preserve"> </w:t>
      </w:r>
    </w:p>
    <w:p w14:paraId="53ADA7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Woodhall, M. (2004). Student Loans: Potential, Problems, and Lessons from International Experience, Boston College &amp; Council for the Development of </w:t>
      </w:r>
      <w:r>
        <w:rPr>
          <w:rFonts w:ascii="Times New Roman" w:hAnsi="Times New Roman" w:cs="Times New Roman"/>
          <w:sz w:val="24"/>
        </w:rPr>
        <w:tab/>
      </w:r>
      <w:r>
        <w:rPr>
          <w:rFonts w:ascii="Times New Roman" w:hAnsi="Times New Roman" w:cs="Times New Roman"/>
          <w:sz w:val="24"/>
        </w:rPr>
        <w:t>Social Science Research in Africa, JHEA/RESA. Vol. 2(2) pp.37–51 (ISSN 0851–7762)</w:t>
      </w:r>
    </w:p>
    <w:p w14:paraId="48068F5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World Bank (2010). Financing Higher Education in Africa. The International Bank for Reconstruction and Development / The World Bank 1818 H Street NW, Washington DC 20433. </w:t>
      </w:r>
      <w:r>
        <w:fldChar w:fldCharType="begin"/>
      </w:r>
      <w:r>
        <w:instrText xml:space="preserve"> HYPERLINK "http://www.worldbank.org." </w:instrText>
      </w:r>
      <w:r>
        <w:fldChar w:fldCharType="separate"/>
      </w:r>
      <w:r>
        <w:rPr>
          <w:rStyle w:val="7"/>
          <w:rFonts w:ascii="Times New Roman" w:hAnsi="Times New Roman" w:cs="Times New Roman"/>
          <w:sz w:val="24"/>
        </w:rPr>
        <w:t>www.worldbank.org.</w:t>
      </w:r>
      <w:r>
        <w:rPr>
          <w:rStyle w:val="7"/>
          <w:rFonts w:ascii="Times New Roman" w:hAnsi="Times New Roman" w:cs="Times New Roman"/>
          <w:sz w:val="24"/>
        </w:rPr>
        <w:fldChar w:fldCharType="end"/>
      </w:r>
    </w:p>
    <w:p w14:paraId="3EB68B6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world bank discussion paper on establishing student loans in developing countries: Some guidelines by Maureen Woodhall  </w:t>
      </w:r>
      <w:r>
        <w:fldChar w:fldCharType="begin"/>
      </w:r>
      <w:r>
        <w:instrText xml:space="preserve"> HYPERLINK "https://documents1.worldbank.org/curated/en/216001468765919353/pdf/multi-page.pdf" </w:instrText>
      </w:r>
      <w:r>
        <w:fldChar w:fldCharType="separate"/>
      </w:r>
      <w:r>
        <w:rPr>
          <w:rStyle w:val="7"/>
          <w:rFonts w:ascii="Times New Roman" w:hAnsi="Times New Roman" w:cs="Times New Roman"/>
          <w:sz w:val="24"/>
        </w:rPr>
        <w:t>https://documents1.worldbank.org/curated/en/216001468765919353/pdf/multi-page.pdf</w:t>
      </w:r>
      <w:r>
        <w:rPr>
          <w:rStyle w:val="7"/>
          <w:rFonts w:ascii="Times New Roman" w:hAnsi="Times New Roman" w:cs="Times New Roman"/>
          <w:sz w:val="24"/>
        </w:rPr>
        <w:fldChar w:fldCharType="end"/>
      </w:r>
    </w:p>
    <w:p w14:paraId="11686F5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Xue, M. &amp; Chao, X. (2015) Non-Borrowing Students’ Perceptions of Student </w:t>
      </w:r>
      <w:r>
        <w:rPr>
          <w:rFonts w:ascii="Times New Roman" w:hAnsi="Times New Roman" w:cs="Times New Roman"/>
          <w:sz w:val="24"/>
        </w:rPr>
        <w:tab/>
      </w:r>
      <w:r>
        <w:rPr>
          <w:rFonts w:ascii="Times New Roman" w:hAnsi="Times New Roman" w:cs="Times New Roman"/>
          <w:sz w:val="24"/>
        </w:rPr>
        <w:t>Loan sand Strategies of Paying for College. Journal of Student Financial Aid, 45(2), 24 – 45.</w:t>
      </w:r>
    </w:p>
    <w:p w14:paraId="5802AAAA">
      <w:pPr>
        <w:widowControl/>
        <w:jc w:val="left"/>
        <w:rPr>
          <w:rFonts w:ascii="Times New Roman" w:hAnsi="Times New Roman" w:eastAsia="Times New Roman" w:cs="Times New Roman"/>
          <w:b/>
          <w:bCs/>
          <w:kern w:val="0"/>
          <w:sz w:val="24"/>
          <w:szCs w:val="28"/>
        </w:rPr>
      </w:pPr>
      <w:bookmarkStart w:id="62" w:name="_Toc170896450"/>
      <w:r>
        <w:rPr>
          <w:rFonts w:ascii="Times New Roman" w:hAnsi="Times New Roman"/>
          <w:sz w:val="24"/>
        </w:rPr>
        <w:br w:type="page"/>
      </w:r>
    </w:p>
    <w:p w14:paraId="1200C8FA">
      <w:pPr>
        <w:pStyle w:val="2"/>
        <w:spacing w:before="0" w:line="480" w:lineRule="auto"/>
        <w:jc w:val="center"/>
        <w:rPr>
          <w:rFonts w:ascii="Times New Roman" w:hAnsi="Times New Roman"/>
          <w:color w:val="auto"/>
          <w:sz w:val="24"/>
        </w:rPr>
      </w:pPr>
    </w:p>
    <w:p w14:paraId="66F7E2F7">
      <w:pPr>
        <w:pStyle w:val="2"/>
        <w:spacing w:before="0" w:line="480" w:lineRule="auto"/>
        <w:jc w:val="center"/>
        <w:rPr>
          <w:rFonts w:ascii="Times New Roman" w:hAnsi="Times New Roman"/>
          <w:color w:val="auto"/>
          <w:sz w:val="24"/>
        </w:rPr>
      </w:pPr>
      <w:r>
        <w:rPr>
          <w:rFonts w:ascii="Times New Roman" w:hAnsi="Times New Roman"/>
          <w:color w:val="auto"/>
          <w:sz w:val="24"/>
        </w:rPr>
        <w:t>APPENDIX</w:t>
      </w:r>
      <w:bookmarkEnd w:id="62"/>
    </w:p>
    <w:p w14:paraId="567890A0">
      <w:pPr>
        <w:autoSpaceDE w:val="0"/>
        <w:autoSpaceDN w:val="0"/>
        <w:adjustRightInd w:val="0"/>
        <w:spacing w:after="160"/>
        <w:ind w:left="2520" w:firstLine="420"/>
        <w:rPr>
          <w:rFonts w:hint="default" w:ascii="Times New Roman" w:hAnsi="Times New Roman" w:cs="Times New Roman"/>
          <w:b/>
          <w:bCs/>
          <w:sz w:val="24"/>
          <w:lang w:val="en-US"/>
        </w:rPr>
      </w:pPr>
      <w:r>
        <w:rPr>
          <w:rFonts w:ascii="Times New Roman" w:hAnsi="Times New Roman" w:cs="Times New Roman"/>
          <w:b/>
          <w:bCs/>
          <w:sz w:val="24"/>
        </w:rPr>
        <w:t xml:space="preserve">KWARA STATE </w:t>
      </w:r>
      <w:r>
        <w:rPr>
          <w:rFonts w:hint="default" w:ascii="Times New Roman" w:hAnsi="Times New Roman" w:cs="Times New Roman"/>
          <w:b/>
          <w:bCs/>
          <w:sz w:val="24"/>
          <w:lang w:val="en-US"/>
        </w:rPr>
        <w:t>POLYTECHNIC</w:t>
      </w:r>
    </w:p>
    <w:p w14:paraId="6A511EB7">
      <w:pPr>
        <w:autoSpaceDE w:val="0"/>
        <w:autoSpaceDN w:val="0"/>
        <w:adjustRightInd w:val="0"/>
        <w:spacing w:after="160"/>
        <w:jc w:val="center"/>
        <w:rPr>
          <w:rFonts w:ascii="Times New Roman" w:hAnsi="Times New Roman" w:cs="Times New Roman"/>
          <w:b/>
          <w:bCs/>
          <w:sz w:val="24"/>
          <w:lang w:val="en"/>
        </w:rPr>
      </w:pPr>
      <w:r>
        <w:rPr>
          <w:rFonts w:hint="default" w:ascii="Times New Roman" w:hAnsi="Times New Roman" w:cs="Times New Roman"/>
          <w:b/>
          <w:bCs/>
          <w:sz w:val="24"/>
          <w:lang w:val="en-US"/>
        </w:rPr>
        <w:t>INSTITUTE</w:t>
      </w:r>
      <w:r>
        <w:rPr>
          <w:rFonts w:ascii="Times New Roman" w:hAnsi="Times New Roman" w:cs="Times New Roman"/>
          <w:b/>
          <w:bCs/>
          <w:sz w:val="24"/>
          <w:lang w:val="en"/>
        </w:rPr>
        <w:t xml:space="preserve"> OF </w:t>
      </w:r>
      <w:r>
        <w:rPr>
          <w:rFonts w:ascii="Times New Roman" w:hAnsi="Times New Roman" w:cs="Times New Roman"/>
          <w:b/>
          <w:bCs/>
          <w:sz w:val="24"/>
        </w:rPr>
        <w:t>INFORMATION AND COMMUNICATION TECHNOLOGY</w:t>
      </w:r>
    </w:p>
    <w:p w14:paraId="45145575">
      <w:pPr>
        <w:autoSpaceDE w:val="0"/>
        <w:autoSpaceDN w:val="0"/>
        <w:adjustRightInd w:val="0"/>
        <w:spacing w:after="160"/>
        <w:jc w:val="center"/>
        <w:rPr>
          <w:rFonts w:ascii="Times New Roman" w:hAnsi="Times New Roman" w:cs="Times New Roman"/>
          <w:b/>
          <w:bCs/>
          <w:sz w:val="24"/>
          <w:lang w:val="en"/>
        </w:rPr>
      </w:pPr>
      <w:r>
        <w:rPr>
          <w:rFonts w:ascii="Times New Roman" w:hAnsi="Times New Roman" w:cs="Times New Roman"/>
          <w:b/>
          <w:bCs/>
          <w:sz w:val="24"/>
          <w:lang w:val="en"/>
        </w:rPr>
        <w:t xml:space="preserve">DEPARTMENT OF </w:t>
      </w:r>
      <w:r>
        <w:rPr>
          <w:rFonts w:ascii="Times New Roman" w:hAnsi="Times New Roman" w:cs="Times New Roman"/>
          <w:b/>
          <w:bCs/>
          <w:sz w:val="24"/>
        </w:rPr>
        <w:t xml:space="preserve">LIBRARY AND INFORMATION SCIENCE </w:t>
      </w:r>
    </w:p>
    <w:p w14:paraId="609853D3">
      <w:pPr>
        <w:jc w:val="center"/>
        <w:rPr>
          <w:rFonts w:ascii="Times New Roman" w:hAnsi="Times New Roman" w:cs="Times New Roman"/>
          <w:b/>
          <w:sz w:val="24"/>
        </w:rPr>
      </w:pPr>
    </w:p>
    <w:p w14:paraId="531BFB37">
      <w:pPr>
        <w:jc w:val="center"/>
        <w:rPr>
          <w:rFonts w:ascii="Times New Roman" w:hAnsi="Times New Roman" w:cs="Times New Roman"/>
          <w:b/>
          <w:sz w:val="24"/>
        </w:rPr>
      </w:pPr>
    </w:p>
    <w:p w14:paraId="381F3076">
      <w:pPr>
        <w:jc w:val="center"/>
        <w:rPr>
          <w:rFonts w:ascii="Times New Roman" w:hAnsi="Times New Roman" w:cs="Times New Roman"/>
          <w:b/>
          <w:bCs/>
          <w:sz w:val="24"/>
          <w:lang w:val="en"/>
        </w:rPr>
      </w:pPr>
      <w:r>
        <w:rPr>
          <w:rFonts w:ascii="Times New Roman" w:hAnsi="Times New Roman" w:cs="Times New Roman"/>
          <w:b/>
          <w:sz w:val="24"/>
        </w:rPr>
        <w:t>PERCEPTION OF KWARA STATE UNIVERSITY STUDENTS TOWARDS NIGERIA STUDENTS LOAN SCHEME</w:t>
      </w:r>
    </w:p>
    <w:p w14:paraId="547BB8A7">
      <w:pPr>
        <w:autoSpaceDE w:val="0"/>
        <w:autoSpaceDN w:val="0"/>
        <w:adjustRightInd w:val="0"/>
        <w:spacing w:after="160" w:line="480" w:lineRule="auto"/>
        <w:rPr>
          <w:rFonts w:ascii="Times New Roman" w:hAnsi="Times New Roman" w:cs="Times New Roman"/>
          <w:b/>
          <w:bCs/>
          <w:sz w:val="24"/>
          <w:lang w:val="en"/>
        </w:rPr>
      </w:pPr>
    </w:p>
    <w:p w14:paraId="64702885">
      <w:pPr>
        <w:autoSpaceDE w:val="0"/>
        <w:autoSpaceDN w:val="0"/>
        <w:adjustRightInd w:val="0"/>
        <w:spacing w:after="160" w:line="480" w:lineRule="auto"/>
        <w:rPr>
          <w:rFonts w:ascii="Times New Roman" w:hAnsi="Times New Roman" w:cs="Times New Roman"/>
          <w:b/>
          <w:bCs/>
          <w:sz w:val="24"/>
          <w:lang w:val="en"/>
        </w:rPr>
      </w:pPr>
      <w:r>
        <w:rPr>
          <w:rFonts w:ascii="Times New Roman" w:hAnsi="Times New Roman" w:cs="Times New Roman"/>
          <w:b/>
          <w:bCs/>
          <w:sz w:val="24"/>
          <w:lang w:val="en"/>
        </w:rPr>
        <w:t>Dear Respondent,</w:t>
      </w:r>
    </w:p>
    <w:p w14:paraId="3DCF5939">
      <w:pPr>
        <w:spacing w:line="480" w:lineRule="auto"/>
        <w:rPr>
          <w:rFonts w:ascii="Times New Roman" w:hAnsi="Times New Roman" w:cs="Times New Roman"/>
          <w:b/>
          <w:sz w:val="24"/>
        </w:rPr>
      </w:pPr>
      <w:r>
        <w:rPr>
          <w:rFonts w:ascii="Times New Roman" w:hAnsi="Times New Roman" w:cs="Times New Roman"/>
          <w:sz w:val="24"/>
          <w:lang w:val="en"/>
        </w:rPr>
        <w:t xml:space="preserve">This questionnaire is designed to collect information on </w:t>
      </w:r>
      <w:r>
        <w:rPr>
          <w:rFonts w:ascii="Times New Roman" w:hAnsi="Times New Roman" w:cs="Times New Roman"/>
          <w:sz w:val="24"/>
        </w:rPr>
        <w:t>P</w:t>
      </w:r>
      <w:r>
        <w:rPr>
          <w:rFonts w:ascii="Times New Roman" w:hAnsi="Times New Roman" w:cs="Times New Roman"/>
          <w:bCs/>
          <w:sz w:val="24"/>
        </w:rPr>
        <w:t xml:space="preserve">erception of Kwara State University students towards the Nigeria Students Loan Scheme. </w:t>
      </w:r>
      <w:r>
        <w:rPr>
          <w:rFonts w:ascii="Times New Roman" w:hAnsi="Times New Roman" w:cs="Times New Roman"/>
          <w:sz w:val="24"/>
          <w:lang w:val="en"/>
        </w:rPr>
        <w:t>You are hereby requested to kindly respond to the items with all sincerity as your responses would be strictly for research purpose and would be treated with utmost confidentiality.</w:t>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p>
    <w:p w14:paraId="569EB08E">
      <w:pPr>
        <w:autoSpaceDE w:val="0"/>
        <w:autoSpaceDN w:val="0"/>
        <w:adjustRightInd w:val="0"/>
        <w:spacing w:after="160" w:line="480" w:lineRule="auto"/>
        <w:ind w:left="5460" w:firstLine="420"/>
        <w:rPr>
          <w:rFonts w:ascii="Times New Roman" w:hAnsi="Times New Roman" w:cs="Times New Roman"/>
          <w:sz w:val="24"/>
          <w:lang w:val="en"/>
        </w:rPr>
      </w:pPr>
      <w:r>
        <w:rPr>
          <w:rFonts w:ascii="Times New Roman" w:hAnsi="Times New Roman" w:cs="Times New Roman"/>
          <w:sz w:val="24"/>
          <w:lang w:val="en"/>
        </w:rPr>
        <w:t xml:space="preserve">Yours faithfully, </w:t>
      </w:r>
    </w:p>
    <w:p w14:paraId="01E2F4EC">
      <w:pPr>
        <w:autoSpaceDE w:val="0"/>
        <w:autoSpaceDN w:val="0"/>
        <w:adjustRightInd w:val="0"/>
        <w:spacing w:line="480" w:lineRule="auto"/>
        <w:ind w:left="5460" w:firstLine="420"/>
        <w:rPr>
          <w:rFonts w:ascii="Times New Roman" w:hAnsi="Times New Roman" w:cs="Times New Roman"/>
          <w:sz w:val="24"/>
        </w:rPr>
      </w:pPr>
      <w:r>
        <w:rPr>
          <w:rFonts w:ascii="Times New Roman" w:hAnsi="Times New Roman" w:cs="Times New Roman"/>
          <w:sz w:val="24"/>
          <w:lang w:val="en"/>
        </w:rPr>
        <w:t xml:space="preserve">Researchers </w:t>
      </w:r>
    </w:p>
    <w:p w14:paraId="405045EE">
      <w:pPr>
        <w:widowControl/>
        <w:jc w:val="left"/>
        <w:rPr>
          <w:rFonts w:ascii="Times New Roman" w:hAnsi="Times New Roman" w:cs="Times New Roman"/>
          <w:b/>
          <w:bCs/>
          <w:sz w:val="24"/>
          <w:lang w:val="en"/>
        </w:rPr>
      </w:pPr>
      <w:r>
        <w:rPr>
          <w:rFonts w:ascii="Times New Roman" w:hAnsi="Times New Roman" w:cs="Times New Roman"/>
          <w:b/>
          <w:bCs/>
          <w:sz w:val="24"/>
          <w:lang w:val="en"/>
        </w:rPr>
        <w:br w:type="page"/>
      </w:r>
    </w:p>
    <w:p w14:paraId="4E4F6FDB">
      <w:pPr>
        <w:autoSpaceDE w:val="0"/>
        <w:autoSpaceDN w:val="0"/>
        <w:adjustRightInd w:val="0"/>
        <w:jc w:val="center"/>
        <w:rPr>
          <w:rFonts w:ascii="Times New Roman" w:hAnsi="Times New Roman" w:cs="Times New Roman"/>
          <w:b/>
          <w:bCs/>
          <w:sz w:val="24"/>
          <w:lang w:val="en"/>
        </w:rPr>
      </w:pPr>
      <w:r>
        <w:rPr>
          <w:rFonts w:ascii="Times New Roman" w:hAnsi="Times New Roman" w:cs="Times New Roman"/>
          <w:b/>
          <w:bCs/>
          <w:sz w:val="24"/>
          <w:lang w:val="en"/>
        </w:rPr>
        <w:t xml:space="preserve">SECTION A </w:t>
      </w:r>
    </w:p>
    <w:p w14:paraId="7ADAA300">
      <w:pPr>
        <w:autoSpaceDE w:val="0"/>
        <w:autoSpaceDN w:val="0"/>
        <w:adjustRightInd w:val="0"/>
        <w:jc w:val="center"/>
        <w:rPr>
          <w:rFonts w:ascii="Times New Roman" w:hAnsi="Times New Roman" w:cs="Times New Roman"/>
          <w:b/>
          <w:bCs/>
          <w:sz w:val="24"/>
          <w:lang w:val="en"/>
        </w:rPr>
      </w:pPr>
      <w:r>
        <w:rPr>
          <w:rFonts w:ascii="Times New Roman" w:hAnsi="Times New Roman" w:cs="Times New Roman"/>
          <w:b/>
          <w:bCs/>
          <w:sz w:val="24"/>
          <w:lang w:val="en"/>
        </w:rPr>
        <w:t>Demographic Data</w:t>
      </w:r>
    </w:p>
    <w:p w14:paraId="30AC29B8">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b/>
          <w:bCs/>
          <w:sz w:val="24"/>
          <w:lang w:val="en"/>
        </w:rPr>
        <w:t>DIRECTIONS:</w:t>
      </w:r>
      <w:r>
        <w:rPr>
          <w:rFonts w:ascii="Times New Roman" w:hAnsi="Times New Roman" w:cs="Times New Roman"/>
          <w:sz w:val="24"/>
          <w:lang w:val="en"/>
        </w:rPr>
        <w:t xml:space="preserve"> please tick (√) the box corresponding to your choice(s).</w:t>
      </w:r>
    </w:p>
    <w:p w14:paraId="0B990C23">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lang w:val="en"/>
        </w:rPr>
        <w:t xml:space="preserve">Faculty_________________________________________________________ </w:t>
      </w:r>
    </w:p>
    <w:p w14:paraId="6513181A">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lang w:val="en"/>
        </w:rPr>
        <w:t>Gender: Male (  );  Female (   )</w:t>
      </w:r>
    </w:p>
    <w:p w14:paraId="5F894CAE">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rPr>
        <w:t>Academic Level</w:t>
      </w:r>
      <w:r>
        <w:rPr>
          <w:rFonts w:ascii="Times New Roman" w:hAnsi="Times New Roman" w:cs="Times New Roman"/>
          <w:sz w:val="24"/>
          <w:lang w:val="en"/>
        </w:rPr>
        <w:t xml:space="preserve">: </w:t>
      </w:r>
      <w:r>
        <w:rPr>
          <w:rFonts w:ascii="Times New Roman" w:hAnsi="Times New Roman" w:cs="Times New Roman"/>
          <w:sz w:val="24"/>
        </w:rPr>
        <w:t>100</w:t>
      </w:r>
      <w:r>
        <w:rPr>
          <w:rFonts w:ascii="Times New Roman" w:hAnsi="Times New Roman" w:cs="Times New Roman"/>
          <w:sz w:val="24"/>
          <w:lang w:val="en"/>
        </w:rPr>
        <w:t xml:space="preserve"> (   ); </w:t>
      </w:r>
      <w:r>
        <w:rPr>
          <w:rFonts w:ascii="Times New Roman" w:hAnsi="Times New Roman" w:cs="Times New Roman"/>
          <w:sz w:val="24"/>
        </w:rPr>
        <w:t>200</w:t>
      </w:r>
      <w:r>
        <w:rPr>
          <w:rFonts w:ascii="Times New Roman" w:hAnsi="Times New Roman" w:cs="Times New Roman"/>
          <w:sz w:val="24"/>
          <w:lang w:val="en"/>
        </w:rPr>
        <w:t xml:space="preserve">(   ); </w:t>
      </w:r>
      <w:r>
        <w:rPr>
          <w:rFonts w:ascii="Times New Roman" w:hAnsi="Times New Roman" w:cs="Times New Roman"/>
          <w:sz w:val="24"/>
        </w:rPr>
        <w:t>300</w:t>
      </w:r>
      <w:r>
        <w:rPr>
          <w:rFonts w:ascii="Times New Roman" w:hAnsi="Times New Roman" w:cs="Times New Roman"/>
          <w:sz w:val="24"/>
          <w:lang w:val="en"/>
        </w:rPr>
        <w:t>(   )</w:t>
      </w:r>
      <w:r>
        <w:rPr>
          <w:rFonts w:ascii="Times New Roman" w:hAnsi="Times New Roman" w:cs="Times New Roman"/>
          <w:sz w:val="24"/>
        </w:rPr>
        <w:t xml:space="preserve"> 400</w:t>
      </w:r>
      <w:r>
        <w:rPr>
          <w:rFonts w:ascii="Times New Roman" w:hAnsi="Times New Roman" w:cs="Times New Roman"/>
          <w:sz w:val="24"/>
          <w:lang w:val="en"/>
        </w:rPr>
        <w:t xml:space="preserve"> (   ); 500 (   )</w:t>
      </w:r>
    </w:p>
    <w:p w14:paraId="314F878D">
      <w:pPr>
        <w:autoSpaceDE w:val="0"/>
        <w:autoSpaceDN w:val="0"/>
        <w:adjustRightInd w:val="0"/>
        <w:spacing w:line="480" w:lineRule="auto"/>
        <w:rPr>
          <w:rFonts w:ascii="Times New Roman" w:hAnsi="Times New Roman" w:cs="Times New Roman"/>
          <w:sz w:val="24"/>
        </w:rPr>
      </w:pPr>
      <w:r>
        <w:rPr>
          <w:rFonts w:ascii="Times New Roman" w:hAnsi="Times New Roman" w:cs="Times New Roman"/>
          <w:sz w:val="24"/>
        </w:rPr>
        <w:t xml:space="preserve">Source of Academic Funding: Parents (  ); Guardian (  ), Scholarship (  ) self-sponsors </w:t>
      </w:r>
    </w:p>
    <w:p w14:paraId="53100BFB">
      <w:pPr>
        <w:spacing w:line="480" w:lineRule="auto"/>
        <w:rPr>
          <w:rFonts w:ascii="Times New Roman" w:hAnsi="Times New Roman" w:eastAsia="SimSun" w:cs="Times New Roman"/>
          <w:kern w:val="0"/>
          <w:sz w:val="24"/>
        </w:rPr>
      </w:pPr>
      <w:r>
        <w:rPr>
          <w:rFonts w:ascii="Times New Roman" w:hAnsi="Times New Roman" w:eastAsia="SimSun" w:cs="Times New Roman"/>
          <w:kern w:val="0"/>
          <w:sz w:val="24"/>
          <w:lang w:bidi="ar"/>
        </w:rPr>
        <w:t>Are you aware of the Education loan scheme in Nigeria? Yes (  ); NO (  )</w:t>
      </w:r>
    </w:p>
    <w:p w14:paraId="38DB18EF">
      <w:pPr>
        <w:spacing w:line="480" w:lineRule="auto"/>
        <w:jc w:val="center"/>
        <w:rPr>
          <w:rFonts w:ascii="Times New Roman" w:hAnsi="Times New Roman" w:cs="Times New Roman"/>
          <w:b/>
          <w:bCs/>
          <w:sz w:val="24"/>
          <w:lang w:val="en"/>
        </w:rPr>
      </w:pPr>
      <w:r>
        <w:rPr>
          <w:rFonts w:ascii="Times New Roman" w:hAnsi="Times New Roman" w:cs="Times New Roman"/>
          <w:b/>
          <w:bCs/>
          <w:sz w:val="24"/>
          <w:lang w:val="en"/>
        </w:rPr>
        <w:t>SECTION B</w:t>
      </w:r>
    </w:p>
    <w:p w14:paraId="3F8DCCCD">
      <w:pPr>
        <w:spacing w:line="480" w:lineRule="auto"/>
        <w:rPr>
          <w:rFonts w:ascii="Times New Roman" w:hAnsi="Times New Roman" w:cs="Times New Roman"/>
          <w:sz w:val="24"/>
        </w:rPr>
      </w:pPr>
      <w:r>
        <w:rPr>
          <w:rFonts w:ascii="Times New Roman" w:hAnsi="Times New Roman" w:cs="Times New Roman"/>
          <w:sz w:val="24"/>
        </w:rPr>
        <w:t>Perception of KWASU students towards the educational loan scheme.</w:t>
      </w:r>
    </w:p>
    <w:p w14:paraId="5F6C2BFC">
      <w:pPr>
        <w:spacing w:line="480" w:lineRule="auto"/>
        <w:rPr>
          <w:rFonts w:ascii="Times New Roman" w:hAnsi="Times New Roman" w:cs="Times New Roman"/>
          <w:b/>
          <w:bCs/>
          <w:sz w:val="24"/>
        </w:rPr>
      </w:pPr>
      <w:r>
        <w:rPr>
          <w:rFonts w:ascii="Times New Roman" w:hAnsi="Times New Roman" w:cs="Times New Roman"/>
          <w:b/>
          <w:bCs/>
          <w:sz w:val="24"/>
          <w:lang w:val="en"/>
        </w:rPr>
        <w:t>INSTRUCTION:</w:t>
      </w:r>
      <w:r>
        <w:rPr>
          <w:rFonts w:ascii="Times New Roman" w:hAnsi="Times New Roman" w:cs="Times New Roman"/>
          <w:sz w:val="24"/>
          <w:lang w:val="en"/>
        </w:rPr>
        <w:t xml:space="preserve"> Please read carefully and respond to this scale by ticking ( √ ) the most appropriate option that describe the</w:t>
      </w:r>
      <w:r>
        <w:rPr>
          <w:rFonts w:ascii="Times New Roman" w:hAnsi="Times New Roman" w:cs="Times New Roman"/>
          <w:bCs/>
          <w:sz w:val="24"/>
          <w:lang w:val="en"/>
        </w:rPr>
        <w:t xml:space="preserve"> </w:t>
      </w:r>
      <w:r>
        <w:rPr>
          <w:rFonts w:ascii="Times New Roman" w:hAnsi="Times New Roman" w:cs="Times New Roman"/>
          <w:sz w:val="24"/>
        </w:rPr>
        <w:t xml:space="preserve">Perception of KWASU students towards the educational loan scheme. </w:t>
      </w:r>
      <w:r>
        <w:rPr>
          <w:rFonts w:ascii="Times New Roman" w:hAnsi="Times New Roman" w:cs="Times New Roman"/>
          <w:b/>
          <w:bCs/>
          <w:sz w:val="24"/>
        </w:rPr>
        <w:t xml:space="preserve">Strongly agree (SA), Agree (A), Disagree (D), Strongly Disagree (SD). </w:t>
      </w:r>
    </w:p>
    <w:p w14:paraId="09E7B2DF">
      <w:pPr>
        <w:rPr>
          <w:rFonts w:ascii="Times New Roman" w:hAnsi="Times New Roman" w:cs="Times New Roman"/>
          <w:b/>
          <w:bCs/>
          <w:sz w:val="24"/>
        </w:rPr>
      </w:pPr>
    </w:p>
    <w:p w14:paraId="0CFF8DAF">
      <w:pPr>
        <w:jc w:val="center"/>
        <w:rPr>
          <w:rFonts w:ascii="Times New Roman" w:hAnsi="Times New Roman" w:cs="Times New Roman"/>
          <w:b/>
          <w:bCs/>
          <w:sz w:val="24"/>
        </w:rPr>
      </w:pPr>
      <w:r>
        <w:rPr>
          <w:rFonts w:ascii="Times New Roman" w:hAnsi="Times New Roman" w:cs="Times New Roman"/>
          <w:b/>
          <w:bCs/>
          <w:sz w:val="24"/>
        </w:rPr>
        <w:t>SECTION C</w:t>
      </w:r>
    </w:p>
    <w:p w14:paraId="3B7C3552">
      <w:pPr>
        <w:rPr>
          <w:rFonts w:ascii="Times New Roman" w:hAnsi="Times New Roman" w:cs="Times New Roman"/>
          <w:b/>
          <w:bCs/>
          <w:sz w:val="24"/>
        </w:rPr>
      </w:pPr>
      <w:r>
        <w:rPr>
          <w:rFonts w:ascii="Times New Roman" w:hAnsi="Times New Roman" w:cs="Times New Roman"/>
          <w:b/>
          <w:bCs/>
          <w:sz w:val="24"/>
        </w:rPr>
        <w:t>RQ 1: What is the perception of KWASU students toward the educational loan scheme?</w:t>
      </w:r>
    </w:p>
    <w:p w14:paraId="271651E6">
      <w:pPr>
        <w:spacing w:line="480" w:lineRule="auto"/>
        <w:rPr>
          <w:rFonts w:ascii="Times New Roman" w:hAnsi="Times New Roman" w:cs="Times New Roman"/>
          <w:b/>
          <w:bCs/>
          <w:sz w:val="24"/>
        </w:rPr>
      </w:pPr>
      <w:r>
        <w:rPr>
          <w:rFonts w:ascii="Times New Roman" w:hAnsi="Times New Roman" w:cs="Times New Roman"/>
          <w:b/>
          <w:bCs/>
          <w:sz w:val="24"/>
        </w:rPr>
        <w:t>Table 1: Perception of KWASU students toward the educational loan scheme</w:t>
      </w:r>
    </w:p>
    <w:p w14:paraId="1D0D0F31">
      <w:pPr>
        <w:rPr>
          <w:rFonts w:ascii="Times New Roman" w:hAnsi="Times New Roman" w:cs="Times New Roman"/>
          <w:sz w:val="24"/>
        </w:rPr>
      </w:pP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5822"/>
        <w:gridCol w:w="567"/>
        <w:gridCol w:w="556"/>
        <w:gridCol w:w="489"/>
        <w:gridCol w:w="655"/>
      </w:tblGrid>
      <w:tr w14:paraId="4405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6" w:type="dxa"/>
          </w:tcPr>
          <w:p w14:paraId="1E50A67E">
            <w:pPr>
              <w:spacing w:line="360" w:lineRule="auto"/>
              <w:rPr>
                <w:rFonts w:ascii="Times New Roman" w:hAnsi="Times New Roman" w:cs="Times New Roman"/>
                <w:sz w:val="24"/>
              </w:rPr>
            </w:pPr>
            <w:r>
              <w:rPr>
                <w:rFonts w:ascii="Times New Roman" w:hAnsi="Times New Roman" w:cs="Times New Roman"/>
                <w:b/>
                <w:bCs/>
                <w:sz w:val="24"/>
              </w:rPr>
              <w:t>A</w:t>
            </w:r>
          </w:p>
        </w:tc>
        <w:tc>
          <w:tcPr>
            <w:tcW w:w="5822" w:type="dxa"/>
          </w:tcPr>
          <w:p w14:paraId="1710039F">
            <w:pPr>
              <w:spacing w:line="360" w:lineRule="auto"/>
              <w:jc w:val="center"/>
              <w:rPr>
                <w:rFonts w:ascii="Times New Roman" w:hAnsi="Times New Roman" w:cs="Times New Roman"/>
                <w:sz w:val="24"/>
              </w:rPr>
            </w:pPr>
            <w:r>
              <w:rPr>
                <w:rFonts w:ascii="Times New Roman" w:hAnsi="Times New Roman" w:cs="Times New Roman"/>
                <w:b/>
                <w:bCs/>
                <w:sz w:val="24"/>
              </w:rPr>
              <w:t>ITEMS</w:t>
            </w:r>
          </w:p>
        </w:tc>
        <w:tc>
          <w:tcPr>
            <w:tcW w:w="567" w:type="dxa"/>
          </w:tcPr>
          <w:p w14:paraId="5C67A80D">
            <w:pPr>
              <w:spacing w:line="360" w:lineRule="auto"/>
              <w:rPr>
                <w:rFonts w:ascii="Times New Roman" w:hAnsi="Times New Roman" w:cs="Times New Roman"/>
                <w:sz w:val="24"/>
              </w:rPr>
            </w:pPr>
            <w:r>
              <w:rPr>
                <w:rFonts w:ascii="Times New Roman" w:hAnsi="Times New Roman" w:cs="Times New Roman"/>
                <w:sz w:val="24"/>
              </w:rPr>
              <w:t>SA</w:t>
            </w:r>
          </w:p>
        </w:tc>
        <w:tc>
          <w:tcPr>
            <w:tcW w:w="556" w:type="dxa"/>
          </w:tcPr>
          <w:p w14:paraId="0FA6EAE5">
            <w:pPr>
              <w:spacing w:line="360" w:lineRule="auto"/>
              <w:rPr>
                <w:rFonts w:ascii="Times New Roman" w:hAnsi="Times New Roman" w:cs="Times New Roman"/>
                <w:sz w:val="24"/>
              </w:rPr>
            </w:pPr>
            <w:r>
              <w:rPr>
                <w:rFonts w:ascii="Times New Roman" w:hAnsi="Times New Roman" w:cs="Times New Roman"/>
                <w:sz w:val="24"/>
              </w:rPr>
              <w:t>A</w:t>
            </w:r>
          </w:p>
        </w:tc>
        <w:tc>
          <w:tcPr>
            <w:tcW w:w="489" w:type="dxa"/>
          </w:tcPr>
          <w:p w14:paraId="118E0373">
            <w:pPr>
              <w:spacing w:line="360" w:lineRule="auto"/>
              <w:rPr>
                <w:rFonts w:ascii="Times New Roman" w:hAnsi="Times New Roman" w:cs="Times New Roman"/>
                <w:sz w:val="24"/>
              </w:rPr>
            </w:pPr>
            <w:r>
              <w:rPr>
                <w:rFonts w:ascii="Times New Roman" w:hAnsi="Times New Roman" w:cs="Times New Roman"/>
                <w:sz w:val="24"/>
              </w:rPr>
              <w:t>D</w:t>
            </w:r>
          </w:p>
        </w:tc>
        <w:tc>
          <w:tcPr>
            <w:tcW w:w="655" w:type="dxa"/>
          </w:tcPr>
          <w:p w14:paraId="1027055B">
            <w:pPr>
              <w:spacing w:line="360" w:lineRule="auto"/>
              <w:rPr>
                <w:rFonts w:ascii="Times New Roman" w:hAnsi="Times New Roman" w:cs="Times New Roman"/>
                <w:sz w:val="24"/>
              </w:rPr>
            </w:pPr>
            <w:r>
              <w:rPr>
                <w:rFonts w:ascii="Times New Roman" w:hAnsi="Times New Roman" w:cs="Times New Roman"/>
                <w:sz w:val="24"/>
              </w:rPr>
              <w:t>SD</w:t>
            </w:r>
          </w:p>
        </w:tc>
      </w:tr>
      <w:tr w14:paraId="7D20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6" w:type="dxa"/>
          </w:tcPr>
          <w:p w14:paraId="18487C39">
            <w:pPr>
              <w:spacing w:line="360" w:lineRule="auto"/>
              <w:rPr>
                <w:rFonts w:ascii="Times New Roman" w:hAnsi="Times New Roman" w:cs="Times New Roman"/>
                <w:sz w:val="24"/>
              </w:rPr>
            </w:pPr>
            <w:r>
              <w:rPr>
                <w:rFonts w:ascii="Times New Roman" w:hAnsi="Times New Roman" w:cs="Times New Roman"/>
                <w:sz w:val="24"/>
              </w:rPr>
              <w:t>1</w:t>
            </w:r>
          </w:p>
        </w:tc>
        <w:tc>
          <w:tcPr>
            <w:tcW w:w="5822" w:type="dxa"/>
          </w:tcPr>
          <w:p w14:paraId="34CA7856">
            <w:pPr>
              <w:widowControl/>
              <w:spacing w:before="100" w:beforeAutospacing="1" w:after="100" w:afterAutospacing="1" w:line="360" w:lineRule="auto"/>
              <w:rPr>
                <w:rFonts w:ascii="Times New Roman" w:hAnsi="Times New Roman" w:eastAsia="Times New Roman" w:cs="Times New Roman"/>
                <w:sz w:val="24"/>
              </w:rPr>
            </w:pPr>
            <w:r>
              <w:rPr>
                <w:rFonts w:ascii="Times New Roman" w:hAnsi="Times New Roman" w:eastAsia="Times New Roman" w:cs="Times New Roman"/>
                <w:sz w:val="24"/>
              </w:rPr>
              <w:t>Student loans scheme promote equal opportunity by allowing students from diverse backgrounds to access higher education?</w:t>
            </w:r>
          </w:p>
        </w:tc>
        <w:tc>
          <w:tcPr>
            <w:tcW w:w="567" w:type="dxa"/>
          </w:tcPr>
          <w:p w14:paraId="5677584D">
            <w:pPr>
              <w:spacing w:line="360" w:lineRule="auto"/>
              <w:rPr>
                <w:rFonts w:ascii="Times New Roman" w:hAnsi="Times New Roman" w:cs="Times New Roman"/>
                <w:sz w:val="24"/>
              </w:rPr>
            </w:pPr>
          </w:p>
        </w:tc>
        <w:tc>
          <w:tcPr>
            <w:tcW w:w="556" w:type="dxa"/>
          </w:tcPr>
          <w:p w14:paraId="3B8372BE">
            <w:pPr>
              <w:spacing w:line="360" w:lineRule="auto"/>
              <w:rPr>
                <w:rFonts w:ascii="Times New Roman" w:hAnsi="Times New Roman" w:cs="Times New Roman"/>
                <w:sz w:val="24"/>
              </w:rPr>
            </w:pPr>
          </w:p>
        </w:tc>
        <w:tc>
          <w:tcPr>
            <w:tcW w:w="489" w:type="dxa"/>
          </w:tcPr>
          <w:p w14:paraId="3CD5A4A9">
            <w:pPr>
              <w:spacing w:line="360" w:lineRule="auto"/>
              <w:rPr>
                <w:rFonts w:ascii="Times New Roman" w:hAnsi="Times New Roman" w:cs="Times New Roman"/>
                <w:sz w:val="24"/>
              </w:rPr>
            </w:pPr>
          </w:p>
        </w:tc>
        <w:tc>
          <w:tcPr>
            <w:tcW w:w="655" w:type="dxa"/>
          </w:tcPr>
          <w:p w14:paraId="6B1AC5BA">
            <w:pPr>
              <w:spacing w:line="360" w:lineRule="auto"/>
              <w:rPr>
                <w:rFonts w:ascii="Times New Roman" w:hAnsi="Times New Roman" w:cs="Times New Roman"/>
                <w:sz w:val="24"/>
              </w:rPr>
            </w:pPr>
          </w:p>
        </w:tc>
      </w:tr>
      <w:tr w14:paraId="6C39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EC46292">
            <w:pPr>
              <w:spacing w:line="360" w:lineRule="auto"/>
              <w:rPr>
                <w:rFonts w:ascii="Times New Roman" w:hAnsi="Times New Roman" w:cs="Times New Roman"/>
                <w:sz w:val="24"/>
              </w:rPr>
            </w:pPr>
            <w:r>
              <w:rPr>
                <w:rFonts w:ascii="Times New Roman" w:hAnsi="Times New Roman" w:cs="Times New Roman"/>
                <w:sz w:val="24"/>
              </w:rPr>
              <w:t>2</w:t>
            </w:r>
          </w:p>
        </w:tc>
        <w:tc>
          <w:tcPr>
            <w:tcW w:w="5822" w:type="dxa"/>
          </w:tcPr>
          <w:p w14:paraId="24AD627A">
            <w:pPr>
              <w:widowControl/>
              <w:spacing w:before="100" w:beforeAutospacing="1" w:after="100" w:afterAutospacing="1" w:line="360" w:lineRule="auto"/>
              <w:jc w:val="left"/>
              <w:rPr>
                <w:rFonts w:ascii="Times New Roman" w:hAnsi="Times New Roman" w:eastAsia="Times New Roman" w:cs="Times New Roman"/>
                <w:sz w:val="24"/>
              </w:rPr>
            </w:pPr>
            <w:r>
              <w:rPr>
                <w:rFonts w:ascii="Times New Roman" w:hAnsi="Times New Roman" w:eastAsia="Times New Roman" w:cs="Times New Roman"/>
                <w:sz w:val="24"/>
              </w:rPr>
              <w:t>Student loans scheme increased your knowledge of personal finance and financial management?</w:t>
            </w:r>
          </w:p>
        </w:tc>
        <w:tc>
          <w:tcPr>
            <w:tcW w:w="567" w:type="dxa"/>
          </w:tcPr>
          <w:p w14:paraId="2AA7A23C">
            <w:pPr>
              <w:spacing w:line="360" w:lineRule="auto"/>
              <w:rPr>
                <w:rFonts w:ascii="Times New Roman" w:hAnsi="Times New Roman" w:cs="Times New Roman"/>
                <w:sz w:val="24"/>
              </w:rPr>
            </w:pPr>
          </w:p>
        </w:tc>
        <w:tc>
          <w:tcPr>
            <w:tcW w:w="556" w:type="dxa"/>
          </w:tcPr>
          <w:p w14:paraId="7C07AF4F">
            <w:pPr>
              <w:spacing w:line="360" w:lineRule="auto"/>
              <w:rPr>
                <w:rFonts w:ascii="Times New Roman" w:hAnsi="Times New Roman" w:cs="Times New Roman"/>
                <w:sz w:val="24"/>
              </w:rPr>
            </w:pPr>
          </w:p>
        </w:tc>
        <w:tc>
          <w:tcPr>
            <w:tcW w:w="489" w:type="dxa"/>
          </w:tcPr>
          <w:p w14:paraId="4DDD6FE5">
            <w:pPr>
              <w:spacing w:line="360" w:lineRule="auto"/>
              <w:rPr>
                <w:rFonts w:ascii="Times New Roman" w:hAnsi="Times New Roman" w:cs="Times New Roman"/>
                <w:sz w:val="24"/>
              </w:rPr>
            </w:pPr>
          </w:p>
        </w:tc>
        <w:tc>
          <w:tcPr>
            <w:tcW w:w="655" w:type="dxa"/>
          </w:tcPr>
          <w:p w14:paraId="431A8A52">
            <w:pPr>
              <w:spacing w:line="360" w:lineRule="auto"/>
              <w:rPr>
                <w:rFonts w:ascii="Times New Roman" w:hAnsi="Times New Roman" w:cs="Times New Roman"/>
                <w:sz w:val="24"/>
              </w:rPr>
            </w:pPr>
          </w:p>
        </w:tc>
      </w:tr>
      <w:tr w14:paraId="163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tcPr>
          <w:p w14:paraId="71B93036">
            <w:pPr>
              <w:spacing w:line="360" w:lineRule="auto"/>
              <w:rPr>
                <w:rFonts w:ascii="Times New Roman" w:hAnsi="Times New Roman" w:cs="Times New Roman"/>
                <w:sz w:val="24"/>
              </w:rPr>
            </w:pPr>
            <w:r>
              <w:rPr>
                <w:rFonts w:ascii="Times New Roman" w:hAnsi="Times New Roman" w:cs="Times New Roman"/>
                <w:sz w:val="24"/>
              </w:rPr>
              <w:t>3</w:t>
            </w:r>
          </w:p>
        </w:tc>
        <w:tc>
          <w:tcPr>
            <w:tcW w:w="5822" w:type="dxa"/>
          </w:tcPr>
          <w:p w14:paraId="664A12B5">
            <w:pPr>
              <w:spacing w:line="360" w:lineRule="auto"/>
              <w:rPr>
                <w:rFonts w:ascii="Times New Roman" w:hAnsi="Times New Roman" w:cs="Times New Roman"/>
                <w:sz w:val="24"/>
              </w:rPr>
            </w:pPr>
            <w:r>
              <w:rPr>
                <w:rFonts w:ascii="Times New Roman" w:hAnsi="Times New Roman" w:eastAsia="Times New Roman" w:cs="Times New Roman"/>
                <w:sz w:val="24"/>
              </w:rPr>
              <w:t>The burden of repaying loans has had a detrimental effect on my mental well-being.</w:t>
            </w:r>
          </w:p>
        </w:tc>
        <w:tc>
          <w:tcPr>
            <w:tcW w:w="567" w:type="dxa"/>
          </w:tcPr>
          <w:p w14:paraId="42BC8CA9">
            <w:pPr>
              <w:spacing w:line="360" w:lineRule="auto"/>
              <w:rPr>
                <w:rFonts w:ascii="Times New Roman" w:hAnsi="Times New Roman" w:cs="Times New Roman"/>
                <w:sz w:val="24"/>
              </w:rPr>
            </w:pPr>
          </w:p>
        </w:tc>
        <w:tc>
          <w:tcPr>
            <w:tcW w:w="556" w:type="dxa"/>
          </w:tcPr>
          <w:p w14:paraId="566D003E">
            <w:pPr>
              <w:spacing w:line="360" w:lineRule="auto"/>
              <w:rPr>
                <w:rFonts w:ascii="Times New Roman" w:hAnsi="Times New Roman" w:cs="Times New Roman"/>
                <w:sz w:val="24"/>
              </w:rPr>
            </w:pPr>
          </w:p>
        </w:tc>
        <w:tc>
          <w:tcPr>
            <w:tcW w:w="489" w:type="dxa"/>
          </w:tcPr>
          <w:p w14:paraId="2EAF23FD">
            <w:pPr>
              <w:spacing w:line="360" w:lineRule="auto"/>
              <w:rPr>
                <w:rFonts w:ascii="Times New Roman" w:hAnsi="Times New Roman" w:cs="Times New Roman"/>
                <w:sz w:val="24"/>
              </w:rPr>
            </w:pPr>
          </w:p>
        </w:tc>
        <w:tc>
          <w:tcPr>
            <w:tcW w:w="655" w:type="dxa"/>
          </w:tcPr>
          <w:p w14:paraId="1004761B">
            <w:pPr>
              <w:spacing w:line="360" w:lineRule="auto"/>
              <w:rPr>
                <w:rFonts w:ascii="Times New Roman" w:hAnsi="Times New Roman" w:cs="Times New Roman"/>
                <w:sz w:val="24"/>
              </w:rPr>
            </w:pPr>
          </w:p>
        </w:tc>
      </w:tr>
      <w:tr w14:paraId="5AF9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tcPr>
          <w:p w14:paraId="4C2D6AD3">
            <w:pPr>
              <w:spacing w:line="360" w:lineRule="auto"/>
              <w:rPr>
                <w:rFonts w:ascii="Times New Roman" w:hAnsi="Times New Roman" w:cs="Times New Roman"/>
                <w:sz w:val="24"/>
              </w:rPr>
            </w:pPr>
            <w:r>
              <w:rPr>
                <w:rFonts w:ascii="Times New Roman" w:hAnsi="Times New Roman" w:cs="Times New Roman"/>
                <w:sz w:val="24"/>
              </w:rPr>
              <w:t>4</w:t>
            </w:r>
          </w:p>
        </w:tc>
        <w:tc>
          <w:tcPr>
            <w:tcW w:w="5822" w:type="dxa"/>
          </w:tcPr>
          <w:p w14:paraId="0567EEF5">
            <w:pPr>
              <w:spacing w:line="360" w:lineRule="auto"/>
              <w:rPr>
                <w:rFonts w:ascii="Times New Roman" w:hAnsi="Times New Roman" w:cs="Times New Roman"/>
                <w:sz w:val="24"/>
              </w:rPr>
            </w:pPr>
            <w:r>
              <w:rPr>
                <w:rFonts w:ascii="Times New Roman" w:hAnsi="Times New Roman" w:eastAsia="Times New Roman" w:cs="Times New Roman"/>
                <w:sz w:val="24"/>
              </w:rPr>
              <w:t>Managing loan payments becomes particularly challenging during economic difficulties.</w:t>
            </w:r>
          </w:p>
        </w:tc>
        <w:tc>
          <w:tcPr>
            <w:tcW w:w="567" w:type="dxa"/>
          </w:tcPr>
          <w:p w14:paraId="7F46D95C">
            <w:pPr>
              <w:spacing w:line="360" w:lineRule="auto"/>
              <w:rPr>
                <w:rFonts w:ascii="Times New Roman" w:hAnsi="Times New Roman" w:cs="Times New Roman"/>
                <w:sz w:val="24"/>
              </w:rPr>
            </w:pPr>
          </w:p>
        </w:tc>
        <w:tc>
          <w:tcPr>
            <w:tcW w:w="556" w:type="dxa"/>
          </w:tcPr>
          <w:p w14:paraId="5C0D8CA4">
            <w:pPr>
              <w:spacing w:line="360" w:lineRule="auto"/>
              <w:rPr>
                <w:rFonts w:ascii="Times New Roman" w:hAnsi="Times New Roman" w:cs="Times New Roman"/>
                <w:sz w:val="24"/>
              </w:rPr>
            </w:pPr>
          </w:p>
        </w:tc>
        <w:tc>
          <w:tcPr>
            <w:tcW w:w="489" w:type="dxa"/>
          </w:tcPr>
          <w:p w14:paraId="0ED950EA">
            <w:pPr>
              <w:spacing w:line="360" w:lineRule="auto"/>
              <w:rPr>
                <w:rFonts w:ascii="Times New Roman" w:hAnsi="Times New Roman" w:cs="Times New Roman"/>
                <w:sz w:val="24"/>
              </w:rPr>
            </w:pPr>
          </w:p>
        </w:tc>
        <w:tc>
          <w:tcPr>
            <w:tcW w:w="655" w:type="dxa"/>
          </w:tcPr>
          <w:p w14:paraId="4201D29C">
            <w:pPr>
              <w:spacing w:line="360" w:lineRule="auto"/>
              <w:rPr>
                <w:rFonts w:ascii="Times New Roman" w:hAnsi="Times New Roman" w:cs="Times New Roman"/>
                <w:sz w:val="24"/>
              </w:rPr>
            </w:pPr>
          </w:p>
        </w:tc>
      </w:tr>
    </w:tbl>
    <w:p w14:paraId="7953AC35">
      <w:pPr>
        <w:ind w:left="810" w:hanging="810"/>
        <w:jc w:val="center"/>
        <w:rPr>
          <w:rFonts w:ascii="Times New Roman" w:hAnsi="Times New Roman" w:cs="Times New Roman"/>
          <w:sz w:val="24"/>
        </w:rPr>
      </w:pPr>
      <w:r>
        <w:rPr>
          <w:rFonts w:ascii="Times New Roman" w:hAnsi="Times New Roman" w:cs="Times New Roman"/>
          <w:b/>
          <w:bCs/>
          <w:sz w:val="24"/>
        </w:rPr>
        <w:t>SECTION D</w:t>
      </w:r>
    </w:p>
    <w:p w14:paraId="05EE34C8">
      <w:pPr>
        <w:spacing w:line="480" w:lineRule="auto"/>
        <w:ind w:left="810" w:hanging="810"/>
        <w:rPr>
          <w:rFonts w:ascii="Times New Roman" w:hAnsi="Times New Roman" w:cs="Times New Roman"/>
          <w:b/>
          <w:bCs/>
          <w:sz w:val="24"/>
        </w:rPr>
      </w:pPr>
      <w:r>
        <w:rPr>
          <w:rFonts w:ascii="Times New Roman" w:hAnsi="Times New Roman" w:cs="Times New Roman"/>
          <w:b/>
          <w:bCs/>
          <w:sz w:val="24"/>
        </w:rPr>
        <w:t>RQ 2: What is the Perception of KWASU students towards the criteria for accessing the student loan?</w:t>
      </w:r>
    </w:p>
    <w:p w14:paraId="1E6B9C93">
      <w:pPr>
        <w:ind w:left="810" w:hanging="810"/>
        <w:rPr>
          <w:rFonts w:ascii="Times New Roman" w:hAnsi="Times New Roman" w:cs="Times New Roman"/>
          <w:b/>
          <w:bCs/>
          <w:sz w:val="24"/>
        </w:rPr>
      </w:pPr>
      <w:r>
        <w:rPr>
          <w:rFonts w:ascii="Times New Roman" w:hAnsi="Times New Roman" w:cs="Times New Roman"/>
          <w:b/>
          <w:bCs/>
          <w:sz w:val="24"/>
        </w:rPr>
        <w:t>Table 2: Perception of KWASU students towards the criteria for accessing the student loan</w:t>
      </w:r>
    </w:p>
    <w:tbl>
      <w:tblPr>
        <w:tblStyle w:val="8"/>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5856"/>
        <w:gridCol w:w="544"/>
        <w:gridCol w:w="534"/>
        <w:gridCol w:w="533"/>
        <w:gridCol w:w="667"/>
      </w:tblGrid>
      <w:tr w14:paraId="27AE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6" w:type="dxa"/>
          </w:tcPr>
          <w:p w14:paraId="2162648F">
            <w:pPr>
              <w:spacing w:line="360" w:lineRule="auto"/>
              <w:rPr>
                <w:rFonts w:ascii="Times New Roman" w:hAnsi="Times New Roman" w:cs="Times New Roman"/>
                <w:sz w:val="24"/>
              </w:rPr>
            </w:pPr>
            <w:r>
              <w:rPr>
                <w:rFonts w:ascii="Times New Roman" w:hAnsi="Times New Roman" w:cs="Times New Roman"/>
                <w:sz w:val="24"/>
              </w:rPr>
              <w:t>S/N</w:t>
            </w:r>
          </w:p>
        </w:tc>
        <w:tc>
          <w:tcPr>
            <w:tcW w:w="5856" w:type="dxa"/>
          </w:tcPr>
          <w:p w14:paraId="56B87B6B">
            <w:pPr>
              <w:spacing w:line="360" w:lineRule="auto"/>
              <w:jc w:val="center"/>
              <w:rPr>
                <w:rFonts w:ascii="Times New Roman" w:hAnsi="Times New Roman" w:cs="Times New Roman"/>
                <w:sz w:val="24"/>
              </w:rPr>
            </w:pPr>
            <w:r>
              <w:rPr>
                <w:rFonts w:ascii="Times New Roman" w:hAnsi="Times New Roman" w:cs="Times New Roman"/>
                <w:b/>
                <w:bCs/>
                <w:sz w:val="24"/>
              </w:rPr>
              <w:t>ITEMS</w:t>
            </w:r>
          </w:p>
        </w:tc>
        <w:tc>
          <w:tcPr>
            <w:tcW w:w="544" w:type="dxa"/>
          </w:tcPr>
          <w:p w14:paraId="7E639DEC">
            <w:pPr>
              <w:spacing w:line="360" w:lineRule="auto"/>
              <w:rPr>
                <w:rFonts w:ascii="Times New Roman" w:hAnsi="Times New Roman" w:cs="Times New Roman"/>
                <w:sz w:val="24"/>
              </w:rPr>
            </w:pPr>
            <w:r>
              <w:rPr>
                <w:rFonts w:ascii="Times New Roman" w:hAnsi="Times New Roman" w:cs="Times New Roman"/>
                <w:sz w:val="24"/>
              </w:rPr>
              <w:t>SA</w:t>
            </w:r>
          </w:p>
        </w:tc>
        <w:tc>
          <w:tcPr>
            <w:tcW w:w="534" w:type="dxa"/>
          </w:tcPr>
          <w:p w14:paraId="4EAE4FB5">
            <w:pPr>
              <w:spacing w:line="360" w:lineRule="auto"/>
              <w:rPr>
                <w:rFonts w:ascii="Times New Roman" w:hAnsi="Times New Roman" w:cs="Times New Roman"/>
                <w:sz w:val="24"/>
              </w:rPr>
            </w:pPr>
            <w:r>
              <w:rPr>
                <w:rFonts w:ascii="Times New Roman" w:hAnsi="Times New Roman" w:cs="Times New Roman"/>
                <w:sz w:val="24"/>
              </w:rPr>
              <w:t>A</w:t>
            </w:r>
          </w:p>
        </w:tc>
        <w:tc>
          <w:tcPr>
            <w:tcW w:w="533" w:type="dxa"/>
          </w:tcPr>
          <w:p w14:paraId="1034BF07">
            <w:pPr>
              <w:spacing w:line="360" w:lineRule="auto"/>
              <w:rPr>
                <w:rFonts w:ascii="Times New Roman" w:hAnsi="Times New Roman" w:cs="Times New Roman"/>
                <w:sz w:val="24"/>
              </w:rPr>
            </w:pPr>
            <w:r>
              <w:rPr>
                <w:rFonts w:ascii="Times New Roman" w:hAnsi="Times New Roman" w:cs="Times New Roman"/>
                <w:sz w:val="24"/>
              </w:rPr>
              <w:t>D</w:t>
            </w:r>
          </w:p>
        </w:tc>
        <w:tc>
          <w:tcPr>
            <w:tcW w:w="667" w:type="dxa"/>
          </w:tcPr>
          <w:p w14:paraId="52913513">
            <w:pPr>
              <w:spacing w:line="360" w:lineRule="auto"/>
              <w:rPr>
                <w:rFonts w:ascii="Times New Roman" w:hAnsi="Times New Roman" w:cs="Times New Roman"/>
                <w:sz w:val="24"/>
              </w:rPr>
            </w:pPr>
            <w:r>
              <w:rPr>
                <w:rFonts w:ascii="Times New Roman" w:hAnsi="Times New Roman" w:cs="Times New Roman"/>
                <w:sz w:val="24"/>
              </w:rPr>
              <w:t>SD</w:t>
            </w:r>
          </w:p>
        </w:tc>
      </w:tr>
      <w:tr w14:paraId="080F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AA86C73">
            <w:pPr>
              <w:spacing w:line="360" w:lineRule="auto"/>
              <w:rPr>
                <w:rFonts w:ascii="Times New Roman" w:hAnsi="Times New Roman" w:cs="Times New Roman"/>
                <w:sz w:val="24"/>
              </w:rPr>
            </w:pPr>
            <w:r>
              <w:rPr>
                <w:rFonts w:ascii="Times New Roman" w:hAnsi="Times New Roman" w:cs="Times New Roman"/>
                <w:sz w:val="24"/>
              </w:rPr>
              <w:t>1</w:t>
            </w:r>
          </w:p>
        </w:tc>
        <w:tc>
          <w:tcPr>
            <w:tcW w:w="5856" w:type="dxa"/>
          </w:tcPr>
          <w:p w14:paraId="0A555391">
            <w:pPr>
              <w:spacing w:line="360" w:lineRule="auto"/>
              <w:rPr>
                <w:rFonts w:ascii="Times New Roman" w:hAnsi="Times New Roman" w:cs="Times New Roman"/>
                <w:sz w:val="24"/>
              </w:rPr>
            </w:pPr>
            <w:r>
              <w:rPr>
                <w:rFonts w:ascii="Times New Roman" w:hAnsi="Times New Roman" w:cs="Times New Roman"/>
                <w:sz w:val="24"/>
              </w:rPr>
              <w:t>Applicant must be a Nigerian Citizen,</w:t>
            </w:r>
          </w:p>
        </w:tc>
        <w:tc>
          <w:tcPr>
            <w:tcW w:w="544" w:type="dxa"/>
          </w:tcPr>
          <w:p w14:paraId="0673A8B6">
            <w:pPr>
              <w:spacing w:line="360" w:lineRule="auto"/>
              <w:rPr>
                <w:rFonts w:ascii="Times New Roman" w:hAnsi="Times New Roman" w:cs="Times New Roman"/>
                <w:sz w:val="24"/>
              </w:rPr>
            </w:pPr>
          </w:p>
        </w:tc>
        <w:tc>
          <w:tcPr>
            <w:tcW w:w="534" w:type="dxa"/>
          </w:tcPr>
          <w:p w14:paraId="1E1C0917">
            <w:pPr>
              <w:spacing w:line="360" w:lineRule="auto"/>
              <w:rPr>
                <w:rFonts w:ascii="Times New Roman" w:hAnsi="Times New Roman" w:cs="Times New Roman"/>
                <w:sz w:val="24"/>
              </w:rPr>
            </w:pPr>
          </w:p>
        </w:tc>
        <w:tc>
          <w:tcPr>
            <w:tcW w:w="533" w:type="dxa"/>
          </w:tcPr>
          <w:p w14:paraId="349568F6">
            <w:pPr>
              <w:spacing w:line="360" w:lineRule="auto"/>
              <w:rPr>
                <w:rFonts w:ascii="Times New Roman" w:hAnsi="Times New Roman" w:cs="Times New Roman"/>
                <w:sz w:val="24"/>
              </w:rPr>
            </w:pPr>
          </w:p>
        </w:tc>
        <w:tc>
          <w:tcPr>
            <w:tcW w:w="667" w:type="dxa"/>
          </w:tcPr>
          <w:p w14:paraId="62E86248">
            <w:pPr>
              <w:spacing w:line="360" w:lineRule="auto"/>
              <w:rPr>
                <w:rFonts w:ascii="Times New Roman" w:hAnsi="Times New Roman" w:cs="Times New Roman"/>
                <w:sz w:val="24"/>
              </w:rPr>
            </w:pPr>
          </w:p>
        </w:tc>
      </w:tr>
      <w:tr w14:paraId="35F4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FA9E4B1">
            <w:pPr>
              <w:spacing w:line="360" w:lineRule="auto"/>
              <w:rPr>
                <w:rFonts w:ascii="Times New Roman" w:hAnsi="Times New Roman" w:cs="Times New Roman"/>
                <w:sz w:val="24"/>
              </w:rPr>
            </w:pPr>
            <w:r>
              <w:rPr>
                <w:rFonts w:ascii="Times New Roman" w:hAnsi="Times New Roman" w:cs="Times New Roman"/>
                <w:sz w:val="24"/>
              </w:rPr>
              <w:t>2</w:t>
            </w:r>
          </w:p>
        </w:tc>
        <w:tc>
          <w:tcPr>
            <w:tcW w:w="5856" w:type="dxa"/>
          </w:tcPr>
          <w:p w14:paraId="43B7315E">
            <w:pPr>
              <w:spacing w:line="360" w:lineRule="auto"/>
              <w:rPr>
                <w:rFonts w:ascii="Times New Roman" w:hAnsi="Times New Roman" w:cs="Times New Roman"/>
                <w:sz w:val="24"/>
              </w:rPr>
            </w:pPr>
            <w:r>
              <w:rPr>
                <w:rFonts w:ascii="Times New Roman" w:hAnsi="Times New Roman" w:cs="Times New Roman"/>
                <w:sz w:val="24"/>
              </w:rPr>
              <w:t>Applicant must have secured admission into any of the Nigerian universities, polytechnics, colleges of education or any vocational school established by the Federal Government or the Government of any state of the federation.</w:t>
            </w:r>
          </w:p>
        </w:tc>
        <w:tc>
          <w:tcPr>
            <w:tcW w:w="544" w:type="dxa"/>
          </w:tcPr>
          <w:p w14:paraId="65EDBF88">
            <w:pPr>
              <w:spacing w:line="360" w:lineRule="auto"/>
              <w:rPr>
                <w:rFonts w:ascii="Times New Roman" w:hAnsi="Times New Roman" w:cs="Times New Roman"/>
                <w:sz w:val="24"/>
              </w:rPr>
            </w:pPr>
          </w:p>
        </w:tc>
        <w:tc>
          <w:tcPr>
            <w:tcW w:w="534" w:type="dxa"/>
          </w:tcPr>
          <w:p w14:paraId="6CD9C32F">
            <w:pPr>
              <w:spacing w:line="360" w:lineRule="auto"/>
              <w:rPr>
                <w:rFonts w:ascii="Times New Roman" w:hAnsi="Times New Roman" w:cs="Times New Roman"/>
                <w:sz w:val="24"/>
              </w:rPr>
            </w:pPr>
          </w:p>
        </w:tc>
        <w:tc>
          <w:tcPr>
            <w:tcW w:w="533" w:type="dxa"/>
          </w:tcPr>
          <w:p w14:paraId="7921C8CC">
            <w:pPr>
              <w:spacing w:line="360" w:lineRule="auto"/>
              <w:rPr>
                <w:rFonts w:ascii="Times New Roman" w:hAnsi="Times New Roman" w:cs="Times New Roman"/>
                <w:sz w:val="24"/>
              </w:rPr>
            </w:pPr>
          </w:p>
        </w:tc>
        <w:tc>
          <w:tcPr>
            <w:tcW w:w="667" w:type="dxa"/>
          </w:tcPr>
          <w:p w14:paraId="20213B83">
            <w:pPr>
              <w:spacing w:line="360" w:lineRule="auto"/>
              <w:rPr>
                <w:rFonts w:ascii="Times New Roman" w:hAnsi="Times New Roman" w:cs="Times New Roman"/>
                <w:sz w:val="24"/>
              </w:rPr>
            </w:pPr>
          </w:p>
        </w:tc>
      </w:tr>
      <w:tr w14:paraId="72D2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E11E3D0">
            <w:pPr>
              <w:spacing w:line="360" w:lineRule="auto"/>
              <w:rPr>
                <w:rFonts w:ascii="Times New Roman" w:hAnsi="Times New Roman" w:cs="Times New Roman"/>
                <w:sz w:val="24"/>
              </w:rPr>
            </w:pPr>
            <w:r>
              <w:rPr>
                <w:rFonts w:ascii="Times New Roman" w:hAnsi="Times New Roman" w:cs="Times New Roman"/>
                <w:sz w:val="24"/>
              </w:rPr>
              <w:t>3</w:t>
            </w:r>
          </w:p>
        </w:tc>
        <w:tc>
          <w:tcPr>
            <w:tcW w:w="5856" w:type="dxa"/>
          </w:tcPr>
          <w:p w14:paraId="5F5D4C4C">
            <w:pPr>
              <w:spacing w:line="360" w:lineRule="auto"/>
              <w:rPr>
                <w:rFonts w:ascii="Times New Roman" w:hAnsi="Times New Roman" w:cs="Times New Roman"/>
                <w:sz w:val="24"/>
              </w:rPr>
            </w:pPr>
            <w:r>
              <w:rPr>
                <w:rFonts w:ascii="Times New Roman" w:hAnsi="Times New Roman"/>
                <w:sz w:val="24"/>
              </w:rPr>
              <w:t>Students can apply for and receive loans subject to application and identity verification guidelines as provided by the Fund.</w:t>
            </w:r>
          </w:p>
        </w:tc>
        <w:tc>
          <w:tcPr>
            <w:tcW w:w="544" w:type="dxa"/>
          </w:tcPr>
          <w:p w14:paraId="1944E01F">
            <w:pPr>
              <w:spacing w:line="360" w:lineRule="auto"/>
              <w:rPr>
                <w:rFonts w:ascii="Times New Roman" w:hAnsi="Times New Roman" w:cs="Times New Roman"/>
                <w:sz w:val="24"/>
              </w:rPr>
            </w:pPr>
          </w:p>
        </w:tc>
        <w:tc>
          <w:tcPr>
            <w:tcW w:w="534" w:type="dxa"/>
          </w:tcPr>
          <w:p w14:paraId="0256B6F1">
            <w:pPr>
              <w:spacing w:line="360" w:lineRule="auto"/>
              <w:rPr>
                <w:rFonts w:ascii="Times New Roman" w:hAnsi="Times New Roman" w:cs="Times New Roman"/>
                <w:sz w:val="24"/>
              </w:rPr>
            </w:pPr>
          </w:p>
        </w:tc>
        <w:tc>
          <w:tcPr>
            <w:tcW w:w="533" w:type="dxa"/>
          </w:tcPr>
          <w:p w14:paraId="53B4FF6F">
            <w:pPr>
              <w:spacing w:line="360" w:lineRule="auto"/>
              <w:rPr>
                <w:rFonts w:ascii="Times New Roman" w:hAnsi="Times New Roman" w:cs="Times New Roman"/>
                <w:sz w:val="24"/>
              </w:rPr>
            </w:pPr>
          </w:p>
        </w:tc>
        <w:tc>
          <w:tcPr>
            <w:tcW w:w="667" w:type="dxa"/>
          </w:tcPr>
          <w:p w14:paraId="61B834E5">
            <w:pPr>
              <w:spacing w:line="360" w:lineRule="auto"/>
              <w:rPr>
                <w:rFonts w:ascii="Times New Roman" w:hAnsi="Times New Roman" w:cs="Times New Roman"/>
                <w:sz w:val="24"/>
              </w:rPr>
            </w:pPr>
          </w:p>
        </w:tc>
      </w:tr>
      <w:tr w14:paraId="5D31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FF37370">
            <w:pPr>
              <w:spacing w:line="360" w:lineRule="auto"/>
              <w:rPr>
                <w:rFonts w:ascii="Times New Roman" w:hAnsi="Times New Roman" w:cs="Times New Roman"/>
                <w:sz w:val="24"/>
              </w:rPr>
            </w:pPr>
            <w:r>
              <w:rPr>
                <w:rFonts w:ascii="Times New Roman" w:hAnsi="Times New Roman" w:cs="Times New Roman"/>
                <w:sz w:val="24"/>
              </w:rPr>
              <w:t>4</w:t>
            </w:r>
          </w:p>
        </w:tc>
        <w:tc>
          <w:tcPr>
            <w:tcW w:w="5856" w:type="dxa"/>
          </w:tcPr>
          <w:p w14:paraId="39A07ECF">
            <w:pPr>
              <w:spacing w:line="360" w:lineRule="auto"/>
              <w:rPr>
                <w:rFonts w:ascii="Times New Roman" w:hAnsi="Times New Roman" w:cs="Times New Roman"/>
                <w:sz w:val="24"/>
              </w:rPr>
            </w:pPr>
            <w:r>
              <w:rPr>
                <w:rFonts w:ascii="Times New Roman" w:hAnsi="Times New Roman"/>
                <w:sz w:val="24"/>
              </w:rPr>
              <w:t>Applicants to the Fund may apply for loans to cover tuition and other fees payable to the school and maintenance allowance payable to the student.</w:t>
            </w:r>
          </w:p>
        </w:tc>
        <w:tc>
          <w:tcPr>
            <w:tcW w:w="544" w:type="dxa"/>
          </w:tcPr>
          <w:p w14:paraId="5D2D8D0F">
            <w:pPr>
              <w:spacing w:line="360" w:lineRule="auto"/>
              <w:rPr>
                <w:rFonts w:ascii="Times New Roman" w:hAnsi="Times New Roman" w:cs="Times New Roman"/>
                <w:sz w:val="24"/>
              </w:rPr>
            </w:pPr>
          </w:p>
        </w:tc>
        <w:tc>
          <w:tcPr>
            <w:tcW w:w="534" w:type="dxa"/>
          </w:tcPr>
          <w:p w14:paraId="37896BB1">
            <w:pPr>
              <w:spacing w:line="360" w:lineRule="auto"/>
              <w:rPr>
                <w:rFonts w:ascii="Times New Roman" w:hAnsi="Times New Roman" w:cs="Times New Roman"/>
                <w:sz w:val="24"/>
              </w:rPr>
            </w:pPr>
          </w:p>
        </w:tc>
        <w:tc>
          <w:tcPr>
            <w:tcW w:w="533" w:type="dxa"/>
          </w:tcPr>
          <w:p w14:paraId="2DF526B7">
            <w:pPr>
              <w:spacing w:line="360" w:lineRule="auto"/>
              <w:rPr>
                <w:rFonts w:ascii="Times New Roman" w:hAnsi="Times New Roman" w:cs="Times New Roman"/>
                <w:sz w:val="24"/>
              </w:rPr>
            </w:pPr>
          </w:p>
        </w:tc>
        <w:tc>
          <w:tcPr>
            <w:tcW w:w="667" w:type="dxa"/>
          </w:tcPr>
          <w:p w14:paraId="30DB03E9">
            <w:pPr>
              <w:spacing w:line="360" w:lineRule="auto"/>
              <w:rPr>
                <w:rFonts w:ascii="Times New Roman" w:hAnsi="Times New Roman" w:cs="Times New Roman"/>
                <w:sz w:val="24"/>
              </w:rPr>
            </w:pPr>
          </w:p>
        </w:tc>
      </w:tr>
      <w:tr w14:paraId="2801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CC97533">
            <w:pPr>
              <w:spacing w:line="360" w:lineRule="auto"/>
              <w:rPr>
                <w:rFonts w:ascii="Times New Roman" w:hAnsi="Times New Roman" w:cs="Times New Roman"/>
                <w:sz w:val="24"/>
              </w:rPr>
            </w:pPr>
            <w:r>
              <w:rPr>
                <w:rFonts w:ascii="Times New Roman" w:hAnsi="Times New Roman" w:cs="Times New Roman"/>
                <w:sz w:val="24"/>
              </w:rPr>
              <w:t>5</w:t>
            </w:r>
          </w:p>
        </w:tc>
        <w:tc>
          <w:tcPr>
            <w:tcW w:w="5856" w:type="dxa"/>
          </w:tcPr>
          <w:p w14:paraId="37A214CC">
            <w:pPr>
              <w:spacing w:line="360" w:lineRule="auto"/>
              <w:rPr>
                <w:rFonts w:ascii="Times New Roman" w:hAnsi="Times New Roman" w:cs="Times New Roman"/>
                <w:sz w:val="24"/>
              </w:rPr>
            </w:pPr>
            <w:r>
              <w:rPr>
                <w:rFonts w:ascii="Times New Roman" w:hAnsi="Times New Roman" w:cs="Times New Roman"/>
                <w:sz w:val="24"/>
              </w:rPr>
              <w:t>The repayment plan starts two years after the National Youth Service Corps (NYSC) program.</w:t>
            </w:r>
          </w:p>
        </w:tc>
        <w:tc>
          <w:tcPr>
            <w:tcW w:w="544" w:type="dxa"/>
          </w:tcPr>
          <w:p w14:paraId="6004A5D5">
            <w:pPr>
              <w:spacing w:line="360" w:lineRule="auto"/>
              <w:rPr>
                <w:rFonts w:ascii="Times New Roman" w:hAnsi="Times New Roman" w:cs="Times New Roman"/>
                <w:sz w:val="24"/>
              </w:rPr>
            </w:pPr>
          </w:p>
        </w:tc>
        <w:tc>
          <w:tcPr>
            <w:tcW w:w="534" w:type="dxa"/>
          </w:tcPr>
          <w:p w14:paraId="2D5AC069">
            <w:pPr>
              <w:spacing w:line="360" w:lineRule="auto"/>
              <w:rPr>
                <w:rFonts w:ascii="Times New Roman" w:hAnsi="Times New Roman" w:cs="Times New Roman"/>
                <w:sz w:val="24"/>
              </w:rPr>
            </w:pPr>
          </w:p>
        </w:tc>
        <w:tc>
          <w:tcPr>
            <w:tcW w:w="533" w:type="dxa"/>
          </w:tcPr>
          <w:p w14:paraId="0D94426E">
            <w:pPr>
              <w:spacing w:line="360" w:lineRule="auto"/>
              <w:rPr>
                <w:rFonts w:ascii="Times New Roman" w:hAnsi="Times New Roman" w:cs="Times New Roman"/>
                <w:sz w:val="24"/>
              </w:rPr>
            </w:pPr>
          </w:p>
        </w:tc>
        <w:tc>
          <w:tcPr>
            <w:tcW w:w="667" w:type="dxa"/>
          </w:tcPr>
          <w:p w14:paraId="0BC537FA">
            <w:pPr>
              <w:spacing w:line="360" w:lineRule="auto"/>
              <w:rPr>
                <w:rFonts w:ascii="Times New Roman" w:hAnsi="Times New Roman" w:cs="Times New Roman"/>
                <w:sz w:val="24"/>
              </w:rPr>
            </w:pPr>
          </w:p>
        </w:tc>
      </w:tr>
      <w:tr w14:paraId="74B2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F260499">
            <w:pPr>
              <w:spacing w:line="360" w:lineRule="auto"/>
              <w:rPr>
                <w:rFonts w:ascii="Times New Roman" w:hAnsi="Times New Roman" w:cs="Times New Roman"/>
                <w:sz w:val="24"/>
              </w:rPr>
            </w:pPr>
            <w:r>
              <w:rPr>
                <w:rFonts w:ascii="Times New Roman" w:hAnsi="Times New Roman" w:cs="Times New Roman"/>
                <w:sz w:val="24"/>
              </w:rPr>
              <w:t>6</w:t>
            </w:r>
          </w:p>
        </w:tc>
        <w:tc>
          <w:tcPr>
            <w:tcW w:w="5856" w:type="dxa"/>
          </w:tcPr>
          <w:p w14:paraId="008B5221">
            <w:pPr>
              <w:spacing w:line="360" w:lineRule="auto"/>
              <w:rPr>
                <w:rFonts w:ascii="Times New Roman" w:hAnsi="Times New Roman" w:cs="Times New Roman"/>
                <w:sz w:val="24"/>
              </w:rPr>
            </w:pPr>
            <w:r>
              <w:rPr>
                <w:rFonts w:ascii="Times New Roman" w:hAnsi="Times New Roman" w:cs="Times New Roman"/>
                <w:sz w:val="24"/>
              </w:rPr>
              <w:t>Repayment of the loan shall be by monthly deductions not exceeding 10% of the beneficiary’s gross income until the loan and all charges are repaid to the Fund.</w:t>
            </w:r>
          </w:p>
        </w:tc>
        <w:tc>
          <w:tcPr>
            <w:tcW w:w="544" w:type="dxa"/>
          </w:tcPr>
          <w:p w14:paraId="7BDA68B8">
            <w:pPr>
              <w:spacing w:line="360" w:lineRule="auto"/>
              <w:rPr>
                <w:rFonts w:ascii="Times New Roman" w:hAnsi="Times New Roman" w:cs="Times New Roman"/>
                <w:sz w:val="24"/>
              </w:rPr>
            </w:pPr>
          </w:p>
        </w:tc>
        <w:tc>
          <w:tcPr>
            <w:tcW w:w="534" w:type="dxa"/>
          </w:tcPr>
          <w:p w14:paraId="04F0458C">
            <w:pPr>
              <w:spacing w:line="360" w:lineRule="auto"/>
              <w:rPr>
                <w:rFonts w:ascii="Times New Roman" w:hAnsi="Times New Roman" w:cs="Times New Roman"/>
                <w:sz w:val="24"/>
              </w:rPr>
            </w:pPr>
          </w:p>
        </w:tc>
        <w:tc>
          <w:tcPr>
            <w:tcW w:w="533" w:type="dxa"/>
          </w:tcPr>
          <w:p w14:paraId="10A8BDB1">
            <w:pPr>
              <w:spacing w:line="360" w:lineRule="auto"/>
              <w:rPr>
                <w:rFonts w:ascii="Times New Roman" w:hAnsi="Times New Roman" w:cs="Times New Roman"/>
                <w:sz w:val="24"/>
              </w:rPr>
            </w:pPr>
          </w:p>
        </w:tc>
        <w:tc>
          <w:tcPr>
            <w:tcW w:w="667" w:type="dxa"/>
          </w:tcPr>
          <w:p w14:paraId="3481DAC3">
            <w:pPr>
              <w:spacing w:line="360" w:lineRule="auto"/>
              <w:rPr>
                <w:rFonts w:ascii="Times New Roman" w:hAnsi="Times New Roman" w:cs="Times New Roman"/>
                <w:sz w:val="24"/>
              </w:rPr>
            </w:pPr>
          </w:p>
        </w:tc>
      </w:tr>
    </w:tbl>
    <w:p w14:paraId="5D73F9DE">
      <w:pPr>
        <w:jc w:val="center"/>
        <w:rPr>
          <w:rFonts w:ascii="Times New Roman" w:hAnsi="Times New Roman" w:cs="Times New Roman"/>
          <w:b/>
          <w:bCs/>
          <w:sz w:val="24"/>
        </w:rPr>
      </w:pPr>
    </w:p>
    <w:p w14:paraId="29C94D45">
      <w:pPr>
        <w:widowControl/>
        <w:jc w:val="left"/>
        <w:rPr>
          <w:rFonts w:ascii="Times New Roman" w:hAnsi="Times New Roman" w:cs="Times New Roman"/>
          <w:b/>
          <w:bCs/>
          <w:sz w:val="24"/>
        </w:rPr>
      </w:pPr>
      <w:r>
        <w:rPr>
          <w:rFonts w:ascii="Times New Roman" w:hAnsi="Times New Roman" w:cs="Times New Roman"/>
          <w:b/>
          <w:bCs/>
          <w:sz w:val="24"/>
        </w:rPr>
        <w:br w:type="page"/>
      </w:r>
    </w:p>
    <w:p w14:paraId="7C89223A">
      <w:pPr>
        <w:jc w:val="center"/>
        <w:rPr>
          <w:rFonts w:ascii="Times New Roman" w:hAnsi="Times New Roman" w:cs="Times New Roman"/>
          <w:b/>
          <w:bCs/>
          <w:sz w:val="24"/>
        </w:rPr>
      </w:pPr>
      <w:r>
        <w:rPr>
          <w:rFonts w:ascii="Times New Roman" w:hAnsi="Times New Roman" w:cs="Times New Roman"/>
          <w:b/>
          <w:bCs/>
          <w:sz w:val="24"/>
        </w:rPr>
        <w:t>SECTION E</w:t>
      </w:r>
    </w:p>
    <w:p w14:paraId="33019BF1">
      <w:pPr>
        <w:spacing w:line="480" w:lineRule="auto"/>
        <w:ind w:left="810" w:hanging="810"/>
        <w:rPr>
          <w:rFonts w:ascii="Times New Roman" w:hAnsi="Times New Roman" w:cs="Times New Roman"/>
          <w:b/>
          <w:bCs/>
          <w:sz w:val="24"/>
        </w:rPr>
      </w:pPr>
      <w:r>
        <w:rPr>
          <w:rFonts w:ascii="Times New Roman" w:hAnsi="Times New Roman" w:cs="Times New Roman"/>
          <w:b/>
          <w:bCs/>
          <w:sz w:val="24"/>
        </w:rPr>
        <w:t>RQ 3: What is the level of awareness of the educational loan scheme by kwasu students?</w:t>
      </w:r>
    </w:p>
    <w:p w14:paraId="5FC83F7F">
      <w:pPr>
        <w:rPr>
          <w:rFonts w:ascii="Times New Roman" w:hAnsi="Times New Roman" w:cs="Times New Roman"/>
          <w:b/>
          <w:bCs/>
          <w:sz w:val="24"/>
        </w:rPr>
      </w:pPr>
      <w:r>
        <w:rPr>
          <w:rFonts w:ascii="Times New Roman" w:hAnsi="Times New Roman" w:cs="Times New Roman"/>
          <w:b/>
          <w:bCs/>
          <w:sz w:val="24"/>
        </w:rPr>
        <w:t>Table 3: Level of awareness of the educational loan scheme by kwasu students</w:t>
      </w:r>
    </w:p>
    <w:tbl>
      <w:tblPr>
        <w:tblStyle w:val="8"/>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5882"/>
        <w:gridCol w:w="540"/>
        <w:gridCol w:w="450"/>
        <w:gridCol w:w="630"/>
        <w:gridCol w:w="630"/>
      </w:tblGrid>
      <w:tr w14:paraId="3F74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2038C7E6">
            <w:pPr>
              <w:spacing w:line="360" w:lineRule="auto"/>
              <w:rPr>
                <w:rFonts w:ascii="Times New Roman" w:hAnsi="Times New Roman" w:cs="Times New Roman"/>
                <w:sz w:val="24"/>
              </w:rPr>
            </w:pPr>
            <w:r>
              <w:rPr>
                <w:rFonts w:ascii="Times New Roman" w:hAnsi="Times New Roman" w:cs="Times New Roman"/>
                <w:sz w:val="24"/>
              </w:rPr>
              <w:t>S/N</w:t>
            </w:r>
          </w:p>
        </w:tc>
        <w:tc>
          <w:tcPr>
            <w:tcW w:w="5882" w:type="dxa"/>
          </w:tcPr>
          <w:p w14:paraId="3D599773">
            <w:pPr>
              <w:spacing w:line="360" w:lineRule="auto"/>
              <w:rPr>
                <w:rFonts w:ascii="Times New Roman" w:hAnsi="Times New Roman" w:cs="Times New Roman"/>
                <w:sz w:val="24"/>
              </w:rPr>
            </w:pPr>
            <w:r>
              <w:rPr>
                <w:rFonts w:ascii="Times New Roman" w:hAnsi="Times New Roman" w:cs="Times New Roman"/>
                <w:b/>
                <w:bCs/>
                <w:sz w:val="24"/>
              </w:rPr>
              <w:t>ITEMS</w:t>
            </w:r>
            <w:r>
              <w:rPr>
                <w:rFonts w:ascii="Times New Roman" w:hAnsi="Times New Roman" w:cs="Times New Roman"/>
                <w:sz w:val="24"/>
              </w:rPr>
              <w:t xml:space="preserve"> </w:t>
            </w:r>
          </w:p>
        </w:tc>
        <w:tc>
          <w:tcPr>
            <w:tcW w:w="540" w:type="dxa"/>
          </w:tcPr>
          <w:p w14:paraId="3113E8E6">
            <w:pPr>
              <w:spacing w:line="360" w:lineRule="auto"/>
              <w:rPr>
                <w:rFonts w:ascii="Times New Roman" w:hAnsi="Times New Roman" w:cs="Times New Roman"/>
                <w:sz w:val="24"/>
              </w:rPr>
            </w:pPr>
            <w:r>
              <w:rPr>
                <w:rFonts w:ascii="Times New Roman" w:hAnsi="Times New Roman" w:cs="Times New Roman"/>
                <w:sz w:val="24"/>
              </w:rPr>
              <w:t>SA</w:t>
            </w:r>
          </w:p>
        </w:tc>
        <w:tc>
          <w:tcPr>
            <w:tcW w:w="450" w:type="dxa"/>
          </w:tcPr>
          <w:p w14:paraId="63DA9C64">
            <w:pPr>
              <w:spacing w:line="360" w:lineRule="auto"/>
              <w:rPr>
                <w:rFonts w:ascii="Times New Roman" w:hAnsi="Times New Roman" w:cs="Times New Roman"/>
                <w:sz w:val="24"/>
              </w:rPr>
            </w:pPr>
            <w:r>
              <w:rPr>
                <w:rFonts w:ascii="Times New Roman" w:hAnsi="Times New Roman" w:cs="Times New Roman"/>
                <w:sz w:val="24"/>
              </w:rPr>
              <w:t>A</w:t>
            </w:r>
          </w:p>
        </w:tc>
        <w:tc>
          <w:tcPr>
            <w:tcW w:w="630" w:type="dxa"/>
          </w:tcPr>
          <w:p w14:paraId="54AE8430">
            <w:pPr>
              <w:spacing w:line="360" w:lineRule="auto"/>
              <w:rPr>
                <w:rFonts w:ascii="Times New Roman" w:hAnsi="Times New Roman" w:cs="Times New Roman"/>
                <w:sz w:val="24"/>
              </w:rPr>
            </w:pPr>
            <w:r>
              <w:rPr>
                <w:rFonts w:ascii="Times New Roman" w:hAnsi="Times New Roman" w:cs="Times New Roman"/>
                <w:sz w:val="24"/>
              </w:rPr>
              <w:t>D</w:t>
            </w:r>
          </w:p>
        </w:tc>
        <w:tc>
          <w:tcPr>
            <w:tcW w:w="630" w:type="dxa"/>
          </w:tcPr>
          <w:p w14:paraId="461219CD">
            <w:pPr>
              <w:spacing w:line="360" w:lineRule="auto"/>
              <w:rPr>
                <w:rFonts w:ascii="Times New Roman" w:hAnsi="Times New Roman" w:cs="Times New Roman"/>
                <w:sz w:val="24"/>
              </w:rPr>
            </w:pPr>
            <w:r>
              <w:rPr>
                <w:rFonts w:ascii="Times New Roman" w:hAnsi="Times New Roman" w:cs="Times New Roman"/>
                <w:sz w:val="24"/>
              </w:rPr>
              <w:t>SD</w:t>
            </w:r>
          </w:p>
        </w:tc>
      </w:tr>
      <w:tr w14:paraId="21B3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79C4D3E9">
            <w:pPr>
              <w:spacing w:line="360" w:lineRule="auto"/>
              <w:rPr>
                <w:rFonts w:ascii="Times New Roman" w:hAnsi="Times New Roman" w:cs="Times New Roman"/>
                <w:sz w:val="24"/>
              </w:rPr>
            </w:pPr>
            <w:r>
              <w:rPr>
                <w:rFonts w:ascii="Times New Roman" w:hAnsi="Times New Roman" w:cs="Times New Roman"/>
                <w:sz w:val="24"/>
              </w:rPr>
              <w:t>1</w:t>
            </w:r>
          </w:p>
        </w:tc>
        <w:tc>
          <w:tcPr>
            <w:tcW w:w="5882" w:type="dxa"/>
          </w:tcPr>
          <w:p w14:paraId="0F0297C5">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eastAsia="Times New Roman" w:cs="Times New Roman"/>
                <w:kern w:val="0"/>
                <w:sz w:val="24"/>
                <w:lang w:eastAsia="en-US"/>
              </w:rPr>
              <w:t>re you aware that Nigerian offers an educational loan scheme for students?</w:t>
            </w:r>
          </w:p>
        </w:tc>
        <w:tc>
          <w:tcPr>
            <w:tcW w:w="540" w:type="dxa"/>
          </w:tcPr>
          <w:p w14:paraId="7185196F">
            <w:pPr>
              <w:spacing w:line="360" w:lineRule="auto"/>
              <w:rPr>
                <w:rFonts w:ascii="Times New Roman" w:hAnsi="Times New Roman" w:cs="Times New Roman"/>
                <w:sz w:val="24"/>
              </w:rPr>
            </w:pPr>
          </w:p>
        </w:tc>
        <w:tc>
          <w:tcPr>
            <w:tcW w:w="450" w:type="dxa"/>
          </w:tcPr>
          <w:p w14:paraId="1A2DB25C">
            <w:pPr>
              <w:spacing w:line="360" w:lineRule="auto"/>
              <w:rPr>
                <w:rFonts w:ascii="Times New Roman" w:hAnsi="Times New Roman" w:cs="Times New Roman"/>
                <w:sz w:val="24"/>
              </w:rPr>
            </w:pPr>
          </w:p>
        </w:tc>
        <w:tc>
          <w:tcPr>
            <w:tcW w:w="630" w:type="dxa"/>
          </w:tcPr>
          <w:p w14:paraId="662030C9">
            <w:pPr>
              <w:spacing w:line="360" w:lineRule="auto"/>
              <w:rPr>
                <w:rFonts w:ascii="Times New Roman" w:hAnsi="Times New Roman" w:cs="Times New Roman"/>
                <w:sz w:val="24"/>
              </w:rPr>
            </w:pPr>
          </w:p>
        </w:tc>
        <w:tc>
          <w:tcPr>
            <w:tcW w:w="630" w:type="dxa"/>
          </w:tcPr>
          <w:p w14:paraId="7BFC8627">
            <w:pPr>
              <w:spacing w:line="360" w:lineRule="auto"/>
              <w:rPr>
                <w:rFonts w:ascii="Times New Roman" w:hAnsi="Times New Roman" w:cs="Times New Roman"/>
                <w:sz w:val="24"/>
              </w:rPr>
            </w:pPr>
          </w:p>
        </w:tc>
      </w:tr>
      <w:tr w14:paraId="772D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48D922E8">
            <w:pPr>
              <w:spacing w:line="360" w:lineRule="auto"/>
              <w:rPr>
                <w:rFonts w:ascii="Times New Roman" w:hAnsi="Times New Roman" w:cs="Times New Roman"/>
                <w:sz w:val="24"/>
              </w:rPr>
            </w:pPr>
            <w:r>
              <w:rPr>
                <w:rFonts w:ascii="Times New Roman" w:hAnsi="Times New Roman" w:cs="Times New Roman"/>
                <w:sz w:val="24"/>
              </w:rPr>
              <w:t>2</w:t>
            </w:r>
          </w:p>
        </w:tc>
        <w:tc>
          <w:tcPr>
            <w:tcW w:w="5882" w:type="dxa"/>
          </w:tcPr>
          <w:p w14:paraId="4D1D03C5">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How confident are you in your understanding of the educational loan scheme?</w:t>
            </w:r>
          </w:p>
        </w:tc>
        <w:tc>
          <w:tcPr>
            <w:tcW w:w="540" w:type="dxa"/>
          </w:tcPr>
          <w:p w14:paraId="6D268ADC">
            <w:pPr>
              <w:spacing w:line="360" w:lineRule="auto"/>
              <w:rPr>
                <w:rFonts w:ascii="Times New Roman" w:hAnsi="Times New Roman" w:cs="Times New Roman"/>
                <w:sz w:val="24"/>
              </w:rPr>
            </w:pPr>
          </w:p>
        </w:tc>
        <w:tc>
          <w:tcPr>
            <w:tcW w:w="450" w:type="dxa"/>
          </w:tcPr>
          <w:p w14:paraId="7AAA0225">
            <w:pPr>
              <w:spacing w:line="360" w:lineRule="auto"/>
              <w:rPr>
                <w:rFonts w:ascii="Times New Roman" w:hAnsi="Times New Roman" w:cs="Times New Roman"/>
                <w:sz w:val="24"/>
              </w:rPr>
            </w:pPr>
          </w:p>
        </w:tc>
        <w:tc>
          <w:tcPr>
            <w:tcW w:w="630" w:type="dxa"/>
          </w:tcPr>
          <w:p w14:paraId="672138C1">
            <w:pPr>
              <w:spacing w:line="360" w:lineRule="auto"/>
              <w:rPr>
                <w:rFonts w:ascii="Times New Roman" w:hAnsi="Times New Roman" w:cs="Times New Roman"/>
                <w:sz w:val="24"/>
              </w:rPr>
            </w:pPr>
          </w:p>
        </w:tc>
        <w:tc>
          <w:tcPr>
            <w:tcW w:w="630" w:type="dxa"/>
          </w:tcPr>
          <w:p w14:paraId="008B32F0">
            <w:pPr>
              <w:spacing w:line="360" w:lineRule="auto"/>
              <w:rPr>
                <w:rFonts w:ascii="Times New Roman" w:hAnsi="Times New Roman" w:cs="Times New Roman"/>
                <w:sz w:val="24"/>
              </w:rPr>
            </w:pPr>
          </w:p>
        </w:tc>
      </w:tr>
      <w:tr w14:paraId="1828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323C06D7">
            <w:pPr>
              <w:spacing w:line="360" w:lineRule="auto"/>
              <w:rPr>
                <w:rFonts w:ascii="Times New Roman" w:hAnsi="Times New Roman" w:cs="Times New Roman"/>
                <w:sz w:val="24"/>
              </w:rPr>
            </w:pPr>
            <w:r>
              <w:rPr>
                <w:rFonts w:ascii="Times New Roman" w:hAnsi="Times New Roman" w:cs="Times New Roman"/>
                <w:sz w:val="24"/>
              </w:rPr>
              <w:t>3</w:t>
            </w:r>
          </w:p>
        </w:tc>
        <w:tc>
          <w:tcPr>
            <w:tcW w:w="5882" w:type="dxa"/>
          </w:tcPr>
          <w:p w14:paraId="43DF35C1">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Do you know where to find more information about the educational loan scheme if needed?</w:t>
            </w:r>
          </w:p>
        </w:tc>
        <w:tc>
          <w:tcPr>
            <w:tcW w:w="540" w:type="dxa"/>
          </w:tcPr>
          <w:p w14:paraId="651E0A2C">
            <w:pPr>
              <w:spacing w:line="360" w:lineRule="auto"/>
              <w:rPr>
                <w:rFonts w:ascii="Times New Roman" w:hAnsi="Times New Roman" w:cs="Times New Roman"/>
                <w:sz w:val="24"/>
              </w:rPr>
            </w:pPr>
          </w:p>
        </w:tc>
        <w:tc>
          <w:tcPr>
            <w:tcW w:w="450" w:type="dxa"/>
          </w:tcPr>
          <w:p w14:paraId="4C792AC0">
            <w:pPr>
              <w:spacing w:line="360" w:lineRule="auto"/>
              <w:rPr>
                <w:rFonts w:ascii="Times New Roman" w:hAnsi="Times New Roman" w:cs="Times New Roman"/>
                <w:sz w:val="24"/>
              </w:rPr>
            </w:pPr>
          </w:p>
        </w:tc>
        <w:tc>
          <w:tcPr>
            <w:tcW w:w="630" w:type="dxa"/>
          </w:tcPr>
          <w:p w14:paraId="5F69EFC0">
            <w:pPr>
              <w:spacing w:line="360" w:lineRule="auto"/>
              <w:rPr>
                <w:rFonts w:ascii="Times New Roman" w:hAnsi="Times New Roman" w:cs="Times New Roman"/>
                <w:sz w:val="24"/>
              </w:rPr>
            </w:pPr>
          </w:p>
        </w:tc>
        <w:tc>
          <w:tcPr>
            <w:tcW w:w="630" w:type="dxa"/>
          </w:tcPr>
          <w:p w14:paraId="7E1F7715">
            <w:pPr>
              <w:spacing w:line="360" w:lineRule="auto"/>
              <w:rPr>
                <w:rFonts w:ascii="Times New Roman" w:hAnsi="Times New Roman" w:cs="Times New Roman"/>
                <w:sz w:val="24"/>
              </w:rPr>
            </w:pPr>
          </w:p>
        </w:tc>
      </w:tr>
      <w:tr w14:paraId="13F2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3" w:type="dxa"/>
          </w:tcPr>
          <w:p w14:paraId="5E48D205">
            <w:pPr>
              <w:spacing w:line="360" w:lineRule="auto"/>
              <w:rPr>
                <w:rFonts w:ascii="Times New Roman" w:hAnsi="Times New Roman" w:cs="Times New Roman"/>
                <w:sz w:val="24"/>
              </w:rPr>
            </w:pPr>
            <w:r>
              <w:rPr>
                <w:rFonts w:ascii="Times New Roman" w:hAnsi="Times New Roman" w:cs="Times New Roman"/>
                <w:sz w:val="24"/>
              </w:rPr>
              <w:t>4</w:t>
            </w:r>
          </w:p>
        </w:tc>
        <w:tc>
          <w:tcPr>
            <w:tcW w:w="5882" w:type="dxa"/>
          </w:tcPr>
          <w:p w14:paraId="2AADFC75">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How frequently do you come across information about the educational loan scheme?</w:t>
            </w:r>
          </w:p>
        </w:tc>
        <w:tc>
          <w:tcPr>
            <w:tcW w:w="540" w:type="dxa"/>
          </w:tcPr>
          <w:p w14:paraId="6FBAEAE5">
            <w:pPr>
              <w:spacing w:line="360" w:lineRule="auto"/>
              <w:rPr>
                <w:rFonts w:ascii="Times New Roman" w:hAnsi="Times New Roman" w:cs="Times New Roman"/>
                <w:sz w:val="24"/>
              </w:rPr>
            </w:pPr>
          </w:p>
        </w:tc>
        <w:tc>
          <w:tcPr>
            <w:tcW w:w="450" w:type="dxa"/>
          </w:tcPr>
          <w:p w14:paraId="70D23D96">
            <w:pPr>
              <w:spacing w:line="360" w:lineRule="auto"/>
              <w:rPr>
                <w:rFonts w:ascii="Times New Roman" w:hAnsi="Times New Roman" w:cs="Times New Roman"/>
                <w:sz w:val="24"/>
              </w:rPr>
            </w:pPr>
          </w:p>
        </w:tc>
        <w:tc>
          <w:tcPr>
            <w:tcW w:w="630" w:type="dxa"/>
          </w:tcPr>
          <w:p w14:paraId="4C91A0FF">
            <w:pPr>
              <w:spacing w:line="360" w:lineRule="auto"/>
              <w:rPr>
                <w:rFonts w:ascii="Times New Roman" w:hAnsi="Times New Roman" w:cs="Times New Roman"/>
                <w:sz w:val="24"/>
              </w:rPr>
            </w:pPr>
          </w:p>
        </w:tc>
        <w:tc>
          <w:tcPr>
            <w:tcW w:w="630" w:type="dxa"/>
          </w:tcPr>
          <w:p w14:paraId="09DA3A12">
            <w:pPr>
              <w:spacing w:line="360" w:lineRule="auto"/>
              <w:rPr>
                <w:rFonts w:ascii="Times New Roman" w:hAnsi="Times New Roman" w:cs="Times New Roman"/>
                <w:sz w:val="24"/>
              </w:rPr>
            </w:pPr>
          </w:p>
        </w:tc>
      </w:tr>
    </w:tbl>
    <w:p w14:paraId="232BDA21">
      <w:pPr>
        <w:ind w:left="810" w:hanging="810"/>
        <w:jc w:val="center"/>
        <w:rPr>
          <w:rFonts w:ascii="Times New Roman" w:hAnsi="Times New Roman" w:cs="Times New Roman"/>
          <w:b/>
          <w:bCs/>
          <w:sz w:val="24"/>
        </w:rPr>
      </w:pPr>
    </w:p>
    <w:p w14:paraId="19E7C89C">
      <w:pPr>
        <w:ind w:left="810" w:hanging="810"/>
        <w:jc w:val="center"/>
        <w:rPr>
          <w:rFonts w:ascii="Times New Roman" w:hAnsi="Times New Roman" w:cs="Times New Roman"/>
          <w:b/>
          <w:bCs/>
          <w:sz w:val="24"/>
        </w:rPr>
      </w:pPr>
      <w:r>
        <w:rPr>
          <w:rFonts w:ascii="Times New Roman" w:hAnsi="Times New Roman" w:cs="Times New Roman"/>
          <w:b/>
          <w:bCs/>
          <w:sz w:val="24"/>
        </w:rPr>
        <w:t>SECTION F</w:t>
      </w:r>
    </w:p>
    <w:p w14:paraId="5B46F7EE">
      <w:pPr>
        <w:ind w:left="810" w:hanging="810"/>
        <w:rPr>
          <w:rFonts w:ascii="Times New Roman" w:hAnsi="Times New Roman" w:cs="Times New Roman"/>
          <w:b/>
          <w:bCs/>
          <w:sz w:val="24"/>
        </w:rPr>
      </w:pPr>
      <w:r>
        <w:rPr>
          <w:rFonts w:ascii="Times New Roman" w:hAnsi="Times New Roman" w:cs="Times New Roman"/>
          <w:b/>
          <w:bCs/>
          <w:sz w:val="24"/>
        </w:rPr>
        <w:t>RQ 4: how will educational loan scheme be beneficial to kwasu students?</w:t>
      </w:r>
    </w:p>
    <w:p w14:paraId="4CA24F09">
      <w:pPr>
        <w:rPr>
          <w:rFonts w:ascii="Times New Roman" w:hAnsi="Times New Roman" w:cs="Times New Roman"/>
          <w:b/>
          <w:bCs/>
          <w:sz w:val="24"/>
        </w:rPr>
      </w:pPr>
      <w:r>
        <w:rPr>
          <w:rFonts w:ascii="Times New Roman" w:hAnsi="Times New Roman" w:cs="Times New Roman"/>
          <w:b/>
          <w:bCs/>
          <w:sz w:val="24"/>
        </w:rPr>
        <w:t>Table 4: Benefit of the student’s loan scheme</w:t>
      </w:r>
    </w:p>
    <w:tbl>
      <w:tblPr>
        <w:tblStyle w:val="8"/>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5744"/>
        <w:gridCol w:w="589"/>
        <w:gridCol w:w="523"/>
        <w:gridCol w:w="511"/>
        <w:gridCol w:w="666"/>
      </w:tblGrid>
      <w:tr w14:paraId="49BC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9BEE37D">
            <w:pPr>
              <w:spacing w:line="360" w:lineRule="auto"/>
              <w:rPr>
                <w:rFonts w:ascii="Times New Roman" w:hAnsi="Times New Roman" w:cs="Times New Roman"/>
                <w:b/>
                <w:bCs/>
                <w:sz w:val="24"/>
              </w:rPr>
            </w:pPr>
            <w:r>
              <w:rPr>
                <w:rFonts w:ascii="Times New Roman" w:hAnsi="Times New Roman" w:cs="Times New Roman"/>
                <w:b/>
                <w:bCs/>
                <w:sz w:val="24"/>
              </w:rPr>
              <w:t>S/N</w:t>
            </w:r>
          </w:p>
        </w:tc>
        <w:tc>
          <w:tcPr>
            <w:tcW w:w="5744" w:type="dxa"/>
          </w:tcPr>
          <w:p w14:paraId="7B29F65E">
            <w:pPr>
              <w:spacing w:line="360" w:lineRule="auto"/>
              <w:rPr>
                <w:rFonts w:ascii="Times New Roman" w:hAnsi="Times New Roman" w:cs="Times New Roman"/>
                <w:b/>
                <w:bCs/>
                <w:sz w:val="24"/>
              </w:rPr>
            </w:pPr>
            <w:r>
              <w:rPr>
                <w:rFonts w:ascii="Times New Roman" w:hAnsi="Times New Roman" w:cs="Times New Roman"/>
                <w:b/>
                <w:bCs/>
                <w:sz w:val="24"/>
              </w:rPr>
              <w:t xml:space="preserve">ITEMS </w:t>
            </w:r>
          </w:p>
        </w:tc>
        <w:tc>
          <w:tcPr>
            <w:tcW w:w="589" w:type="dxa"/>
          </w:tcPr>
          <w:p w14:paraId="13DD6AB0">
            <w:pPr>
              <w:spacing w:line="360" w:lineRule="auto"/>
              <w:rPr>
                <w:rFonts w:ascii="Times New Roman" w:hAnsi="Times New Roman" w:cs="Times New Roman"/>
                <w:sz w:val="24"/>
              </w:rPr>
            </w:pPr>
            <w:r>
              <w:rPr>
                <w:rFonts w:ascii="Times New Roman" w:hAnsi="Times New Roman" w:cs="Times New Roman"/>
                <w:sz w:val="24"/>
              </w:rPr>
              <w:t>SA</w:t>
            </w:r>
          </w:p>
        </w:tc>
        <w:tc>
          <w:tcPr>
            <w:tcW w:w="523" w:type="dxa"/>
          </w:tcPr>
          <w:p w14:paraId="3052A334">
            <w:pPr>
              <w:spacing w:line="360" w:lineRule="auto"/>
              <w:rPr>
                <w:rFonts w:ascii="Times New Roman" w:hAnsi="Times New Roman" w:cs="Times New Roman"/>
                <w:sz w:val="24"/>
              </w:rPr>
            </w:pPr>
            <w:r>
              <w:rPr>
                <w:rFonts w:ascii="Times New Roman" w:hAnsi="Times New Roman" w:cs="Times New Roman"/>
                <w:sz w:val="24"/>
              </w:rPr>
              <w:t>A</w:t>
            </w:r>
          </w:p>
        </w:tc>
        <w:tc>
          <w:tcPr>
            <w:tcW w:w="511" w:type="dxa"/>
          </w:tcPr>
          <w:p w14:paraId="6D4BBD62">
            <w:pPr>
              <w:spacing w:line="360" w:lineRule="auto"/>
              <w:rPr>
                <w:rFonts w:ascii="Times New Roman" w:hAnsi="Times New Roman" w:cs="Times New Roman"/>
                <w:sz w:val="24"/>
              </w:rPr>
            </w:pPr>
            <w:r>
              <w:rPr>
                <w:rFonts w:ascii="Times New Roman" w:hAnsi="Times New Roman" w:cs="Times New Roman"/>
                <w:sz w:val="24"/>
              </w:rPr>
              <w:t>D</w:t>
            </w:r>
          </w:p>
        </w:tc>
        <w:tc>
          <w:tcPr>
            <w:tcW w:w="666" w:type="dxa"/>
          </w:tcPr>
          <w:p w14:paraId="0DAD3AFC">
            <w:pPr>
              <w:spacing w:line="360" w:lineRule="auto"/>
              <w:rPr>
                <w:rFonts w:ascii="Times New Roman" w:hAnsi="Times New Roman" w:cs="Times New Roman"/>
                <w:sz w:val="24"/>
              </w:rPr>
            </w:pPr>
            <w:r>
              <w:rPr>
                <w:rFonts w:ascii="Times New Roman" w:hAnsi="Times New Roman" w:cs="Times New Roman"/>
                <w:sz w:val="24"/>
              </w:rPr>
              <w:t>SD</w:t>
            </w:r>
          </w:p>
        </w:tc>
      </w:tr>
      <w:tr w14:paraId="073D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3BB9C00">
            <w:pPr>
              <w:spacing w:line="360" w:lineRule="auto"/>
              <w:rPr>
                <w:rFonts w:ascii="Times New Roman" w:hAnsi="Times New Roman" w:cs="Times New Roman"/>
                <w:sz w:val="24"/>
              </w:rPr>
            </w:pPr>
            <w:r>
              <w:rPr>
                <w:rFonts w:ascii="Times New Roman" w:hAnsi="Times New Roman" w:cs="Times New Roman"/>
                <w:sz w:val="24"/>
              </w:rPr>
              <w:t>1</w:t>
            </w:r>
          </w:p>
        </w:tc>
        <w:tc>
          <w:tcPr>
            <w:tcW w:w="5744" w:type="dxa"/>
          </w:tcPr>
          <w:p w14:paraId="2F5CA0D1">
            <w:pPr>
              <w:spacing w:line="360" w:lineRule="auto"/>
              <w:rPr>
                <w:rFonts w:ascii="Times New Roman" w:hAnsi="Times New Roman" w:cs="Times New Roman"/>
                <w:sz w:val="24"/>
              </w:rPr>
            </w:pPr>
            <w:r>
              <w:rPr>
                <w:rFonts w:ascii="Times New Roman" w:hAnsi="Times New Roman" w:cs="Times New Roman"/>
                <w:sz w:val="24"/>
              </w:rPr>
              <w:t>Increased Access to Higher Education</w:t>
            </w:r>
          </w:p>
        </w:tc>
        <w:tc>
          <w:tcPr>
            <w:tcW w:w="589" w:type="dxa"/>
          </w:tcPr>
          <w:p w14:paraId="0F922C39">
            <w:pPr>
              <w:spacing w:line="360" w:lineRule="auto"/>
              <w:rPr>
                <w:rFonts w:ascii="Times New Roman" w:hAnsi="Times New Roman" w:cs="Times New Roman"/>
                <w:sz w:val="24"/>
              </w:rPr>
            </w:pPr>
          </w:p>
        </w:tc>
        <w:tc>
          <w:tcPr>
            <w:tcW w:w="523" w:type="dxa"/>
          </w:tcPr>
          <w:p w14:paraId="75B74651">
            <w:pPr>
              <w:spacing w:line="360" w:lineRule="auto"/>
              <w:rPr>
                <w:rFonts w:ascii="Times New Roman" w:hAnsi="Times New Roman" w:cs="Times New Roman"/>
                <w:sz w:val="24"/>
              </w:rPr>
            </w:pPr>
          </w:p>
        </w:tc>
        <w:tc>
          <w:tcPr>
            <w:tcW w:w="511" w:type="dxa"/>
          </w:tcPr>
          <w:p w14:paraId="131199CC">
            <w:pPr>
              <w:spacing w:line="360" w:lineRule="auto"/>
              <w:rPr>
                <w:rFonts w:ascii="Times New Roman" w:hAnsi="Times New Roman" w:cs="Times New Roman"/>
                <w:sz w:val="24"/>
              </w:rPr>
            </w:pPr>
          </w:p>
        </w:tc>
        <w:tc>
          <w:tcPr>
            <w:tcW w:w="666" w:type="dxa"/>
          </w:tcPr>
          <w:p w14:paraId="2545F111">
            <w:pPr>
              <w:spacing w:line="360" w:lineRule="auto"/>
              <w:rPr>
                <w:rFonts w:ascii="Times New Roman" w:hAnsi="Times New Roman" w:cs="Times New Roman"/>
                <w:sz w:val="24"/>
              </w:rPr>
            </w:pPr>
          </w:p>
        </w:tc>
      </w:tr>
      <w:tr w14:paraId="046B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A7C01D8">
            <w:pPr>
              <w:spacing w:line="360" w:lineRule="auto"/>
              <w:rPr>
                <w:rFonts w:ascii="Times New Roman" w:hAnsi="Times New Roman" w:cs="Times New Roman"/>
                <w:sz w:val="24"/>
              </w:rPr>
            </w:pPr>
            <w:r>
              <w:rPr>
                <w:rFonts w:ascii="Times New Roman" w:hAnsi="Times New Roman" w:cs="Times New Roman"/>
                <w:sz w:val="24"/>
              </w:rPr>
              <w:t>2</w:t>
            </w:r>
          </w:p>
        </w:tc>
        <w:tc>
          <w:tcPr>
            <w:tcW w:w="5744" w:type="dxa"/>
          </w:tcPr>
          <w:p w14:paraId="325FAD5C">
            <w:pPr>
              <w:spacing w:line="360" w:lineRule="auto"/>
              <w:rPr>
                <w:rFonts w:ascii="Times New Roman" w:hAnsi="Times New Roman" w:cs="Times New Roman"/>
                <w:sz w:val="24"/>
              </w:rPr>
            </w:pPr>
            <w:r>
              <w:rPr>
                <w:rFonts w:ascii="Times New Roman" w:hAnsi="Times New Roman" w:cs="Times New Roman"/>
                <w:sz w:val="24"/>
              </w:rPr>
              <w:t>Reduced Financial Barriers</w:t>
            </w:r>
          </w:p>
        </w:tc>
        <w:tc>
          <w:tcPr>
            <w:tcW w:w="589" w:type="dxa"/>
          </w:tcPr>
          <w:p w14:paraId="1B8A7FDC">
            <w:pPr>
              <w:spacing w:line="360" w:lineRule="auto"/>
              <w:rPr>
                <w:rFonts w:ascii="Times New Roman" w:hAnsi="Times New Roman" w:cs="Times New Roman"/>
                <w:sz w:val="24"/>
              </w:rPr>
            </w:pPr>
          </w:p>
        </w:tc>
        <w:tc>
          <w:tcPr>
            <w:tcW w:w="523" w:type="dxa"/>
          </w:tcPr>
          <w:p w14:paraId="2B57E1CE">
            <w:pPr>
              <w:spacing w:line="360" w:lineRule="auto"/>
              <w:rPr>
                <w:rFonts w:ascii="Times New Roman" w:hAnsi="Times New Roman" w:cs="Times New Roman"/>
                <w:sz w:val="24"/>
              </w:rPr>
            </w:pPr>
          </w:p>
        </w:tc>
        <w:tc>
          <w:tcPr>
            <w:tcW w:w="511" w:type="dxa"/>
          </w:tcPr>
          <w:p w14:paraId="657E6F3B">
            <w:pPr>
              <w:spacing w:line="360" w:lineRule="auto"/>
              <w:rPr>
                <w:rFonts w:ascii="Times New Roman" w:hAnsi="Times New Roman" w:cs="Times New Roman"/>
                <w:sz w:val="24"/>
              </w:rPr>
            </w:pPr>
          </w:p>
        </w:tc>
        <w:tc>
          <w:tcPr>
            <w:tcW w:w="666" w:type="dxa"/>
          </w:tcPr>
          <w:p w14:paraId="3E7E0AA4">
            <w:pPr>
              <w:spacing w:line="360" w:lineRule="auto"/>
              <w:rPr>
                <w:rFonts w:ascii="Times New Roman" w:hAnsi="Times New Roman" w:cs="Times New Roman"/>
                <w:sz w:val="24"/>
              </w:rPr>
            </w:pPr>
          </w:p>
        </w:tc>
      </w:tr>
      <w:tr w14:paraId="1C1A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1B88BE8B">
            <w:pPr>
              <w:spacing w:line="360" w:lineRule="auto"/>
              <w:rPr>
                <w:rFonts w:ascii="Times New Roman" w:hAnsi="Times New Roman" w:cs="Times New Roman"/>
                <w:sz w:val="24"/>
              </w:rPr>
            </w:pPr>
            <w:r>
              <w:rPr>
                <w:rFonts w:ascii="Times New Roman" w:hAnsi="Times New Roman" w:cs="Times New Roman"/>
                <w:sz w:val="24"/>
              </w:rPr>
              <w:t>3</w:t>
            </w:r>
          </w:p>
        </w:tc>
        <w:tc>
          <w:tcPr>
            <w:tcW w:w="5744" w:type="dxa"/>
          </w:tcPr>
          <w:p w14:paraId="6802A233">
            <w:pPr>
              <w:spacing w:line="360" w:lineRule="auto"/>
              <w:rPr>
                <w:rFonts w:ascii="Times New Roman" w:hAnsi="Times New Roman" w:cs="Times New Roman"/>
                <w:sz w:val="24"/>
              </w:rPr>
            </w:pPr>
            <w:r>
              <w:rPr>
                <w:rFonts w:ascii="Times New Roman" w:hAnsi="Times New Roman" w:cs="Times New Roman"/>
                <w:sz w:val="24"/>
              </w:rPr>
              <w:t>Improved Economic Mobility</w:t>
            </w:r>
          </w:p>
        </w:tc>
        <w:tc>
          <w:tcPr>
            <w:tcW w:w="589" w:type="dxa"/>
          </w:tcPr>
          <w:p w14:paraId="48157836">
            <w:pPr>
              <w:spacing w:line="360" w:lineRule="auto"/>
              <w:rPr>
                <w:rFonts w:ascii="Times New Roman" w:hAnsi="Times New Roman" w:cs="Times New Roman"/>
                <w:sz w:val="24"/>
              </w:rPr>
            </w:pPr>
          </w:p>
        </w:tc>
        <w:tc>
          <w:tcPr>
            <w:tcW w:w="523" w:type="dxa"/>
          </w:tcPr>
          <w:p w14:paraId="7AB188DB">
            <w:pPr>
              <w:spacing w:line="360" w:lineRule="auto"/>
              <w:rPr>
                <w:rFonts w:ascii="Times New Roman" w:hAnsi="Times New Roman" w:cs="Times New Roman"/>
                <w:sz w:val="24"/>
              </w:rPr>
            </w:pPr>
          </w:p>
        </w:tc>
        <w:tc>
          <w:tcPr>
            <w:tcW w:w="511" w:type="dxa"/>
          </w:tcPr>
          <w:p w14:paraId="07DC2037">
            <w:pPr>
              <w:spacing w:line="360" w:lineRule="auto"/>
              <w:rPr>
                <w:rFonts w:ascii="Times New Roman" w:hAnsi="Times New Roman" w:cs="Times New Roman"/>
                <w:sz w:val="24"/>
              </w:rPr>
            </w:pPr>
          </w:p>
        </w:tc>
        <w:tc>
          <w:tcPr>
            <w:tcW w:w="666" w:type="dxa"/>
          </w:tcPr>
          <w:p w14:paraId="22CC8BC4">
            <w:pPr>
              <w:spacing w:line="360" w:lineRule="auto"/>
              <w:rPr>
                <w:rFonts w:ascii="Times New Roman" w:hAnsi="Times New Roman" w:cs="Times New Roman"/>
                <w:sz w:val="24"/>
              </w:rPr>
            </w:pPr>
          </w:p>
        </w:tc>
      </w:tr>
      <w:tr w14:paraId="6C85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4239B30C">
            <w:pPr>
              <w:spacing w:line="360" w:lineRule="auto"/>
              <w:rPr>
                <w:rFonts w:ascii="Times New Roman" w:hAnsi="Times New Roman" w:cs="Times New Roman"/>
                <w:sz w:val="24"/>
              </w:rPr>
            </w:pPr>
            <w:r>
              <w:rPr>
                <w:rFonts w:ascii="Times New Roman" w:hAnsi="Times New Roman" w:cs="Times New Roman"/>
                <w:sz w:val="24"/>
              </w:rPr>
              <w:t>4</w:t>
            </w:r>
          </w:p>
        </w:tc>
        <w:tc>
          <w:tcPr>
            <w:tcW w:w="5744" w:type="dxa"/>
          </w:tcPr>
          <w:p w14:paraId="3A96AB7A">
            <w:pPr>
              <w:spacing w:line="360" w:lineRule="auto"/>
              <w:rPr>
                <w:rFonts w:ascii="Times New Roman" w:hAnsi="Times New Roman" w:cs="Times New Roman"/>
                <w:sz w:val="24"/>
              </w:rPr>
            </w:pPr>
            <w:r>
              <w:rPr>
                <w:rFonts w:ascii="Times New Roman" w:hAnsi="Times New Roman" w:cs="Times New Roman"/>
                <w:sz w:val="24"/>
              </w:rPr>
              <w:t>Mitigation of Student Debt</w:t>
            </w:r>
          </w:p>
        </w:tc>
        <w:tc>
          <w:tcPr>
            <w:tcW w:w="589" w:type="dxa"/>
          </w:tcPr>
          <w:p w14:paraId="413D322D">
            <w:pPr>
              <w:spacing w:line="360" w:lineRule="auto"/>
              <w:rPr>
                <w:rFonts w:ascii="Times New Roman" w:hAnsi="Times New Roman" w:cs="Times New Roman"/>
                <w:sz w:val="24"/>
              </w:rPr>
            </w:pPr>
          </w:p>
        </w:tc>
        <w:tc>
          <w:tcPr>
            <w:tcW w:w="523" w:type="dxa"/>
          </w:tcPr>
          <w:p w14:paraId="63BAAD6E">
            <w:pPr>
              <w:spacing w:line="360" w:lineRule="auto"/>
              <w:rPr>
                <w:rFonts w:ascii="Times New Roman" w:hAnsi="Times New Roman" w:cs="Times New Roman"/>
                <w:sz w:val="24"/>
              </w:rPr>
            </w:pPr>
          </w:p>
        </w:tc>
        <w:tc>
          <w:tcPr>
            <w:tcW w:w="511" w:type="dxa"/>
          </w:tcPr>
          <w:p w14:paraId="0B9C40F0">
            <w:pPr>
              <w:spacing w:line="360" w:lineRule="auto"/>
              <w:rPr>
                <w:rFonts w:ascii="Times New Roman" w:hAnsi="Times New Roman" w:cs="Times New Roman"/>
                <w:sz w:val="24"/>
              </w:rPr>
            </w:pPr>
          </w:p>
        </w:tc>
        <w:tc>
          <w:tcPr>
            <w:tcW w:w="666" w:type="dxa"/>
          </w:tcPr>
          <w:p w14:paraId="0473E0DA">
            <w:pPr>
              <w:spacing w:line="360" w:lineRule="auto"/>
              <w:rPr>
                <w:rFonts w:ascii="Times New Roman" w:hAnsi="Times New Roman" w:cs="Times New Roman"/>
                <w:sz w:val="24"/>
              </w:rPr>
            </w:pPr>
          </w:p>
        </w:tc>
      </w:tr>
      <w:tr w14:paraId="0EF6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62E997C">
            <w:pPr>
              <w:spacing w:line="360" w:lineRule="auto"/>
              <w:rPr>
                <w:rFonts w:ascii="Times New Roman" w:hAnsi="Times New Roman" w:cs="Times New Roman"/>
                <w:sz w:val="24"/>
              </w:rPr>
            </w:pPr>
            <w:r>
              <w:rPr>
                <w:rFonts w:ascii="Times New Roman" w:hAnsi="Times New Roman" w:cs="Times New Roman"/>
                <w:sz w:val="24"/>
              </w:rPr>
              <w:t>5</w:t>
            </w:r>
          </w:p>
        </w:tc>
        <w:tc>
          <w:tcPr>
            <w:tcW w:w="5744" w:type="dxa"/>
          </w:tcPr>
          <w:p w14:paraId="44C2DE46">
            <w:pPr>
              <w:spacing w:line="360" w:lineRule="auto"/>
              <w:rPr>
                <w:rFonts w:ascii="Times New Roman" w:hAnsi="Times New Roman" w:cs="Times New Roman"/>
                <w:sz w:val="24"/>
              </w:rPr>
            </w:pPr>
            <w:r>
              <w:rPr>
                <w:rFonts w:ascii="Times New Roman" w:hAnsi="Times New Roman" w:cs="Times New Roman"/>
                <w:sz w:val="24"/>
              </w:rPr>
              <w:t xml:space="preserve">Long term benefit </w:t>
            </w:r>
          </w:p>
        </w:tc>
        <w:tc>
          <w:tcPr>
            <w:tcW w:w="589" w:type="dxa"/>
          </w:tcPr>
          <w:p w14:paraId="02D5EE10">
            <w:pPr>
              <w:spacing w:line="360" w:lineRule="auto"/>
              <w:rPr>
                <w:rFonts w:ascii="Times New Roman" w:hAnsi="Times New Roman" w:cs="Times New Roman"/>
                <w:sz w:val="24"/>
              </w:rPr>
            </w:pPr>
          </w:p>
        </w:tc>
        <w:tc>
          <w:tcPr>
            <w:tcW w:w="523" w:type="dxa"/>
          </w:tcPr>
          <w:p w14:paraId="641A8BFD">
            <w:pPr>
              <w:spacing w:line="360" w:lineRule="auto"/>
              <w:rPr>
                <w:rFonts w:ascii="Times New Roman" w:hAnsi="Times New Roman" w:cs="Times New Roman"/>
                <w:sz w:val="24"/>
              </w:rPr>
            </w:pPr>
          </w:p>
        </w:tc>
        <w:tc>
          <w:tcPr>
            <w:tcW w:w="511" w:type="dxa"/>
          </w:tcPr>
          <w:p w14:paraId="6979613F">
            <w:pPr>
              <w:spacing w:line="360" w:lineRule="auto"/>
              <w:rPr>
                <w:rFonts w:ascii="Times New Roman" w:hAnsi="Times New Roman" w:cs="Times New Roman"/>
                <w:sz w:val="24"/>
              </w:rPr>
            </w:pPr>
          </w:p>
        </w:tc>
        <w:tc>
          <w:tcPr>
            <w:tcW w:w="666" w:type="dxa"/>
          </w:tcPr>
          <w:p w14:paraId="709493C9">
            <w:pPr>
              <w:spacing w:line="360" w:lineRule="auto"/>
              <w:rPr>
                <w:rFonts w:ascii="Times New Roman" w:hAnsi="Times New Roman" w:cs="Times New Roman"/>
                <w:sz w:val="24"/>
              </w:rPr>
            </w:pPr>
          </w:p>
        </w:tc>
      </w:tr>
    </w:tbl>
    <w:p w14:paraId="361C513A">
      <w:pPr>
        <w:jc w:val="center"/>
        <w:rPr>
          <w:rFonts w:ascii="Times New Roman" w:hAnsi="Times New Roman" w:cs="Times New Roman"/>
          <w:b/>
          <w:bCs/>
          <w:sz w:val="24"/>
        </w:rPr>
      </w:pPr>
      <w:r>
        <w:rPr>
          <w:rFonts w:ascii="Times New Roman" w:hAnsi="Times New Roman" w:cs="Times New Roman"/>
          <w:b/>
          <w:bCs/>
          <w:sz w:val="24"/>
        </w:rPr>
        <w:t>SECTION G</w:t>
      </w:r>
    </w:p>
    <w:p w14:paraId="11882AF5">
      <w:pPr>
        <w:rPr>
          <w:rFonts w:ascii="Times New Roman" w:hAnsi="Times New Roman" w:cs="Times New Roman"/>
          <w:b/>
          <w:bCs/>
          <w:sz w:val="24"/>
        </w:rPr>
      </w:pPr>
      <w:r>
        <w:rPr>
          <w:rFonts w:ascii="Times New Roman" w:hAnsi="Times New Roman" w:cs="Times New Roman"/>
          <w:b/>
          <w:bCs/>
          <w:sz w:val="24"/>
        </w:rPr>
        <w:t>RQ. 5: What are the challenges affecting the implementation of the student loan scheme</w:t>
      </w:r>
    </w:p>
    <w:p w14:paraId="2FE4B9E5">
      <w:pPr>
        <w:rPr>
          <w:rFonts w:ascii="Times New Roman" w:hAnsi="Times New Roman" w:cs="Times New Roman"/>
          <w:b/>
          <w:bCs/>
          <w:sz w:val="24"/>
        </w:rPr>
      </w:pPr>
      <w:r>
        <w:rPr>
          <w:rFonts w:ascii="Times New Roman" w:hAnsi="Times New Roman" w:cs="Times New Roman"/>
          <w:b/>
          <w:bCs/>
          <w:sz w:val="24"/>
        </w:rPr>
        <w:t>Table 5: Challenges affecting the implementation of the student loan scheme</w:t>
      </w:r>
    </w:p>
    <w:p w14:paraId="74BC4534">
      <w:pPr>
        <w:rPr>
          <w:rFonts w:ascii="Times New Roman" w:hAnsi="Times New Roman" w:cs="Times New Roman"/>
          <w:b/>
          <w:bCs/>
          <w:sz w:val="24"/>
        </w:rPr>
      </w:pPr>
    </w:p>
    <w:tbl>
      <w:tblPr>
        <w:tblStyle w:val="8"/>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5792"/>
        <w:gridCol w:w="540"/>
        <w:gridCol w:w="540"/>
        <w:gridCol w:w="540"/>
        <w:gridCol w:w="630"/>
      </w:tblGrid>
      <w:tr w14:paraId="69BB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75B7D2E0">
            <w:pPr>
              <w:spacing w:line="360" w:lineRule="auto"/>
              <w:rPr>
                <w:rFonts w:ascii="Times New Roman" w:hAnsi="Times New Roman" w:cs="Times New Roman"/>
                <w:sz w:val="24"/>
              </w:rPr>
            </w:pPr>
            <w:r>
              <w:rPr>
                <w:rFonts w:ascii="Times New Roman" w:hAnsi="Times New Roman" w:cs="Times New Roman"/>
                <w:sz w:val="24"/>
              </w:rPr>
              <w:t>S/N</w:t>
            </w:r>
          </w:p>
        </w:tc>
        <w:tc>
          <w:tcPr>
            <w:tcW w:w="5792" w:type="dxa"/>
          </w:tcPr>
          <w:p w14:paraId="2821C64D">
            <w:pPr>
              <w:spacing w:line="360" w:lineRule="auto"/>
              <w:rPr>
                <w:rFonts w:ascii="Times New Roman" w:hAnsi="Times New Roman" w:cs="Times New Roman"/>
                <w:sz w:val="24"/>
              </w:rPr>
            </w:pPr>
            <w:r>
              <w:rPr>
                <w:rFonts w:ascii="Times New Roman" w:hAnsi="Times New Roman" w:cs="Times New Roman"/>
                <w:b/>
                <w:bCs/>
                <w:sz w:val="24"/>
              </w:rPr>
              <w:t>ITEMS</w:t>
            </w:r>
            <w:r>
              <w:rPr>
                <w:rFonts w:ascii="Times New Roman" w:hAnsi="Times New Roman" w:cs="Times New Roman"/>
                <w:sz w:val="24"/>
              </w:rPr>
              <w:t xml:space="preserve"> </w:t>
            </w:r>
          </w:p>
        </w:tc>
        <w:tc>
          <w:tcPr>
            <w:tcW w:w="540" w:type="dxa"/>
          </w:tcPr>
          <w:p w14:paraId="32C1333E">
            <w:pPr>
              <w:spacing w:line="360" w:lineRule="auto"/>
              <w:rPr>
                <w:rFonts w:ascii="Times New Roman" w:hAnsi="Times New Roman" w:cs="Times New Roman"/>
                <w:sz w:val="24"/>
              </w:rPr>
            </w:pPr>
            <w:r>
              <w:rPr>
                <w:rFonts w:ascii="Times New Roman" w:hAnsi="Times New Roman" w:cs="Times New Roman"/>
                <w:sz w:val="24"/>
              </w:rPr>
              <w:t>SA</w:t>
            </w:r>
          </w:p>
        </w:tc>
        <w:tc>
          <w:tcPr>
            <w:tcW w:w="540" w:type="dxa"/>
          </w:tcPr>
          <w:p w14:paraId="38D79F00">
            <w:pPr>
              <w:spacing w:line="360" w:lineRule="auto"/>
              <w:rPr>
                <w:rFonts w:ascii="Times New Roman" w:hAnsi="Times New Roman" w:cs="Times New Roman"/>
                <w:sz w:val="24"/>
              </w:rPr>
            </w:pPr>
            <w:r>
              <w:rPr>
                <w:rFonts w:ascii="Times New Roman" w:hAnsi="Times New Roman" w:cs="Times New Roman"/>
                <w:sz w:val="24"/>
              </w:rPr>
              <w:t>A</w:t>
            </w:r>
          </w:p>
        </w:tc>
        <w:tc>
          <w:tcPr>
            <w:tcW w:w="540" w:type="dxa"/>
          </w:tcPr>
          <w:p w14:paraId="42FB95CC">
            <w:pPr>
              <w:spacing w:line="360" w:lineRule="auto"/>
              <w:rPr>
                <w:rFonts w:ascii="Times New Roman" w:hAnsi="Times New Roman" w:cs="Times New Roman"/>
                <w:sz w:val="24"/>
              </w:rPr>
            </w:pPr>
            <w:r>
              <w:rPr>
                <w:rFonts w:ascii="Times New Roman" w:hAnsi="Times New Roman" w:cs="Times New Roman"/>
                <w:sz w:val="24"/>
              </w:rPr>
              <w:t>D</w:t>
            </w:r>
          </w:p>
        </w:tc>
        <w:tc>
          <w:tcPr>
            <w:tcW w:w="630" w:type="dxa"/>
          </w:tcPr>
          <w:p w14:paraId="48AE81EF">
            <w:pPr>
              <w:spacing w:line="360" w:lineRule="auto"/>
              <w:rPr>
                <w:rFonts w:ascii="Times New Roman" w:hAnsi="Times New Roman" w:cs="Times New Roman"/>
                <w:sz w:val="24"/>
              </w:rPr>
            </w:pPr>
            <w:r>
              <w:rPr>
                <w:rFonts w:ascii="Times New Roman" w:hAnsi="Times New Roman" w:cs="Times New Roman"/>
                <w:sz w:val="24"/>
              </w:rPr>
              <w:t>SD</w:t>
            </w:r>
          </w:p>
        </w:tc>
      </w:tr>
      <w:tr w14:paraId="5AE1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5ACED0BD">
            <w:pPr>
              <w:spacing w:line="360" w:lineRule="auto"/>
              <w:rPr>
                <w:rFonts w:ascii="Times New Roman" w:hAnsi="Times New Roman" w:cs="Times New Roman"/>
                <w:sz w:val="24"/>
              </w:rPr>
            </w:pPr>
            <w:r>
              <w:rPr>
                <w:rFonts w:ascii="Times New Roman" w:hAnsi="Times New Roman" w:cs="Times New Roman"/>
                <w:sz w:val="24"/>
              </w:rPr>
              <w:t>1</w:t>
            </w:r>
          </w:p>
        </w:tc>
        <w:tc>
          <w:tcPr>
            <w:tcW w:w="5792" w:type="dxa"/>
          </w:tcPr>
          <w:p w14:paraId="4B2AC68A">
            <w:pPr>
              <w:spacing w:line="360" w:lineRule="auto"/>
              <w:rPr>
                <w:rFonts w:ascii="Times New Roman" w:hAnsi="Times New Roman" w:cs="Times New Roman"/>
                <w:sz w:val="24"/>
              </w:rPr>
            </w:pPr>
            <w:r>
              <w:rPr>
                <w:rFonts w:ascii="Times New Roman" w:hAnsi="Times New Roman" w:cs="Times New Roman"/>
                <w:sz w:val="24"/>
              </w:rPr>
              <w:t>Lack of National identification system</w:t>
            </w:r>
          </w:p>
        </w:tc>
        <w:tc>
          <w:tcPr>
            <w:tcW w:w="540" w:type="dxa"/>
          </w:tcPr>
          <w:p w14:paraId="430F7AD8">
            <w:pPr>
              <w:spacing w:line="360" w:lineRule="auto"/>
              <w:rPr>
                <w:rFonts w:ascii="Times New Roman" w:hAnsi="Times New Roman" w:cs="Times New Roman"/>
                <w:sz w:val="24"/>
              </w:rPr>
            </w:pPr>
          </w:p>
        </w:tc>
        <w:tc>
          <w:tcPr>
            <w:tcW w:w="540" w:type="dxa"/>
          </w:tcPr>
          <w:p w14:paraId="43E87AB9">
            <w:pPr>
              <w:spacing w:line="360" w:lineRule="auto"/>
              <w:rPr>
                <w:rFonts w:ascii="Times New Roman" w:hAnsi="Times New Roman" w:cs="Times New Roman"/>
                <w:sz w:val="24"/>
              </w:rPr>
            </w:pPr>
          </w:p>
        </w:tc>
        <w:tc>
          <w:tcPr>
            <w:tcW w:w="540" w:type="dxa"/>
          </w:tcPr>
          <w:p w14:paraId="48B8E545">
            <w:pPr>
              <w:spacing w:line="360" w:lineRule="auto"/>
              <w:rPr>
                <w:rFonts w:ascii="Times New Roman" w:hAnsi="Times New Roman" w:cs="Times New Roman"/>
                <w:sz w:val="24"/>
              </w:rPr>
            </w:pPr>
          </w:p>
        </w:tc>
        <w:tc>
          <w:tcPr>
            <w:tcW w:w="630" w:type="dxa"/>
          </w:tcPr>
          <w:p w14:paraId="78406EA4">
            <w:pPr>
              <w:spacing w:line="360" w:lineRule="auto"/>
              <w:rPr>
                <w:rFonts w:ascii="Times New Roman" w:hAnsi="Times New Roman" w:cs="Times New Roman"/>
                <w:sz w:val="24"/>
              </w:rPr>
            </w:pPr>
          </w:p>
        </w:tc>
      </w:tr>
      <w:tr w14:paraId="307C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17840572">
            <w:pPr>
              <w:spacing w:line="360" w:lineRule="auto"/>
              <w:rPr>
                <w:rFonts w:ascii="Times New Roman" w:hAnsi="Times New Roman" w:cs="Times New Roman"/>
                <w:sz w:val="24"/>
              </w:rPr>
            </w:pPr>
            <w:r>
              <w:rPr>
                <w:rFonts w:ascii="Times New Roman" w:hAnsi="Times New Roman" w:cs="Times New Roman"/>
                <w:sz w:val="24"/>
              </w:rPr>
              <w:t>2</w:t>
            </w:r>
          </w:p>
        </w:tc>
        <w:tc>
          <w:tcPr>
            <w:tcW w:w="5792" w:type="dxa"/>
          </w:tcPr>
          <w:p w14:paraId="3ED1A79A">
            <w:pPr>
              <w:spacing w:line="360" w:lineRule="auto"/>
              <w:rPr>
                <w:rFonts w:ascii="Times New Roman" w:hAnsi="Times New Roman" w:cs="Times New Roman"/>
                <w:sz w:val="24"/>
              </w:rPr>
            </w:pPr>
            <w:r>
              <w:rPr>
                <w:rFonts w:ascii="Times New Roman" w:hAnsi="Times New Roman" w:cs="Times New Roman"/>
                <w:sz w:val="24"/>
              </w:rPr>
              <w:t>Inefficient management and Corruption</w:t>
            </w:r>
          </w:p>
        </w:tc>
        <w:tc>
          <w:tcPr>
            <w:tcW w:w="540" w:type="dxa"/>
          </w:tcPr>
          <w:p w14:paraId="0C1799D6">
            <w:pPr>
              <w:spacing w:line="360" w:lineRule="auto"/>
              <w:rPr>
                <w:rFonts w:ascii="Times New Roman" w:hAnsi="Times New Roman" w:cs="Times New Roman"/>
                <w:sz w:val="24"/>
              </w:rPr>
            </w:pPr>
          </w:p>
        </w:tc>
        <w:tc>
          <w:tcPr>
            <w:tcW w:w="540" w:type="dxa"/>
          </w:tcPr>
          <w:p w14:paraId="007566E3">
            <w:pPr>
              <w:spacing w:line="360" w:lineRule="auto"/>
              <w:rPr>
                <w:rFonts w:ascii="Times New Roman" w:hAnsi="Times New Roman" w:cs="Times New Roman"/>
                <w:sz w:val="24"/>
              </w:rPr>
            </w:pPr>
          </w:p>
        </w:tc>
        <w:tc>
          <w:tcPr>
            <w:tcW w:w="540" w:type="dxa"/>
          </w:tcPr>
          <w:p w14:paraId="32F8B229">
            <w:pPr>
              <w:spacing w:line="360" w:lineRule="auto"/>
              <w:rPr>
                <w:rFonts w:ascii="Times New Roman" w:hAnsi="Times New Roman" w:cs="Times New Roman"/>
                <w:sz w:val="24"/>
              </w:rPr>
            </w:pPr>
          </w:p>
        </w:tc>
        <w:tc>
          <w:tcPr>
            <w:tcW w:w="630" w:type="dxa"/>
          </w:tcPr>
          <w:p w14:paraId="09D7A25F">
            <w:pPr>
              <w:spacing w:line="360" w:lineRule="auto"/>
              <w:rPr>
                <w:rFonts w:ascii="Times New Roman" w:hAnsi="Times New Roman" w:cs="Times New Roman"/>
                <w:sz w:val="24"/>
              </w:rPr>
            </w:pPr>
          </w:p>
        </w:tc>
      </w:tr>
      <w:tr w14:paraId="375D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3C56E7ED">
            <w:pPr>
              <w:spacing w:line="360" w:lineRule="auto"/>
              <w:rPr>
                <w:rFonts w:ascii="Times New Roman" w:hAnsi="Times New Roman" w:cs="Times New Roman"/>
                <w:sz w:val="24"/>
              </w:rPr>
            </w:pPr>
            <w:r>
              <w:rPr>
                <w:rFonts w:ascii="Times New Roman" w:hAnsi="Times New Roman" w:cs="Times New Roman"/>
                <w:sz w:val="24"/>
              </w:rPr>
              <w:t>3</w:t>
            </w:r>
          </w:p>
        </w:tc>
        <w:tc>
          <w:tcPr>
            <w:tcW w:w="5792" w:type="dxa"/>
          </w:tcPr>
          <w:p w14:paraId="6D0C4440">
            <w:pPr>
              <w:spacing w:line="360" w:lineRule="auto"/>
              <w:rPr>
                <w:rFonts w:ascii="Times New Roman" w:hAnsi="Times New Roman" w:cs="Times New Roman"/>
                <w:sz w:val="24"/>
              </w:rPr>
            </w:pPr>
            <w:r>
              <w:rPr>
                <w:rFonts w:ascii="Times New Roman" w:hAnsi="Times New Roman" w:cs="Times New Roman"/>
                <w:sz w:val="24"/>
              </w:rPr>
              <w:t xml:space="preserve">Delay in loan disbursement </w:t>
            </w:r>
          </w:p>
        </w:tc>
        <w:tc>
          <w:tcPr>
            <w:tcW w:w="540" w:type="dxa"/>
          </w:tcPr>
          <w:p w14:paraId="0AA348FC">
            <w:pPr>
              <w:spacing w:line="360" w:lineRule="auto"/>
              <w:rPr>
                <w:rFonts w:ascii="Times New Roman" w:hAnsi="Times New Roman" w:cs="Times New Roman"/>
                <w:sz w:val="24"/>
              </w:rPr>
            </w:pPr>
          </w:p>
        </w:tc>
        <w:tc>
          <w:tcPr>
            <w:tcW w:w="540" w:type="dxa"/>
          </w:tcPr>
          <w:p w14:paraId="3533973B">
            <w:pPr>
              <w:spacing w:line="360" w:lineRule="auto"/>
              <w:rPr>
                <w:rFonts w:ascii="Times New Roman" w:hAnsi="Times New Roman" w:cs="Times New Roman"/>
                <w:sz w:val="24"/>
              </w:rPr>
            </w:pPr>
          </w:p>
        </w:tc>
        <w:tc>
          <w:tcPr>
            <w:tcW w:w="540" w:type="dxa"/>
          </w:tcPr>
          <w:p w14:paraId="173D884E">
            <w:pPr>
              <w:spacing w:line="360" w:lineRule="auto"/>
              <w:rPr>
                <w:rFonts w:ascii="Times New Roman" w:hAnsi="Times New Roman" w:cs="Times New Roman"/>
                <w:sz w:val="24"/>
              </w:rPr>
            </w:pPr>
          </w:p>
        </w:tc>
        <w:tc>
          <w:tcPr>
            <w:tcW w:w="630" w:type="dxa"/>
          </w:tcPr>
          <w:p w14:paraId="2EA2D1F5">
            <w:pPr>
              <w:spacing w:line="360" w:lineRule="auto"/>
              <w:rPr>
                <w:rFonts w:ascii="Times New Roman" w:hAnsi="Times New Roman" w:cs="Times New Roman"/>
                <w:sz w:val="24"/>
              </w:rPr>
            </w:pPr>
          </w:p>
        </w:tc>
      </w:tr>
      <w:tr w14:paraId="7776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16DD0E39">
            <w:pPr>
              <w:spacing w:line="360" w:lineRule="auto"/>
              <w:rPr>
                <w:rFonts w:ascii="Times New Roman" w:hAnsi="Times New Roman" w:cs="Times New Roman"/>
                <w:sz w:val="24"/>
              </w:rPr>
            </w:pPr>
            <w:r>
              <w:rPr>
                <w:rFonts w:ascii="Times New Roman" w:hAnsi="Times New Roman" w:cs="Times New Roman"/>
                <w:sz w:val="24"/>
              </w:rPr>
              <w:t>4</w:t>
            </w:r>
          </w:p>
        </w:tc>
        <w:tc>
          <w:tcPr>
            <w:tcW w:w="5792" w:type="dxa"/>
          </w:tcPr>
          <w:p w14:paraId="3977674A">
            <w:pPr>
              <w:spacing w:line="360" w:lineRule="auto"/>
              <w:rPr>
                <w:rFonts w:ascii="Times New Roman" w:hAnsi="Times New Roman" w:cs="Times New Roman"/>
                <w:sz w:val="24"/>
              </w:rPr>
            </w:pPr>
            <w:r>
              <w:rPr>
                <w:rFonts w:ascii="Times New Roman" w:hAnsi="Times New Roman" w:cs="Times New Roman"/>
                <w:sz w:val="24"/>
              </w:rPr>
              <w:t xml:space="preserve">Government policies </w:t>
            </w:r>
          </w:p>
        </w:tc>
        <w:tc>
          <w:tcPr>
            <w:tcW w:w="540" w:type="dxa"/>
          </w:tcPr>
          <w:p w14:paraId="34C25FC5">
            <w:pPr>
              <w:spacing w:line="360" w:lineRule="auto"/>
              <w:rPr>
                <w:rFonts w:ascii="Times New Roman" w:hAnsi="Times New Roman" w:cs="Times New Roman"/>
                <w:sz w:val="24"/>
              </w:rPr>
            </w:pPr>
          </w:p>
        </w:tc>
        <w:tc>
          <w:tcPr>
            <w:tcW w:w="540" w:type="dxa"/>
          </w:tcPr>
          <w:p w14:paraId="1FE0D2E6">
            <w:pPr>
              <w:spacing w:line="360" w:lineRule="auto"/>
              <w:rPr>
                <w:rFonts w:ascii="Times New Roman" w:hAnsi="Times New Roman" w:cs="Times New Roman"/>
                <w:sz w:val="24"/>
              </w:rPr>
            </w:pPr>
          </w:p>
        </w:tc>
        <w:tc>
          <w:tcPr>
            <w:tcW w:w="540" w:type="dxa"/>
          </w:tcPr>
          <w:p w14:paraId="0F077C3A">
            <w:pPr>
              <w:spacing w:line="360" w:lineRule="auto"/>
              <w:rPr>
                <w:rFonts w:ascii="Times New Roman" w:hAnsi="Times New Roman" w:cs="Times New Roman"/>
                <w:sz w:val="24"/>
              </w:rPr>
            </w:pPr>
          </w:p>
        </w:tc>
        <w:tc>
          <w:tcPr>
            <w:tcW w:w="630" w:type="dxa"/>
          </w:tcPr>
          <w:p w14:paraId="2D35792A">
            <w:pPr>
              <w:spacing w:line="360" w:lineRule="auto"/>
              <w:rPr>
                <w:rFonts w:ascii="Times New Roman" w:hAnsi="Times New Roman" w:cs="Times New Roman"/>
                <w:sz w:val="24"/>
              </w:rPr>
            </w:pPr>
          </w:p>
        </w:tc>
      </w:tr>
      <w:tr w14:paraId="684A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06F6D83A">
            <w:pPr>
              <w:spacing w:line="360" w:lineRule="auto"/>
              <w:rPr>
                <w:rFonts w:ascii="Times New Roman" w:hAnsi="Times New Roman" w:cs="Times New Roman"/>
                <w:sz w:val="24"/>
              </w:rPr>
            </w:pPr>
            <w:r>
              <w:rPr>
                <w:rFonts w:ascii="Times New Roman" w:hAnsi="Times New Roman" w:cs="Times New Roman"/>
                <w:sz w:val="24"/>
              </w:rPr>
              <w:t>5</w:t>
            </w:r>
          </w:p>
        </w:tc>
        <w:tc>
          <w:tcPr>
            <w:tcW w:w="5792" w:type="dxa"/>
          </w:tcPr>
          <w:p w14:paraId="46D1D5A7">
            <w:pPr>
              <w:spacing w:line="360" w:lineRule="auto"/>
              <w:rPr>
                <w:rFonts w:ascii="Times New Roman" w:hAnsi="Times New Roman" w:cs="Times New Roman"/>
                <w:sz w:val="24"/>
              </w:rPr>
            </w:pPr>
            <w:r>
              <w:rPr>
                <w:rFonts w:ascii="Times New Roman" w:hAnsi="Times New Roman" w:cs="Times New Roman"/>
                <w:sz w:val="24"/>
              </w:rPr>
              <w:t xml:space="preserve">Difficulty in recovering loans </w:t>
            </w:r>
          </w:p>
        </w:tc>
        <w:tc>
          <w:tcPr>
            <w:tcW w:w="540" w:type="dxa"/>
          </w:tcPr>
          <w:p w14:paraId="7AFE446D">
            <w:pPr>
              <w:spacing w:line="360" w:lineRule="auto"/>
              <w:rPr>
                <w:rFonts w:ascii="Times New Roman" w:hAnsi="Times New Roman" w:cs="Times New Roman"/>
                <w:sz w:val="24"/>
              </w:rPr>
            </w:pPr>
          </w:p>
        </w:tc>
        <w:tc>
          <w:tcPr>
            <w:tcW w:w="540" w:type="dxa"/>
          </w:tcPr>
          <w:p w14:paraId="079404DC">
            <w:pPr>
              <w:spacing w:line="360" w:lineRule="auto"/>
              <w:rPr>
                <w:rFonts w:ascii="Times New Roman" w:hAnsi="Times New Roman" w:cs="Times New Roman"/>
                <w:sz w:val="24"/>
              </w:rPr>
            </w:pPr>
          </w:p>
        </w:tc>
        <w:tc>
          <w:tcPr>
            <w:tcW w:w="540" w:type="dxa"/>
          </w:tcPr>
          <w:p w14:paraId="548B17C1">
            <w:pPr>
              <w:spacing w:line="360" w:lineRule="auto"/>
              <w:rPr>
                <w:rFonts w:ascii="Times New Roman" w:hAnsi="Times New Roman" w:cs="Times New Roman"/>
                <w:sz w:val="24"/>
              </w:rPr>
            </w:pPr>
          </w:p>
        </w:tc>
        <w:tc>
          <w:tcPr>
            <w:tcW w:w="630" w:type="dxa"/>
          </w:tcPr>
          <w:p w14:paraId="771B2AEA">
            <w:pPr>
              <w:spacing w:line="360" w:lineRule="auto"/>
              <w:rPr>
                <w:rFonts w:ascii="Times New Roman" w:hAnsi="Times New Roman" w:cs="Times New Roman"/>
                <w:sz w:val="24"/>
              </w:rPr>
            </w:pPr>
          </w:p>
        </w:tc>
      </w:tr>
    </w:tbl>
    <w:p w14:paraId="63C21311">
      <w:pPr>
        <w:widowControl/>
        <w:jc w:val="left"/>
        <w:rPr>
          <w:rFonts w:ascii="Times New Roman" w:hAnsi="Times New Roman" w:cs="Times New Roman"/>
          <w:b/>
          <w:bCs/>
          <w:sz w:val="24"/>
        </w:rPr>
      </w:pPr>
    </w:p>
    <w:p w14:paraId="424E59F5"/>
    <w:sectPr>
      <w:headerReference r:id="rId5" w:type="default"/>
      <w:footerReference r:id="rId6" w:type="default"/>
      <w:pgSz w:w="11906" w:h="16838"/>
      <w:pgMar w:top="1260" w:right="1440" w:bottom="135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Roboto">
    <w:altName w:val="Times New Roman"/>
    <w:panose1 w:val="00000000000000000000"/>
    <w:charset w:val="00"/>
    <w:family w:val="roman"/>
    <w:pitch w:val="default"/>
    <w:sig w:usb0="00000000" w:usb1="00000000" w:usb2="00000008" w:usb3="00000000" w:csb0="0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6A44">
    <w:pPr>
      <w:pStyle w:val="5"/>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536"/>
                            <w:docPartObj>
                              <w:docPartGallery w:val="autotext"/>
                            </w:docPartObj>
                          </w:sdtPr>
                          <w:sdtContent>
                            <w:p w14:paraId="0B31CF47">
                              <w:pPr>
                                <w:pStyle w:val="5"/>
                                <w:jc w:val="center"/>
                              </w:pPr>
                              <w:r>
                                <w:fldChar w:fldCharType="begin"/>
                              </w:r>
                              <w:r>
                                <w:instrText xml:space="preserve"> PAGE   \* MERGEFORMAT </w:instrText>
                              </w:r>
                              <w:r>
                                <w:fldChar w:fldCharType="separate"/>
                              </w:r>
                              <w:r>
                                <w:t>2</w:t>
                              </w:r>
                              <w:r>
                                <w:fldChar w:fldCharType="end"/>
                              </w:r>
                            </w:p>
                          </w:sdtContent>
                        </w:sdt>
                        <w:p w14:paraId="3BE47B1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55536"/>
                      <w:docPartObj>
                        <w:docPartGallery w:val="autotext"/>
                      </w:docPartObj>
                    </w:sdtPr>
                    <w:sdtContent>
                      <w:p w14:paraId="0B31CF47">
                        <w:pPr>
                          <w:pStyle w:val="5"/>
                          <w:jc w:val="center"/>
                        </w:pPr>
                        <w:r>
                          <w:fldChar w:fldCharType="begin"/>
                        </w:r>
                        <w:r>
                          <w:instrText xml:space="preserve"> PAGE   \* MERGEFORMAT </w:instrText>
                        </w:r>
                        <w:r>
                          <w:fldChar w:fldCharType="separate"/>
                        </w:r>
                        <w:r>
                          <w:t>2</w:t>
                        </w:r>
                        <w:r>
                          <w:fldChar w:fldCharType="end"/>
                        </w:r>
                      </w:p>
                    </w:sdtContent>
                  </w:sdt>
                  <w:p w14:paraId="3BE47B17"/>
                </w:txbxContent>
              </v:textbox>
            </v:shape>
          </w:pict>
        </mc:Fallback>
      </mc:AlternateContent>
    </w:r>
  </w:p>
  <w:p w14:paraId="0BACCDE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2522F">
    <w:pPr>
      <w:pStyle w:val="5"/>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FEED1">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1EFEED1">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9FFA">
    <w:pPr>
      <w:pStyle w:val="5"/>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9FF57">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0719FF57">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336534"/>
      <w:docPartObj>
        <w:docPartGallery w:val="autotext"/>
      </w:docPartObj>
    </w:sdtPr>
    <w:sdtContent>
      <w:p w14:paraId="3CABD43A">
        <w:pPr>
          <w:pStyle w:val="6"/>
          <w:jc w:val="right"/>
        </w:pPr>
        <w:r>
          <w:fldChar w:fldCharType="begin"/>
        </w:r>
        <w:r>
          <w:instrText xml:space="preserve"> PAGE   \* MERGEFORMAT </w:instrText>
        </w:r>
        <w:r>
          <w:fldChar w:fldCharType="separate"/>
        </w:r>
        <w:r>
          <w:t>2</w:t>
        </w:r>
        <w:r>
          <w:fldChar w:fldCharType="end"/>
        </w:r>
      </w:p>
    </w:sdtContent>
  </w:sdt>
  <w:p w14:paraId="26F98A9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0C500"/>
    <w:multiLevelType w:val="singleLevel"/>
    <w:tmpl w:val="9EE0C500"/>
    <w:lvl w:ilvl="0" w:tentative="0">
      <w:start w:val="1"/>
      <w:numFmt w:val="lowerLetter"/>
      <w:lvlText w:val="%1."/>
      <w:lvlJc w:val="left"/>
      <w:pPr>
        <w:tabs>
          <w:tab w:val="left" w:pos="425"/>
        </w:tabs>
        <w:ind w:left="425" w:hanging="425"/>
      </w:pPr>
      <w:rPr>
        <w:rFonts w:hint="default"/>
      </w:rPr>
    </w:lvl>
  </w:abstractNum>
  <w:abstractNum w:abstractNumId="1">
    <w:nsid w:val="C649D08E"/>
    <w:multiLevelType w:val="singleLevel"/>
    <w:tmpl w:val="C649D08E"/>
    <w:lvl w:ilvl="0" w:tentative="0">
      <w:start w:val="6"/>
      <w:numFmt w:val="decimal"/>
      <w:suff w:val="space"/>
      <w:lvlText w:val="%1."/>
      <w:lvlJc w:val="left"/>
    </w:lvl>
  </w:abstractNum>
  <w:abstractNum w:abstractNumId="2">
    <w:nsid w:val="D2DCC9A3"/>
    <w:multiLevelType w:val="singleLevel"/>
    <w:tmpl w:val="D2DCC9A3"/>
    <w:lvl w:ilvl="0" w:tentative="0">
      <w:start w:val="1"/>
      <w:numFmt w:val="upperRoman"/>
      <w:lvlText w:val="%1."/>
      <w:lvlJc w:val="left"/>
      <w:pPr>
        <w:tabs>
          <w:tab w:val="left" w:pos="425"/>
        </w:tabs>
        <w:ind w:left="425" w:hanging="425"/>
      </w:pPr>
      <w:rPr>
        <w:rFonts w:hint="default"/>
      </w:rPr>
    </w:lvl>
  </w:abstractNum>
  <w:abstractNum w:abstractNumId="3">
    <w:nsid w:val="EC36E10C"/>
    <w:multiLevelType w:val="singleLevel"/>
    <w:tmpl w:val="EC36E10C"/>
    <w:lvl w:ilvl="0" w:tentative="0">
      <w:start w:val="1"/>
      <w:numFmt w:val="lowerRoman"/>
      <w:lvlText w:val="%1."/>
      <w:lvlJc w:val="left"/>
      <w:pPr>
        <w:tabs>
          <w:tab w:val="left" w:pos="425"/>
        </w:tabs>
        <w:ind w:left="425" w:hanging="425"/>
      </w:pPr>
      <w:rPr>
        <w:rFonts w:hint="default"/>
      </w:rPr>
    </w:lvl>
  </w:abstractNum>
  <w:abstractNum w:abstractNumId="4">
    <w:nsid w:val="00000013"/>
    <w:multiLevelType w:val="multilevel"/>
    <w:tmpl w:val="00000013"/>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lowerRoman"/>
      <w:lvlText w:val="%3."/>
      <w:lvlJc w:val="right"/>
      <w:pPr>
        <w:ind w:left="1800" w:hanging="36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36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360"/>
      </w:pPr>
    </w:lvl>
  </w:abstractNum>
  <w:abstractNum w:abstractNumId="5">
    <w:nsid w:val="0383734E"/>
    <w:multiLevelType w:val="multilevel"/>
    <w:tmpl w:val="0383734E"/>
    <w:lvl w:ilvl="0" w:tentative="0">
      <w:start w:val="1"/>
      <w:numFmt w:val="lowerLetter"/>
      <w:lvlText w:val="(%1)"/>
      <w:lvlJc w:val="left"/>
      <w:pPr>
        <w:ind w:left="45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DCA815D"/>
    <w:multiLevelType w:val="multilevel"/>
    <w:tmpl w:val="1DCA815D"/>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7">
    <w:nsid w:val="21340A24"/>
    <w:multiLevelType w:val="multilevel"/>
    <w:tmpl w:val="21340A24"/>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2FC9791B"/>
    <w:multiLevelType w:val="multilevel"/>
    <w:tmpl w:val="2FC9791B"/>
    <w:lvl w:ilvl="0" w:tentative="0">
      <w:start w:val="1"/>
      <w:numFmt w:val="lowerLetter"/>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9">
    <w:nsid w:val="35EF59D6"/>
    <w:multiLevelType w:val="singleLevel"/>
    <w:tmpl w:val="35EF59D6"/>
    <w:lvl w:ilvl="0" w:tentative="0">
      <w:start w:val="1"/>
      <w:numFmt w:val="lowerRoman"/>
      <w:lvlText w:val="%1."/>
      <w:lvlJc w:val="left"/>
      <w:pPr>
        <w:tabs>
          <w:tab w:val="left" w:pos="425"/>
        </w:tabs>
        <w:ind w:left="425" w:hanging="425"/>
      </w:pPr>
      <w:rPr>
        <w:rFonts w:hint="default"/>
      </w:rPr>
    </w:lvl>
  </w:abstractNum>
  <w:abstractNum w:abstractNumId="10">
    <w:nsid w:val="3EEA4E45"/>
    <w:multiLevelType w:val="multilevel"/>
    <w:tmpl w:val="3EEA4E45"/>
    <w:lvl w:ilvl="0" w:tentative="0">
      <w:start w:val="1"/>
      <w:numFmt w:val="decimal"/>
      <w:lvlText w:val="%1."/>
      <w:lvlJc w:val="left"/>
      <w:pPr>
        <w:ind w:left="360" w:hanging="360"/>
      </w:pPr>
      <w:rPr>
        <w:rFonts w:ascii="Times New Roman" w:hAnsi="Times New Roman" w:cs="Times New Roman" w:eastAsiaTheme="minorHAns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427A0D05"/>
    <w:multiLevelType w:val="multilevel"/>
    <w:tmpl w:val="427A0D05"/>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2">
    <w:nsid w:val="50883B5C"/>
    <w:multiLevelType w:val="multilevel"/>
    <w:tmpl w:val="50883B5C"/>
    <w:lvl w:ilvl="0" w:tentative="0">
      <w:start w:val="3"/>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3">
    <w:nsid w:val="572459CF"/>
    <w:multiLevelType w:val="multilevel"/>
    <w:tmpl w:val="572459CF"/>
    <w:lvl w:ilvl="0" w:tentative="0">
      <w:start w:val="1"/>
      <w:numFmt w:val="lowerLetter"/>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14">
    <w:nsid w:val="5ABC25D4"/>
    <w:multiLevelType w:val="multilevel"/>
    <w:tmpl w:val="5ABC25D4"/>
    <w:lvl w:ilvl="0" w:tentative="0">
      <w:start w:val="2"/>
      <w:numFmt w:val="lowerLetter"/>
      <w:lvlText w:val="%1."/>
      <w:lvlJc w:val="left"/>
      <w:pPr>
        <w:ind w:left="360" w:hanging="360"/>
      </w:pPr>
      <w:rPr>
        <w:rFonts w:hint="default"/>
      </w:rPr>
    </w:lvl>
    <w:lvl w:ilvl="1" w:tentative="0">
      <w:start w:val="1"/>
      <w:numFmt w:val="lowerLetter"/>
      <w:lvlText w:val="(%2)"/>
      <w:lvlJc w:val="left"/>
      <w:pPr>
        <w:ind w:left="900" w:hanging="360"/>
      </w:pPr>
      <w:rPr>
        <w:rFonts w:hint="default"/>
      </w:rPr>
    </w:lvl>
    <w:lvl w:ilvl="2" w:tentative="0">
      <w:start w:val="2"/>
      <w:numFmt w:val="decimal"/>
      <w:lvlText w:val="%3."/>
      <w:lvlJc w:val="left"/>
      <w:pPr>
        <w:ind w:left="810" w:hanging="360"/>
      </w:pPr>
      <w:rPr>
        <w:rFonts w:hint="default"/>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6569284E"/>
    <w:multiLevelType w:val="multilevel"/>
    <w:tmpl w:val="6569284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26563A6"/>
    <w:multiLevelType w:val="multilevel"/>
    <w:tmpl w:val="726563A6"/>
    <w:lvl w:ilvl="0" w:tentative="0">
      <w:start w:val="1"/>
      <w:numFmt w:val="lowerLetter"/>
      <w:lvlText w:val="(%1)"/>
      <w:lvlJc w:val="left"/>
      <w:pPr>
        <w:ind w:left="720" w:hanging="360"/>
      </w:pPr>
      <w:rPr>
        <w:rFonts w:hint="default"/>
      </w:rPr>
    </w:lvl>
    <w:lvl w:ilvl="1" w:tentative="0">
      <w:start w:val="1"/>
      <w:numFmt w:val="lowerLetter"/>
      <w:lvlText w:val="(%2)"/>
      <w:lvlJc w:val="left"/>
      <w:pPr>
        <w:ind w:left="810" w:hanging="360"/>
      </w:pPr>
      <w:rPr>
        <w:rFonts w:hint="default"/>
      </w:rPr>
    </w:lvl>
    <w:lvl w:ilvl="2" w:tentative="0">
      <w:start w:val="2"/>
      <w:numFmt w:val="decimal"/>
      <w:lvlText w:val="%3."/>
      <w:lvlJc w:val="left"/>
      <w:pPr>
        <w:ind w:left="810"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8C91C11"/>
    <w:multiLevelType w:val="multilevel"/>
    <w:tmpl w:val="78C91C11"/>
    <w:lvl w:ilvl="0" w:tentative="0">
      <w:start w:val="1"/>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8">
    <w:nsid w:val="7DAA4171"/>
    <w:multiLevelType w:val="multilevel"/>
    <w:tmpl w:val="7DAA4171"/>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9">
    <w:nsid w:val="7F0536B1"/>
    <w:multiLevelType w:val="multilevel"/>
    <w:tmpl w:val="7F0536B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9"/>
  </w:num>
  <w:num w:numId="2">
    <w:abstractNumId w:val="17"/>
  </w:num>
  <w:num w:numId="3">
    <w:abstractNumId w:val="10"/>
  </w:num>
  <w:num w:numId="4">
    <w:abstractNumId w:val="18"/>
  </w:num>
  <w:num w:numId="5">
    <w:abstractNumId w:val="6"/>
  </w:num>
  <w:num w:numId="6">
    <w:abstractNumId w:val="14"/>
  </w:num>
  <w:num w:numId="7">
    <w:abstractNumId w:val="5"/>
  </w:num>
  <w:num w:numId="8">
    <w:abstractNumId w:val="16"/>
  </w:num>
  <w:num w:numId="9">
    <w:abstractNumId w:val="8"/>
  </w:num>
  <w:num w:numId="10">
    <w:abstractNumId w:val="13"/>
  </w:num>
  <w:num w:numId="11">
    <w:abstractNumId w:val="15"/>
  </w:num>
  <w:num w:numId="12">
    <w:abstractNumId w:val="3"/>
  </w:num>
  <w:num w:numId="13">
    <w:abstractNumId w:val="0"/>
  </w:num>
  <w:num w:numId="14">
    <w:abstractNumId w:val="2"/>
  </w:num>
  <w:num w:numId="15">
    <w:abstractNumId w:val="9"/>
  </w:num>
  <w:num w:numId="16">
    <w:abstractNumId w:val="1"/>
  </w:num>
  <w:num w:numId="17">
    <w:abstractNumId w:val="11"/>
  </w:num>
  <w:num w:numId="18">
    <w:abstractNumId w:val="12"/>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076E9"/>
    <w:rsid w:val="104A1F3F"/>
    <w:rsid w:val="1A49562F"/>
    <w:rsid w:val="1C536C5A"/>
    <w:rsid w:val="299076E9"/>
    <w:rsid w:val="2B5B7832"/>
    <w:rsid w:val="34FF74BF"/>
    <w:rsid w:val="370A3AE7"/>
    <w:rsid w:val="38C753E8"/>
    <w:rsid w:val="3A2406A6"/>
    <w:rsid w:val="4263727A"/>
    <w:rsid w:val="4E9A390E"/>
    <w:rsid w:val="4EC25D1C"/>
    <w:rsid w:val="547B7ECF"/>
    <w:rsid w:val="547D7044"/>
    <w:rsid w:val="5D435EC9"/>
    <w:rsid w:val="699F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spacing w:before="480" w:line="276" w:lineRule="auto"/>
      <w:jc w:val="left"/>
      <w:outlineLvl w:val="0"/>
    </w:pPr>
    <w:rPr>
      <w:rFonts w:ascii="Cambria" w:hAnsi="Cambria" w:eastAsia="Times New Roman" w:cs="Times New Roman"/>
      <w:b/>
      <w:bCs/>
      <w:color w:val="365F91"/>
      <w:kern w:val="0"/>
      <w:sz w:val="28"/>
      <w:szCs w:val="28"/>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680"/>
        <w:tab w:val="right" w:pos="9360"/>
      </w:tabs>
    </w:pPr>
  </w:style>
  <w:style w:type="paragraph" w:styleId="6">
    <w:name w:val="header"/>
    <w:basedOn w:val="1"/>
    <w:qFormat/>
    <w:uiPriority w:val="99"/>
    <w:pPr>
      <w:tabs>
        <w:tab w:val="center" w:pos="4680"/>
        <w:tab w:val="right" w:pos="9360"/>
      </w:tabs>
    </w:pPr>
  </w:style>
  <w:style w:type="character" w:styleId="7">
    <w:name w:val="Hyperlink"/>
    <w:basedOn w:val="3"/>
    <w:qFormat/>
    <w:uiPriority w:val="99"/>
    <w:rPr>
      <w:color w:val="0000FF"/>
      <w:u w:val="single"/>
    </w:rPr>
  </w:style>
  <w:style w:type="table" w:styleId="8">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itle"/>
    <w:basedOn w:val="1"/>
    <w:next w:val="1"/>
    <w:qFormat/>
    <w:uiPriority w:val="10"/>
    <w:pPr>
      <w:contextualSpacing/>
    </w:pPr>
    <w:rPr>
      <w:rFonts w:asciiTheme="majorHAnsi" w:hAnsiTheme="majorHAnsi" w:eastAsiaTheme="majorEastAsia" w:cstheme="majorBidi"/>
      <w:spacing w:val="-10"/>
      <w:kern w:val="28"/>
      <w:sz w:val="56"/>
      <w:szCs w:val="56"/>
    </w:rPr>
  </w:style>
  <w:style w:type="paragraph" w:styleId="10">
    <w:name w:val="toc 1"/>
    <w:basedOn w:val="1"/>
    <w:next w:val="1"/>
    <w:unhideWhenUsed/>
    <w:qFormat/>
    <w:uiPriority w:val="39"/>
    <w:pPr>
      <w:widowControl/>
      <w:tabs>
        <w:tab w:val="left" w:pos="720"/>
        <w:tab w:val="right" w:leader="dot" w:pos="9016"/>
      </w:tabs>
      <w:spacing w:after="100" w:line="276" w:lineRule="auto"/>
      <w:ind w:left="720" w:hanging="720"/>
      <w:jc w:val="left"/>
    </w:pPr>
    <w:rPr>
      <w:rFonts w:ascii="Calibri" w:hAnsi="Calibri" w:eastAsia="Calibri" w:cs="Times New Roman"/>
      <w:kern w:val="0"/>
      <w:sz w:val="22"/>
      <w:szCs w:val="22"/>
      <w:lang w:eastAsia="en-US"/>
    </w:rPr>
  </w:style>
  <w:style w:type="character" w:customStyle="1" w:styleId="11">
    <w:name w:val="CharAttribute7"/>
    <w:qFormat/>
    <w:uiPriority w:val="0"/>
    <w:rPr>
      <w:rFonts w:ascii="Times New Roman" w:eastAsia="Batang"/>
      <w:b/>
      <w:sz w:val="24"/>
    </w:rPr>
  </w:style>
  <w:style w:type="paragraph" w:customStyle="1" w:styleId="12">
    <w:name w:val="TOC Heading"/>
    <w:basedOn w:val="2"/>
    <w:next w:val="1"/>
    <w:unhideWhenUsed/>
    <w:qFormat/>
    <w:uiPriority w:val="39"/>
    <w:pPr>
      <w:outlineLvl w:val="9"/>
    </w:pPr>
    <w:rPr>
      <w:lang w:eastAsia="en-US"/>
    </w:rPr>
  </w:style>
  <w:style w:type="character" w:customStyle="1" w:styleId="13">
    <w:name w:val="CharAttribute1"/>
    <w:qFormat/>
    <w:uiPriority w:val="0"/>
    <w:rPr>
      <w:rFonts w:ascii="Times New Roman" w:hAnsi="Calibri" w:eastAsia="Batang" w:cs="SimSun"/>
      <w:b/>
      <w:sz w:val="48"/>
      <w:szCs w:val="22"/>
      <w:lang w:val="en-US" w:eastAsia="en-US" w:bidi="ar-SA"/>
    </w:rPr>
  </w:style>
  <w:style w:type="paragraph" w:styleId="14">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0</Words>
  <Characters>0</Characters>
  <Lines>0</Lines>
  <Paragraphs>0</Paragraphs>
  <TotalTime>12</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2025-04-30T11:10:00Z</dcterms:created>
  <dc:creator>HP</dc:creator>
  <cp:lastModifiedBy>WPS_1617172529</cp:lastModifiedBy>
  <dcterms:modified xsi:type="dcterms:W3CDTF">2025-06-10T16:38:23Z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BDEBCEC428C74527B4DD067C99E6F48C_11</vt:lpwstr>
  </property>
</Properties>
</file>