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8408A" w:rsidRPr="00A8408A" w:rsidRDefault="00A8408A" w:rsidP="00A8408A">
      <w:pPr>
        <w:spacing w:after="0" w:line="360" w:lineRule="auto"/>
        <w:ind w:firstLine="720"/>
        <w:jc w:val="center"/>
        <w:rPr>
          <w:b/>
          <w:bCs/>
          <w:sz w:val="32"/>
          <w:szCs w:val="32"/>
        </w:rPr>
      </w:pPr>
      <w:r w:rsidRPr="00A8408A">
        <w:rPr>
          <w:b/>
          <w:bCs/>
          <w:sz w:val="32"/>
          <w:szCs w:val="32"/>
        </w:rPr>
        <w:t>BALOGUN MOSTURAH TEMITOPE</w:t>
      </w:r>
    </w:p>
    <w:p w:rsidR="00FB06C9" w:rsidRDefault="00A8408A" w:rsidP="00A8408A">
      <w:pPr>
        <w:spacing w:after="0" w:line="360" w:lineRule="auto"/>
        <w:ind w:firstLine="720"/>
        <w:jc w:val="center"/>
        <w:rPr>
          <w:b/>
          <w:bCs/>
          <w:sz w:val="32"/>
          <w:szCs w:val="32"/>
        </w:rPr>
      </w:pPr>
      <w:bookmarkStart w:id="0" w:name="_GoBack"/>
      <w:r>
        <w:rPr>
          <w:b/>
          <w:bCs/>
          <w:sz w:val="32"/>
          <w:szCs w:val="32"/>
        </w:rPr>
        <w:t>HND/23/SLT/FT/1218</w:t>
      </w:r>
    </w:p>
    <w:bookmarkEnd w:id="0"/>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Pr="00A8408A" w:rsidRDefault="00FB06C9" w:rsidP="00FB06C9">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8408A">
        <w:rPr>
          <w:rFonts w:ascii="-webkit-standard" w:eastAsia="-webkit-standard" w:hAnsi="-webkit-standard" w:cs="-webkit-standard"/>
          <w:b/>
          <w:color w:val="000000"/>
          <w:sz w:val="28"/>
          <w:szCs w:val="28"/>
        </w:rPr>
        <w:tab/>
      </w:r>
      <w:r w:rsidRPr="00A8408A">
        <w:rPr>
          <w:rFonts w:eastAsia="-webkit-standard" w:hAnsi="-webkit-standard" w:cs="-webkit-standard"/>
          <w:b/>
          <w:color w:val="000000"/>
          <w:sz w:val="28"/>
          <w:szCs w:val="28"/>
        </w:rPr>
        <w:t>JULY</w:t>
      </w:r>
      <w:r w:rsidRPr="00A8408A">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00A8408A" w:rsidRPr="00A8408A">
        <w:rPr>
          <w:b/>
          <w:bCs/>
          <w:szCs w:val="28"/>
        </w:rPr>
        <w:t>BALOGUN MOSTURAH TEMITOPE</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r w:rsidR="00A8408A" w:rsidRPr="00A8408A">
        <w:rPr>
          <w:b/>
          <w:bCs/>
          <w:szCs w:val="32"/>
        </w:rPr>
        <w:t>HND/23/SLT/FT/1218</w:t>
      </w:r>
      <w:r>
        <w:rPr>
          <w:b/>
          <w:sz w:val="24"/>
          <w:szCs w:val="28"/>
        </w:rPr>
        <w:t xml:space="preserve"> </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72434A" w:rsidP="00FB06C9">
      <w:pPr>
        <w:spacing w:after="0" w:line="240" w:lineRule="auto"/>
        <w:rPr>
          <w:b/>
          <w:szCs w:val="28"/>
        </w:rPr>
      </w:pPr>
      <w:r>
        <w:rPr>
          <w:b/>
          <w:szCs w:val="28"/>
        </w:rPr>
        <w:t>MR. OPEYEMI A. A.</w:t>
      </w:r>
      <w:r w:rsidR="00FB06C9">
        <w:rPr>
          <w:b/>
          <w:szCs w:val="28"/>
        </w:rPr>
        <w:t xml:space="preserve"> </w:t>
      </w:r>
      <w:r w:rsidR="00FB06C9">
        <w:rPr>
          <w:b/>
          <w:szCs w:val="28"/>
        </w:rPr>
        <w:tab/>
        <w:t xml:space="preserve">                                                        DATE</w:t>
      </w:r>
    </w:p>
    <w:p w:rsidR="00FB06C9" w:rsidRDefault="00FB06C9" w:rsidP="00FB06C9">
      <w:pPr>
        <w:spacing w:after="0" w:line="240" w:lineRule="auto"/>
        <w:rPr>
          <w:b/>
          <w:szCs w:val="28"/>
        </w:rPr>
      </w:pPr>
      <w:r>
        <w:rPr>
          <w:b/>
          <w:szCs w:val="28"/>
        </w:rPr>
        <w:t xml:space="preserve">(HOU ENVIRONMENTAL 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A8408A" w:rsidRPr="00A8408A" w:rsidRDefault="00A8408A" w:rsidP="00A8408A">
      <w:pPr>
        <w:spacing w:line="480" w:lineRule="auto"/>
        <w:ind w:left="10"/>
        <w:rPr>
          <w:szCs w:val="28"/>
        </w:rPr>
      </w:pPr>
      <w:r>
        <w:rPr>
          <w:szCs w:val="28"/>
        </w:rPr>
        <w:t xml:space="preserve">This work is dedicated to: </w:t>
      </w:r>
      <w:r w:rsidRPr="00A8408A">
        <w:rPr>
          <w:szCs w:val="28"/>
        </w:rPr>
        <w:t>The sake of Allah, my lecturer and my parents ,</w:t>
      </w:r>
    </w:p>
    <w:p w:rsidR="00A8408A" w:rsidRPr="00A8408A" w:rsidRDefault="00A8408A" w:rsidP="00A8408A">
      <w:pPr>
        <w:spacing w:line="480" w:lineRule="auto"/>
        <w:ind w:left="10"/>
        <w:rPr>
          <w:szCs w:val="28"/>
        </w:rPr>
      </w:pPr>
      <w:r w:rsidRPr="00A8408A">
        <w:rPr>
          <w:szCs w:val="28"/>
        </w:rPr>
        <w:t>My great lecturer wh</w:t>
      </w:r>
      <w:r>
        <w:rPr>
          <w:szCs w:val="28"/>
        </w:rPr>
        <w:t>o taught me the purpose of life a</w:t>
      </w:r>
      <w:r w:rsidRPr="00A8408A">
        <w:rPr>
          <w:szCs w:val="28"/>
        </w:rPr>
        <w:t>nd to my parents who have never failed to give me financial and moral support, for giving all my needs during the time I developed my system and for teaching me that even the largest task can be accomplished if</w:t>
      </w:r>
      <w:r>
        <w:rPr>
          <w:szCs w:val="28"/>
        </w:rPr>
        <w:t xml:space="preserve"> it is done one step as a time. </w:t>
      </w:r>
      <w:r w:rsidRPr="00A8408A">
        <w:rPr>
          <w:szCs w:val="28"/>
        </w:rPr>
        <w:t>I dedicate</w:t>
      </w:r>
    </w:p>
    <w:p w:rsidR="00816257" w:rsidRPr="00FB06C9" w:rsidRDefault="00A8408A" w:rsidP="00A8408A">
      <w:pPr>
        <w:spacing w:line="480" w:lineRule="auto"/>
        <w:ind w:left="10"/>
        <w:rPr>
          <w:szCs w:val="28"/>
        </w:rPr>
      </w:pPr>
      <w:r w:rsidRPr="00A8408A">
        <w:rPr>
          <w:szCs w:val="28"/>
        </w:rPr>
        <w:t>this Project to all the people who have worked hard to help me complete this project.</w:t>
      </w:r>
      <w:r w:rsidR="00816257" w:rsidRPr="00FB06C9">
        <w:rPr>
          <w:szCs w:val="28"/>
        </w:rPr>
        <w:t>.</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A8408A" w:rsidRPr="00A8408A" w:rsidRDefault="00A8408A" w:rsidP="00A8408A">
      <w:pPr>
        <w:spacing w:line="480" w:lineRule="auto"/>
        <w:ind w:left="10"/>
        <w:rPr>
          <w:szCs w:val="28"/>
        </w:rPr>
      </w:pPr>
      <w:r>
        <w:rPr>
          <w:szCs w:val="28"/>
        </w:rPr>
        <w:t xml:space="preserve">Thank you to my supervisor, MRS. </w:t>
      </w:r>
      <w:r w:rsidRPr="00A8408A">
        <w:rPr>
          <w:szCs w:val="28"/>
        </w:rPr>
        <w:t>Yusuf for your patience, guidance, and support. I have benefited greatly from your wealth of knowledge and meticulous editing, I am extremely grateful that you took me on as a student and continued to have faith in me over the years.</w:t>
      </w:r>
    </w:p>
    <w:p w:rsidR="00A8408A" w:rsidRPr="00A8408A" w:rsidRDefault="00A8408A" w:rsidP="00A8408A">
      <w:pPr>
        <w:spacing w:line="480" w:lineRule="auto"/>
        <w:ind w:left="10"/>
        <w:rPr>
          <w:szCs w:val="28"/>
        </w:rPr>
      </w:pPr>
      <w:r w:rsidRPr="00A8408A">
        <w:rPr>
          <w:szCs w:val="28"/>
        </w:rPr>
        <w:t>"This project would not have been possible without the unwavering support and encourag</w:t>
      </w:r>
      <w:r>
        <w:rPr>
          <w:szCs w:val="28"/>
        </w:rPr>
        <w:t xml:space="preserve">ement of my parents (Mr and MRS </w:t>
      </w:r>
      <w:r w:rsidRPr="00A8408A">
        <w:rPr>
          <w:szCs w:val="28"/>
        </w:rPr>
        <w:t>Balogun) who have always believed in me and my abilities. Their love and guidance have been invaluable throughout this journey.</w:t>
      </w:r>
    </w:p>
    <w:p w:rsidR="00A8408A" w:rsidRPr="00A8408A" w:rsidRDefault="00A8408A" w:rsidP="00A8408A">
      <w:pPr>
        <w:spacing w:line="480" w:lineRule="auto"/>
        <w:ind w:left="10"/>
        <w:rPr>
          <w:szCs w:val="28"/>
        </w:rPr>
      </w:pPr>
      <w:r w:rsidRPr="00A8408A">
        <w:rPr>
          <w:szCs w:val="28"/>
        </w:rPr>
        <w:t>Additionally, I am deeply gratef</w:t>
      </w:r>
      <w:r>
        <w:rPr>
          <w:szCs w:val="28"/>
        </w:rPr>
        <w:t xml:space="preserve">ul to my husband, Abdulrazaq Ibrahim </w:t>
      </w:r>
      <w:r w:rsidRPr="00A8408A">
        <w:rPr>
          <w:szCs w:val="28"/>
        </w:rPr>
        <w:t>, for his patience, understanding, and constant support, especially during the more demanding phases of this project. Thank you both for everything."</w:t>
      </w:r>
    </w:p>
    <w:p w:rsidR="00816257" w:rsidRPr="00FB06C9" w:rsidRDefault="00A8408A" w:rsidP="00A8408A">
      <w:pPr>
        <w:spacing w:line="480" w:lineRule="auto"/>
        <w:ind w:left="10"/>
        <w:rPr>
          <w:szCs w:val="28"/>
        </w:rPr>
      </w:pPr>
      <w:r w:rsidRPr="00A8408A">
        <w:rPr>
          <w:szCs w:val="28"/>
        </w:rPr>
        <w:t>Thank you to the co students who so generously took time out of their schedules to participate in my research and make this project possible.</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w:t>
      </w:r>
      <w:r w:rsidRPr="00FB06C9">
        <w:rPr>
          <w:szCs w:val="28"/>
        </w:rPr>
        <w:lastRenderedPageBreak/>
        <w:t xml:space="preserve">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sidRPr="00FB06C9">
        <w:rPr>
          <w:szCs w:val="28"/>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w:t>
      </w:r>
      <w:r w:rsidRPr="00FB06C9">
        <w:rPr>
          <w:szCs w:val="28"/>
        </w:rPr>
        <w:lastRenderedPageBreak/>
        <w:t xml:space="preserve">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w:t>
      </w:r>
      <w:r w:rsidRPr="00FB06C9">
        <w:rPr>
          <w:szCs w:val="28"/>
        </w:rPr>
        <w:lastRenderedPageBreak/>
        <w:t>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Cheesbrough </w:t>
      </w:r>
      <w:r w:rsidRPr="00FB06C9">
        <w:rPr>
          <w:szCs w:val="28"/>
        </w:rPr>
        <w:lastRenderedPageBreak/>
        <w:t>(2000)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 xml:space="preserve">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w:t>
      </w:r>
      <w:r w:rsidRPr="00FB06C9">
        <w:rPr>
          <w:szCs w:val="28"/>
        </w:rPr>
        <w:lastRenderedPageBreak/>
        <w:t>(Cheesbrough,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194" w:rsidRDefault="00D04194">
      <w:pPr>
        <w:spacing w:after="0" w:line="240" w:lineRule="auto"/>
      </w:pPr>
      <w:r>
        <w:separator/>
      </w:r>
    </w:p>
  </w:endnote>
  <w:endnote w:type="continuationSeparator" w:id="0">
    <w:p w:rsidR="00D04194" w:rsidRDefault="00D0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A8408A">
          <w:rPr>
            <w:noProof/>
          </w:rPr>
          <w:t>ii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194" w:rsidRDefault="00D04194">
      <w:pPr>
        <w:spacing w:after="0" w:line="240" w:lineRule="auto"/>
      </w:pPr>
      <w:r>
        <w:separator/>
      </w:r>
    </w:p>
  </w:footnote>
  <w:footnote w:type="continuationSeparator" w:id="0">
    <w:p w:rsidR="00D04194" w:rsidRDefault="00D04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675A3F"/>
    <w:rsid w:val="0072434A"/>
    <w:rsid w:val="00787208"/>
    <w:rsid w:val="007F45BE"/>
    <w:rsid w:val="00816257"/>
    <w:rsid w:val="008B4FBC"/>
    <w:rsid w:val="009C0EAE"/>
    <w:rsid w:val="00A61D48"/>
    <w:rsid w:val="00A8408A"/>
    <w:rsid w:val="00AC4050"/>
    <w:rsid w:val="00C9758C"/>
    <w:rsid w:val="00D04194"/>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9744</Words>
  <Characters>55541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2025-06-08T14:41:00Z</dcterms:created>
  <dcterms:modified xsi:type="dcterms:W3CDTF">2025-06-08T14:41:00Z</dcterms:modified>
</cp:coreProperties>
</file>