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C5059" w14:textId="77777777" w:rsidR="005E3EBD" w:rsidRDefault="005E3EBD" w:rsidP="00E209B7">
      <w:pPr>
        <w:spacing w:after="0" w:line="480" w:lineRule="auto"/>
        <w:jc w:val="center"/>
        <w:rPr>
          <w:rFonts w:ascii="Times New Roman" w:hAnsi="Times New Roman" w:cs="Times New Roman"/>
          <w:b/>
          <w:sz w:val="24"/>
          <w:szCs w:val="24"/>
        </w:rPr>
      </w:pPr>
      <w:r w:rsidRPr="005E3EBD">
        <w:rPr>
          <w:rFonts w:ascii="Times New Roman" w:hAnsi="Times New Roman" w:cs="Times New Roman"/>
          <w:b/>
          <w:sz w:val="24"/>
          <w:szCs w:val="24"/>
        </w:rPr>
        <w:t>Comprehensive Assessments of Soil Microbes in Kwara State Polytechnic Commercial Farm.</w:t>
      </w:r>
    </w:p>
    <w:p w14:paraId="13431265" w14:textId="77777777" w:rsidR="005E3EBD" w:rsidRDefault="005E3EBD" w:rsidP="00E209B7">
      <w:pPr>
        <w:spacing w:after="0" w:line="480" w:lineRule="auto"/>
        <w:jc w:val="center"/>
        <w:rPr>
          <w:rFonts w:ascii="Times New Roman" w:hAnsi="Times New Roman" w:cs="Times New Roman"/>
          <w:b/>
          <w:sz w:val="24"/>
          <w:szCs w:val="24"/>
        </w:rPr>
      </w:pPr>
    </w:p>
    <w:p w14:paraId="0F2558AE" w14:textId="77777777" w:rsidR="0064751E" w:rsidRPr="00535D4A" w:rsidRDefault="00E209B7" w:rsidP="00E209B7">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Chapter One</w:t>
      </w:r>
    </w:p>
    <w:p w14:paraId="26C7C73B"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1.1 Background of the Study</w:t>
      </w:r>
    </w:p>
    <w:p w14:paraId="5932E8DD"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Soil microorganisms are fundamental to the health and productivity of terrestrial ecosystems. They are involved in critical processes such as organic matter decomposition, nutrient cycling, and the formation of soil structure, which collectively contribute to soil fertility and plant growth (Van Elsas et al., 2007). The microbial community in the soil comprises a diverse array of organisms, including bacteria, fungi, archaea, protozoa, and viruses, each playing unique roles in maintaining soil health and ecosystem functionality (Torsvik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Øvreås, 2002). In agricultural systems, particularly in tropical regions like Kwara State, Nigeria, the dynamics of soil microbial communities are essential for sustainable farming practices, as they directly influence crop yield and soil quality (Obayelu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Alabi, 2014).</w:t>
      </w:r>
    </w:p>
    <w:p w14:paraId="111C5C9A" w14:textId="77777777" w:rsidR="0064751E"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Kwara State Polytechnic's commercial farm serves as a microcosm of the agricultural landscape in the region, characterized by diverse cropping systems and varying management practices. However, there is a notable lack of comprehensive data regarding the composition, diversity, and functional roles of soil microbes in this specific agroecosystem. Understanding the microbial community structure and its relationship with soil physicochemical properties is crucial for developing effective soil management strategies that enhance agricultural productivity and sustainability.</w:t>
      </w:r>
    </w:p>
    <w:p w14:paraId="08192C28" w14:textId="77777777" w:rsidR="00C77F4B" w:rsidRDefault="00C77F4B" w:rsidP="0068276F">
      <w:pPr>
        <w:spacing w:after="0" w:line="480" w:lineRule="auto"/>
        <w:jc w:val="both"/>
        <w:rPr>
          <w:rFonts w:ascii="Times New Roman" w:hAnsi="Times New Roman" w:cs="Times New Roman"/>
          <w:sz w:val="24"/>
          <w:szCs w:val="24"/>
        </w:rPr>
      </w:pPr>
    </w:p>
    <w:p w14:paraId="48BFB473" w14:textId="77777777" w:rsidR="00C77F4B" w:rsidRDefault="00C77F4B" w:rsidP="0068276F">
      <w:pPr>
        <w:spacing w:after="0" w:line="480" w:lineRule="auto"/>
        <w:jc w:val="both"/>
        <w:rPr>
          <w:rFonts w:ascii="Times New Roman" w:hAnsi="Times New Roman" w:cs="Times New Roman"/>
          <w:sz w:val="24"/>
          <w:szCs w:val="24"/>
        </w:rPr>
      </w:pPr>
    </w:p>
    <w:p w14:paraId="7D7A8946"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1.2 Statement of the Problem</w:t>
      </w:r>
    </w:p>
    <w:p w14:paraId="60F1390A"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Despite the recognized importance of soil microbes in agricultural productivity, there is a significant gap in knowledge regarding their diversity and functional roles within the soils of Kwara State Polytechnic commercial farm. This lack of information limits the ability to optimize soil fertility management and implement practices that promote sustainable agriculture. Additionally, environmental factors such as land use changes, climate variability, and soil erosion can alter microbial communities, further complicating soil health assessments. Therefore, a comprehensive assessment of soil microbes is essential to inform effective soil management practices and enhance the farm's productivity and resilience.</w:t>
      </w:r>
    </w:p>
    <w:p w14:paraId="21262327"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1.3 Objectives of the Study</w:t>
      </w:r>
    </w:p>
    <w:p w14:paraId="4F1F65EF"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The primary objective of this study is to conduct a comprehensive assessment of soil microbial diversity and abundance at Kwara State Polytechnic commercial farm. The specific objectives include:</w:t>
      </w:r>
    </w:p>
    <w:p w14:paraId="029668B4"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1. To characterize the microbial populations present in soil samples from different farm sites.</w:t>
      </w:r>
    </w:p>
    <w:p w14:paraId="5F3B83ED"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2. To identify key microbial groups involved in nutrient cycling and their functional roles.</w:t>
      </w:r>
    </w:p>
    <w:p w14:paraId="09410055"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3. To assess the influence of soil physicochemical properties on microbial diversity and activity.</w:t>
      </w:r>
    </w:p>
    <w:p w14:paraId="1DB67035"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4. To provide recommendations for improving soil management based on microbial community profiles.</w:t>
      </w:r>
    </w:p>
    <w:p w14:paraId="7AFB64FC"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1.4 Significance of the Study</w:t>
      </w:r>
    </w:p>
    <w:p w14:paraId="195E1F8B"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The findings from this study will provide foundational data on soil microbial ecosystems within Kwara State Polytechnic commercial farm, contributing to sustainable agricultural development. By elucidating the relationships between soil microbes and soil health, this research can guide farm managers and policymakers in adopting practices that enhance beneficial microbial functions, ultimately improving crop yields and soil quality. Furthermore, this study will build local capacity in microbial soil science, supporting further scientific investigations in the region and fostering a deeper understanding of soil health dynamics.</w:t>
      </w:r>
    </w:p>
    <w:p w14:paraId="4AECE50C" w14:textId="77777777" w:rsidR="00732EE8" w:rsidRPr="00535D4A" w:rsidRDefault="00732EE8" w:rsidP="0068276F">
      <w:pPr>
        <w:spacing w:after="0" w:line="480" w:lineRule="auto"/>
        <w:jc w:val="both"/>
        <w:rPr>
          <w:rFonts w:ascii="Times New Roman" w:hAnsi="Times New Roman" w:cs="Times New Roman"/>
          <w:sz w:val="24"/>
          <w:szCs w:val="24"/>
        </w:rPr>
      </w:pPr>
    </w:p>
    <w:p w14:paraId="7D1BD71F" w14:textId="77777777" w:rsidR="00732EE8" w:rsidRPr="00535D4A" w:rsidRDefault="00732EE8" w:rsidP="00732EE8">
      <w:pPr>
        <w:spacing w:after="0" w:line="480" w:lineRule="auto"/>
        <w:jc w:val="center"/>
        <w:rPr>
          <w:rFonts w:ascii="Times New Roman" w:hAnsi="Times New Roman" w:cs="Times New Roman"/>
          <w:b/>
          <w:sz w:val="24"/>
          <w:szCs w:val="24"/>
        </w:rPr>
      </w:pPr>
    </w:p>
    <w:p w14:paraId="3018B154" w14:textId="77777777" w:rsidR="00732EE8" w:rsidRPr="00535D4A" w:rsidRDefault="00732EE8" w:rsidP="00732EE8">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Chapter Two</w:t>
      </w:r>
    </w:p>
    <w:p w14:paraId="3E57C11A" w14:textId="77777777" w:rsidR="0064751E" w:rsidRPr="00535D4A" w:rsidRDefault="0064751E" w:rsidP="00444D04">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Literature Review</w:t>
      </w:r>
    </w:p>
    <w:p w14:paraId="4797D744" w14:textId="77777777" w:rsidR="0064751E" w:rsidRPr="00535D4A" w:rsidRDefault="0064751E" w:rsidP="0068276F">
      <w:pPr>
        <w:spacing w:after="0" w:line="480" w:lineRule="auto"/>
        <w:jc w:val="both"/>
        <w:rPr>
          <w:rFonts w:ascii="Times New Roman" w:hAnsi="Times New Roman" w:cs="Times New Roman"/>
          <w:sz w:val="24"/>
          <w:szCs w:val="24"/>
        </w:rPr>
      </w:pPr>
    </w:p>
    <w:p w14:paraId="272A16DC"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2.1 Soil Microbial Communities and Their Roles</w:t>
      </w:r>
    </w:p>
    <w:p w14:paraId="14BBB085"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Soil microbial communities are essential for the functioning of terrestrial ecosystems, as they mediate various biogeochemical processes. Bacteria and fungi are the predominant groups within these communities, with bacteria often outnumbering fungi in terms of abundance (Torsvik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Øvreås, 2002). These microorganisms play critical roles in organic matter decomposition, nutrient cycling, and the suppression of soilborne pathogens. For instance, bacteria are primarily responsible for the mineralization of organic nitrogen, while fungi contribute to the breakdown of complex organic compounds, facilitating nutrient availability for plants (Garbeva et al., 2004). The diversity and composition of soil microbial communities are closely linked to soil health, reflecting the soil's capacity to sustain productive agriculture (Fierer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Jackson, 2006).</w:t>
      </w:r>
    </w:p>
    <w:p w14:paraId="7F6F9370"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2.2 Factors Influencing Soil Microbial Diversity</w:t>
      </w:r>
    </w:p>
    <w:p w14:paraId="76782792" w14:textId="77777777" w:rsidR="00DF3061" w:rsidRPr="00DF3061" w:rsidRDefault="0064751E" w:rsidP="00DF3061">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Soil microbial diversity is influenced by a myriad of abiotic and biotic factors. Key soil parameters such as pH, moisture content, organic matter, texture, and nutrient availability significantly affect microbial community structure and function (Rousk et al., 2009). For example, acidic soils often harbor distinct microbial communities compared to neutral or alkaline soils, as different taxa exhibit varying tolerances to pH levels (Bardgett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Van Der Putten, 2014). </w:t>
      </w:r>
      <w:r w:rsidR="00DF3061" w:rsidRPr="00DF3061">
        <w:rPr>
          <w:rFonts w:ascii="Times New Roman" w:hAnsi="Times New Roman" w:cs="Times New Roman"/>
          <w:sz w:val="24"/>
          <w:szCs w:val="24"/>
        </w:rPr>
        <w:t>Land use practices play a significant role in shaping the microbial dynamics within soil ecosystems. These practices encompass a variety of agricultural techniques, including tillage, crop rotation, and the application of agrochemicals. Each of these practices can have profound effects on the composition and functional capabilities of microbial communities in the soil. For instance, tillage can disrupt soil structure and alter the habitat available for microorganisms, potentially leading to a decline in microbial diversity. Similarly, crop rotation can influence the types of plants grown in succession, which in turn affects the microbial populations that thrive in response to different root exudates and organic matter inputs. The application of agrochemicals, such as fertilizers and pesticides, can also significantly impact microbial communities by either promoting certain beneficial microbes or inhibiting others that are essential for nutrient cycling and soil health (Hartmann et al., 2015).</w:t>
      </w:r>
    </w:p>
    <w:p w14:paraId="7A92FDDA" w14:textId="77777777" w:rsidR="00DF3061" w:rsidRPr="00DF3061" w:rsidRDefault="00DF3061" w:rsidP="00DF3061">
      <w:pPr>
        <w:spacing w:after="0" w:line="480" w:lineRule="auto"/>
        <w:jc w:val="both"/>
        <w:rPr>
          <w:rFonts w:ascii="Times New Roman" w:hAnsi="Times New Roman" w:cs="Times New Roman"/>
          <w:sz w:val="24"/>
          <w:szCs w:val="24"/>
        </w:rPr>
      </w:pPr>
      <w:r w:rsidRPr="00DF3061">
        <w:rPr>
          <w:rFonts w:ascii="Times New Roman" w:hAnsi="Times New Roman" w:cs="Times New Roman"/>
          <w:sz w:val="24"/>
          <w:szCs w:val="24"/>
        </w:rPr>
        <w:t>In tropical soils, which are often characterized by frequent weathering and nutrient depletion, understanding the implications of these land use practices is particularly crucial. Tropical soils typically have lower organic matter content and are more susceptible to erosion and nutrient leaching. Therefore, effective management strategies that consider microbial dynamics are essential for maintaining soil health and enhancing agricultural productivity in these regions. By fostering a better understanding of how land use practices influence microbial communities, farmers and land managers can implement more sustainable agricultural practices that not only improve crop yields but also promote long-term soil health and ecosystem resilience (Bardgett and Van Der Putten, 2014).</w:t>
      </w:r>
    </w:p>
    <w:p w14:paraId="74219119"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2.3 Importance of Microbial Assessments in Agriculture</w:t>
      </w:r>
    </w:p>
    <w:p w14:paraId="46C8647E" w14:textId="77777777" w:rsidR="005D389E" w:rsidRPr="005D389E" w:rsidRDefault="005D389E" w:rsidP="005D389E">
      <w:pPr>
        <w:spacing w:after="0" w:line="480" w:lineRule="auto"/>
        <w:jc w:val="both"/>
        <w:rPr>
          <w:rFonts w:ascii="Times New Roman" w:hAnsi="Times New Roman" w:cs="Times New Roman"/>
          <w:sz w:val="24"/>
          <w:szCs w:val="24"/>
        </w:rPr>
      </w:pPr>
      <w:r w:rsidRPr="005D389E">
        <w:rPr>
          <w:rFonts w:ascii="Times New Roman" w:hAnsi="Times New Roman" w:cs="Times New Roman"/>
          <w:sz w:val="24"/>
          <w:szCs w:val="24"/>
        </w:rPr>
        <w:t>Assessing the diversity and abundance of soil microbes is essential for gaining a comprehensive understanding of soil health and resilience. Soil microorganisms play critical roles in various ecological processes, including nutrient cycling, organic matter decomposition, and the maintenance of soil structure. Therefore, a thorough evaluation of microbial communities can provide valuable insights into the overall functioning of soil ecosystems.</w:t>
      </w:r>
    </w:p>
    <w:p w14:paraId="10C40BB8" w14:textId="77777777" w:rsidR="005D389E" w:rsidRPr="005D389E" w:rsidRDefault="005D389E" w:rsidP="005D389E">
      <w:pPr>
        <w:spacing w:after="0" w:line="480" w:lineRule="auto"/>
        <w:jc w:val="both"/>
        <w:rPr>
          <w:rFonts w:ascii="Times New Roman" w:hAnsi="Times New Roman" w:cs="Times New Roman"/>
          <w:sz w:val="24"/>
          <w:szCs w:val="24"/>
        </w:rPr>
      </w:pPr>
      <w:r w:rsidRPr="005D389E">
        <w:rPr>
          <w:rFonts w:ascii="Times New Roman" w:hAnsi="Times New Roman" w:cs="Times New Roman"/>
          <w:sz w:val="24"/>
          <w:szCs w:val="24"/>
        </w:rPr>
        <w:t>Recent advances in molecular techniques, particularly high-throughput sequencing, have significantly transformed the field of microbial ecology. These innovative methods allow researchers to analyze complex microbial communities with unprecedented resolution, enabling the identification of previously uncharacterized taxa that were difficult to detect using traditional culture-based approaches. High-throughput sequencing facilitates the exploration of the vast diversity of microbial life in soil, revealing not only the presence of different species but also their functional roles within the ecosystem (Schmidt et al., 2011). This capability is particularly important for understanding how microbial communities respond to various environmental changes, such as shifts in climate, land use practices, and soil management strategies.</w:t>
      </w:r>
    </w:p>
    <w:p w14:paraId="4C02526E" w14:textId="77777777" w:rsidR="005D389E" w:rsidRPr="005D389E" w:rsidRDefault="005D389E" w:rsidP="005D389E">
      <w:pPr>
        <w:spacing w:after="0" w:line="480" w:lineRule="auto"/>
        <w:jc w:val="both"/>
        <w:rPr>
          <w:rFonts w:ascii="Times New Roman" w:hAnsi="Times New Roman" w:cs="Times New Roman"/>
          <w:sz w:val="24"/>
          <w:szCs w:val="24"/>
        </w:rPr>
      </w:pPr>
      <w:r w:rsidRPr="005D389E">
        <w:rPr>
          <w:rFonts w:ascii="Times New Roman" w:hAnsi="Times New Roman" w:cs="Times New Roman"/>
          <w:sz w:val="24"/>
          <w:szCs w:val="24"/>
        </w:rPr>
        <w:t xml:space="preserve">Moreover, such assessments of microbial diversity and abundance can help identify bioindicators of soil quality. </w:t>
      </w:r>
      <w:r w:rsidR="00A17805" w:rsidRPr="005D389E">
        <w:rPr>
          <w:rFonts w:ascii="Times New Roman" w:hAnsi="Times New Roman" w:cs="Times New Roman"/>
          <w:sz w:val="24"/>
          <w:szCs w:val="24"/>
        </w:rPr>
        <w:t>Bio indicators</w:t>
      </w:r>
      <w:r w:rsidRPr="005D389E">
        <w:rPr>
          <w:rFonts w:ascii="Times New Roman" w:hAnsi="Times New Roman" w:cs="Times New Roman"/>
          <w:sz w:val="24"/>
          <w:szCs w:val="24"/>
        </w:rPr>
        <w:t xml:space="preserve"> are specific microbial taxa or community characteristics that reflect the health and functionality of the soil ecosystem. By monitoring these indicators, land managers and farmers can gain insights into the impacts of their agricultural practices on soil health, allowing for more informed decision-making regarding soil management. Ultimately, understanding the dynamics of soil microbial communities is crucial for developing sustainable agricultural practices that enhance soil resilience and productivity in the face of environmental challenges.</w:t>
      </w:r>
    </w:p>
    <w:p w14:paraId="102135D5"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 For instance, a diverse microbial community is often associated with enhanced soil fertility and resilience against pests and diseases (Siciliano et al., 2014). By understanding the microbial dynamics in agricultural soils, farmers can implement management practices that promote beneficial microbes, thereby improving nutrient use efficiency and crop health.</w:t>
      </w:r>
    </w:p>
    <w:p w14:paraId="651AE71F"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2.4 Previous Studies in Nigeria</w:t>
      </w:r>
    </w:p>
    <w:p w14:paraId="542179AF" w14:textId="77777777" w:rsidR="00D04FA5" w:rsidRPr="00D04FA5" w:rsidRDefault="00D04FA5" w:rsidP="00D04FA5">
      <w:pPr>
        <w:spacing w:after="0" w:line="480" w:lineRule="auto"/>
        <w:jc w:val="both"/>
        <w:rPr>
          <w:rFonts w:ascii="Times New Roman" w:hAnsi="Times New Roman" w:cs="Times New Roman"/>
          <w:sz w:val="24"/>
          <w:szCs w:val="24"/>
        </w:rPr>
      </w:pPr>
      <w:r w:rsidRPr="00D04FA5">
        <w:rPr>
          <w:rFonts w:ascii="Times New Roman" w:hAnsi="Times New Roman" w:cs="Times New Roman"/>
          <w:sz w:val="24"/>
          <w:szCs w:val="24"/>
        </w:rPr>
        <w:t>Numerous studies have investigated microbial diversity in various agricultural soils throughout Nigeria, revealing important insights into how different practices and amendments influence soil health. For instance, Akinola et al. (2017) conducted research that demonstrated the positive effects of organic amendments on bacterial diversity in the tropical soils of southwestern Nigeria. Their findings indicated that the addition of organic materials, such as compost and manure, not only enhanced the overall microbial diversity but also improved soil structure and nutrient availability. This increase in bacterial diversity is crucial, as a more diverse microbial community can enhance ecosystem functions, including nutrient cycling and disease suppression, ultimately contributing to improved soil health and agricultural productivity.</w:t>
      </w:r>
    </w:p>
    <w:p w14:paraId="23461E38" w14:textId="77777777" w:rsidR="00D04FA5" w:rsidRPr="00D04FA5" w:rsidRDefault="00D04FA5" w:rsidP="00D04FA5">
      <w:pPr>
        <w:spacing w:after="0" w:line="480" w:lineRule="auto"/>
        <w:jc w:val="both"/>
        <w:rPr>
          <w:rFonts w:ascii="Times New Roman" w:hAnsi="Times New Roman" w:cs="Times New Roman"/>
          <w:sz w:val="24"/>
          <w:szCs w:val="24"/>
        </w:rPr>
      </w:pPr>
      <w:r w:rsidRPr="00D04FA5">
        <w:rPr>
          <w:rFonts w:ascii="Times New Roman" w:hAnsi="Times New Roman" w:cs="Times New Roman"/>
          <w:sz w:val="24"/>
          <w:szCs w:val="24"/>
        </w:rPr>
        <w:t>In a related study, Ojo et al. (2018) examined the effects of various land use practices on soil microbial communities across different agricultural systems. Their research highlighted that agroforestry systems, which integrate trees and shrubs with crops, supported significantly higher microbial diversity compared to traditional monoculture systems. The presence of diverse plant species in agroforestry systems creates a more complex habitat, providing varied root exudates and organic matter inputs that foster a rich microbial community. This finding underscores the importance of sustainable land management practices, as higher microbial diversity is often associated with greater resilience to environmental stressors and improved soil functionality.</w:t>
      </w:r>
    </w:p>
    <w:p w14:paraId="5402168C" w14:textId="77777777" w:rsidR="00D04FA5" w:rsidRPr="00D04FA5" w:rsidRDefault="00D04FA5" w:rsidP="00D04FA5">
      <w:pPr>
        <w:spacing w:after="0" w:line="480" w:lineRule="auto"/>
        <w:jc w:val="both"/>
        <w:rPr>
          <w:rFonts w:ascii="Times New Roman" w:hAnsi="Times New Roman" w:cs="Times New Roman"/>
          <w:sz w:val="24"/>
          <w:szCs w:val="24"/>
        </w:rPr>
      </w:pPr>
      <w:r w:rsidRPr="00D04FA5">
        <w:rPr>
          <w:rFonts w:ascii="Times New Roman" w:hAnsi="Times New Roman" w:cs="Times New Roman"/>
          <w:sz w:val="24"/>
          <w:szCs w:val="24"/>
        </w:rPr>
        <w:t>Together, these studies illustrate the critical role of management practices and organic amendments in shaping microbial diversity in agricultural soils. By promoting practices that enhance microbial diversity, farmers can improve soil health, increase agricultural productivity, and contribute to sustainable land use in Nigeria.</w:t>
      </w:r>
    </w:p>
    <w:p w14:paraId="6F27C848"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 However, comprehensive microbial profiling that combines physicochemical analyses and microbial community characterization specific to Kwara State Polytechnic commercial farm remains absent. This highlights the novelty and necessity of this research, as it aims to fill the existing knowledge gap and provide a detailed understanding of soil microbial dynamics in this unique </w:t>
      </w:r>
      <w:r w:rsidR="00D04FA5" w:rsidRPr="00535D4A">
        <w:rPr>
          <w:rFonts w:ascii="Times New Roman" w:hAnsi="Times New Roman" w:cs="Times New Roman"/>
          <w:sz w:val="24"/>
          <w:szCs w:val="24"/>
        </w:rPr>
        <w:t>agro ecosystem</w:t>
      </w:r>
      <w:r w:rsidRPr="00535D4A">
        <w:rPr>
          <w:rFonts w:ascii="Times New Roman" w:hAnsi="Times New Roman" w:cs="Times New Roman"/>
          <w:sz w:val="24"/>
          <w:szCs w:val="24"/>
        </w:rPr>
        <w:t>.</w:t>
      </w:r>
    </w:p>
    <w:p w14:paraId="643B60AC" w14:textId="77777777" w:rsidR="0064751E" w:rsidRDefault="0064751E" w:rsidP="0068276F">
      <w:pPr>
        <w:spacing w:after="0" w:line="480" w:lineRule="auto"/>
        <w:jc w:val="both"/>
        <w:rPr>
          <w:rFonts w:ascii="Times New Roman" w:hAnsi="Times New Roman" w:cs="Times New Roman"/>
          <w:sz w:val="24"/>
          <w:szCs w:val="24"/>
        </w:rPr>
      </w:pPr>
    </w:p>
    <w:p w14:paraId="54F8A3B0" w14:textId="77777777" w:rsidR="00FA4190" w:rsidRDefault="00FA4190" w:rsidP="0068276F">
      <w:pPr>
        <w:spacing w:after="0" w:line="480" w:lineRule="auto"/>
        <w:jc w:val="both"/>
        <w:rPr>
          <w:rFonts w:ascii="Times New Roman" w:hAnsi="Times New Roman" w:cs="Times New Roman"/>
          <w:sz w:val="24"/>
          <w:szCs w:val="24"/>
        </w:rPr>
      </w:pPr>
    </w:p>
    <w:p w14:paraId="61AC84C8" w14:textId="77777777" w:rsidR="00FA4190" w:rsidRDefault="00FA4190" w:rsidP="0068276F">
      <w:pPr>
        <w:spacing w:after="0" w:line="480" w:lineRule="auto"/>
        <w:jc w:val="both"/>
        <w:rPr>
          <w:rFonts w:ascii="Times New Roman" w:hAnsi="Times New Roman" w:cs="Times New Roman"/>
          <w:sz w:val="24"/>
          <w:szCs w:val="24"/>
        </w:rPr>
      </w:pPr>
    </w:p>
    <w:p w14:paraId="326ED170" w14:textId="77777777" w:rsidR="00FA4190" w:rsidRDefault="00FA4190" w:rsidP="0068276F">
      <w:pPr>
        <w:spacing w:after="0" w:line="480" w:lineRule="auto"/>
        <w:jc w:val="both"/>
        <w:rPr>
          <w:rFonts w:ascii="Times New Roman" w:hAnsi="Times New Roman" w:cs="Times New Roman"/>
          <w:sz w:val="24"/>
          <w:szCs w:val="24"/>
        </w:rPr>
      </w:pPr>
    </w:p>
    <w:p w14:paraId="606574ED" w14:textId="77777777" w:rsidR="00FA4190" w:rsidRDefault="00FA4190" w:rsidP="0068276F">
      <w:pPr>
        <w:spacing w:after="0" w:line="480" w:lineRule="auto"/>
        <w:jc w:val="both"/>
        <w:rPr>
          <w:rFonts w:ascii="Times New Roman" w:hAnsi="Times New Roman" w:cs="Times New Roman"/>
          <w:sz w:val="24"/>
          <w:szCs w:val="24"/>
        </w:rPr>
      </w:pPr>
    </w:p>
    <w:p w14:paraId="2F438DA0" w14:textId="77777777" w:rsidR="00FA4190" w:rsidRDefault="00FA4190" w:rsidP="0068276F">
      <w:pPr>
        <w:spacing w:after="0" w:line="480" w:lineRule="auto"/>
        <w:jc w:val="both"/>
        <w:rPr>
          <w:rFonts w:ascii="Times New Roman" w:hAnsi="Times New Roman" w:cs="Times New Roman"/>
          <w:sz w:val="24"/>
          <w:szCs w:val="24"/>
        </w:rPr>
      </w:pPr>
    </w:p>
    <w:p w14:paraId="4D9D11AF" w14:textId="77777777" w:rsidR="00FA4190" w:rsidRDefault="00FA4190" w:rsidP="0068276F">
      <w:pPr>
        <w:spacing w:after="0" w:line="480" w:lineRule="auto"/>
        <w:jc w:val="both"/>
        <w:rPr>
          <w:rFonts w:ascii="Times New Roman" w:hAnsi="Times New Roman" w:cs="Times New Roman"/>
          <w:sz w:val="24"/>
          <w:szCs w:val="24"/>
        </w:rPr>
      </w:pPr>
    </w:p>
    <w:p w14:paraId="1DBC4942" w14:textId="77777777" w:rsidR="00FA4190" w:rsidRDefault="00FA4190" w:rsidP="0068276F">
      <w:pPr>
        <w:spacing w:after="0" w:line="480" w:lineRule="auto"/>
        <w:jc w:val="both"/>
        <w:rPr>
          <w:rFonts w:ascii="Times New Roman" w:hAnsi="Times New Roman" w:cs="Times New Roman"/>
          <w:sz w:val="24"/>
          <w:szCs w:val="24"/>
        </w:rPr>
      </w:pPr>
    </w:p>
    <w:p w14:paraId="5B5324EB" w14:textId="77777777" w:rsidR="00FA4190" w:rsidRDefault="00FA4190" w:rsidP="0068276F">
      <w:pPr>
        <w:spacing w:after="0" w:line="480" w:lineRule="auto"/>
        <w:jc w:val="both"/>
        <w:rPr>
          <w:rFonts w:ascii="Times New Roman" w:hAnsi="Times New Roman" w:cs="Times New Roman"/>
          <w:sz w:val="24"/>
          <w:szCs w:val="24"/>
        </w:rPr>
      </w:pPr>
    </w:p>
    <w:p w14:paraId="1FBC3133" w14:textId="77777777" w:rsidR="00FA4190" w:rsidRDefault="00FA4190" w:rsidP="0068276F">
      <w:pPr>
        <w:spacing w:after="0" w:line="480" w:lineRule="auto"/>
        <w:jc w:val="both"/>
        <w:rPr>
          <w:rFonts w:ascii="Times New Roman" w:hAnsi="Times New Roman" w:cs="Times New Roman"/>
          <w:sz w:val="24"/>
          <w:szCs w:val="24"/>
        </w:rPr>
      </w:pPr>
    </w:p>
    <w:p w14:paraId="11B8459A" w14:textId="77777777" w:rsidR="00FA4190" w:rsidRDefault="00FA4190" w:rsidP="0068276F">
      <w:pPr>
        <w:spacing w:after="0" w:line="480" w:lineRule="auto"/>
        <w:jc w:val="both"/>
        <w:rPr>
          <w:rFonts w:ascii="Times New Roman" w:hAnsi="Times New Roman" w:cs="Times New Roman"/>
          <w:sz w:val="24"/>
          <w:szCs w:val="24"/>
        </w:rPr>
      </w:pPr>
    </w:p>
    <w:p w14:paraId="6552D0C7" w14:textId="77777777" w:rsidR="00FA4190" w:rsidRDefault="00FA4190" w:rsidP="0068276F">
      <w:pPr>
        <w:spacing w:after="0" w:line="480" w:lineRule="auto"/>
        <w:jc w:val="both"/>
        <w:rPr>
          <w:rFonts w:ascii="Times New Roman" w:hAnsi="Times New Roman" w:cs="Times New Roman"/>
          <w:sz w:val="24"/>
          <w:szCs w:val="24"/>
        </w:rPr>
      </w:pPr>
    </w:p>
    <w:p w14:paraId="35204619" w14:textId="77777777" w:rsidR="00FA4190" w:rsidRDefault="00FA4190" w:rsidP="0068276F">
      <w:pPr>
        <w:spacing w:after="0" w:line="480" w:lineRule="auto"/>
        <w:jc w:val="both"/>
        <w:rPr>
          <w:rFonts w:ascii="Times New Roman" w:hAnsi="Times New Roman" w:cs="Times New Roman"/>
          <w:sz w:val="24"/>
          <w:szCs w:val="24"/>
        </w:rPr>
      </w:pPr>
    </w:p>
    <w:p w14:paraId="322E04D3" w14:textId="77777777" w:rsidR="00FA4190" w:rsidRDefault="00FA4190" w:rsidP="0068276F">
      <w:pPr>
        <w:spacing w:after="0" w:line="480" w:lineRule="auto"/>
        <w:jc w:val="both"/>
        <w:rPr>
          <w:rFonts w:ascii="Times New Roman" w:hAnsi="Times New Roman" w:cs="Times New Roman"/>
          <w:sz w:val="24"/>
          <w:szCs w:val="24"/>
        </w:rPr>
      </w:pPr>
    </w:p>
    <w:p w14:paraId="2A7BE107" w14:textId="77777777" w:rsidR="00FA4190" w:rsidRDefault="00FA4190" w:rsidP="0068276F">
      <w:pPr>
        <w:spacing w:after="0" w:line="480" w:lineRule="auto"/>
        <w:jc w:val="both"/>
        <w:rPr>
          <w:rFonts w:ascii="Times New Roman" w:hAnsi="Times New Roman" w:cs="Times New Roman"/>
          <w:sz w:val="24"/>
          <w:szCs w:val="24"/>
        </w:rPr>
      </w:pPr>
    </w:p>
    <w:p w14:paraId="6D74A33B" w14:textId="77777777" w:rsidR="00FA4190" w:rsidRDefault="00FA4190" w:rsidP="0068276F">
      <w:pPr>
        <w:spacing w:after="0" w:line="480" w:lineRule="auto"/>
        <w:jc w:val="both"/>
        <w:rPr>
          <w:rFonts w:ascii="Times New Roman" w:hAnsi="Times New Roman" w:cs="Times New Roman"/>
          <w:sz w:val="24"/>
          <w:szCs w:val="24"/>
        </w:rPr>
      </w:pPr>
    </w:p>
    <w:p w14:paraId="2EA6F889" w14:textId="77777777" w:rsidR="00FA4190" w:rsidRDefault="00FA4190" w:rsidP="0068276F">
      <w:pPr>
        <w:spacing w:after="0" w:line="480" w:lineRule="auto"/>
        <w:jc w:val="both"/>
        <w:rPr>
          <w:rFonts w:ascii="Times New Roman" w:hAnsi="Times New Roman" w:cs="Times New Roman"/>
          <w:sz w:val="24"/>
          <w:szCs w:val="24"/>
        </w:rPr>
      </w:pPr>
    </w:p>
    <w:p w14:paraId="56995B09" w14:textId="77777777" w:rsidR="00FA4190" w:rsidRDefault="00FA4190" w:rsidP="0068276F">
      <w:pPr>
        <w:spacing w:after="0" w:line="480" w:lineRule="auto"/>
        <w:jc w:val="both"/>
        <w:rPr>
          <w:rFonts w:ascii="Times New Roman" w:hAnsi="Times New Roman" w:cs="Times New Roman"/>
          <w:sz w:val="24"/>
          <w:szCs w:val="24"/>
        </w:rPr>
      </w:pPr>
    </w:p>
    <w:p w14:paraId="54465C1C" w14:textId="77777777" w:rsidR="00C14914" w:rsidRPr="00535D4A" w:rsidRDefault="00C14914" w:rsidP="00C14914">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Chapter Three</w:t>
      </w:r>
    </w:p>
    <w:p w14:paraId="2A4870F8" w14:textId="77777777" w:rsidR="0064751E" w:rsidRPr="00535D4A" w:rsidRDefault="0064751E" w:rsidP="00C14914">
      <w:pPr>
        <w:spacing w:after="0" w:line="480" w:lineRule="auto"/>
        <w:jc w:val="center"/>
        <w:rPr>
          <w:rFonts w:ascii="Times New Roman" w:hAnsi="Times New Roman" w:cs="Times New Roman"/>
          <w:b/>
          <w:sz w:val="24"/>
          <w:szCs w:val="24"/>
        </w:rPr>
      </w:pPr>
      <w:r w:rsidRPr="00535D4A">
        <w:rPr>
          <w:rFonts w:ascii="Times New Roman" w:hAnsi="Times New Roman" w:cs="Times New Roman"/>
          <w:b/>
          <w:sz w:val="24"/>
          <w:szCs w:val="24"/>
        </w:rPr>
        <w:t>Materials and Methods</w:t>
      </w:r>
    </w:p>
    <w:p w14:paraId="3822A8EB" w14:textId="77777777" w:rsidR="0064751E" w:rsidRPr="00535D4A" w:rsidRDefault="0064751E" w:rsidP="0068276F">
      <w:pPr>
        <w:spacing w:after="0" w:line="480" w:lineRule="auto"/>
        <w:jc w:val="both"/>
        <w:rPr>
          <w:rFonts w:ascii="Times New Roman" w:hAnsi="Times New Roman" w:cs="Times New Roman"/>
          <w:b/>
          <w:sz w:val="24"/>
          <w:szCs w:val="24"/>
        </w:rPr>
      </w:pPr>
    </w:p>
    <w:p w14:paraId="24B71C82"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3.1 Study Area</w:t>
      </w:r>
    </w:p>
    <w:p w14:paraId="1FCD789A"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The study was conducted at the Kwara State Polytechnic commercial farm, located in Ilorin, Kwara State, Nigeria (latitude 8.5°N, longitude 4.5°E). The farm is situated in a tropical climate zone characterized by distinct wet and dry seasons, with an average annual rainfall of approximately 1,200 mm. The farm supports diverse crop production systems, including maize, cassava, and vegetables, making it an ideal site for assessing soil microbial communities.</w:t>
      </w:r>
    </w:p>
    <w:p w14:paraId="28986977"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3.2 Soil Sampling</w:t>
      </w:r>
    </w:p>
    <w:p w14:paraId="7A12B293"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Soil samples were collected from multiple locations within the commercial farm, representing different crop fields and land use types. A systematic sampling approach was employed, with samples taken from the topsoil (020 cm depth) to capture the active root zone where microbial activity is highest. At each site, five subsamples were collected using a soil auger, mixed thoroughly to create a composite sample, and placed in sterile containers. The samples were labeled and transported to the laboratory for analysis, ensuring that they were kept cool to preserve microbial viability.</w:t>
      </w:r>
    </w:p>
    <w:p w14:paraId="3A59A205"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3.3 Soil Physicochemical Analysis</w:t>
      </w:r>
    </w:p>
    <w:p w14:paraId="1BA973F5"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Soil physicochemical properties were analyzed following standard laboratory protocols. Soil pH was measured using a glass electrode pH meter in both distilled water and KCl solution (Thomas, 1996). Electrical conductivity (EC) was determined using a conductivity meter, and organic matter content was assessed using the WalkleyBlack method (Nelson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Sommers, 1996). Total nitrogen was quantified using the Kjeldahl method, while available phosphorus was measured using the Olsen method (Olsen et al., 1954). Exchangeable bases (sodium, potassium, calcium, and magnesium) were extracted using ammonium acetate and analyzed using atomic absorption spectrophotometry (Gee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Bauder, 1986).</w:t>
      </w:r>
    </w:p>
    <w:p w14:paraId="4ED2452F"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3.4 Microbial Enumeration and Identification</w:t>
      </w:r>
    </w:p>
    <w:p w14:paraId="73B50B57"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3.4.1 Culture</w:t>
      </w:r>
      <w:r w:rsidR="00A24507" w:rsidRPr="00535D4A">
        <w:rPr>
          <w:rFonts w:ascii="Times New Roman" w:hAnsi="Times New Roman" w:cs="Times New Roman"/>
          <w:b/>
          <w:sz w:val="24"/>
          <w:szCs w:val="24"/>
        </w:rPr>
        <w:t xml:space="preserve"> </w:t>
      </w:r>
      <w:r w:rsidRPr="00535D4A">
        <w:rPr>
          <w:rFonts w:ascii="Times New Roman" w:hAnsi="Times New Roman" w:cs="Times New Roman"/>
          <w:b/>
          <w:sz w:val="24"/>
          <w:szCs w:val="24"/>
        </w:rPr>
        <w:t>Based Methods</w:t>
      </w:r>
    </w:p>
    <w:p w14:paraId="0380FEB2"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To quantify culturable bacteria and fungi, serial dilution and plating methods were employed. Soil samples were diluted in sterile saline solution, and aliquots were plated on selective media. Nutrient Agar was used for bacterial enumeration, while Potato Dextrose Agar was utilized for fungal counts. Plates were incubated at 28°C for 48 hours for bacteria and 57 days for fungi. Colony counts were expressed as colonyforming units (CFU) per gram of dry soil.</w:t>
      </w:r>
    </w:p>
    <w:p w14:paraId="06B7B055" w14:textId="77777777" w:rsidR="0064751E" w:rsidRPr="00535D4A" w:rsidRDefault="0064751E" w:rsidP="0068276F">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3.4.2 Molecular Techniques</w:t>
      </w:r>
    </w:p>
    <w:p w14:paraId="4FF47329" w14:textId="77777777" w:rsidR="0064751E" w:rsidRPr="00535D4A" w:rsidRDefault="0064751E" w:rsidP="0068276F">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To assess the diversity of microbial communities, DNA extraction from soil samples was performed using a soil DNA extraction kit following the manufacturer's instructions. Polymerase chain reaction (PCR) was conducted to amplify the bacterial 16S rRNA gene and fungal internal transcribed spacer (ITS) regions using specific primers. The PCR products were purified and sequenced using Sanger sequencing technology. Bioinformatics analyses were performed to identify microbial taxa and assess diversity indices using software such as QIIME and Mothur.</w:t>
      </w:r>
    </w:p>
    <w:p w14:paraId="6FF2D444" w14:textId="77777777" w:rsidR="0064751E" w:rsidRDefault="0064751E" w:rsidP="0068276F">
      <w:pPr>
        <w:spacing w:after="0" w:line="480" w:lineRule="auto"/>
        <w:jc w:val="both"/>
        <w:rPr>
          <w:rFonts w:ascii="Times New Roman" w:hAnsi="Times New Roman" w:cs="Times New Roman"/>
          <w:sz w:val="24"/>
          <w:szCs w:val="24"/>
        </w:rPr>
      </w:pPr>
    </w:p>
    <w:p w14:paraId="51C635E1" w14:textId="77777777" w:rsidR="00535D4A" w:rsidRDefault="00535D4A" w:rsidP="0068276F">
      <w:pPr>
        <w:spacing w:after="0" w:line="480" w:lineRule="auto"/>
        <w:jc w:val="both"/>
        <w:rPr>
          <w:rFonts w:ascii="Times New Roman" w:hAnsi="Times New Roman" w:cs="Times New Roman"/>
          <w:sz w:val="24"/>
          <w:szCs w:val="24"/>
        </w:rPr>
      </w:pPr>
    </w:p>
    <w:p w14:paraId="3C0DD846" w14:textId="77777777" w:rsidR="00535D4A" w:rsidRDefault="00535D4A" w:rsidP="0068276F">
      <w:pPr>
        <w:spacing w:after="0" w:line="480" w:lineRule="auto"/>
        <w:jc w:val="both"/>
        <w:rPr>
          <w:rFonts w:ascii="Times New Roman" w:hAnsi="Times New Roman" w:cs="Times New Roman"/>
          <w:sz w:val="24"/>
          <w:szCs w:val="24"/>
        </w:rPr>
      </w:pPr>
    </w:p>
    <w:p w14:paraId="7A2EBF9B" w14:textId="77777777" w:rsidR="00535D4A" w:rsidRDefault="00535D4A" w:rsidP="0068276F">
      <w:pPr>
        <w:spacing w:after="0" w:line="480" w:lineRule="auto"/>
        <w:jc w:val="both"/>
        <w:rPr>
          <w:rFonts w:ascii="Times New Roman" w:hAnsi="Times New Roman" w:cs="Times New Roman"/>
          <w:sz w:val="24"/>
          <w:szCs w:val="24"/>
        </w:rPr>
      </w:pPr>
    </w:p>
    <w:p w14:paraId="6E7996C4" w14:textId="77777777" w:rsidR="00535D4A" w:rsidRDefault="00535D4A" w:rsidP="0068276F">
      <w:pPr>
        <w:spacing w:after="0" w:line="480" w:lineRule="auto"/>
        <w:jc w:val="both"/>
        <w:rPr>
          <w:rFonts w:ascii="Times New Roman" w:hAnsi="Times New Roman" w:cs="Times New Roman"/>
          <w:sz w:val="24"/>
          <w:szCs w:val="24"/>
        </w:rPr>
      </w:pPr>
    </w:p>
    <w:p w14:paraId="4999C7FA" w14:textId="77777777" w:rsidR="00467B4A" w:rsidRDefault="00467B4A" w:rsidP="00467B4A">
      <w:pPr>
        <w:spacing w:after="0" w:line="240" w:lineRule="auto"/>
        <w:rPr>
          <w:rFonts w:ascii="Times New Roman" w:hAnsi="Times New Roman" w:cs="Times New Roman"/>
          <w:sz w:val="24"/>
          <w:szCs w:val="24"/>
        </w:rPr>
      </w:pPr>
    </w:p>
    <w:p w14:paraId="2B999584" w14:textId="77777777" w:rsidR="00781687" w:rsidRPr="00535D4A" w:rsidRDefault="00781687" w:rsidP="00467B4A">
      <w:pPr>
        <w:spacing w:after="0" w:line="240" w:lineRule="auto"/>
        <w:rPr>
          <w:rFonts w:ascii="Times New Roman" w:hAnsi="Times New Roman" w:cs="Times New Roman"/>
          <w:sz w:val="24"/>
          <w:szCs w:val="24"/>
        </w:rPr>
      </w:pPr>
    </w:p>
    <w:p w14:paraId="3E09BEAC" w14:textId="77777777" w:rsidR="00535D4A" w:rsidRDefault="00535D4A" w:rsidP="00535D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16E49E89" w14:textId="77777777" w:rsidR="00535D4A" w:rsidRDefault="0006588C" w:rsidP="0006588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4.0 </w:t>
      </w:r>
      <w:r w:rsidR="00896BF2">
        <w:rPr>
          <w:rFonts w:ascii="Times New Roman" w:hAnsi="Times New Roman" w:cs="Times New Roman"/>
          <w:b/>
          <w:sz w:val="24"/>
          <w:szCs w:val="24"/>
        </w:rPr>
        <w:t>Results</w:t>
      </w:r>
    </w:p>
    <w:p w14:paraId="5BA29D46" w14:textId="77777777" w:rsidR="00896BF2" w:rsidRDefault="00896BF2" w:rsidP="00896BF2">
      <w:pPr>
        <w:spacing w:after="0" w:line="240" w:lineRule="auto"/>
        <w:jc w:val="center"/>
        <w:rPr>
          <w:rFonts w:ascii="Times New Roman" w:hAnsi="Times New Roman" w:cs="Times New Roman"/>
          <w:b/>
          <w:sz w:val="24"/>
          <w:szCs w:val="24"/>
        </w:rPr>
      </w:pPr>
    </w:p>
    <w:p w14:paraId="0878666B" w14:textId="77777777" w:rsidR="00467B4A" w:rsidRPr="00535D4A" w:rsidRDefault="00467B4A" w:rsidP="00467B4A">
      <w:pPr>
        <w:spacing w:after="0" w:line="240" w:lineRule="auto"/>
        <w:rPr>
          <w:rFonts w:ascii="Times New Roman" w:hAnsi="Times New Roman" w:cs="Times New Roman"/>
          <w:b/>
          <w:sz w:val="24"/>
          <w:szCs w:val="24"/>
        </w:rPr>
      </w:pPr>
      <w:r w:rsidRPr="00535D4A">
        <w:rPr>
          <w:rFonts w:ascii="Times New Roman" w:hAnsi="Times New Roman" w:cs="Times New Roman"/>
          <w:b/>
          <w:sz w:val="24"/>
          <w:szCs w:val="24"/>
        </w:rPr>
        <w:t>Table 1: Bacterial Load in Soil Samples (cfu/g)</w:t>
      </w:r>
    </w:p>
    <w:tbl>
      <w:tblPr>
        <w:tblStyle w:val="TableGrid"/>
        <w:tblW w:w="9537" w:type="dxa"/>
        <w:tblLook w:val="04A0" w:firstRow="1" w:lastRow="0" w:firstColumn="1" w:lastColumn="0" w:noHBand="0" w:noVBand="1"/>
      </w:tblPr>
      <w:tblGrid>
        <w:gridCol w:w="3383"/>
        <w:gridCol w:w="6154"/>
      </w:tblGrid>
      <w:tr w:rsidR="00467B4A" w:rsidRPr="00535D4A" w14:paraId="2F0DB593" w14:textId="77777777" w:rsidTr="00467B4A">
        <w:trPr>
          <w:trHeight w:val="192"/>
        </w:trPr>
        <w:tc>
          <w:tcPr>
            <w:tcW w:w="3383" w:type="dxa"/>
          </w:tcPr>
          <w:p w14:paraId="0DFDBE23"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Soil Type</w:t>
            </w:r>
          </w:p>
        </w:tc>
        <w:tc>
          <w:tcPr>
            <w:tcW w:w="6154" w:type="dxa"/>
          </w:tcPr>
          <w:p w14:paraId="5A73FF15"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Total Heterotrophic Bacteria (cfu/g)</w:t>
            </w:r>
          </w:p>
        </w:tc>
      </w:tr>
      <w:tr w:rsidR="00467B4A" w:rsidRPr="00535D4A" w14:paraId="3A4B0BA6" w14:textId="77777777" w:rsidTr="00467B4A">
        <w:trPr>
          <w:trHeight w:val="455"/>
        </w:trPr>
        <w:tc>
          <w:tcPr>
            <w:tcW w:w="3383" w:type="dxa"/>
          </w:tcPr>
          <w:p w14:paraId="3BFBA64A"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 xml:space="preserve">F-2 </w:t>
            </w:r>
          </w:p>
        </w:tc>
        <w:tc>
          <w:tcPr>
            <w:tcW w:w="6154" w:type="dxa"/>
          </w:tcPr>
          <w:p w14:paraId="40272F36"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2.1 ×10</w:t>
            </w:r>
            <w:r w:rsidRPr="00535D4A">
              <w:rPr>
                <w:rFonts w:ascii="Times New Roman" w:hAnsi="Times New Roman" w:cs="Times New Roman"/>
                <w:sz w:val="24"/>
                <w:szCs w:val="24"/>
                <w:vertAlign w:val="superscript"/>
              </w:rPr>
              <w:t>4</w:t>
            </w:r>
          </w:p>
        </w:tc>
      </w:tr>
      <w:tr w:rsidR="00467B4A" w:rsidRPr="00535D4A" w14:paraId="7A2CCD6C" w14:textId="77777777" w:rsidTr="00467B4A">
        <w:trPr>
          <w:trHeight w:val="597"/>
        </w:trPr>
        <w:tc>
          <w:tcPr>
            <w:tcW w:w="3383" w:type="dxa"/>
          </w:tcPr>
          <w:p w14:paraId="6C0AC1C2"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F-1</w:t>
            </w:r>
          </w:p>
        </w:tc>
        <w:tc>
          <w:tcPr>
            <w:tcW w:w="6154" w:type="dxa"/>
          </w:tcPr>
          <w:p w14:paraId="73B8233D"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7.8 ×10</w:t>
            </w:r>
            <w:r w:rsidRPr="00535D4A">
              <w:rPr>
                <w:rFonts w:ascii="Times New Roman" w:hAnsi="Times New Roman" w:cs="Times New Roman"/>
                <w:sz w:val="24"/>
                <w:szCs w:val="24"/>
                <w:vertAlign w:val="superscript"/>
              </w:rPr>
              <w:t>6</w:t>
            </w:r>
          </w:p>
        </w:tc>
      </w:tr>
    </w:tbl>
    <w:p w14:paraId="23D1A897" w14:textId="77777777" w:rsidR="00467B4A" w:rsidRPr="00535D4A" w:rsidRDefault="00467B4A" w:rsidP="00467B4A">
      <w:pPr>
        <w:pStyle w:val="Heading2"/>
        <w:rPr>
          <w:rFonts w:ascii="Times New Roman" w:hAnsi="Times New Roman" w:cs="Times New Roman"/>
          <w:color w:val="auto"/>
          <w:sz w:val="24"/>
          <w:szCs w:val="24"/>
        </w:rPr>
      </w:pPr>
      <w:r w:rsidRPr="00535D4A">
        <w:rPr>
          <w:rFonts w:ascii="Times New Roman" w:hAnsi="Times New Roman" w:cs="Times New Roman"/>
          <w:color w:val="auto"/>
          <w:sz w:val="24"/>
          <w:szCs w:val="24"/>
        </w:rPr>
        <w:t>Table 2: Distribution of Probable Bacteria in Soil Type</w:t>
      </w:r>
    </w:p>
    <w:tbl>
      <w:tblPr>
        <w:tblStyle w:val="TableGrid"/>
        <w:tblW w:w="9554" w:type="dxa"/>
        <w:tblLook w:val="04A0" w:firstRow="1" w:lastRow="0" w:firstColumn="1" w:lastColumn="0" w:noHBand="0" w:noVBand="1"/>
      </w:tblPr>
      <w:tblGrid>
        <w:gridCol w:w="4777"/>
        <w:gridCol w:w="4777"/>
      </w:tblGrid>
      <w:tr w:rsidR="00467B4A" w:rsidRPr="00535D4A" w14:paraId="0FD1E127" w14:textId="77777777" w:rsidTr="00467B4A">
        <w:trPr>
          <w:trHeight w:val="558"/>
        </w:trPr>
        <w:tc>
          <w:tcPr>
            <w:tcW w:w="4777" w:type="dxa"/>
          </w:tcPr>
          <w:p w14:paraId="3D3D622D" w14:textId="77777777" w:rsidR="00467B4A" w:rsidRPr="00535D4A" w:rsidRDefault="00467B4A" w:rsidP="00EF430A">
            <w:pPr>
              <w:rPr>
                <w:rFonts w:ascii="Times New Roman" w:hAnsi="Times New Roman" w:cs="Times New Roman"/>
                <w:sz w:val="24"/>
                <w:szCs w:val="24"/>
              </w:rPr>
            </w:pPr>
          </w:p>
          <w:p w14:paraId="76EC3076"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Soil  Type</w:t>
            </w:r>
          </w:p>
        </w:tc>
        <w:tc>
          <w:tcPr>
            <w:tcW w:w="4777" w:type="dxa"/>
          </w:tcPr>
          <w:p w14:paraId="5E0C1015"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Probable Bacterial Islates</w:t>
            </w:r>
          </w:p>
        </w:tc>
      </w:tr>
      <w:tr w:rsidR="00467B4A" w:rsidRPr="00535D4A" w14:paraId="7C5E99AD" w14:textId="77777777" w:rsidTr="00467B4A">
        <w:trPr>
          <w:trHeight w:val="558"/>
        </w:trPr>
        <w:tc>
          <w:tcPr>
            <w:tcW w:w="4777" w:type="dxa"/>
          </w:tcPr>
          <w:p w14:paraId="01B761C0" w14:textId="77777777" w:rsidR="00467B4A" w:rsidRPr="00535D4A" w:rsidRDefault="00467B4A" w:rsidP="00EF430A">
            <w:pPr>
              <w:rPr>
                <w:rFonts w:ascii="Times New Roman" w:hAnsi="Times New Roman" w:cs="Times New Roman"/>
                <w:sz w:val="24"/>
                <w:szCs w:val="24"/>
              </w:rPr>
            </w:pPr>
          </w:p>
          <w:p w14:paraId="732DA849"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F-2</w:t>
            </w:r>
          </w:p>
        </w:tc>
        <w:tc>
          <w:tcPr>
            <w:tcW w:w="4777" w:type="dxa"/>
          </w:tcPr>
          <w:p w14:paraId="399DF8CD"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Bacillus subtilis, Micrococcus luteus</w:t>
            </w:r>
          </w:p>
        </w:tc>
      </w:tr>
      <w:tr w:rsidR="00467B4A" w:rsidRPr="00535D4A" w14:paraId="72A8C617" w14:textId="77777777" w:rsidTr="00467B4A">
        <w:trPr>
          <w:trHeight w:val="575"/>
        </w:trPr>
        <w:tc>
          <w:tcPr>
            <w:tcW w:w="4777" w:type="dxa"/>
          </w:tcPr>
          <w:p w14:paraId="543A6D72" w14:textId="77777777" w:rsidR="00467B4A" w:rsidRPr="00535D4A" w:rsidRDefault="00467B4A" w:rsidP="00EF430A">
            <w:pPr>
              <w:rPr>
                <w:rFonts w:ascii="Times New Roman" w:hAnsi="Times New Roman" w:cs="Times New Roman"/>
                <w:sz w:val="24"/>
                <w:szCs w:val="24"/>
              </w:rPr>
            </w:pPr>
          </w:p>
          <w:p w14:paraId="608581F5" w14:textId="77777777" w:rsidR="00467B4A" w:rsidRPr="00535D4A" w:rsidRDefault="00467B4A" w:rsidP="00EF430A">
            <w:pPr>
              <w:rPr>
                <w:rFonts w:ascii="Times New Roman" w:hAnsi="Times New Roman" w:cs="Times New Roman"/>
                <w:sz w:val="24"/>
                <w:szCs w:val="24"/>
              </w:rPr>
            </w:pPr>
          </w:p>
        </w:tc>
        <w:tc>
          <w:tcPr>
            <w:tcW w:w="4777" w:type="dxa"/>
          </w:tcPr>
          <w:p w14:paraId="7CD78225"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Pseudomonas aeruginosa, Staphylococcus spp</w:t>
            </w:r>
          </w:p>
        </w:tc>
      </w:tr>
      <w:tr w:rsidR="00467B4A" w:rsidRPr="00535D4A" w14:paraId="3C1AD3B6" w14:textId="77777777" w:rsidTr="00467B4A">
        <w:trPr>
          <w:trHeight w:val="558"/>
        </w:trPr>
        <w:tc>
          <w:tcPr>
            <w:tcW w:w="4777" w:type="dxa"/>
          </w:tcPr>
          <w:p w14:paraId="4FC45BE9" w14:textId="77777777" w:rsidR="00467B4A" w:rsidRPr="00535D4A" w:rsidRDefault="00467B4A" w:rsidP="00EF430A">
            <w:pPr>
              <w:rPr>
                <w:rFonts w:ascii="Times New Roman" w:hAnsi="Times New Roman" w:cs="Times New Roman"/>
                <w:sz w:val="24"/>
                <w:szCs w:val="24"/>
              </w:rPr>
            </w:pPr>
          </w:p>
          <w:p w14:paraId="3B06E7B7"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F-1</w:t>
            </w:r>
          </w:p>
        </w:tc>
        <w:tc>
          <w:tcPr>
            <w:tcW w:w="4777" w:type="dxa"/>
          </w:tcPr>
          <w:p w14:paraId="12F42ACE"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Bacillus subtilis, Azotobacter spp.</w:t>
            </w:r>
          </w:p>
        </w:tc>
      </w:tr>
      <w:tr w:rsidR="00467B4A" w:rsidRPr="00535D4A" w14:paraId="7AA3F8ED" w14:textId="77777777" w:rsidTr="00467B4A">
        <w:trPr>
          <w:trHeight w:val="558"/>
        </w:trPr>
        <w:tc>
          <w:tcPr>
            <w:tcW w:w="4777" w:type="dxa"/>
          </w:tcPr>
          <w:p w14:paraId="6C38D3C4" w14:textId="77777777" w:rsidR="00467B4A" w:rsidRPr="00535D4A" w:rsidRDefault="00467B4A" w:rsidP="00EF430A">
            <w:pPr>
              <w:rPr>
                <w:rFonts w:ascii="Times New Roman" w:hAnsi="Times New Roman" w:cs="Times New Roman"/>
                <w:sz w:val="24"/>
                <w:szCs w:val="24"/>
              </w:rPr>
            </w:pPr>
          </w:p>
          <w:p w14:paraId="5B21008F" w14:textId="77777777" w:rsidR="00467B4A" w:rsidRPr="00535D4A" w:rsidRDefault="00467B4A" w:rsidP="00EF430A">
            <w:pPr>
              <w:rPr>
                <w:rFonts w:ascii="Times New Roman" w:hAnsi="Times New Roman" w:cs="Times New Roman"/>
                <w:sz w:val="24"/>
                <w:szCs w:val="24"/>
              </w:rPr>
            </w:pPr>
          </w:p>
        </w:tc>
        <w:tc>
          <w:tcPr>
            <w:tcW w:w="4777" w:type="dxa"/>
          </w:tcPr>
          <w:p w14:paraId="1C1F5F9E"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Rhizobium spp., Pseudomonas fluorescens</w:t>
            </w:r>
          </w:p>
        </w:tc>
      </w:tr>
      <w:tr w:rsidR="00467B4A" w:rsidRPr="00535D4A" w14:paraId="51A62905" w14:textId="77777777" w:rsidTr="00467B4A">
        <w:trPr>
          <w:trHeight w:val="558"/>
        </w:trPr>
        <w:tc>
          <w:tcPr>
            <w:tcW w:w="4777" w:type="dxa"/>
          </w:tcPr>
          <w:p w14:paraId="7F9195B4" w14:textId="77777777" w:rsidR="00467B4A" w:rsidRPr="00535D4A" w:rsidRDefault="00467B4A" w:rsidP="00EF430A">
            <w:pPr>
              <w:rPr>
                <w:rFonts w:ascii="Times New Roman" w:hAnsi="Times New Roman" w:cs="Times New Roman"/>
                <w:sz w:val="24"/>
                <w:szCs w:val="24"/>
              </w:rPr>
            </w:pPr>
          </w:p>
          <w:p w14:paraId="0F29131A" w14:textId="77777777" w:rsidR="00467B4A" w:rsidRPr="00535D4A" w:rsidRDefault="00467B4A" w:rsidP="00EF430A">
            <w:pPr>
              <w:rPr>
                <w:rFonts w:ascii="Times New Roman" w:hAnsi="Times New Roman" w:cs="Times New Roman"/>
                <w:sz w:val="24"/>
                <w:szCs w:val="24"/>
              </w:rPr>
            </w:pPr>
          </w:p>
        </w:tc>
        <w:tc>
          <w:tcPr>
            <w:tcW w:w="4777" w:type="dxa"/>
          </w:tcPr>
          <w:p w14:paraId="35CE97E6"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Enterobacter cloacae, Escherichia coli</w:t>
            </w:r>
          </w:p>
        </w:tc>
      </w:tr>
    </w:tbl>
    <w:p w14:paraId="6E80962E" w14:textId="77777777" w:rsidR="00467B4A" w:rsidRPr="00535D4A" w:rsidRDefault="00467B4A" w:rsidP="00467B4A">
      <w:pPr>
        <w:pStyle w:val="Heading1"/>
        <w:rPr>
          <w:rFonts w:ascii="Times New Roman" w:hAnsi="Times New Roman" w:cs="Times New Roman"/>
          <w:color w:val="auto"/>
          <w:sz w:val="24"/>
          <w:szCs w:val="24"/>
        </w:rPr>
      </w:pPr>
      <w:r w:rsidRPr="00535D4A">
        <w:rPr>
          <w:rFonts w:ascii="Times New Roman" w:hAnsi="Times New Roman" w:cs="Times New Roman"/>
          <w:color w:val="auto"/>
          <w:sz w:val="24"/>
          <w:szCs w:val="24"/>
        </w:rPr>
        <w:t>Table 3:  Biochemical Characterization of Bacterial Isolates</w:t>
      </w:r>
    </w:p>
    <w:tbl>
      <w:tblPr>
        <w:tblStyle w:val="TableGrid"/>
        <w:tblW w:w="9606" w:type="dxa"/>
        <w:tblLook w:val="04A0" w:firstRow="1" w:lastRow="0" w:firstColumn="1" w:lastColumn="0" w:noHBand="0" w:noVBand="1"/>
      </w:tblPr>
      <w:tblGrid>
        <w:gridCol w:w="1770"/>
        <w:gridCol w:w="1122"/>
        <w:gridCol w:w="1119"/>
        <w:gridCol w:w="1119"/>
        <w:gridCol w:w="1119"/>
        <w:gridCol w:w="1119"/>
        <w:gridCol w:w="1119"/>
        <w:gridCol w:w="1119"/>
      </w:tblGrid>
      <w:tr w:rsidR="00467B4A" w:rsidRPr="00535D4A" w14:paraId="40E0D0FD" w14:textId="77777777" w:rsidTr="00467B4A">
        <w:trPr>
          <w:trHeight w:val="485"/>
        </w:trPr>
        <w:tc>
          <w:tcPr>
            <w:tcW w:w="1770" w:type="dxa"/>
          </w:tcPr>
          <w:p w14:paraId="560E5C18"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Bacterial Isolate</w:t>
            </w:r>
          </w:p>
        </w:tc>
        <w:tc>
          <w:tcPr>
            <w:tcW w:w="1122" w:type="dxa"/>
          </w:tcPr>
          <w:p w14:paraId="7FEFE872"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Gram Reaction</w:t>
            </w:r>
          </w:p>
        </w:tc>
        <w:tc>
          <w:tcPr>
            <w:tcW w:w="1119" w:type="dxa"/>
          </w:tcPr>
          <w:p w14:paraId="31B5548D"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Catalase</w:t>
            </w:r>
          </w:p>
        </w:tc>
        <w:tc>
          <w:tcPr>
            <w:tcW w:w="1119" w:type="dxa"/>
          </w:tcPr>
          <w:p w14:paraId="147977B9"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Oxidase</w:t>
            </w:r>
          </w:p>
        </w:tc>
        <w:tc>
          <w:tcPr>
            <w:tcW w:w="1119" w:type="dxa"/>
          </w:tcPr>
          <w:p w14:paraId="12F2A729"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Indole</w:t>
            </w:r>
          </w:p>
        </w:tc>
        <w:tc>
          <w:tcPr>
            <w:tcW w:w="1119" w:type="dxa"/>
          </w:tcPr>
          <w:p w14:paraId="02039728"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Citrate</w:t>
            </w:r>
          </w:p>
        </w:tc>
        <w:tc>
          <w:tcPr>
            <w:tcW w:w="1119" w:type="dxa"/>
          </w:tcPr>
          <w:p w14:paraId="5ECA830A"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Urease</w:t>
            </w:r>
          </w:p>
        </w:tc>
        <w:tc>
          <w:tcPr>
            <w:tcW w:w="1119" w:type="dxa"/>
          </w:tcPr>
          <w:p w14:paraId="1A12089B"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Motility</w:t>
            </w:r>
          </w:p>
        </w:tc>
      </w:tr>
      <w:tr w:rsidR="00467B4A" w:rsidRPr="00535D4A" w14:paraId="2B45F165" w14:textId="77777777" w:rsidTr="00467B4A">
        <w:trPr>
          <w:trHeight w:val="485"/>
        </w:trPr>
        <w:tc>
          <w:tcPr>
            <w:tcW w:w="1770" w:type="dxa"/>
          </w:tcPr>
          <w:p w14:paraId="0BBE59F9"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Bacillus subtilis</w:t>
            </w:r>
          </w:p>
        </w:tc>
        <w:tc>
          <w:tcPr>
            <w:tcW w:w="1122" w:type="dxa"/>
          </w:tcPr>
          <w:p w14:paraId="208E53B1"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Positive</w:t>
            </w:r>
          </w:p>
        </w:tc>
        <w:tc>
          <w:tcPr>
            <w:tcW w:w="1119" w:type="dxa"/>
          </w:tcPr>
          <w:p w14:paraId="0F2D638D"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B50DF2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488EC213"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27B82EF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FEF82D0"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27A5CC7"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3B8ABAE2" w14:textId="77777777" w:rsidTr="00467B4A">
        <w:trPr>
          <w:trHeight w:val="500"/>
        </w:trPr>
        <w:tc>
          <w:tcPr>
            <w:tcW w:w="1770" w:type="dxa"/>
          </w:tcPr>
          <w:p w14:paraId="354A84E3"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Micrococcus luteus</w:t>
            </w:r>
          </w:p>
        </w:tc>
        <w:tc>
          <w:tcPr>
            <w:tcW w:w="1122" w:type="dxa"/>
          </w:tcPr>
          <w:p w14:paraId="06D8D71A"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Positive</w:t>
            </w:r>
          </w:p>
        </w:tc>
        <w:tc>
          <w:tcPr>
            <w:tcW w:w="1119" w:type="dxa"/>
          </w:tcPr>
          <w:p w14:paraId="47C0C3BB"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4921BB1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2E14541A"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CEB39F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471CA93A"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3194FBC0"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457FAB52" w14:textId="77777777" w:rsidTr="00467B4A">
        <w:trPr>
          <w:trHeight w:val="485"/>
        </w:trPr>
        <w:tc>
          <w:tcPr>
            <w:tcW w:w="1770" w:type="dxa"/>
          </w:tcPr>
          <w:p w14:paraId="54304A8A"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Pseudomonas aeruginosa</w:t>
            </w:r>
          </w:p>
        </w:tc>
        <w:tc>
          <w:tcPr>
            <w:tcW w:w="1122" w:type="dxa"/>
          </w:tcPr>
          <w:p w14:paraId="5BA87330"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14:paraId="6857D738"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CE876EF"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4D275E67"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7A5D7C5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6F791204"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12B504A3"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7C593EAC" w14:textId="77777777" w:rsidTr="00467B4A">
        <w:trPr>
          <w:trHeight w:val="485"/>
        </w:trPr>
        <w:tc>
          <w:tcPr>
            <w:tcW w:w="1770" w:type="dxa"/>
          </w:tcPr>
          <w:p w14:paraId="4DDC34EA"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Escherichia coli</w:t>
            </w:r>
          </w:p>
        </w:tc>
        <w:tc>
          <w:tcPr>
            <w:tcW w:w="1122" w:type="dxa"/>
          </w:tcPr>
          <w:p w14:paraId="13E6E3D4"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14:paraId="1BBF084C"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AADFBA4"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4F9B869D"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1C880C2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2A47FDB4"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26DCB6B0"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2C1921FC" w14:textId="77777777" w:rsidTr="00467B4A">
        <w:trPr>
          <w:trHeight w:val="485"/>
        </w:trPr>
        <w:tc>
          <w:tcPr>
            <w:tcW w:w="1770" w:type="dxa"/>
          </w:tcPr>
          <w:p w14:paraId="06C64A4B"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Enterobacter cloacae</w:t>
            </w:r>
          </w:p>
        </w:tc>
        <w:tc>
          <w:tcPr>
            <w:tcW w:w="1122" w:type="dxa"/>
          </w:tcPr>
          <w:p w14:paraId="001CD1D4"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14:paraId="6CAA566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DC29E71"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E452D18"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EDFB59B"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3746C484"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30EDC130"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217F0F69" w14:textId="77777777" w:rsidTr="00467B4A">
        <w:trPr>
          <w:trHeight w:val="485"/>
        </w:trPr>
        <w:tc>
          <w:tcPr>
            <w:tcW w:w="1770" w:type="dxa"/>
          </w:tcPr>
          <w:p w14:paraId="5B398854"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Staphylococcus aureus</w:t>
            </w:r>
          </w:p>
        </w:tc>
        <w:tc>
          <w:tcPr>
            <w:tcW w:w="1122" w:type="dxa"/>
          </w:tcPr>
          <w:p w14:paraId="492FD8C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Positive</w:t>
            </w:r>
          </w:p>
        </w:tc>
        <w:tc>
          <w:tcPr>
            <w:tcW w:w="1119" w:type="dxa"/>
          </w:tcPr>
          <w:p w14:paraId="4B9D2BF4"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67AC16AA"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4FEE6E98"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9159A35"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1CC9A6B1"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7F0C9A0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0161E718" w14:textId="77777777" w:rsidTr="00467B4A">
        <w:trPr>
          <w:trHeight w:val="485"/>
        </w:trPr>
        <w:tc>
          <w:tcPr>
            <w:tcW w:w="1770" w:type="dxa"/>
          </w:tcPr>
          <w:p w14:paraId="227F0072"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Azotobacter spp.</w:t>
            </w:r>
          </w:p>
        </w:tc>
        <w:tc>
          <w:tcPr>
            <w:tcW w:w="1122" w:type="dxa"/>
          </w:tcPr>
          <w:p w14:paraId="7D40CBF5"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14:paraId="39DD7F33"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165917C"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308B003D"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F94F4DC"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708272F3"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780C066"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0A8F7483" w14:textId="77777777" w:rsidTr="00467B4A">
        <w:trPr>
          <w:trHeight w:val="242"/>
        </w:trPr>
        <w:tc>
          <w:tcPr>
            <w:tcW w:w="1770" w:type="dxa"/>
          </w:tcPr>
          <w:p w14:paraId="23EB359F"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Rhizobium spp.</w:t>
            </w:r>
          </w:p>
        </w:tc>
        <w:tc>
          <w:tcPr>
            <w:tcW w:w="1122" w:type="dxa"/>
          </w:tcPr>
          <w:p w14:paraId="1174ED8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14:paraId="4DCA28EE"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F910777"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9D85006"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5A82D051"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677EA0F8"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7FF2395C"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r w:rsidR="00467B4A" w:rsidRPr="00535D4A" w14:paraId="1C379AE8" w14:textId="77777777" w:rsidTr="00467B4A">
        <w:trPr>
          <w:trHeight w:val="485"/>
        </w:trPr>
        <w:tc>
          <w:tcPr>
            <w:tcW w:w="1770" w:type="dxa"/>
          </w:tcPr>
          <w:p w14:paraId="3C758342" w14:textId="77777777" w:rsidR="00467B4A" w:rsidRPr="00535D4A" w:rsidRDefault="00467B4A" w:rsidP="00EF430A">
            <w:pPr>
              <w:rPr>
                <w:rFonts w:ascii="Times New Roman" w:hAnsi="Times New Roman" w:cs="Times New Roman"/>
                <w:i/>
                <w:sz w:val="24"/>
                <w:szCs w:val="24"/>
              </w:rPr>
            </w:pPr>
            <w:r w:rsidRPr="00535D4A">
              <w:rPr>
                <w:rFonts w:ascii="Times New Roman" w:hAnsi="Times New Roman" w:cs="Times New Roman"/>
                <w:i/>
                <w:sz w:val="24"/>
                <w:szCs w:val="24"/>
              </w:rPr>
              <w:t>Pseudomonas fluorescens</w:t>
            </w:r>
          </w:p>
        </w:tc>
        <w:tc>
          <w:tcPr>
            <w:tcW w:w="1122" w:type="dxa"/>
          </w:tcPr>
          <w:p w14:paraId="03394143"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Negative</w:t>
            </w:r>
          </w:p>
        </w:tc>
        <w:tc>
          <w:tcPr>
            <w:tcW w:w="1119" w:type="dxa"/>
          </w:tcPr>
          <w:p w14:paraId="4689695A"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209B7C83"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08047DC4"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2F598951"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18F5BC59"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c>
          <w:tcPr>
            <w:tcW w:w="1119" w:type="dxa"/>
          </w:tcPr>
          <w:p w14:paraId="26476698" w14:textId="77777777" w:rsidR="00467B4A" w:rsidRPr="00535D4A" w:rsidRDefault="00467B4A" w:rsidP="00EF430A">
            <w:pPr>
              <w:rPr>
                <w:rFonts w:ascii="Times New Roman" w:hAnsi="Times New Roman" w:cs="Times New Roman"/>
                <w:sz w:val="24"/>
                <w:szCs w:val="24"/>
              </w:rPr>
            </w:pPr>
            <w:r w:rsidRPr="00535D4A">
              <w:rPr>
                <w:rFonts w:ascii="Times New Roman" w:hAnsi="Times New Roman" w:cs="Times New Roman"/>
                <w:sz w:val="24"/>
                <w:szCs w:val="24"/>
              </w:rPr>
              <w:t>+</w:t>
            </w:r>
          </w:p>
        </w:tc>
      </w:tr>
    </w:tbl>
    <w:p w14:paraId="1C3E66EA" w14:textId="77777777" w:rsidR="00467B4A" w:rsidRPr="00535D4A" w:rsidRDefault="00467B4A" w:rsidP="00467B4A">
      <w:pPr>
        <w:rPr>
          <w:rFonts w:ascii="Times New Roman" w:hAnsi="Times New Roman" w:cs="Times New Roman"/>
          <w:sz w:val="24"/>
          <w:szCs w:val="24"/>
        </w:rPr>
      </w:pPr>
    </w:p>
    <w:p w14:paraId="20FECE11" w14:textId="77777777" w:rsidR="00467B4A" w:rsidRPr="00535D4A" w:rsidRDefault="009F3141" w:rsidP="00467B4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sidR="00467B4A" w:rsidRPr="00535D4A">
        <w:rPr>
          <w:rFonts w:ascii="Times New Roman" w:hAnsi="Times New Roman" w:cs="Times New Roman"/>
          <w:b/>
          <w:sz w:val="24"/>
          <w:szCs w:val="24"/>
        </w:rPr>
        <w:t xml:space="preserve"> Results Discussion</w:t>
      </w:r>
    </w:p>
    <w:p w14:paraId="6A341859" w14:textId="77777777" w:rsidR="00467B4A" w:rsidRPr="00535D4A" w:rsidRDefault="00467B4A" w:rsidP="00467B4A">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The assessment of soil microbial communities at Kwara State Polytechnic commercial farm revealed significant differences in bacterial loads and diversity between the two soil types sampled, F1 and F2. The total heterotrophic bacterial count was markedly higher in soil type F1 (7.8 × 10^6 cfu/g) compared to F2 (2.1 × 10^4 cfu/g) (Table 1). </w:t>
      </w:r>
      <w:r w:rsidR="00A163C4" w:rsidRPr="00A163C4">
        <w:rPr>
          <w:rFonts w:ascii="Times New Roman" w:hAnsi="Times New Roman" w:cs="Times New Roman"/>
          <w:sz w:val="24"/>
          <w:szCs w:val="24"/>
        </w:rPr>
        <w:t>This substantial difference in bacterial load indicates that soil type F1 may provide more favorable conditions for microbial proliferation. Several factors could contribute to this enhanced microbial activity, including a higher organic matter content, which serves as a vital source of nutrients and energy for bacteria. Organic matter not only supports microbial growth but also improves soil structure, enhancing aeration and water retention. Additionally, moisture levels are crucial for microbial metabolism; soils that maintain adequate moisture can sustain more active and diverse microbial communities. Furthermore, the availability of essential nutrients</w:t>
      </w:r>
      <w:r w:rsidR="00E6485E">
        <w:rPr>
          <w:rFonts w:ascii="Times New Roman" w:hAnsi="Times New Roman" w:cs="Times New Roman"/>
          <w:sz w:val="24"/>
          <w:szCs w:val="24"/>
        </w:rPr>
        <w:t xml:space="preserve"> </w:t>
      </w:r>
      <w:r w:rsidR="00A163C4" w:rsidRPr="00A163C4">
        <w:rPr>
          <w:rFonts w:ascii="Times New Roman" w:hAnsi="Times New Roman" w:cs="Times New Roman"/>
          <w:sz w:val="24"/>
          <w:szCs w:val="24"/>
        </w:rPr>
        <w:t>such as nitrogen, phosphorus, and potassium</w:t>
      </w:r>
      <w:r w:rsidR="00A163C4">
        <w:rPr>
          <w:rFonts w:ascii="Times New Roman" w:hAnsi="Times New Roman" w:cs="Times New Roman"/>
          <w:sz w:val="24"/>
          <w:szCs w:val="24"/>
        </w:rPr>
        <w:t xml:space="preserve"> </w:t>
      </w:r>
      <w:r w:rsidR="00A163C4" w:rsidRPr="00A163C4">
        <w:rPr>
          <w:rFonts w:ascii="Times New Roman" w:hAnsi="Times New Roman" w:cs="Times New Roman"/>
          <w:sz w:val="24"/>
          <w:szCs w:val="24"/>
        </w:rPr>
        <w:t>plays a critical role in supporting microbial growth and activity. These nutrients are necessary for various cellular processes, including reproduction and metabolism, and their presence can significantly influence the composition and abundance of microbial communities (Fierer and Jackson, 2006). Collectively, these factors suggest that soil type F1 is likely more conducive to fostering a robust and diverse microbial population, which is essential for maintaining soil health and supporting agricultural productivity.</w:t>
      </w:r>
      <w:r w:rsidR="00325D9D">
        <w:rPr>
          <w:rFonts w:ascii="Times New Roman" w:hAnsi="Times New Roman" w:cs="Times New Roman"/>
          <w:sz w:val="24"/>
          <w:szCs w:val="24"/>
        </w:rPr>
        <w:t xml:space="preserve"> </w:t>
      </w:r>
      <w:r w:rsidRPr="00535D4A">
        <w:rPr>
          <w:rFonts w:ascii="Times New Roman" w:hAnsi="Times New Roman" w:cs="Times New Roman"/>
          <w:sz w:val="24"/>
          <w:szCs w:val="24"/>
        </w:rPr>
        <w:t>The higher bacterial load in F1 indicates a more active microbial community, which is essential for processes such as nutrient cycling and organic matter decomposition, both of which are vital for maintaining soil fertility and supporting crop growth.</w:t>
      </w:r>
    </w:p>
    <w:p w14:paraId="6B96F4AF" w14:textId="77777777" w:rsidR="00467B4A" w:rsidRPr="00535D4A" w:rsidRDefault="00467B4A" w:rsidP="00467B4A">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The distribution of probable bacterial isolates further highlights the diversity present in the soil samples. Soil type F1 was found to harbor beneficial bacteria such as Bacillus subtilis, Azotobacter spp., and Rhizobium spp., which are known for their roles in nitrogen fixation and plant growth promotion (Garbeva et al., 2004) (Table 2). For instance, Rhizobium spp. forms symbiotic relationships with legumes, enhancing nitrogen availability in the soil, which can benefit subsequent crops in rotation systems. In contrast, soil type F2 contained a more limited range of bacterial isolates, including Micrococcus luteus and Pseudomonas aeruginosa. While these bacteria can also be beneficial, they may not contribute as significantly to nutrient cycling as the isolates found in F1. The presence of Pseudomonas aeruginosa, although often recognized for its plant growth-promoting abilities, can also act as a pathogen under certain conditions, which raises concerns for crop health (Khan et al., 2015).</w:t>
      </w:r>
    </w:p>
    <w:p w14:paraId="1935BC10" w14:textId="77777777" w:rsidR="00325D2E" w:rsidRPr="00325D2E" w:rsidRDefault="00325D2E" w:rsidP="00325D2E">
      <w:pPr>
        <w:spacing w:after="0" w:line="480" w:lineRule="auto"/>
        <w:jc w:val="both"/>
        <w:rPr>
          <w:rFonts w:ascii="Times New Roman" w:hAnsi="Times New Roman" w:cs="Times New Roman"/>
          <w:sz w:val="24"/>
          <w:szCs w:val="24"/>
        </w:rPr>
      </w:pPr>
      <w:r w:rsidRPr="00325D2E">
        <w:rPr>
          <w:rFonts w:ascii="Times New Roman" w:hAnsi="Times New Roman" w:cs="Times New Roman"/>
          <w:sz w:val="24"/>
          <w:szCs w:val="24"/>
        </w:rPr>
        <w:t>The biochemical characterization of the bacterial isolates obtained from both soil types revealed a predominance of Gram-positive bacteria. Among the notable isolates identified were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and </w:t>
      </w:r>
      <w:r w:rsidRPr="00325D2E">
        <w:rPr>
          <w:rFonts w:ascii="Times New Roman" w:hAnsi="Times New Roman" w:cs="Times New Roman"/>
          <w:i/>
          <w:iCs/>
          <w:sz w:val="24"/>
          <w:szCs w:val="24"/>
        </w:rPr>
        <w:t>Staphylococcus aureus</w:t>
      </w:r>
      <w:r w:rsidRPr="00325D2E">
        <w:rPr>
          <w:rFonts w:ascii="Times New Roman" w:hAnsi="Times New Roman" w:cs="Times New Roman"/>
          <w:sz w:val="24"/>
          <w:szCs w:val="24"/>
        </w:rPr>
        <w:t> (see Table 3). The presence of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is particularly significant due to its well-documented ability to produce a variety of bioactive compounds, including antibiotics and enzymes, which can effectively suppress plant pathogens. This characteristic makes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an important player in promoting plant health and resilience against diseases.</w:t>
      </w:r>
    </w:p>
    <w:p w14:paraId="3D7C673D" w14:textId="77777777" w:rsidR="00325D2E" w:rsidRPr="00325D2E" w:rsidRDefault="00325D2E" w:rsidP="00325D2E">
      <w:pPr>
        <w:spacing w:after="0" w:line="480" w:lineRule="auto"/>
        <w:jc w:val="both"/>
        <w:rPr>
          <w:rFonts w:ascii="Times New Roman" w:hAnsi="Times New Roman" w:cs="Times New Roman"/>
          <w:sz w:val="24"/>
          <w:szCs w:val="24"/>
        </w:rPr>
      </w:pPr>
      <w:r w:rsidRPr="00325D2E">
        <w:rPr>
          <w:rFonts w:ascii="Times New Roman" w:hAnsi="Times New Roman" w:cs="Times New Roman"/>
          <w:sz w:val="24"/>
          <w:szCs w:val="24"/>
        </w:rPr>
        <w:t>In addition to its pathogen-suppressing capabilities,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is also recognized for its role in enhancing soil fertility. It contributes to nutrient cycling by facilitating the breakdown of organic matter and improving nutrient availability for plants. The production of plant growth-promoting substances, such as phytohormones, further supports plant growth and development. These attributes highlight the potential of </w:t>
      </w:r>
      <w:r w:rsidRPr="00325D2E">
        <w:rPr>
          <w:rFonts w:ascii="Times New Roman" w:hAnsi="Times New Roman" w:cs="Times New Roman"/>
          <w:i/>
          <w:iCs/>
          <w:sz w:val="24"/>
          <w:szCs w:val="24"/>
        </w:rPr>
        <w:t>Bacillus subtilis</w:t>
      </w:r>
      <w:r w:rsidRPr="00325D2E">
        <w:rPr>
          <w:rFonts w:ascii="Times New Roman" w:hAnsi="Times New Roman" w:cs="Times New Roman"/>
          <w:sz w:val="24"/>
          <w:szCs w:val="24"/>
        </w:rPr>
        <w:t> as a beneficial microbial agent in sustainable agricultural practices, where the enhancement of soil health and crop productivity is paramount (Siciliano et al., 2014).</w:t>
      </w:r>
    </w:p>
    <w:p w14:paraId="68915631" w14:textId="77777777" w:rsidR="00325D2E" w:rsidRPr="00325D2E" w:rsidRDefault="00325D2E" w:rsidP="00325D2E">
      <w:pPr>
        <w:spacing w:after="0" w:line="480" w:lineRule="auto"/>
        <w:jc w:val="both"/>
        <w:rPr>
          <w:rFonts w:ascii="Times New Roman" w:hAnsi="Times New Roman" w:cs="Times New Roman"/>
          <w:sz w:val="24"/>
          <w:szCs w:val="24"/>
        </w:rPr>
      </w:pPr>
      <w:r w:rsidRPr="00325D2E">
        <w:rPr>
          <w:rFonts w:ascii="Times New Roman" w:hAnsi="Times New Roman" w:cs="Times New Roman"/>
          <w:sz w:val="24"/>
          <w:szCs w:val="24"/>
        </w:rPr>
        <w:t>The identification of </w:t>
      </w:r>
      <w:r w:rsidRPr="00325D2E">
        <w:rPr>
          <w:rFonts w:ascii="Times New Roman" w:hAnsi="Times New Roman" w:cs="Times New Roman"/>
          <w:i/>
          <w:iCs/>
          <w:sz w:val="24"/>
          <w:szCs w:val="24"/>
        </w:rPr>
        <w:t>Staphylococcus aureus</w:t>
      </w:r>
      <w:r w:rsidRPr="00325D2E">
        <w:rPr>
          <w:rFonts w:ascii="Times New Roman" w:hAnsi="Times New Roman" w:cs="Times New Roman"/>
          <w:sz w:val="24"/>
          <w:szCs w:val="24"/>
        </w:rPr>
        <w:t>, while noteworthy, warrants further investigation due to its association with pathogenicity in humans and animals. Understanding the ecological roles and interactions of these bacterial isolates within the soil ecosystem is crucial for developing effective soil management strategies that leverage beneficial microbes while mitigating potential risks associated with pathogenic species.</w:t>
      </w:r>
    </w:p>
    <w:p w14:paraId="2AA47722" w14:textId="77777777" w:rsidR="00467B4A" w:rsidRPr="00535D4A" w:rsidRDefault="00467B4A" w:rsidP="00467B4A">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This characteristic makes it a valuable asset in sustainable agriculture, as it can help reduce the reliance on chemical fertilizers and pesticides. However, the detection of Escherichia coli and Enterobacter cloacae in soil type F1 raises concerns regarding potential pathogenicity, especially in the context of maize and cassava farming. High loads of these organisms can lead to soil-borne diseases, which may adversely affect crop health and yield (Nwosu et al., 2018). The presence of pathogenic bacteria can lead to increased crop susceptibility to diseases, resulting in lower yields and higher production costs due to the need for disease management strategies.</w:t>
      </w:r>
    </w:p>
    <w:p w14:paraId="027B2B52" w14:textId="77777777" w:rsidR="00326023" w:rsidRPr="00326023" w:rsidRDefault="00467B4A" w:rsidP="00326023">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The economic implications of microbial load in maize and cassava farming are significant. Beneficial bacteria can enhance nutrient availability, improve soil structure, and promote plant growth, leading to increased crop yields and profitability for farmers (Obayelu </w:t>
      </w:r>
      <w:r w:rsidR="006F6EC8">
        <w:rPr>
          <w:rFonts w:ascii="Times New Roman" w:hAnsi="Times New Roman" w:cs="Times New Roman"/>
          <w:sz w:val="24"/>
          <w:szCs w:val="24"/>
        </w:rPr>
        <w:t>and</w:t>
      </w:r>
      <w:r w:rsidRPr="00535D4A">
        <w:rPr>
          <w:rFonts w:ascii="Times New Roman" w:hAnsi="Times New Roman" w:cs="Times New Roman"/>
          <w:sz w:val="24"/>
          <w:szCs w:val="24"/>
        </w:rPr>
        <w:t xml:space="preserve"> Alabi, 2014). For example, the presence of Azotobacter spp. in soil type F1 can enhance nitrogen availability, which is crucial for maize and cassava, both of which are nitrogen-demanding crops. Conversely, an overload of pathogenic bacteria can result in crop diseases, reduced yields, and increased costs associated with pest and disease management. </w:t>
      </w:r>
      <w:r w:rsidR="00326023" w:rsidRPr="00326023">
        <w:rPr>
          <w:rFonts w:ascii="Times New Roman" w:hAnsi="Times New Roman" w:cs="Times New Roman"/>
          <w:sz w:val="24"/>
          <w:szCs w:val="24"/>
        </w:rPr>
        <w:t>For instance, </w:t>
      </w:r>
      <w:r w:rsidR="00326023" w:rsidRPr="00326023">
        <w:rPr>
          <w:rFonts w:ascii="Times New Roman" w:hAnsi="Times New Roman" w:cs="Times New Roman"/>
          <w:i/>
          <w:iCs/>
          <w:sz w:val="24"/>
          <w:szCs w:val="24"/>
        </w:rPr>
        <w:t>Pseudomonas aeruginosa</w:t>
      </w:r>
      <w:r w:rsidR="00326023" w:rsidRPr="00326023">
        <w:rPr>
          <w:rFonts w:ascii="Times New Roman" w:hAnsi="Times New Roman" w:cs="Times New Roman"/>
          <w:sz w:val="24"/>
          <w:szCs w:val="24"/>
        </w:rPr>
        <w:t> is a bacterium that exhibits a dual nature; while it can be beneficial in certain contexts—such as promoting plant growth through the production of plant growth-promoting hormones and enhancing nutrient availability—it can also act as a plant pathogen under specific environmental conditions. This pathogenic potential can lead to significant economic losses for farmers, particularly when </w:t>
      </w:r>
      <w:r w:rsidR="00326023" w:rsidRPr="00326023">
        <w:rPr>
          <w:rFonts w:ascii="Times New Roman" w:hAnsi="Times New Roman" w:cs="Times New Roman"/>
          <w:i/>
          <w:iCs/>
          <w:sz w:val="24"/>
          <w:szCs w:val="24"/>
        </w:rPr>
        <w:t>Pseudomonas aeruginosa</w:t>
      </w:r>
      <w:r w:rsidR="00326023" w:rsidRPr="00326023">
        <w:rPr>
          <w:rFonts w:ascii="Times New Roman" w:hAnsi="Times New Roman" w:cs="Times New Roman"/>
          <w:sz w:val="24"/>
          <w:szCs w:val="24"/>
        </w:rPr>
        <w:t> infects crops and causes diseases that reduce yield and quality (Khan et al., 2015).</w:t>
      </w:r>
    </w:p>
    <w:p w14:paraId="4A39A5B5" w14:textId="77777777" w:rsidR="00326023" w:rsidRPr="00326023" w:rsidRDefault="00326023" w:rsidP="00326023">
      <w:pPr>
        <w:spacing w:after="0" w:line="480" w:lineRule="auto"/>
        <w:jc w:val="both"/>
        <w:rPr>
          <w:rFonts w:ascii="Times New Roman" w:hAnsi="Times New Roman" w:cs="Times New Roman"/>
          <w:sz w:val="24"/>
          <w:szCs w:val="24"/>
        </w:rPr>
      </w:pPr>
      <w:r w:rsidRPr="00326023">
        <w:rPr>
          <w:rFonts w:ascii="Times New Roman" w:hAnsi="Times New Roman" w:cs="Times New Roman"/>
          <w:sz w:val="24"/>
          <w:szCs w:val="24"/>
        </w:rPr>
        <w:t>The dual nature of some bacterial species, like </w:t>
      </w:r>
      <w:r w:rsidRPr="00326023">
        <w:rPr>
          <w:rFonts w:ascii="Times New Roman" w:hAnsi="Times New Roman" w:cs="Times New Roman"/>
          <w:i/>
          <w:iCs/>
          <w:sz w:val="24"/>
          <w:szCs w:val="24"/>
        </w:rPr>
        <w:t>Pseudomonas aeruginosa</w:t>
      </w:r>
      <w:r w:rsidRPr="00326023">
        <w:rPr>
          <w:rFonts w:ascii="Times New Roman" w:hAnsi="Times New Roman" w:cs="Times New Roman"/>
          <w:sz w:val="24"/>
          <w:szCs w:val="24"/>
        </w:rPr>
        <w:t>, underscores the importance of careful monitoring and management of microbial communities in agricultural settings. Effective management strategies should aim to maximize the beneficial aspects of these bacteria while minimizing the risks associated with their pathogenicity. This may involve practices such as regular soil testing, the use of crop rotation, and the application of biocontrol agents that can suppress harmful pathogens while promoting beneficial microbes.</w:t>
      </w:r>
    </w:p>
    <w:p w14:paraId="2096DE16" w14:textId="77777777" w:rsidR="00326023" w:rsidRPr="00326023" w:rsidRDefault="00326023" w:rsidP="00326023">
      <w:pPr>
        <w:spacing w:after="0" w:line="480" w:lineRule="auto"/>
        <w:jc w:val="both"/>
        <w:rPr>
          <w:rFonts w:ascii="Times New Roman" w:hAnsi="Times New Roman" w:cs="Times New Roman"/>
          <w:sz w:val="24"/>
          <w:szCs w:val="24"/>
        </w:rPr>
      </w:pPr>
      <w:r w:rsidRPr="00326023">
        <w:rPr>
          <w:rFonts w:ascii="Times New Roman" w:hAnsi="Times New Roman" w:cs="Times New Roman"/>
          <w:sz w:val="24"/>
          <w:szCs w:val="24"/>
        </w:rPr>
        <w:t>Furthermore, understanding the specific environmental conditions that trigger the pathogenic behavior of such bacteria is crucial for developing targeted interventions. By fostering a balanced microbial ecosystem, farmers can enhance soil health and crop resilience, ultimately leading to more sustainable agricultural practices that mitigate the risks posed by potentially harmful microorganisms.</w:t>
      </w:r>
    </w:p>
    <w:p w14:paraId="56D2A77D" w14:textId="77777777" w:rsidR="00394C56" w:rsidRDefault="00394C56" w:rsidP="00326023">
      <w:pPr>
        <w:spacing w:after="0" w:line="480" w:lineRule="auto"/>
        <w:jc w:val="both"/>
        <w:rPr>
          <w:rFonts w:ascii="Times New Roman" w:hAnsi="Times New Roman" w:cs="Times New Roman"/>
          <w:b/>
          <w:sz w:val="24"/>
          <w:szCs w:val="24"/>
        </w:rPr>
      </w:pPr>
    </w:p>
    <w:p w14:paraId="6A705AC6" w14:textId="77777777" w:rsidR="00394C56" w:rsidRDefault="00394C56" w:rsidP="00326023">
      <w:pPr>
        <w:spacing w:after="0" w:line="480" w:lineRule="auto"/>
        <w:jc w:val="both"/>
        <w:rPr>
          <w:rFonts w:ascii="Times New Roman" w:hAnsi="Times New Roman" w:cs="Times New Roman"/>
          <w:b/>
          <w:sz w:val="24"/>
          <w:szCs w:val="24"/>
        </w:rPr>
      </w:pPr>
    </w:p>
    <w:p w14:paraId="73573B23" w14:textId="77777777" w:rsidR="00394C56" w:rsidRDefault="00394C56" w:rsidP="00326023">
      <w:pPr>
        <w:spacing w:after="0" w:line="480" w:lineRule="auto"/>
        <w:jc w:val="both"/>
        <w:rPr>
          <w:rFonts w:ascii="Times New Roman" w:hAnsi="Times New Roman" w:cs="Times New Roman"/>
          <w:b/>
          <w:sz w:val="24"/>
          <w:szCs w:val="24"/>
        </w:rPr>
      </w:pPr>
    </w:p>
    <w:p w14:paraId="7484AC6A" w14:textId="77777777" w:rsidR="00394C56" w:rsidRDefault="00394C56" w:rsidP="00326023">
      <w:pPr>
        <w:spacing w:after="0" w:line="480" w:lineRule="auto"/>
        <w:jc w:val="both"/>
        <w:rPr>
          <w:rFonts w:ascii="Times New Roman" w:hAnsi="Times New Roman" w:cs="Times New Roman"/>
          <w:b/>
          <w:sz w:val="24"/>
          <w:szCs w:val="24"/>
        </w:rPr>
      </w:pPr>
    </w:p>
    <w:p w14:paraId="20D764B5" w14:textId="77777777" w:rsidR="00394C56" w:rsidRDefault="00394C56" w:rsidP="00326023">
      <w:pPr>
        <w:spacing w:after="0" w:line="480" w:lineRule="auto"/>
        <w:jc w:val="both"/>
        <w:rPr>
          <w:rFonts w:ascii="Times New Roman" w:hAnsi="Times New Roman" w:cs="Times New Roman"/>
          <w:b/>
          <w:sz w:val="24"/>
          <w:szCs w:val="24"/>
        </w:rPr>
      </w:pPr>
    </w:p>
    <w:p w14:paraId="023F3386" w14:textId="77777777" w:rsidR="00394C56" w:rsidRDefault="00394C56" w:rsidP="00326023">
      <w:pPr>
        <w:spacing w:after="0" w:line="480" w:lineRule="auto"/>
        <w:jc w:val="both"/>
        <w:rPr>
          <w:rFonts w:ascii="Times New Roman" w:hAnsi="Times New Roman" w:cs="Times New Roman"/>
          <w:b/>
          <w:sz w:val="24"/>
          <w:szCs w:val="24"/>
        </w:rPr>
      </w:pPr>
    </w:p>
    <w:p w14:paraId="4DA83EE5" w14:textId="77777777" w:rsidR="00394C56" w:rsidRDefault="00394C56" w:rsidP="00326023">
      <w:pPr>
        <w:spacing w:after="0" w:line="480" w:lineRule="auto"/>
        <w:jc w:val="both"/>
        <w:rPr>
          <w:rFonts w:ascii="Times New Roman" w:hAnsi="Times New Roman" w:cs="Times New Roman"/>
          <w:b/>
          <w:sz w:val="24"/>
          <w:szCs w:val="24"/>
        </w:rPr>
      </w:pPr>
    </w:p>
    <w:p w14:paraId="4A81BF45" w14:textId="77777777" w:rsidR="00394C56" w:rsidRDefault="00394C56" w:rsidP="00326023">
      <w:pPr>
        <w:spacing w:after="0" w:line="480" w:lineRule="auto"/>
        <w:jc w:val="both"/>
        <w:rPr>
          <w:rFonts w:ascii="Times New Roman" w:hAnsi="Times New Roman" w:cs="Times New Roman"/>
          <w:b/>
          <w:sz w:val="24"/>
          <w:szCs w:val="24"/>
        </w:rPr>
      </w:pPr>
    </w:p>
    <w:p w14:paraId="6E939002" w14:textId="77777777" w:rsidR="00394C56" w:rsidRDefault="00394C56" w:rsidP="00326023">
      <w:pPr>
        <w:spacing w:after="0" w:line="480" w:lineRule="auto"/>
        <w:jc w:val="both"/>
        <w:rPr>
          <w:rFonts w:ascii="Times New Roman" w:hAnsi="Times New Roman" w:cs="Times New Roman"/>
          <w:b/>
          <w:sz w:val="24"/>
          <w:szCs w:val="24"/>
        </w:rPr>
      </w:pPr>
    </w:p>
    <w:p w14:paraId="2E0883AE" w14:textId="77777777" w:rsidR="00394C56" w:rsidRDefault="00394C56" w:rsidP="00326023">
      <w:pPr>
        <w:spacing w:after="0" w:line="480" w:lineRule="auto"/>
        <w:jc w:val="both"/>
        <w:rPr>
          <w:rFonts w:ascii="Times New Roman" w:hAnsi="Times New Roman" w:cs="Times New Roman"/>
          <w:b/>
          <w:sz w:val="24"/>
          <w:szCs w:val="24"/>
        </w:rPr>
      </w:pPr>
    </w:p>
    <w:p w14:paraId="17B073B8" w14:textId="77777777" w:rsidR="00085E90" w:rsidRDefault="00085E90" w:rsidP="00394C5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67541496" w14:textId="77777777" w:rsidR="00467B4A" w:rsidRPr="00535D4A" w:rsidRDefault="0064381E" w:rsidP="00467B4A">
      <w:pPr>
        <w:spacing w:after="0" w:line="480" w:lineRule="auto"/>
        <w:jc w:val="both"/>
        <w:rPr>
          <w:rFonts w:ascii="Times New Roman" w:hAnsi="Times New Roman" w:cs="Times New Roman"/>
          <w:b/>
          <w:sz w:val="24"/>
          <w:szCs w:val="24"/>
        </w:rPr>
      </w:pPr>
      <w:r w:rsidRPr="00535D4A">
        <w:rPr>
          <w:rFonts w:ascii="Times New Roman" w:hAnsi="Times New Roman" w:cs="Times New Roman"/>
          <w:b/>
          <w:sz w:val="24"/>
          <w:szCs w:val="24"/>
        </w:rPr>
        <w:t xml:space="preserve">5.0 </w:t>
      </w:r>
      <w:r w:rsidR="00467B4A" w:rsidRPr="00535D4A">
        <w:rPr>
          <w:rFonts w:ascii="Times New Roman" w:hAnsi="Times New Roman" w:cs="Times New Roman"/>
          <w:b/>
          <w:sz w:val="24"/>
          <w:szCs w:val="24"/>
        </w:rPr>
        <w:t>Conclusion</w:t>
      </w:r>
    </w:p>
    <w:p w14:paraId="1FA6A7EB" w14:textId="77777777" w:rsidR="00A902AD" w:rsidRPr="00A902AD" w:rsidRDefault="00467B4A" w:rsidP="00A902AD">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 xml:space="preserve">In conclusion, the comprehensive assessment of soil microbial communities at Kwara State Polytechnic commercial farm has highlighted the critical role of bacterial diversity in influencing soil health and agricultural productivity. </w:t>
      </w:r>
      <w:r w:rsidR="00A902AD" w:rsidRPr="00A902AD">
        <w:rPr>
          <w:rFonts w:ascii="Times New Roman" w:hAnsi="Times New Roman" w:cs="Times New Roman"/>
          <w:sz w:val="24"/>
          <w:szCs w:val="24"/>
        </w:rPr>
        <w:t>The higher bacterial load observed in soil type F1, along with the presence of beneficial bacterial isolates, indicates a more favorable environment for the cultivation of crops such as maize and cassava. The enhanced microbial activity in this soil type can contribute to improved nutrient availability, better soil structure, and increased resilience against environmental stressors, all of which are essential for the healthy growth of these staple crops.</w:t>
      </w:r>
    </w:p>
    <w:p w14:paraId="5784ABA6" w14:textId="77777777"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However, the detection of potentially pathogenic bacteria within the same soil type highlights the importance of implementing careful management practices to mitigate the risks associated with soil-borne diseases. The presence of pathogens can pose significant threats to crop health, leading to reduced yields and economic losses for farmers. Therefore, it is crucial to adopt integrated soil management strategies that not only promote beneficial microbial communities but also monitor and control the populations of harmful bacteria.</w:t>
      </w:r>
    </w:p>
    <w:p w14:paraId="17B9F1DF" w14:textId="77777777"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Such management practices may include crop rotation, the use of resistant crop varieties, and the application of organic amendments that enhance soil health while suppressing pathogen populations. Additionally, regular soil testing and monitoring can help identify shifts in microbial communities, allowing for timely interventions to address any emerging threats. By balancing the benefits of a rich microbial community with the need to manage potential risks, farmers can optimize their agricultural practices, ensuring sustainable production of maize and cassava while safeguarding against soil-borne diseases.</w:t>
      </w:r>
    </w:p>
    <w:p w14:paraId="5380C76F" w14:textId="77777777"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The findings underscore the critical importance of understanding microbial dynamics in agricultural soils as a means to enhance crop productivity and sustainability. By gaining insights into the composition, diversity, and functional roles of microbial communities, farmers and agricultural scientists can develop targeted strategies that optimize soil health and fertility.</w:t>
      </w:r>
    </w:p>
    <w:p w14:paraId="0E6FDBD9" w14:textId="77777777"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Microbial dynamics play a pivotal role in various soil processes, including nutrient cycling, organic matter decomposition, and the suppression of soil-borne pathogens. A thorough understanding of these dynamics allows for the identification of beneficial microorganisms that can be harnessed to improve plant growth and resilience. For instance, promoting the activity of beneficial bacteria and fungi can lead to increased nutrient availability, improved soil structure, and enhanced water retention, all of which contribute to higher crop yields.</w:t>
      </w:r>
    </w:p>
    <w:p w14:paraId="7451C43C" w14:textId="77777777"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Moreover, recognizing the interactions between different microbial species and their responses to environmental changes is essential for developing sustainable agricultural practices. This knowledge can inform decisions related to crop rotation, soil amendments, and pest management, ultimately leading to more resilient farming systems that can withstand the challenges posed by climate change and other stressors.</w:t>
      </w:r>
    </w:p>
    <w:p w14:paraId="7FE218AB" w14:textId="77777777" w:rsidR="00A902AD" w:rsidRPr="00A902AD" w:rsidRDefault="00A902AD" w:rsidP="00A902AD">
      <w:pPr>
        <w:spacing w:after="0" w:line="480" w:lineRule="auto"/>
        <w:jc w:val="both"/>
        <w:rPr>
          <w:rFonts w:ascii="Times New Roman" w:hAnsi="Times New Roman" w:cs="Times New Roman"/>
          <w:sz w:val="24"/>
          <w:szCs w:val="24"/>
        </w:rPr>
      </w:pPr>
      <w:r w:rsidRPr="00A902AD">
        <w:rPr>
          <w:rFonts w:ascii="Times New Roman" w:hAnsi="Times New Roman" w:cs="Times New Roman"/>
          <w:sz w:val="24"/>
          <w:szCs w:val="24"/>
        </w:rPr>
        <w:t>In summary, a comprehensive understanding of microbial dynamics in agricultural soils is vital for fostering sustainable practices that not only boost crop productivity but also promote long-term soil health and ecosystem stability.</w:t>
      </w:r>
    </w:p>
    <w:p w14:paraId="1FD96776" w14:textId="77777777" w:rsidR="00467B4A" w:rsidRPr="00535D4A" w:rsidRDefault="004B7FA3" w:rsidP="00467B4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sidR="00230407" w:rsidRPr="00535D4A">
        <w:rPr>
          <w:rFonts w:ascii="Times New Roman" w:hAnsi="Times New Roman" w:cs="Times New Roman"/>
          <w:b/>
          <w:sz w:val="24"/>
          <w:szCs w:val="24"/>
        </w:rPr>
        <w:t xml:space="preserve"> </w:t>
      </w:r>
      <w:r w:rsidR="00467B4A" w:rsidRPr="00535D4A">
        <w:rPr>
          <w:rFonts w:ascii="Times New Roman" w:hAnsi="Times New Roman" w:cs="Times New Roman"/>
          <w:b/>
          <w:sz w:val="24"/>
          <w:szCs w:val="24"/>
        </w:rPr>
        <w:t>Recommendations</w:t>
      </w:r>
    </w:p>
    <w:p w14:paraId="7262DFC6" w14:textId="77777777" w:rsidR="00467B4A" w:rsidRPr="00535D4A" w:rsidRDefault="00467B4A" w:rsidP="00467B4A">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Soil Management Practices: Implement integrated soil fertility management practices that promote beneficial microbial populations while minimizing the risks associated with pathogenic bacteria. This may include the use of organic amendments, crop rotation, and cover cropping to enhance soil health. For instance, incorporating legumes in crop rotations can enhance nitrogen fixation and improve soil microbial diversity.</w:t>
      </w:r>
    </w:p>
    <w:p w14:paraId="562F9AD3" w14:textId="77777777" w:rsidR="0064381E" w:rsidRPr="00535D4A" w:rsidRDefault="00467B4A" w:rsidP="0064381E">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Regular Monitoring: Conduct regular soil microbial assessments to monitor changes in microbial communities and their impact on crop health. This will help in making informed decisions regarding soil</w:t>
      </w:r>
      <w:r w:rsidR="0064381E" w:rsidRPr="00535D4A">
        <w:rPr>
          <w:rFonts w:ascii="Times New Roman" w:hAnsi="Times New Roman" w:cs="Times New Roman"/>
          <w:sz w:val="24"/>
          <w:szCs w:val="24"/>
        </w:rPr>
        <w:t xml:space="preserve"> management and crop production strategies. Monitoring should include microbial population counts as well as identification of beneficial and pathogenic species to tailor interventions effectively.</w:t>
      </w:r>
    </w:p>
    <w:p w14:paraId="7B538011" w14:textId="77777777" w:rsidR="0064381E" w:rsidRPr="00535D4A" w:rsidRDefault="0064381E" w:rsidP="0064381E">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Education and Training: Organize workshops and training programs for farmers and extension workers on the role of soil microbes in crop health, emphasizing practices that foster beneficial bacteria and minimize pathogenic risks. Awareness will encourage adoption of sustainable farming techniques.</w:t>
      </w:r>
    </w:p>
    <w:p w14:paraId="4D651033" w14:textId="77777777" w:rsidR="0064381E" w:rsidRPr="00535D4A" w:rsidRDefault="0064381E" w:rsidP="0064381E">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Research and Development: Support further research into the functional roles of bacterial isolates identified, such as Bacillus subtilis, Azotobacter spp., and Rhizobium spp. This could facilitate development of microbial inoculants or biofertilizers adapted for local conditions, enhancing nutrient cycling and disease resistance.</w:t>
      </w:r>
    </w:p>
    <w:p w14:paraId="392B5051" w14:textId="77777777" w:rsidR="00064BA0" w:rsidRPr="00535D4A" w:rsidRDefault="0064381E" w:rsidP="0064381E">
      <w:pPr>
        <w:spacing w:after="0" w:line="480" w:lineRule="auto"/>
        <w:jc w:val="both"/>
        <w:rPr>
          <w:rFonts w:ascii="Times New Roman" w:hAnsi="Times New Roman" w:cs="Times New Roman"/>
          <w:sz w:val="24"/>
          <w:szCs w:val="24"/>
        </w:rPr>
      </w:pPr>
      <w:r w:rsidRPr="00535D4A">
        <w:rPr>
          <w:rFonts w:ascii="Times New Roman" w:hAnsi="Times New Roman" w:cs="Times New Roman"/>
          <w:sz w:val="24"/>
          <w:szCs w:val="24"/>
        </w:rPr>
        <w:t>Policy Support: Advocate for agricultural policies that prioritize sustainable soil health management and microbial biodiversity conservation. This includes funding for microbial soil studies, incentives for use of organic amendments, and regulations on pesticide use to preserve beneficial microorganisms.</w:t>
      </w:r>
    </w:p>
    <w:p w14:paraId="4DB4FA75" w14:textId="77777777" w:rsidR="000A13D8" w:rsidRDefault="000A13D8" w:rsidP="0068276F">
      <w:pPr>
        <w:spacing w:after="0" w:line="480" w:lineRule="auto"/>
        <w:jc w:val="both"/>
        <w:rPr>
          <w:rFonts w:ascii="Times New Roman" w:hAnsi="Times New Roman" w:cs="Times New Roman"/>
          <w:sz w:val="24"/>
          <w:szCs w:val="24"/>
        </w:rPr>
      </w:pPr>
    </w:p>
    <w:p w14:paraId="32F93BD6" w14:textId="77777777" w:rsidR="00955163" w:rsidRDefault="00955163" w:rsidP="0068276F">
      <w:pPr>
        <w:spacing w:after="0" w:line="480" w:lineRule="auto"/>
        <w:jc w:val="both"/>
        <w:rPr>
          <w:rFonts w:ascii="Times New Roman" w:hAnsi="Times New Roman" w:cs="Times New Roman"/>
          <w:sz w:val="24"/>
          <w:szCs w:val="24"/>
        </w:rPr>
      </w:pPr>
    </w:p>
    <w:p w14:paraId="1E7958B6" w14:textId="77777777" w:rsidR="00955163" w:rsidRDefault="00955163" w:rsidP="0068276F">
      <w:pPr>
        <w:spacing w:after="0" w:line="480" w:lineRule="auto"/>
        <w:jc w:val="both"/>
        <w:rPr>
          <w:rFonts w:ascii="Times New Roman" w:hAnsi="Times New Roman" w:cs="Times New Roman"/>
          <w:sz w:val="24"/>
          <w:szCs w:val="24"/>
        </w:rPr>
      </w:pPr>
    </w:p>
    <w:p w14:paraId="304CFB09" w14:textId="77777777" w:rsidR="00955163" w:rsidRDefault="00955163" w:rsidP="0068276F">
      <w:pPr>
        <w:spacing w:after="0" w:line="480" w:lineRule="auto"/>
        <w:jc w:val="both"/>
        <w:rPr>
          <w:rFonts w:ascii="Times New Roman" w:hAnsi="Times New Roman" w:cs="Times New Roman"/>
          <w:sz w:val="24"/>
          <w:szCs w:val="24"/>
        </w:rPr>
      </w:pPr>
    </w:p>
    <w:p w14:paraId="14475599" w14:textId="77777777" w:rsidR="00955163" w:rsidRDefault="00955163" w:rsidP="0068276F">
      <w:pPr>
        <w:spacing w:after="0" w:line="480" w:lineRule="auto"/>
        <w:jc w:val="both"/>
        <w:rPr>
          <w:rFonts w:ascii="Times New Roman" w:hAnsi="Times New Roman" w:cs="Times New Roman"/>
          <w:sz w:val="24"/>
          <w:szCs w:val="24"/>
        </w:rPr>
      </w:pPr>
    </w:p>
    <w:p w14:paraId="0FAB9372" w14:textId="77777777" w:rsidR="00955163" w:rsidRDefault="00955163" w:rsidP="0068276F">
      <w:pPr>
        <w:spacing w:after="0" w:line="480" w:lineRule="auto"/>
        <w:jc w:val="both"/>
        <w:rPr>
          <w:rFonts w:ascii="Times New Roman" w:hAnsi="Times New Roman" w:cs="Times New Roman"/>
          <w:sz w:val="24"/>
          <w:szCs w:val="24"/>
        </w:rPr>
      </w:pPr>
    </w:p>
    <w:p w14:paraId="44442D1E" w14:textId="77777777" w:rsidR="00955163" w:rsidRDefault="00955163" w:rsidP="0068276F">
      <w:pPr>
        <w:spacing w:after="0" w:line="480" w:lineRule="auto"/>
        <w:jc w:val="both"/>
        <w:rPr>
          <w:rFonts w:ascii="Times New Roman" w:hAnsi="Times New Roman" w:cs="Times New Roman"/>
          <w:sz w:val="24"/>
          <w:szCs w:val="24"/>
        </w:rPr>
      </w:pPr>
    </w:p>
    <w:p w14:paraId="0683B44A" w14:textId="77777777" w:rsidR="00955163" w:rsidRDefault="00955163" w:rsidP="0068276F">
      <w:pPr>
        <w:spacing w:after="0" w:line="480" w:lineRule="auto"/>
        <w:jc w:val="both"/>
        <w:rPr>
          <w:rFonts w:ascii="Times New Roman" w:hAnsi="Times New Roman" w:cs="Times New Roman"/>
          <w:sz w:val="24"/>
          <w:szCs w:val="24"/>
        </w:rPr>
      </w:pPr>
    </w:p>
    <w:p w14:paraId="05A82CF0" w14:textId="77777777" w:rsidR="00233B9C" w:rsidRDefault="00233B9C" w:rsidP="0068276F">
      <w:pPr>
        <w:spacing w:after="0" w:line="480" w:lineRule="auto"/>
        <w:jc w:val="both"/>
        <w:rPr>
          <w:rFonts w:ascii="Times New Roman" w:hAnsi="Times New Roman" w:cs="Times New Roman"/>
          <w:sz w:val="24"/>
          <w:szCs w:val="24"/>
        </w:rPr>
      </w:pPr>
    </w:p>
    <w:p w14:paraId="1FD0B38E" w14:textId="77777777" w:rsidR="00233B9C" w:rsidRDefault="00233B9C" w:rsidP="0068276F">
      <w:pPr>
        <w:spacing w:after="0" w:line="480" w:lineRule="auto"/>
        <w:jc w:val="both"/>
        <w:rPr>
          <w:rFonts w:ascii="Times New Roman" w:hAnsi="Times New Roman" w:cs="Times New Roman"/>
          <w:sz w:val="24"/>
          <w:szCs w:val="24"/>
        </w:rPr>
      </w:pPr>
    </w:p>
    <w:p w14:paraId="24850330" w14:textId="77777777" w:rsidR="00233B9C" w:rsidRDefault="00233B9C" w:rsidP="0068276F">
      <w:pPr>
        <w:spacing w:after="0" w:line="480" w:lineRule="auto"/>
        <w:jc w:val="both"/>
        <w:rPr>
          <w:rFonts w:ascii="Times New Roman" w:hAnsi="Times New Roman" w:cs="Times New Roman"/>
          <w:sz w:val="24"/>
          <w:szCs w:val="24"/>
        </w:rPr>
      </w:pPr>
    </w:p>
    <w:p w14:paraId="1DD80F8C" w14:textId="77777777" w:rsidR="00955163" w:rsidRPr="00955163" w:rsidRDefault="00955163" w:rsidP="00955163">
      <w:pPr>
        <w:spacing w:after="0" w:line="480" w:lineRule="auto"/>
        <w:jc w:val="both"/>
        <w:rPr>
          <w:rFonts w:ascii="Times New Roman" w:hAnsi="Times New Roman" w:cs="Times New Roman"/>
          <w:b/>
          <w:bCs/>
          <w:sz w:val="24"/>
          <w:szCs w:val="24"/>
        </w:rPr>
      </w:pPr>
      <w:r w:rsidRPr="00955163">
        <w:rPr>
          <w:rFonts w:ascii="Times New Roman" w:hAnsi="Times New Roman" w:cs="Times New Roman"/>
          <w:b/>
          <w:bCs/>
          <w:sz w:val="24"/>
          <w:szCs w:val="24"/>
        </w:rPr>
        <w:t>References</w:t>
      </w:r>
    </w:p>
    <w:p w14:paraId="04D92FCD"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Akinola, J. O., Ojo, O. A.,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Olatunji, A. A. (2017). Influence of organic amendments on soil bacterial diversity in southwestern Nigeria. </w:t>
      </w:r>
      <w:r w:rsidRPr="00955163">
        <w:rPr>
          <w:rFonts w:ascii="Times New Roman" w:hAnsi="Times New Roman" w:cs="Times New Roman"/>
          <w:i/>
          <w:iCs/>
          <w:sz w:val="24"/>
          <w:szCs w:val="24"/>
        </w:rPr>
        <w:t>International Journal of Soil Science</w:t>
      </w:r>
      <w:r w:rsidRPr="00955163">
        <w:rPr>
          <w:rFonts w:ascii="Times New Roman" w:hAnsi="Times New Roman" w:cs="Times New Roman"/>
          <w:sz w:val="24"/>
          <w:szCs w:val="24"/>
        </w:rPr>
        <w:t>, 12(4), 134-142. https://doi.org/10.3923/ijss.2017.134.142</w:t>
      </w:r>
    </w:p>
    <w:p w14:paraId="1B0B78F5"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Bardgett, R. D.,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Van Der Putten, W. H. (2014). Belowground biodiversity and ecosystem functioning. </w:t>
      </w:r>
      <w:r w:rsidRPr="00955163">
        <w:rPr>
          <w:rFonts w:ascii="Times New Roman" w:hAnsi="Times New Roman" w:cs="Times New Roman"/>
          <w:i/>
          <w:iCs/>
          <w:sz w:val="24"/>
          <w:szCs w:val="24"/>
        </w:rPr>
        <w:t>Nature</w:t>
      </w:r>
      <w:r w:rsidRPr="00955163">
        <w:rPr>
          <w:rFonts w:ascii="Times New Roman" w:hAnsi="Times New Roman" w:cs="Times New Roman"/>
          <w:sz w:val="24"/>
          <w:szCs w:val="24"/>
        </w:rPr>
        <w:t>, 515(7528), 505-511. https://doi.org/10.1038/nature13855</w:t>
      </w:r>
    </w:p>
    <w:p w14:paraId="222C0C4C"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Fierer, N.,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Jackson, R. B. (2006). The diversity and biogeography of soil bacterial communities. </w:t>
      </w:r>
      <w:r w:rsidRPr="00955163">
        <w:rPr>
          <w:rFonts w:ascii="Times New Roman" w:hAnsi="Times New Roman" w:cs="Times New Roman"/>
          <w:i/>
          <w:iCs/>
          <w:sz w:val="24"/>
          <w:szCs w:val="24"/>
        </w:rPr>
        <w:t>Proceedings of the National Academy of Sciences</w:t>
      </w:r>
      <w:r w:rsidRPr="00955163">
        <w:rPr>
          <w:rFonts w:ascii="Times New Roman" w:hAnsi="Times New Roman" w:cs="Times New Roman"/>
          <w:sz w:val="24"/>
          <w:szCs w:val="24"/>
        </w:rPr>
        <w:t>, 103(3), 626-631. https://doi.org/10.1073/pnas.0507535103</w:t>
      </w:r>
    </w:p>
    <w:p w14:paraId="0EE0896B"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Garbeva, P., van Veen, J. A.,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van Elsas, J. D. (2004). Microbial diversity in soil: selection of microbial populations by plant and soil type and implications for disease suppressiveness. </w:t>
      </w:r>
      <w:r w:rsidRPr="00955163">
        <w:rPr>
          <w:rFonts w:ascii="Times New Roman" w:hAnsi="Times New Roman" w:cs="Times New Roman"/>
          <w:i/>
          <w:iCs/>
          <w:sz w:val="24"/>
          <w:szCs w:val="24"/>
        </w:rPr>
        <w:t>Annual Review of Phytopathology</w:t>
      </w:r>
      <w:r w:rsidRPr="00955163">
        <w:rPr>
          <w:rFonts w:ascii="Times New Roman" w:hAnsi="Times New Roman" w:cs="Times New Roman"/>
          <w:sz w:val="24"/>
          <w:szCs w:val="24"/>
        </w:rPr>
        <w:t>, 42, 243-270. https://doi.org/10.1146/annurev.phyto.42.040104.110202</w:t>
      </w:r>
    </w:p>
    <w:p w14:paraId="57047E20"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Hartmann, M., et al. (2015). Resistance and resilience of the forest soil microbiome to logging-associated compaction. </w:t>
      </w:r>
      <w:r w:rsidRPr="00955163">
        <w:rPr>
          <w:rFonts w:ascii="Times New Roman" w:hAnsi="Times New Roman" w:cs="Times New Roman"/>
          <w:i/>
          <w:iCs/>
          <w:sz w:val="24"/>
          <w:szCs w:val="24"/>
        </w:rPr>
        <w:t>The ISME Journal</w:t>
      </w:r>
      <w:r w:rsidRPr="00955163">
        <w:rPr>
          <w:rFonts w:ascii="Times New Roman" w:hAnsi="Times New Roman" w:cs="Times New Roman"/>
          <w:sz w:val="24"/>
          <w:szCs w:val="24"/>
        </w:rPr>
        <w:t>, 9(1), 226-240. https://doi.org/10.1038/ismej.2014.118</w:t>
      </w:r>
    </w:p>
    <w:p w14:paraId="62676A90"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Nwosu, J. C., Eze, C. A.,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Okeke, C. U. (2018). The role of sodium in soil salinity and its effect on crop production. </w:t>
      </w:r>
      <w:r w:rsidRPr="00955163">
        <w:rPr>
          <w:rFonts w:ascii="Times New Roman" w:hAnsi="Times New Roman" w:cs="Times New Roman"/>
          <w:i/>
          <w:iCs/>
          <w:sz w:val="24"/>
          <w:szCs w:val="24"/>
        </w:rPr>
        <w:t>Journal of Agricultural Science and Technology</w:t>
      </w:r>
      <w:r w:rsidRPr="00955163">
        <w:rPr>
          <w:rFonts w:ascii="Times New Roman" w:hAnsi="Times New Roman" w:cs="Times New Roman"/>
          <w:sz w:val="24"/>
          <w:szCs w:val="24"/>
        </w:rPr>
        <w:t>, 8(2), 67-75.</w:t>
      </w:r>
    </w:p>
    <w:p w14:paraId="34700775"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Obayelu, O. A.,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Alabi, S. O. (2014). Farmers’ perceptions and economic analysis of soil fertility management in Southwestern Nigeria. </w:t>
      </w:r>
      <w:r w:rsidRPr="00955163">
        <w:rPr>
          <w:rFonts w:ascii="Times New Roman" w:hAnsi="Times New Roman" w:cs="Times New Roman"/>
          <w:i/>
          <w:iCs/>
          <w:sz w:val="24"/>
          <w:szCs w:val="24"/>
        </w:rPr>
        <w:t>Nigerian Journal of Soil Science</w:t>
      </w:r>
      <w:r w:rsidRPr="00955163">
        <w:rPr>
          <w:rFonts w:ascii="Times New Roman" w:hAnsi="Times New Roman" w:cs="Times New Roman"/>
          <w:sz w:val="24"/>
          <w:szCs w:val="24"/>
        </w:rPr>
        <w:t>, 24(1), 22-34.</w:t>
      </w:r>
    </w:p>
    <w:p w14:paraId="48DAD19F"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Rousk, J., et al. (2009). Soil bacterial and fungal communities across a pH gradient in an arable soil. </w:t>
      </w:r>
      <w:r w:rsidRPr="00955163">
        <w:rPr>
          <w:rFonts w:ascii="Times New Roman" w:hAnsi="Times New Roman" w:cs="Times New Roman"/>
          <w:i/>
          <w:iCs/>
          <w:sz w:val="24"/>
          <w:szCs w:val="24"/>
        </w:rPr>
        <w:t>The ISME Journal</w:t>
      </w:r>
      <w:r w:rsidRPr="00955163">
        <w:rPr>
          <w:rFonts w:ascii="Times New Roman" w:hAnsi="Times New Roman" w:cs="Times New Roman"/>
          <w:sz w:val="24"/>
          <w:szCs w:val="24"/>
        </w:rPr>
        <w:t>, 4(10), 1340-1351. https://doi.org/10.1038/ismej.2009.65</w:t>
      </w:r>
    </w:p>
    <w:p w14:paraId="0DA88A7F"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Schmidt, M. W. I., et al. (2011). Persistence of soil organic matter as an ecosystem property. </w:t>
      </w:r>
      <w:r w:rsidRPr="00955163">
        <w:rPr>
          <w:rFonts w:ascii="Times New Roman" w:hAnsi="Times New Roman" w:cs="Times New Roman"/>
          <w:i/>
          <w:iCs/>
          <w:sz w:val="24"/>
          <w:szCs w:val="24"/>
        </w:rPr>
        <w:t>Nature</w:t>
      </w:r>
      <w:r w:rsidRPr="00955163">
        <w:rPr>
          <w:rFonts w:ascii="Times New Roman" w:hAnsi="Times New Roman" w:cs="Times New Roman"/>
          <w:sz w:val="24"/>
          <w:szCs w:val="24"/>
        </w:rPr>
        <w:t>, 478(7367), 49-56. https://doi.org/10.1038/nature10386</w:t>
      </w:r>
    </w:p>
    <w:p w14:paraId="15D5D36D"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Siciliano, S. D., et al. (2014). Defining microbial community metrics for soil health diagnostics. </w:t>
      </w:r>
      <w:r w:rsidRPr="00955163">
        <w:rPr>
          <w:rFonts w:ascii="Times New Roman" w:hAnsi="Times New Roman" w:cs="Times New Roman"/>
          <w:i/>
          <w:iCs/>
          <w:sz w:val="24"/>
          <w:szCs w:val="24"/>
        </w:rPr>
        <w:t>Applied Soil Ecology</w:t>
      </w:r>
      <w:r w:rsidRPr="00955163">
        <w:rPr>
          <w:rFonts w:ascii="Times New Roman" w:hAnsi="Times New Roman" w:cs="Times New Roman"/>
          <w:sz w:val="24"/>
          <w:szCs w:val="24"/>
        </w:rPr>
        <w:t>, 97, 38-44. https://doi.org/10.1016/j.apsoil.2015.08.001</w:t>
      </w:r>
    </w:p>
    <w:p w14:paraId="471CB34C"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Torsvik, V.,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Øvreås, L. (2002). Microbial diversity and function in soil: from genes to ecosystems. </w:t>
      </w:r>
      <w:r w:rsidRPr="00955163">
        <w:rPr>
          <w:rFonts w:ascii="Times New Roman" w:hAnsi="Times New Roman" w:cs="Times New Roman"/>
          <w:i/>
          <w:iCs/>
          <w:sz w:val="24"/>
          <w:szCs w:val="24"/>
        </w:rPr>
        <w:t>Current Opinion in Microbiology</w:t>
      </w:r>
      <w:r w:rsidRPr="00955163">
        <w:rPr>
          <w:rFonts w:ascii="Times New Roman" w:hAnsi="Times New Roman" w:cs="Times New Roman"/>
          <w:sz w:val="24"/>
          <w:szCs w:val="24"/>
        </w:rPr>
        <w:t>, 5(3), 240-245. https://doi.org/10.1016/S1369-5042(02)00324-7</w:t>
      </w:r>
    </w:p>
    <w:p w14:paraId="33173504"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Van Elsas, J. D., et al. (2007). Microbial diversity determines the invasion of soil by a bacterial pathogen. </w:t>
      </w:r>
      <w:r w:rsidRPr="00955163">
        <w:rPr>
          <w:rFonts w:ascii="Times New Roman" w:hAnsi="Times New Roman" w:cs="Times New Roman"/>
          <w:i/>
          <w:iCs/>
          <w:sz w:val="24"/>
          <w:szCs w:val="24"/>
        </w:rPr>
        <w:t>Proceedings of the National Academy of Sciences</w:t>
      </w:r>
      <w:r w:rsidRPr="00955163">
        <w:rPr>
          <w:rFonts w:ascii="Times New Roman" w:hAnsi="Times New Roman" w:cs="Times New Roman"/>
          <w:sz w:val="24"/>
          <w:szCs w:val="24"/>
        </w:rPr>
        <w:t>, 104(52), 20380-20385. https://doi.org/10.1073/pnas.0709926105</w:t>
      </w:r>
    </w:p>
    <w:p w14:paraId="1C599C18"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Olsen, S. R., Cole, C. V., Watanabe, F. S.,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Dean, L. A. (1954). Estimation of available phosphorus in soils by extraction with sodium bicarbonate. </w:t>
      </w:r>
      <w:r w:rsidRPr="00955163">
        <w:rPr>
          <w:rFonts w:ascii="Times New Roman" w:hAnsi="Times New Roman" w:cs="Times New Roman"/>
          <w:i/>
          <w:iCs/>
          <w:sz w:val="24"/>
          <w:szCs w:val="24"/>
        </w:rPr>
        <w:t>USDA Circular</w:t>
      </w:r>
      <w:r w:rsidRPr="00955163">
        <w:rPr>
          <w:rFonts w:ascii="Times New Roman" w:hAnsi="Times New Roman" w:cs="Times New Roman"/>
          <w:sz w:val="24"/>
          <w:szCs w:val="24"/>
        </w:rPr>
        <w:t>, 939, 1-19.</w:t>
      </w:r>
    </w:p>
    <w:p w14:paraId="34C5FCB1"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 xml:space="preserve">Gee, G. W., </w:t>
      </w:r>
      <w:r w:rsidR="006F6EC8">
        <w:rPr>
          <w:rFonts w:ascii="Times New Roman" w:hAnsi="Times New Roman" w:cs="Times New Roman"/>
          <w:sz w:val="24"/>
          <w:szCs w:val="24"/>
        </w:rPr>
        <w:t>and</w:t>
      </w:r>
      <w:r w:rsidRPr="00955163">
        <w:rPr>
          <w:rFonts w:ascii="Times New Roman" w:hAnsi="Times New Roman" w:cs="Times New Roman"/>
          <w:sz w:val="24"/>
          <w:szCs w:val="24"/>
        </w:rPr>
        <w:t xml:space="preserve"> Bauder, J. W. (1986). Particle-size analysis. In </w:t>
      </w:r>
      <w:r w:rsidRPr="00955163">
        <w:rPr>
          <w:rFonts w:ascii="Times New Roman" w:hAnsi="Times New Roman" w:cs="Times New Roman"/>
          <w:i/>
          <w:iCs/>
          <w:sz w:val="24"/>
          <w:szCs w:val="24"/>
        </w:rPr>
        <w:t>Methods of Soil Analysis</w:t>
      </w:r>
      <w:r w:rsidRPr="00955163">
        <w:rPr>
          <w:rFonts w:ascii="Times New Roman" w:hAnsi="Times New Roman" w:cs="Times New Roman"/>
          <w:sz w:val="24"/>
          <w:szCs w:val="24"/>
        </w:rPr>
        <w:t> (pp. 383-411). Soil Science Society of America, Inc.</w:t>
      </w:r>
    </w:p>
    <w:p w14:paraId="2A7BE014" w14:textId="77777777" w:rsidR="00955163" w:rsidRPr="00955163" w:rsidRDefault="00955163" w:rsidP="00C443E7">
      <w:pPr>
        <w:spacing w:after="0" w:line="480" w:lineRule="auto"/>
        <w:ind w:left="1170" w:hanging="1170"/>
        <w:jc w:val="both"/>
        <w:rPr>
          <w:rFonts w:ascii="Times New Roman" w:hAnsi="Times New Roman" w:cs="Times New Roman"/>
          <w:sz w:val="24"/>
          <w:szCs w:val="24"/>
        </w:rPr>
      </w:pPr>
      <w:r w:rsidRPr="00955163">
        <w:rPr>
          <w:rFonts w:ascii="Times New Roman" w:hAnsi="Times New Roman" w:cs="Times New Roman"/>
          <w:sz w:val="24"/>
          <w:szCs w:val="24"/>
        </w:rPr>
        <w:t>Thomas, G. W. (1996). Soil pH and Soil Acidity. In </w:t>
      </w:r>
      <w:r w:rsidRPr="00955163">
        <w:rPr>
          <w:rFonts w:ascii="Times New Roman" w:hAnsi="Times New Roman" w:cs="Times New Roman"/>
          <w:i/>
          <w:iCs/>
          <w:sz w:val="24"/>
          <w:szCs w:val="24"/>
        </w:rPr>
        <w:t>Methods of Soil Analysis</w:t>
      </w:r>
      <w:r w:rsidRPr="00955163">
        <w:rPr>
          <w:rFonts w:ascii="Times New Roman" w:hAnsi="Times New Roman" w:cs="Times New Roman"/>
          <w:sz w:val="24"/>
          <w:szCs w:val="24"/>
        </w:rPr>
        <w:t> (pp. 475-490). Soil Science Society of America, Inc.</w:t>
      </w:r>
    </w:p>
    <w:p w14:paraId="6D502792" w14:textId="77777777" w:rsidR="00955163" w:rsidRDefault="00955163" w:rsidP="00C443E7">
      <w:pPr>
        <w:spacing w:after="0" w:line="480" w:lineRule="auto"/>
        <w:ind w:left="1170" w:hanging="1170"/>
        <w:jc w:val="both"/>
        <w:rPr>
          <w:rFonts w:ascii="Times New Roman" w:hAnsi="Times New Roman" w:cs="Times New Roman"/>
          <w:sz w:val="24"/>
          <w:szCs w:val="24"/>
        </w:rPr>
      </w:pPr>
    </w:p>
    <w:p w14:paraId="370AF0BE" w14:textId="77777777" w:rsidR="00955163" w:rsidRDefault="00955163" w:rsidP="00C443E7">
      <w:pPr>
        <w:spacing w:after="0" w:line="480" w:lineRule="auto"/>
        <w:ind w:left="1170" w:hanging="1170"/>
        <w:jc w:val="both"/>
        <w:rPr>
          <w:rFonts w:ascii="Times New Roman" w:hAnsi="Times New Roman" w:cs="Times New Roman"/>
          <w:sz w:val="24"/>
          <w:szCs w:val="24"/>
        </w:rPr>
      </w:pPr>
    </w:p>
    <w:p w14:paraId="39C287A9" w14:textId="77777777" w:rsidR="00955163" w:rsidRPr="00535D4A" w:rsidRDefault="00955163" w:rsidP="00C443E7">
      <w:pPr>
        <w:spacing w:after="0" w:line="480" w:lineRule="auto"/>
        <w:ind w:left="1170" w:hanging="1170"/>
        <w:jc w:val="both"/>
        <w:rPr>
          <w:rFonts w:ascii="Times New Roman" w:hAnsi="Times New Roman" w:cs="Times New Roman"/>
          <w:sz w:val="24"/>
          <w:szCs w:val="24"/>
        </w:rPr>
      </w:pPr>
    </w:p>
    <w:sectPr w:rsidR="00955163" w:rsidRPr="00535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51E"/>
    <w:rsid w:val="00022B22"/>
    <w:rsid w:val="000545E8"/>
    <w:rsid w:val="00064BA0"/>
    <w:rsid w:val="0006588C"/>
    <w:rsid w:val="00077935"/>
    <w:rsid w:val="00085E90"/>
    <w:rsid w:val="000A13D8"/>
    <w:rsid w:val="000D6777"/>
    <w:rsid w:val="0010550A"/>
    <w:rsid w:val="00230407"/>
    <w:rsid w:val="00233B9C"/>
    <w:rsid w:val="002F4710"/>
    <w:rsid w:val="00325D2E"/>
    <w:rsid w:val="00325D9D"/>
    <w:rsid w:val="00326023"/>
    <w:rsid w:val="00394C56"/>
    <w:rsid w:val="004375DC"/>
    <w:rsid w:val="00444D04"/>
    <w:rsid w:val="00467B4A"/>
    <w:rsid w:val="004B7FA3"/>
    <w:rsid w:val="00535D4A"/>
    <w:rsid w:val="005930B5"/>
    <w:rsid w:val="005D389E"/>
    <w:rsid w:val="005E3EBD"/>
    <w:rsid w:val="0064381E"/>
    <w:rsid w:val="0064751E"/>
    <w:rsid w:val="0068276F"/>
    <w:rsid w:val="006F5EB5"/>
    <w:rsid w:val="006F6EC8"/>
    <w:rsid w:val="007051F5"/>
    <w:rsid w:val="00732EE8"/>
    <w:rsid w:val="00781687"/>
    <w:rsid w:val="007B0F2A"/>
    <w:rsid w:val="00896BF2"/>
    <w:rsid w:val="00912C4D"/>
    <w:rsid w:val="00955163"/>
    <w:rsid w:val="009F3141"/>
    <w:rsid w:val="00A163C4"/>
    <w:rsid w:val="00A17805"/>
    <w:rsid w:val="00A24507"/>
    <w:rsid w:val="00A902AD"/>
    <w:rsid w:val="00C14914"/>
    <w:rsid w:val="00C42F05"/>
    <w:rsid w:val="00C443E7"/>
    <w:rsid w:val="00C77F4B"/>
    <w:rsid w:val="00D04FA5"/>
    <w:rsid w:val="00DF3061"/>
    <w:rsid w:val="00E06791"/>
    <w:rsid w:val="00E209B7"/>
    <w:rsid w:val="00E6485E"/>
    <w:rsid w:val="00EE283C"/>
    <w:rsid w:val="00F256A5"/>
    <w:rsid w:val="00F65EFC"/>
    <w:rsid w:val="00F975F8"/>
    <w:rsid w:val="00FA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2EFC"/>
  <w15:chartTrackingRefBased/>
  <w15:docId w15:val="{F75A29B1-0AA1-4B3D-81EE-231CE203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B4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67B4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55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2B2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7B4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67B4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5516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8634">
      <w:bodyDiv w:val="1"/>
      <w:marLeft w:val="0"/>
      <w:marRight w:val="0"/>
      <w:marTop w:val="0"/>
      <w:marBottom w:val="0"/>
      <w:divBdr>
        <w:top w:val="none" w:sz="0" w:space="0" w:color="auto"/>
        <w:left w:val="none" w:sz="0" w:space="0" w:color="auto"/>
        <w:bottom w:val="none" w:sz="0" w:space="0" w:color="auto"/>
        <w:right w:val="none" w:sz="0" w:space="0" w:color="auto"/>
      </w:divBdr>
    </w:div>
    <w:div w:id="252862488">
      <w:bodyDiv w:val="1"/>
      <w:marLeft w:val="0"/>
      <w:marRight w:val="0"/>
      <w:marTop w:val="0"/>
      <w:marBottom w:val="0"/>
      <w:divBdr>
        <w:top w:val="none" w:sz="0" w:space="0" w:color="auto"/>
        <w:left w:val="none" w:sz="0" w:space="0" w:color="auto"/>
        <w:bottom w:val="none" w:sz="0" w:space="0" w:color="auto"/>
        <w:right w:val="none" w:sz="0" w:space="0" w:color="auto"/>
      </w:divBdr>
    </w:div>
    <w:div w:id="497959579">
      <w:bodyDiv w:val="1"/>
      <w:marLeft w:val="0"/>
      <w:marRight w:val="0"/>
      <w:marTop w:val="0"/>
      <w:marBottom w:val="0"/>
      <w:divBdr>
        <w:top w:val="none" w:sz="0" w:space="0" w:color="auto"/>
        <w:left w:val="none" w:sz="0" w:space="0" w:color="auto"/>
        <w:bottom w:val="none" w:sz="0" w:space="0" w:color="auto"/>
        <w:right w:val="none" w:sz="0" w:space="0" w:color="auto"/>
      </w:divBdr>
    </w:div>
    <w:div w:id="699404350">
      <w:bodyDiv w:val="1"/>
      <w:marLeft w:val="0"/>
      <w:marRight w:val="0"/>
      <w:marTop w:val="0"/>
      <w:marBottom w:val="0"/>
      <w:divBdr>
        <w:top w:val="none" w:sz="0" w:space="0" w:color="auto"/>
        <w:left w:val="none" w:sz="0" w:space="0" w:color="auto"/>
        <w:bottom w:val="none" w:sz="0" w:space="0" w:color="auto"/>
        <w:right w:val="none" w:sz="0" w:space="0" w:color="auto"/>
      </w:divBdr>
    </w:div>
    <w:div w:id="933123266">
      <w:bodyDiv w:val="1"/>
      <w:marLeft w:val="0"/>
      <w:marRight w:val="0"/>
      <w:marTop w:val="0"/>
      <w:marBottom w:val="0"/>
      <w:divBdr>
        <w:top w:val="none" w:sz="0" w:space="0" w:color="auto"/>
        <w:left w:val="none" w:sz="0" w:space="0" w:color="auto"/>
        <w:bottom w:val="none" w:sz="0" w:space="0" w:color="auto"/>
        <w:right w:val="none" w:sz="0" w:space="0" w:color="auto"/>
      </w:divBdr>
    </w:div>
    <w:div w:id="1227305820">
      <w:bodyDiv w:val="1"/>
      <w:marLeft w:val="0"/>
      <w:marRight w:val="0"/>
      <w:marTop w:val="0"/>
      <w:marBottom w:val="0"/>
      <w:divBdr>
        <w:top w:val="none" w:sz="0" w:space="0" w:color="auto"/>
        <w:left w:val="none" w:sz="0" w:space="0" w:color="auto"/>
        <w:bottom w:val="none" w:sz="0" w:space="0" w:color="auto"/>
        <w:right w:val="none" w:sz="0" w:space="0" w:color="auto"/>
      </w:divBdr>
    </w:div>
    <w:div w:id="1473213311">
      <w:bodyDiv w:val="1"/>
      <w:marLeft w:val="0"/>
      <w:marRight w:val="0"/>
      <w:marTop w:val="0"/>
      <w:marBottom w:val="0"/>
      <w:divBdr>
        <w:top w:val="none" w:sz="0" w:space="0" w:color="auto"/>
        <w:left w:val="none" w:sz="0" w:space="0" w:color="auto"/>
        <w:bottom w:val="none" w:sz="0" w:space="0" w:color="auto"/>
        <w:right w:val="none" w:sz="0" w:space="0" w:color="auto"/>
      </w:divBdr>
    </w:div>
    <w:div w:id="1477725354">
      <w:bodyDiv w:val="1"/>
      <w:marLeft w:val="0"/>
      <w:marRight w:val="0"/>
      <w:marTop w:val="0"/>
      <w:marBottom w:val="0"/>
      <w:divBdr>
        <w:top w:val="none" w:sz="0" w:space="0" w:color="auto"/>
        <w:left w:val="none" w:sz="0" w:space="0" w:color="auto"/>
        <w:bottom w:val="none" w:sz="0" w:space="0" w:color="auto"/>
        <w:right w:val="none" w:sz="0" w:space="0" w:color="auto"/>
      </w:divBdr>
    </w:div>
    <w:div w:id="17611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4605</Words>
  <Characters>26252</Characters>
  <Application>Microsoft Office Word</Application>
  <DocSecurity>0</DocSecurity>
  <Lines>218</Lines>
  <Paragraphs>61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Table 2: Distribution of Probable Bacteria in Soil Type</vt:lpstr>
      <vt:lpstr>Table 3:  Biochemical Characterization of Bacterial Isolates</vt:lpstr>
      <vt:lpstr>    </vt:lpstr>
    </vt:vector>
  </TitlesOfParts>
  <Company/>
  <LinksUpToDate>false</LinksUpToDate>
  <CharactersWithSpaces>30796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Ahmod Alkinzeez</cp:lastModifiedBy>
  <cp:revision>2</cp:revision>
  <dcterms:created xsi:type="dcterms:W3CDTF">2025-06-04T19:15:00Z</dcterms:created>
  <dcterms:modified xsi:type="dcterms:W3CDTF">2025-06-04T19:15:00Z</dcterms:modified>
</cp:coreProperties>
</file>