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2" w:left="0" w:firstLine="0"/>
        <w:jc w:val="center"/>
        <w:rPr>
          <w:rFonts w:ascii="Calibri" w:hAnsi="Calibri" w:cs="Calibri" w:eastAsia="Calibri"/>
          <w:color w:val="auto"/>
          <w:spacing w:val="0"/>
          <w:position w:val="0"/>
          <w:sz w:val="22"/>
          <w:shd w:fill="auto" w:val="clear"/>
        </w:rPr>
      </w:pPr>
      <w:r>
        <w:object w:dxaOrig="4069" w:dyaOrig="3522">
          <v:rect xmlns:o="urn:schemas-microsoft-com:office:office" xmlns:v="urn:schemas-microsoft-com:vml" id="rectole0000000000" style="width:203.450000pt;height:176.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DEPARTMENT OF SCIENCE LABORATORY TECHNOLOGY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i/>
          <w:color w:val="000000"/>
          <w:spacing w:val="0"/>
          <w:position w:val="0"/>
          <w:sz w:val="48"/>
          <w:shd w:fill="auto" w:val="clear"/>
        </w:rPr>
      </w:pPr>
      <w:r>
        <w:rPr>
          <w:rFonts w:ascii="Times New Roman" w:hAnsi="Times New Roman" w:cs="Times New Roman" w:eastAsia="Times New Roman"/>
          <w:b/>
          <w:color w:val="000000"/>
          <w:spacing w:val="0"/>
          <w:position w:val="0"/>
          <w:sz w:val="48"/>
          <w:shd w:fill="auto" w:val="clear"/>
        </w:rPr>
        <w:t xml:space="preserve">PHYTOCHEMICAL SCREENING AND ANTIMICROBIAL ACTIVITY OF LEAF EXTRACTS FROM </w:t>
      </w:r>
      <w:r>
        <w:rPr>
          <w:rFonts w:ascii="Times New Roman" w:hAnsi="Times New Roman" w:cs="Times New Roman" w:eastAsia="Times New Roman"/>
          <w:b/>
          <w:i/>
          <w:color w:val="000000"/>
          <w:spacing w:val="0"/>
          <w:position w:val="0"/>
          <w:sz w:val="48"/>
          <w:shd w:fill="auto" w:val="clear"/>
        </w:rPr>
        <w:t xml:space="preserve">Carica papaya</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Algerian" w:hAnsi="Algerian" w:cs="Algerian" w:eastAsia="Algerian"/>
          <w:b/>
          <w:color w:val="000000"/>
          <w:spacing w:val="0"/>
          <w:position w:val="0"/>
          <w:sz w:val="28"/>
          <w:shd w:fill="auto" w:val="clear"/>
        </w:rPr>
      </w:pPr>
      <w:r>
        <w:rPr>
          <w:rFonts w:ascii="Algerian" w:hAnsi="Algerian" w:cs="Algerian" w:eastAsia="Algerian"/>
          <w:b/>
          <w:color w:val="000000"/>
          <w:spacing w:val="0"/>
          <w:position w:val="0"/>
          <w:sz w:val="28"/>
          <w:shd w:fill="auto" w:val="clear"/>
        </w:rPr>
        <w:t xml:space="preserve">By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48"/>
          <w:shd w:fill="auto" w:val="clear"/>
        </w:rPr>
      </w:pPr>
      <w:r>
        <w:rPr>
          <w:rFonts w:ascii="Times New Roman" w:hAnsi="Times New Roman" w:cs="Times New Roman" w:eastAsia="Times New Roman"/>
          <w:b/>
          <w:color w:val="000000"/>
          <w:spacing w:val="0"/>
          <w:position w:val="0"/>
          <w:sz w:val="48"/>
          <w:shd w:fill="auto" w:val="clear"/>
        </w:rPr>
        <w:t xml:space="preserve">OWOSENI RIDWANULLAH AYINDE</w:t>
      </w: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ND/23/SLT/PT/0664</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BEING A THESIS SUBMITTED TO </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THE DEPARTMENT OF SCIENCE LABORATORY TECHNOLOGY</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(CHEMISTRY UNIT), </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INSTITUTE OF APPLIED SCIENCES, KWARA STATE </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POLYTECHNICS, ILORIN, KWARA STATE.</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 PARTIAL FULFILLMENT OF THE REQUIREMENT FOR THE AWARD OF NATIONAL DIPLOMA (ND) IN SCIENCE LABORATORY TECHNOLOGY, KWARA STATE POLYTECHNIC ILORIN, KWARA STATE</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Algerian" w:hAnsi="Algerian" w:cs="Algerian" w:eastAsia="Algerian"/>
          <w:b/>
          <w:color w:val="000000"/>
          <w:spacing w:val="0"/>
          <w:position w:val="0"/>
          <w:sz w:val="40"/>
          <w:shd w:fill="auto" w:val="clear"/>
        </w:rPr>
      </w:pPr>
      <w:r>
        <w:rPr>
          <w:rFonts w:ascii="Times New Roman" w:hAnsi="Times New Roman" w:cs="Times New Roman" w:eastAsia="Times New Roman"/>
          <w:b/>
          <w:color w:val="000000"/>
          <w:spacing w:val="0"/>
          <w:position w:val="0"/>
          <w:sz w:val="36"/>
          <w:shd w:fill="auto" w:val="clear"/>
        </w:rPr>
        <w:t xml:space="preserve">SUPERVISED BY: </w:t>
      </w:r>
      <w:r>
        <w:rPr>
          <w:rFonts w:ascii="Algerian" w:hAnsi="Algerian" w:cs="Algerian" w:eastAsia="Algerian"/>
          <w:b/>
          <w:color w:val="000000"/>
          <w:spacing w:val="0"/>
          <w:position w:val="0"/>
          <w:sz w:val="40"/>
          <w:shd w:fill="auto" w:val="clear"/>
        </w:rPr>
        <w:t xml:space="preserve">MR. AHMAD A. A.</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righ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2024/2025 SESSION</w:t>
      </w:r>
    </w:p>
    <w:p>
      <w:pPr>
        <w:spacing w:before="0" w:after="200" w:line="480"/>
        <w:ind w:right="0" w:left="0" w:firstLine="0"/>
        <w:jc w:val="center"/>
        <w:rPr>
          <w:rFonts w:ascii="Calibri" w:hAnsi="Calibri" w:cs="Calibri" w:eastAsia="Calibri"/>
          <w:color w:val="auto"/>
          <w:spacing w:val="0"/>
          <w:position w:val="0"/>
          <w:sz w:val="22"/>
          <w:shd w:fill="auto" w:val="clear"/>
        </w:rPr>
      </w:pPr>
    </w:p>
    <w:p>
      <w:pPr>
        <w:spacing w:before="0" w:after="200" w:line="48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CERTIFICATION</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to certify that this project work presented by </w:t>
      </w:r>
      <w:r>
        <w:rPr>
          <w:rFonts w:ascii="Times New Roman" w:hAnsi="Times New Roman" w:cs="Times New Roman" w:eastAsia="Times New Roman"/>
          <w:color w:val="000000"/>
          <w:spacing w:val="0"/>
          <w:position w:val="0"/>
          <w:sz w:val="24"/>
          <w:shd w:fill="auto" w:val="clear"/>
        </w:rPr>
        <w:t xml:space="preserve">OWOSENI RIDWANULLAH AYINDE </w:t>
      </w:r>
      <w:r>
        <w:rPr>
          <w:rFonts w:ascii="Calibri" w:hAnsi="Calibri" w:cs="Calibri" w:eastAsia="Calibri"/>
          <w:color w:val="000000"/>
          <w:spacing w:val="0"/>
          <w:position w:val="0"/>
          <w:sz w:val="24"/>
          <w:shd w:fill="auto" w:val="clear"/>
        </w:rPr>
        <w:t xml:space="preserve">with matriculation number </w:t>
      </w:r>
      <w:r>
        <w:rPr>
          <w:rFonts w:ascii="Times New Roman" w:hAnsi="Times New Roman" w:cs="Times New Roman" w:eastAsia="Times New Roman"/>
          <w:color w:val="000000"/>
          <w:spacing w:val="0"/>
          <w:position w:val="0"/>
          <w:sz w:val="24"/>
          <w:shd w:fill="auto" w:val="clear"/>
        </w:rPr>
        <w:t xml:space="preserve">ND/23/SLT/PT/0664</w:t>
      </w:r>
      <w:r>
        <w:rPr>
          <w:rFonts w:ascii="Calibri" w:hAnsi="Calibri" w:cs="Calibri" w:eastAsia="Calibri"/>
          <w:color w:val="000000"/>
          <w:spacing w:val="0"/>
          <w:position w:val="0"/>
          <w:sz w:val="24"/>
          <w:shd w:fill="auto" w:val="clear"/>
        </w:rPr>
        <w:t xml:space="preserve"> has been read, approved and submitted to the Department of Science Laboratory Technology (Chemistry Unit), Institute of Applied Sciences, Kwara State Polytechnics, Ilorin.</w:t>
      </w: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______________________________</w:t>
        <w:tab/>
        <w:tab/>
        <w:tab/>
        <w:tab/>
        <w:t xml:space="preserve">____________________</w:t>
      </w: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MR. AHMAD A.A.</w:t>
        <w:tab/>
        <w:tab/>
        <w:tab/>
        <w:tab/>
        <w:tab/>
        <w:tab/>
        <w:tab/>
        <w:tab/>
        <w:t xml:space="preserve">DATE</w:t>
      </w: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(Project Supervisor)</w:t>
      </w:r>
    </w:p>
    <w:p>
      <w:pPr>
        <w:spacing w:before="0" w:after="200" w:line="480"/>
        <w:ind w:right="0" w:left="0" w:firstLine="0"/>
        <w:jc w:val="left"/>
        <w:rPr>
          <w:rFonts w:ascii="Calibri" w:hAnsi="Calibri" w:cs="Calibri" w:eastAsia="Calibri"/>
          <w:color w:val="auto"/>
          <w:spacing w:val="0"/>
          <w:position w:val="0"/>
          <w:sz w:val="22"/>
          <w:shd w:fill="auto" w:val="clear"/>
        </w:rPr>
      </w:pPr>
    </w:p>
    <w:p>
      <w:pPr>
        <w:spacing w:before="0" w:after="200" w:line="480"/>
        <w:ind w:right="0" w:left="0" w:firstLine="0"/>
        <w:jc w:val="left"/>
        <w:rPr>
          <w:rFonts w:ascii="Calibri" w:hAnsi="Calibri" w:cs="Calibri" w:eastAsia="Calibri"/>
          <w:color w:val="auto"/>
          <w:spacing w:val="0"/>
          <w:position w:val="0"/>
          <w:sz w:val="22"/>
          <w:shd w:fill="auto" w:val="clear"/>
        </w:rPr>
      </w:pPr>
    </w:p>
    <w:p>
      <w:pPr>
        <w:spacing w:before="0" w:after="200" w:line="480"/>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______________________________</w:t>
        <w:tab/>
        <w:tab/>
        <w:tab/>
        <w:tab/>
        <w:t xml:space="preserve">____________________</w:t>
      </w: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Mr. LUKMAN I. A.</w:t>
        <w:tab/>
        <w:tab/>
        <w:tab/>
        <w:tab/>
        <w:tab/>
        <w:tab/>
        <w:tab/>
        <w:tab/>
        <w:t xml:space="preserve">DATE</w:t>
      </w:r>
    </w:p>
    <w:p>
      <w:pPr>
        <w:spacing w:before="0" w:after="200" w:line="48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SLT PT Coordinator</w:t>
      </w:r>
    </w:p>
    <w:p>
      <w:pPr>
        <w:spacing w:before="0" w:after="200" w:line="480"/>
        <w:ind w:right="0" w:left="0" w:firstLine="0"/>
        <w:jc w:val="left"/>
        <w:rPr>
          <w:rFonts w:ascii="Calibri" w:hAnsi="Calibri" w:cs="Calibri" w:eastAsia="Calibri"/>
          <w:color w:val="auto"/>
          <w:spacing w:val="0"/>
          <w:position w:val="0"/>
          <w:sz w:val="22"/>
          <w:shd w:fill="auto" w:val="clear"/>
        </w:rPr>
      </w:pPr>
    </w:p>
    <w:p>
      <w:pPr>
        <w:spacing w:before="0" w:after="200" w:line="480"/>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______________________________</w:t>
        <w:tab/>
        <w:tab/>
        <w:tab/>
        <w:tab/>
        <w:t xml:space="preserve">____________________</w:t>
      </w: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DR. ABDULKAREEM USMAN</w:t>
        <w:tab/>
        <w:tab/>
        <w:tab/>
        <w:tab/>
        <w:tab/>
        <w:tab/>
        <w:t xml:space="preserve">DATE</w:t>
      </w:r>
    </w:p>
    <w:p>
      <w:pPr>
        <w:spacing w:before="0" w:after="0" w:line="276"/>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Head of Department</w:t>
      </w:r>
    </w:p>
    <w:p>
      <w:pPr>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DEDICATION</w:t>
      </w:r>
    </w:p>
    <w:p>
      <w:pPr>
        <w:spacing w:before="0" w:after="200" w:line="48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work is dedicated to Almighty God</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 omniscience), for giving the strength to run this program to completion.</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w:t>
      </w:r>
    </w:p>
    <w:p>
      <w:pPr>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praises and doxologies are due to the maker of the Heaven for his limitless grace,wisdom and strength throughout the course of this project. </w:t>
      </w:r>
    </w:p>
    <w:p>
      <w:pPr>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would like to express my profound gratitude to my supervisor, Mr Ahmad A.A for his crucial guidance and staunch support in shaping this project to meet academic standards. His mentorship and expertise have been an enormous source of inspiration to me.</w:t>
      </w:r>
    </w:p>
    <w:p>
      <w:pPr>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 also deeply grateful to the Head of Department, Dr. Usman Abdulkareem, for providing a conducive academic environment, which has contributed greatly to our learning experience. </w:t>
      </w:r>
    </w:p>
    <w:p>
      <w:pPr>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addition, I extend my heartfelt acknowledgment to our coordinator and all the lecturers in the Department of Science Laboratory Technology, Kwara State Polytechnic, for their determination to imparting knowledge and for their quotas, directly or indirectly, to the success of this project work.</w:t>
      </w:r>
    </w:p>
    <w:p>
      <w:pPr>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I cannot forget my parents, Mr. Abdul Kabeer Akofe and my late Mother Mrs. Sherifat Ibrahim, who have been the main pillar behind this success and to my love ones, coursemate and friends, Faidat Ajoke, Queen Elizabeth, whose motivations, prayers and vehement support have been a pillar of strength throughout this academic odyssey. Your sacrifices and cognizance have made this work possible.</w:t>
      </w: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Thank you. God Did</w:t>
      </w:r>
    </w:p>
    <w:p>
      <w:pPr>
        <w:spacing w:before="0" w:after="200" w:line="480"/>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OF CONTENTS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Contents</w:t>
        <w:tab/>
        <w:tab/>
        <w:tab/>
        <w:tab/>
        <w:tab/>
        <w:tab/>
        <w:tab/>
        <w:tab/>
        <w:tab/>
        <w:t xml:space="preserve">        Page</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TITLE PAGE</w:t>
        <w:tab/>
        <w:tab/>
        <w:tab/>
        <w:tab/>
        <w:tab/>
        <w:tab/>
        <w:tab/>
        <w:tab/>
        <w:tab/>
        <w:tab/>
        <w:t xml:space="preserve">i</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CERTIFICATION</w:t>
        <w:tab/>
        <w:tab/>
        <w:tab/>
        <w:tab/>
        <w:tab/>
        <w:tab/>
        <w:tab/>
        <w:tab/>
        <w:tab/>
        <w:t xml:space="preserve">ii</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DEDICATION</w:t>
        <w:tab/>
        <w:tab/>
        <w:tab/>
        <w:tab/>
        <w:tab/>
        <w:tab/>
        <w:tab/>
        <w:tab/>
        <w:tab/>
        <w:t xml:space="preserve">iii</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ACKNOWLEDGEMENT</w:t>
        <w:tab/>
        <w:tab/>
        <w:tab/>
        <w:tab/>
        <w:tab/>
        <w:tab/>
        <w:tab/>
        <w:tab/>
        <w:t xml:space="preserve">iv</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OF CONTENTS</w:t>
        <w:tab/>
        <w:tab/>
        <w:tab/>
        <w:tab/>
        <w:tab/>
        <w:tab/>
        <w:tab/>
        <w:tab/>
        <w:t xml:space="preserve">v</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LIST OF FIGURES</w:t>
        <w:tab/>
        <w:tab/>
        <w:tab/>
        <w:tab/>
        <w:tab/>
        <w:tab/>
        <w:tab/>
        <w:tab/>
        <w:tab/>
        <w:t xml:space="preserve">viii</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LIST OF TABLES</w:t>
        <w:tab/>
        <w:tab/>
        <w:tab/>
        <w:tab/>
        <w:tab/>
        <w:tab/>
        <w:tab/>
        <w:tab/>
        <w:tab/>
        <w:t xml:space="preserve">ix</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ABSTRACT</w:t>
        <w:tab/>
        <w:tab/>
        <w:tab/>
        <w:tab/>
        <w:tab/>
        <w:tab/>
        <w:tab/>
        <w:tab/>
        <w:tab/>
        <w:tab/>
        <w:t xml:space="preserve">x</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ONE: INTRODUCTION</w:t>
        <w:tab/>
        <w:tab/>
        <w:tab/>
        <w:tab/>
        <w:tab/>
        <w:tab/>
        <w:t xml:space="preserve">1</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Background to the Study</w:t>
        <w:tab/>
        <w:tab/>
        <w:tab/>
        <w:tab/>
        <w:tab/>
        <w:tab/>
        <w:tab/>
        <w:t xml:space="preserve">1</w:t>
        <w:tab/>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Problem Statement </w:t>
        <w:tab/>
        <w:t xml:space="preserve">      </w:t>
        <w:tab/>
        <w:t xml:space="preserve">                                         </w:t>
        <w:tab/>
        <w:tab/>
        <w:tab/>
        <w:t xml:space="preserve">2</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Justification </w:t>
        <w:tab/>
        <w:tab/>
        <w:tab/>
        <w:tab/>
        <w:tab/>
        <w:tab/>
        <w:tab/>
        <w:tab/>
        <w:tab/>
        <w:t xml:space="preserve">2</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Aim and Objectives of the Study</w:t>
        <w:tab/>
        <w:tab/>
        <w:tab/>
        <w:tab/>
        <w:tab/>
        <w:tab/>
        <w:t xml:space="preserve">3</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1.4.1</w:t>
        <w:tab/>
        <w:t xml:space="preserve">Aim</w:t>
        <w:tab/>
        <w:tab/>
        <w:tab/>
        <w:tab/>
        <w:tab/>
        <w:tab/>
        <w:tab/>
        <w:tab/>
        <w:tab/>
        <w:tab/>
        <w:t xml:space="preserve">3</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1.4.2</w:t>
        <w:tab/>
        <w:t xml:space="preserve">Objectives</w:t>
        <w:tab/>
        <w:tab/>
        <w:tab/>
        <w:tab/>
        <w:tab/>
        <w:tab/>
        <w:tab/>
        <w:tab/>
        <w:tab/>
        <w:t xml:space="preserve">3</w:t>
        <w:tab/>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Significance of the Study</w:t>
        <w:tab/>
        <w:tab/>
        <w:tab/>
        <w:tab/>
        <w:tab/>
        <w:t xml:space="preserve">            </w:t>
        <w:tab/>
        <w:t xml:space="preserve">3</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Scope of the Study</w:t>
        <w:tab/>
        <w:tab/>
        <w:tab/>
        <w:tab/>
        <w:tab/>
        <w:tab/>
        <w:tab/>
        <w:tab/>
        <w:t xml:space="preserve">4</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Definition of Key Terms</w:t>
        <w:tab/>
        <w:tab/>
        <w:t xml:space="preserve">           </w:t>
        <w:tab/>
        <w:tab/>
        <w:tab/>
        <w:tab/>
        <w:tab/>
        <w:t xml:space="preserve">4</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TWO: LITERATURE REVIEW</w:t>
        <w:tab/>
        <w:tab/>
        <w:tab/>
        <w:tab/>
        <w:tab/>
        <w:t xml:space="preserve">5</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Medicinal Chemistry</w:t>
        <w:tab/>
        <w:tab/>
        <w:tab/>
        <w:tab/>
        <w:tab/>
        <w:tab/>
        <w:tab/>
        <w:tab/>
        <w:t xml:space="preserve">5</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Medicinal Plants as Sources of Antimicrobial Agents</w:t>
        <w:tab/>
        <w:tab/>
        <w:tab/>
        <w:t xml:space="preserve">6</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Phytochemistry</w:t>
        <w:tab/>
        <w:tab/>
        <w:tab/>
        <w:tab/>
        <w:tab/>
        <w:tab/>
        <w:tab/>
        <w:tab/>
        <w:t xml:space="preserve">8</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w:t>
        <w:tab/>
        <w:t xml:space="preserve">Primary Metabolites</w:t>
        <w:tab/>
        <w:tab/>
        <w:tab/>
        <w:tab/>
        <w:tab/>
        <w:tab/>
        <w:tab/>
        <w:tab/>
        <w:t xml:space="preserve">8</w:t>
        <w:tab/>
        <w:tab/>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w:t>
        <w:tab/>
        <w:t xml:space="preserve">Secondary Metabolites</w:t>
        <w:tab/>
        <w:tab/>
        <w:tab/>
        <w:tab/>
        <w:tab/>
        <w:tab/>
        <w:tab/>
        <w:t xml:space="preserve">10</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Extraction Process</w:t>
        <w:tab/>
        <w:tab/>
        <w:tab/>
        <w:tab/>
        <w:tab/>
        <w:tab/>
        <w:tab/>
        <w:tab/>
        <w:t xml:space="preserve">11</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t xml:space="preserve">Biological Activity</w:t>
        <w:tab/>
        <w:tab/>
        <w:tab/>
        <w:tab/>
        <w:tab/>
        <w:tab/>
        <w:tab/>
        <w:tab/>
        <w:t xml:space="preserve">14</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tab/>
        <w:t xml:space="preserve">Botanical Description and Ethnomedicinal Uses of </w:t>
      </w:r>
      <w:r>
        <w:rPr>
          <w:rFonts w:ascii="Times New Roman" w:hAnsi="Times New Roman" w:cs="Times New Roman" w:eastAsia="Times New Roman"/>
          <w:i/>
          <w:color w:val="000000"/>
          <w:spacing w:val="0"/>
          <w:position w:val="0"/>
          <w:sz w:val="24"/>
          <w:shd w:fill="auto" w:val="clear"/>
        </w:rPr>
        <w:t xml:space="preserve">Carica papaya</w:t>
        <w:tab/>
      </w:r>
      <w:r>
        <w:rPr>
          <w:rFonts w:ascii="Times New Roman" w:hAnsi="Times New Roman" w:cs="Times New Roman" w:eastAsia="Times New Roman"/>
          <w:b/>
          <w:i/>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18</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THREE: MATERIALS AND METHOD</w:t>
        <w:tab/>
        <w:tab/>
        <w:tab/>
        <w:tab/>
        <w:t xml:space="preserve">21</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 </w:t>
        <w:tab/>
      </w:r>
      <w:r>
        <w:rPr>
          <w:rFonts w:ascii="Calibri" w:hAnsi="Calibri" w:cs="Calibri" w:eastAsia="Calibri"/>
          <w:color w:val="000000"/>
          <w:spacing w:val="0"/>
          <w:position w:val="0"/>
          <w:sz w:val="24"/>
          <w:shd w:fill="auto" w:val="clear"/>
        </w:rPr>
        <w:t xml:space="preserve">Materials</w:t>
        <w:tab/>
        <w:tab/>
        <w:tab/>
        <w:tab/>
        <w:tab/>
        <w:tab/>
        <w:tab/>
        <w:tab/>
        <w:tab/>
        <w:t xml:space="preserve">21</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Apparatus and Reagents Used</w:t>
        <w:tab/>
        <w:tab/>
        <w:tab/>
        <w:tab/>
        <w:tab/>
        <w:tab/>
        <w:t xml:space="preserve">21</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Methods</w:t>
        <w:tab/>
        <w:tab/>
        <w:tab/>
        <w:tab/>
        <w:tab/>
        <w:tab/>
        <w:tab/>
        <w:tab/>
        <w:tab/>
        <w:t xml:space="preserve">21</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Plant Collection and Identification</w:t>
        <w:tab/>
        <w:tab/>
        <w:tab/>
        <w:tab/>
        <w:tab/>
        <w:tab/>
        <w:t xml:space="preserve">21</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Extraction of </w:t>
      </w:r>
      <w:r>
        <w:rPr>
          <w:rFonts w:ascii="Calibri" w:hAnsi="Calibri" w:cs="Calibri" w:eastAsia="Calibri"/>
          <w:i/>
          <w:color w:val="000000"/>
          <w:spacing w:val="0"/>
          <w:position w:val="0"/>
          <w:sz w:val="24"/>
          <w:shd w:fill="auto" w:val="clear"/>
        </w:rPr>
        <w:t xml:space="preserve">Carica papaya</w:t>
        <w:tab/>
        <w:tab/>
        <w:tab/>
      </w:r>
      <w:r>
        <w:rPr>
          <w:rFonts w:ascii="Calibri" w:hAnsi="Calibri" w:cs="Calibri" w:eastAsia="Calibri"/>
          <w:color w:val="000000"/>
          <w:spacing w:val="0"/>
          <w:position w:val="0"/>
          <w:sz w:val="24"/>
          <w:shd w:fill="auto" w:val="clear"/>
        </w:rPr>
        <w:tab/>
        <w:tab/>
        <w:tab/>
        <w:tab/>
        <w:t xml:space="preserve">21</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Qualitative Phytochemical Screening</w:t>
        <w:tab/>
        <w:tab/>
        <w:tab/>
        <w:tab/>
        <w:tab/>
        <w:tab/>
        <w:t xml:space="preserve">22</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3.2.3.1</w:t>
        <w:tab/>
        <w:t xml:space="preserve">Test for Protein</w:t>
        <w:tab/>
        <w:tab/>
        <w:tab/>
        <w:tab/>
        <w:tab/>
        <w:tab/>
        <w:tab/>
        <w:tab/>
        <w:t xml:space="preserve">22</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3.2.3.2</w:t>
        <w:tab/>
        <w:t xml:space="preserve">Test for Fats and Fixed Oils</w:t>
        <w:tab/>
        <w:tab/>
        <w:tab/>
        <w:tab/>
        <w:tab/>
        <w:tab/>
        <w:tab/>
        <w:t xml:space="preserve">22</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3.2.3.3</w:t>
        <w:tab/>
        <w:t xml:space="preserve">Test for Carbohydrates</w:t>
        <w:tab/>
        <w:tab/>
        <w:tab/>
        <w:tab/>
        <w:tab/>
        <w:tab/>
        <w:tab/>
        <w:t xml:space="preserve">23</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3.2.3.4</w:t>
        <w:tab/>
        <w:t xml:space="preserve">Test for Amino Acids</w:t>
        <w:tab/>
        <w:tab/>
        <w:tab/>
        <w:tab/>
        <w:tab/>
        <w:tab/>
        <w:tab/>
        <w:tab/>
        <w:t xml:space="preserve">23</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3.2.3.5</w:t>
        <w:tab/>
        <w:t xml:space="preserve">Test for Glycosides</w:t>
        <w:tab/>
        <w:tab/>
        <w:tab/>
        <w:tab/>
        <w:tab/>
        <w:tab/>
        <w:tab/>
        <w:tab/>
        <w:t xml:space="preserve">23</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3.2.3.6</w:t>
        <w:tab/>
        <w:t xml:space="preserve">Test for Phenolic Compounds and Tannins</w:t>
        <w:tab/>
        <w:tab/>
        <w:tab/>
        <w:tab/>
        <w:tab/>
        <w:t xml:space="preserve">23</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3.2.3.7</w:t>
        <w:tab/>
        <w:t xml:space="preserve">Test for Alkaloids </w:t>
        <w:tab/>
        <w:tab/>
        <w:tab/>
        <w:tab/>
        <w:tab/>
        <w:tab/>
        <w:tab/>
        <w:tab/>
        <w:t xml:space="preserve">23</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3.2.3.8</w:t>
        <w:tab/>
        <w:t xml:space="preserve">Test for Anthraquinones</w:t>
        <w:tab/>
        <w:tab/>
        <w:tab/>
        <w:tab/>
        <w:tab/>
        <w:tab/>
        <w:tab/>
        <w:t xml:space="preserve">23</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Antimicrobial Screening of the Crude Extracts</w:t>
        <w:tab/>
        <w:tab/>
        <w:tab/>
        <w:tab/>
        <w:t xml:space="preserve">24</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3.2.4.1</w:t>
        <w:tab/>
        <w:t xml:space="preserve">Preparation of Graded Concentration of the Sample</w:t>
        <w:tab/>
        <w:tab/>
        <w:tab/>
        <w:tab/>
        <w:t xml:space="preserve">24</w:t>
      </w:r>
    </w:p>
    <w:p>
      <w:pPr>
        <w:spacing w:before="0" w:after="0" w:line="48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3.2.4.2</w:t>
        <w:tab/>
        <w:t xml:space="preserve">Agar Diffusion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Pour Plate Method (Bacteria)</w:t>
        <w:tab/>
        <w:tab/>
        <w:tab/>
        <w:tab/>
        <w:t xml:space="preserve">24</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FOUR: RESULT AND DISCUSSION </w:t>
        <w:tab/>
        <w:tab/>
        <w:tab/>
        <w:tab/>
        <w:t xml:space="preserve">25</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Sample Collection</w:t>
        <w:tab/>
        <w:tab/>
        <w:tab/>
        <w:tab/>
        <w:tab/>
        <w:tab/>
        <w:tab/>
        <w:tab/>
        <w:t xml:space="preserve">25</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Extraction of </w:t>
      </w:r>
      <w:r>
        <w:rPr>
          <w:rFonts w:ascii="Calibri" w:hAnsi="Calibri" w:cs="Calibri" w:eastAsia="Calibri"/>
          <w:i/>
          <w:color w:val="000000"/>
          <w:spacing w:val="0"/>
          <w:position w:val="0"/>
          <w:sz w:val="24"/>
          <w:shd w:fill="auto" w:val="clear"/>
        </w:rPr>
        <w:t xml:space="preserve">Carica papaya</w:t>
        <w:tab/>
        <w:tab/>
        <w:tab/>
      </w:r>
      <w:r>
        <w:rPr>
          <w:rFonts w:ascii="Calibri" w:hAnsi="Calibri" w:cs="Calibri" w:eastAsia="Calibri"/>
          <w:color w:val="000000"/>
          <w:spacing w:val="0"/>
          <w:position w:val="0"/>
          <w:sz w:val="24"/>
          <w:shd w:fill="auto" w:val="clear"/>
        </w:rPr>
        <w:tab/>
        <w:tab/>
        <w:tab/>
        <w:tab/>
        <w:t xml:space="preserve">25</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Phytochemical Screening of the Crude Extracts</w:t>
        <w:tab/>
        <w:tab/>
        <w:tab/>
        <w:tab/>
        <w:t xml:space="preserve">25</w:t>
      </w:r>
    </w:p>
    <w:p>
      <w:pPr>
        <w:spacing w:before="0" w:after="0" w:line="48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Antimicrobial Activity of Crude Extracts from </w:t>
      </w:r>
      <w:r>
        <w:rPr>
          <w:rFonts w:ascii="Calibri" w:hAnsi="Calibri" w:cs="Calibri" w:eastAsia="Calibri"/>
          <w:i/>
          <w:color w:val="000000"/>
          <w:spacing w:val="0"/>
          <w:position w:val="0"/>
          <w:sz w:val="24"/>
          <w:shd w:fill="auto" w:val="clear"/>
        </w:rPr>
        <w:t xml:space="preserve">Carica papaya</w:t>
      </w:r>
      <w:r>
        <w:rPr>
          <w:rFonts w:ascii="Calibri" w:hAnsi="Calibri" w:cs="Calibri" w:eastAsia="Calibri"/>
          <w:color w:val="000000"/>
          <w:spacing w:val="0"/>
          <w:position w:val="0"/>
          <w:sz w:val="24"/>
          <w:shd w:fill="auto" w:val="clear"/>
        </w:rPr>
        <w:tab/>
        <w:tab/>
        <w:t xml:space="preserve">26</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FIVE: CONCLUSION AND RECOMMENDATIONS</w:t>
        <w:tab/>
        <w:tab/>
        <w:t xml:space="preserve">28</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w:t>
        <w:tab/>
        <w:t xml:space="preserve">Conclusion</w:t>
        <w:tab/>
        <w:tab/>
        <w:tab/>
        <w:tab/>
        <w:tab/>
        <w:tab/>
        <w:tab/>
        <w:tab/>
        <w:tab/>
        <w:t xml:space="preserve">28</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w:t>
        <w:tab/>
        <w:t xml:space="preserve">Recommendations</w:t>
        <w:tab/>
        <w:tab/>
        <w:tab/>
        <w:tab/>
        <w:tab/>
        <w:tab/>
        <w:tab/>
        <w:tab/>
        <w:t xml:space="preserve">28</w:t>
        <w:tab/>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References</w:t>
        <w:tab/>
        <w:tab/>
        <w:tab/>
        <w:tab/>
        <w:tab/>
        <w:tab/>
        <w:tab/>
        <w:tab/>
        <w:tab/>
        <w:tab/>
        <w:t xml:space="preserve">29</w:t>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LIST OF FIGURES</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The biosynthetic scheme of plants secondary metabolites.</w:t>
        <w:tab/>
        <w:tab/>
        <w:tab/>
        <w:t xml:space="preserve">11</w:t>
      </w:r>
    </w:p>
    <w:p>
      <w:pPr>
        <w:spacing w:before="0" w:after="0" w:line="48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tab/>
        <w:t xml:space="preserve">Picture of </w:t>
      </w:r>
      <w:r>
        <w:rPr>
          <w:rFonts w:ascii="Calibri" w:hAnsi="Calibri" w:cs="Calibri" w:eastAsia="Calibri"/>
          <w:i/>
          <w:color w:val="000000"/>
          <w:spacing w:val="0"/>
          <w:position w:val="0"/>
          <w:sz w:val="24"/>
          <w:shd w:fill="auto" w:val="clear"/>
        </w:rPr>
        <w:t xml:space="preserve">Mangifera Indica</w:t>
        <w:tab/>
      </w:r>
      <w:r>
        <w:rPr>
          <w:rFonts w:ascii="Calibri" w:hAnsi="Calibri" w:cs="Calibri" w:eastAsia="Calibri"/>
          <w:color w:val="000000"/>
          <w:spacing w:val="0"/>
          <w:position w:val="0"/>
          <w:sz w:val="24"/>
          <w:shd w:fill="auto" w:val="clear"/>
        </w:rPr>
        <w:tab/>
        <w:tab/>
        <w:tab/>
        <w:tab/>
        <w:tab/>
        <w:tab/>
        <w:t xml:space="preserve">19</w:t>
      </w:r>
    </w:p>
    <w:p>
      <w:pPr>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LIST OF TABLES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w:t>
        <w:tab/>
        <w:t xml:space="preserve">Weight of whole plant and methanol extracts</w:t>
      </w:r>
      <w:r>
        <w:rPr>
          <w:rFonts w:ascii="Calibri" w:hAnsi="Calibri" w:cs="Calibri" w:eastAsia="Calibri"/>
          <w:b/>
          <w:color w:val="000000"/>
          <w:spacing w:val="0"/>
          <w:position w:val="0"/>
          <w:sz w:val="24"/>
          <w:shd w:fill="auto" w:val="clear"/>
        </w:rPr>
        <w:tab/>
        <w:tab/>
        <w:tab/>
        <w:tab/>
        <w:tab/>
      </w:r>
      <w:r>
        <w:rPr>
          <w:rFonts w:ascii="Calibri" w:hAnsi="Calibri" w:cs="Calibri" w:eastAsia="Calibri"/>
          <w:color w:val="000000"/>
          <w:spacing w:val="0"/>
          <w:position w:val="0"/>
          <w:sz w:val="24"/>
          <w:shd w:fill="auto" w:val="clear"/>
        </w:rPr>
        <w:t xml:space="preserve">25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ab/>
        <w:t xml:space="preserve">Phytochemical screening results</w:t>
      </w:r>
      <w:r>
        <w:rPr>
          <w:rFonts w:ascii="Calibri" w:hAnsi="Calibri" w:cs="Calibri" w:eastAsia="Calibri"/>
          <w:b/>
          <w:color w:val="000000"/>
          <w:spacing w:val="0"/>
          <w:position w:val="0"/>
          <w:sz w:val="24"/>
          <w:shd w:fill="auto" w:val="clear"/>
        </w:rPr>
        <w:tab/>
        <w:tab/>
        <w:tab/>
        <w:tab/>
        <w:tab/>
        <w:tab/>
      </w:r>
      <w:r>
        <w:rPr>
          <w:rFonts w:ascii="Calibri" w:hAnsi="Calibri" w:cs="Calibri" w:eastAsia="Calibri"/>
          <w:color w:val="000000"/>
          <w:spacing w:val="0"/>
          <w:position w:val="0"/>
          <w:sz w:val="24"/>
          <w:shd w:fill="auto" w:val="clear"/>
        </w:rPr>
        <w:t xml:space="preserve">25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4.5:</w:t>
        <w:tab/>
      </w:r>
      <w:r>
        <w:rPr>
          <w:rFonts w:ascii="Calibri" w:hAnsi="Calibri" w:cs="Calibri" w:eastAsia="Calibri"/>
          <w:color w:val="000000"/>
          <w:spacing w:val="0"/>
          <w:position w:val="0"/>
          <w:sz w:val="24"/>
          <w:shd w:fill="auto" w:val="clear"/>
        </w:rPr>
        <w:t xml:space="preserve">Antibacterial activity of methanol extract of </w:t>
      </w:r>
      <w:r>
        <w:rPr>
          <w:rFonts w:ascii="Calibri" w:hAnsi="Calibri" w:cs="Calibri" w:eastAsia="Calibri"/>
          <w:i/>
          <w:color w:val="000000"/>
          <w:spacing w:val="0"/>
          <w:position w:val="0"/>
          <w:sz w:val="24"/>
          <w:shd w:fill="auto" w:val="clear"/>
        </w:rPr>
        <w:t xml:space="preserve">Carica papaya</w:t>
        <w:tab/>
      </w:r>
      <w:r>
        <w:rPr>
          <w:rFonts w:ascii="Calibri" w:hAnsi="Calibri" w:cs="Calibri" w:eastAsia="Calibri"/>
          <w:b/>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26</w:t>
      </w:r>
    </w:p>
    <w:p>
      <w:pPr>
        <w:spacing w:before="0" w:after="200" w:line="276"/>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ABSTRACT</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study investigated the phytochemical composition and antimicrobial activity of methanol leaf extracts of </w:t>
      </w:r>
      <w:r>
        <w:rPr>
          <w:rFonts w:ascii="Calibri" w:hAnsi="Calibri" w:cs="Calibri" w:eastAsia="Calibri"/>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The leaves were collected, air-dried, and pulverized before methanol extraction, yielding 1.102 g from 1325 g of plant material. Phytochemical screening revealed the presence of proteins, fats and fixed oils, carbohydrates, amino acids, glycosides, phenolic compounds, tannins, and alkaloids, while anthraquinones were absent. The antimicrobial efficacy of the extract was tested against clinical strains of </w:t>
      </w:r>
      <w:r>
        <w:rPr>
          <w:rFonts w:ascii="Times New Roman" w:hAnsi="Times New Roman" w:cs="Times New Roman" w:eastAsia="Times New Roman"/>
          <w:i/>
          <w:color w:val="000000"/>
          <w:spacing w:val="0"/>
          <w:position w:val="0"/>
          <w:sz w:val="24"/>
          <w:shd w:fill="auto" w:val="clear"/>
        </w:rPr>
        <w:t xml:space="preserve">Escherichia coli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Salmonella typhi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Staphylococcus aureus</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Klebsiella pneumoniae</w:t>
      </w:r>
      <w:r>
        <w:rPr>
          <w:rFonts w:ascii="Times New Roman" w:hAnsi="Times New Roman" w:cs="Times New Roman" w:eastAsia="Times New Roman"/>
          <w:color w:val="000000"/>
          <w:spacing w:val="0"/>
          <w:position w:val="0"/>
          <w:sz w:val="24"/>
          <w:shd w:fill="auto" w:val="clear"/>
        </w:rPr>
        <w:t xml:space="preserve"> using the agar well diffusion method. The extract demonstrated inhibitory activity against all tested organisms, with </w:t>
      </w:r>
      <w:r>
        <w:rPr>
          <w:rFonts w:ascii="Times New Roman" w:hAnsi="Times New Roman" w:cs="Times New Roman" w:eastAsia="Times New Roman"/>
          <w:i/>
          <w:color w:val="000000"/>
          <w:spacing w:val="0"/>
          <w:position w:val="0"/>
          <w:sz w:val="24"/>
          <w:shd w:fill="auto" w:val="clear"/>
        </w:rPr>
        <w:t xml:space="preserve">Staphylococcus aureus</w:t>
      </w:r>
      <w:r>
        <w:rPr>
          <w:rFonts w:ascii="Times New Roman" w:hAnsi="Times New Roman" w:cs="Times New Roman" w:eastAsia="Times New Roman"/>
          <w:color w:val="000000"/>
          <w:spacing w:val="0"/>
          <w:position w:val="0"/>
          <w:sz w:val="24"/>
          <w:shd w:fill="auto" w:val="clear"/>
        </w:rPr>
        <w:t xml:space="preserve"> showing the highest susceptibility (1.2 cm zone of inhibition). However, the extract’s effectiveness was lower compared to standard antibiotics (ofloxacin and ampicillin). These findings suggest that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leaf extract possesses significant phytochemical constituents with potential antimicrobial properties.</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ONE</w:t>
      </w: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tab/>
        <w:t xml:space="preserve">Background</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Olayemi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(2019) highlighted that over 60% of bacterial infections in Nigerian hospitals are resistant to commonly used antibiotics, posing a significant challenge to public health.</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Given the escalating threat of AMR, there is an urgent need to explore alternative antimicrobial agents. Medicinal plants have historically been a valuable source of therapeutic compounds.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commonly known as pawpaw, is one such plant that has been traditionally used for its medicinal properties. Various parts of the plant, including the leaves, seeds, and roots, have been utilized in folk medicine to treat a range of ailments (Akinmoladun </w:t>
      </w:r>
      <w:r>
        <w:rPr>
          <w:rFonts w:ascii="Times New Roman" w:hAnsi="Times New Roman" w:cs="Times New Roman" w:eastAsia="Times New Roman"/>
          <w:i/>
          <w:color w:val="000000"/>
          <w:spacing w:val="0"/>
          <w:position w:val="0"/>
          <w:sz w:val="24"/>
          <w:shd w:fill="auto" w:val="clear"/>
        </w:rPr>
        <w:t xml:space="preserve">et al., </w:t>
      </w:r>
      <w:r>
        <w:rPr>
          <w:rFonts w:ascii="Times New Roman" w:hAnsi="Times New Roman" w:cs="Times New Roman" w:eastAsia="Times New Roman"/>
          <w:color w:val="000000"/>
          <w:spacing w:val="0"/>
          <w:position w:val="0"/>
          <w:sz w:val="24"/>
          <w:shd w:fill="auto" w:val="clear"/>
        </w:rPr>
        <w:t xml:space="preserve">2020).</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Recent scientific studies have corroborated the antimicrobial potential of Carica papaya. For instance, Aina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(2017) conducted a comparative phytochemical screening and antimicrobial activity assessment of aqueous and methanol leaf and bark extracts of Carica papaya. The study revealed that methanol extracts exhibited significant antimicrobial activity against pathogens such as Staphylococcus aureus and Bacillus subtilis, with zones of inhibition ranging from 31.00±1.106 mm to 45.50±1.125 mm.</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Furthermore, Jaji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(2021) performed a phytochemical analysis of Carica papaya leaf extracts and identified the presence of bioactive compounds such as flavonoids, alkaloids, tannins, steroids, saponins, and terpenoids. These compounds are known for their antimicrobial properties, suggesting that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could be a viable source of alternative antimicrobial agents.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 </w:t>
        <w:tab/>
        <w:t xml:space="preserve">Problem Statement</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in treating various infections, there is a lack of comprehensive scientific studies validating its antimicrobial efficacy, particularly concerning methanolic extracts. This gap in knowledge hinders the potential integration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-derived compounds into mainstream antimicrobial therapies.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1.3 </w:t>
        <w:tab/>
        <w:t xml:space="preserve">Justification</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urgent need to identify and develop novel antimicrobial agents is underscored by the alarming statistics associated with AMR. Nigeria's high mortality rates linked to resistant infections highlight the inadequacy of current treatment options (Olayemi et al., 2019). Exploring the antimicrobial properties of Carica papaya aligns with global efforts to harness natural products in combating resistant pathogens.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Previous studies have demonstrated the presence of bioactive compounds in Carica papaya with antimicrobial potential (Aina et al., 2017; Jaji et al., 2021). However, comprehensive analyses focusing on methanolic extracts and their efficacy against a broad spectrum of microorganisms remain limited. This study aims to fill this gap, providing scientific validation for the traditional use of Carica papaya and contributing to the global search for effective, plant-based antimicrobial agents.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1.4 </w:t>
        <w:tab/>
        <w:t xml:space="preserve">Aim and Objectives of the Study</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1.4.1</w:t>
        <w:tab/>
        <w:t xml:space="preserve">Aim</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evaluate the phytochemical constituents and antimicrobial activities of methanolic extracts from Carica papaya leaves.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1.4.2 </w:t>
        <w:tab/>
        <w:t xml:space="preserve">Objectives</w:t>
      </w:r>
    </w:p>
    <w:p>
      <w:pPr>
        <w:numPr>
          <w:ilvl w:val="0"/>
          <w:numId w:val="50"/>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perform qualitative and quantitative phytochemical analyses of methanolic extracts from Carica papaya leaves.</w:t>
      </w:r>
    </w:p>
    <w:p>
      <w:pPr>
        <w:numPr>
          <w:ilvl w:val="0"/>
          <w:numId w:val="50"/>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assess the antimicrobial efficacy of these extracts against selected bacterial strains.</w:t>
      </w:r>
    </w:p>
    <w:p>
      <w:pPr>
        <w:numPr>
          <w:ilvl w:val="0"/>
          <w:numId w:val="50"/>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compare the antimicrobial activities of the extracts with standard antibiotics to determine their relative effectiveness.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1.5 </w:t>
        <w:tab/>
        <w:t xml:space="preserve">Significance of the Study</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study holds significant promise in addressing the pressing issue of AMR by exploring alternative, plant-based antimicrobial agents. By scientifically validating the antimicrobial properties of Carica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1.6</w:t>
        <w:tab/>
        <w:t xml:space="preserve"> Scope of the Study</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study focuses on the extraction of phytochemicals from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leaves using methanol as a solvent. It encompasses the qualitative and quantitative analysis of these phytochemicals and evaluates the antimicrobial activities of the extracts against selected bacterial and fungal strains. The research is confined to laboratory-based analyses and does not extend to clinical trials or in vivo studies.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1.7 </w:t>
        <w:tab/>
        <w:t xml:space="preserve">Definition of Key Terms</w:t>
      </w:r>
    </w:p>
    <w:p>
      <w:pPr>
        <w:numPr>
          <w:ilvl w:val="0"/>
          <w:numId w:val="56"/>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Antimicrobial Resistance (AMR):</w:t>
      </w:r>
      <w:r>
        <w:rPr>
          <w:rFonts w:ascii="Times New Roman" w:hAnsi="Times New Roman" w:cs="Times New Roman" w:eastAsia="Times New Roman"/>
          <w:color w:val="000000"/>
          <w:spacing w:val="0"/>
          <w:position w:val="0"/>
          <w:sz w:val="24"/>
          <w:shd w:fill="auto" w:val="clear"/>
        </w:rPr>
        <w:t xml:space="preserve"> The ability of microorganisms to withstand the effects of medications that once could successfully treat them.</w:t>
      </w:r>
    </w:p>
    <w:p>
      <w:pPr>
        <w:numPr>
          <w:ilvl w:val="0"/>
          <w:numId w:val="56"/>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Phytochemicals:</w:t>
      </w:r>
      <w:r>
        <w:rPr>
          <w:rFonts w:ascii="Times New Roman" w:hAnsi="Times New Roman" w:cs="Times New Roman" w:eastAsia="Times New Roman"/>
          <w:color w:val="000000"/>
          <w:spacing w:val="0"/>
          <w:position w:val="0"/>
          <w:sz w:val="24"/>
          <w:shd w:fill="auto" w:val="clear"/>
        </w:rPr>
        <w:t xml:space="preserve"> Bioactive compounds produced by plants, often contributing to their color, flavor, and resistance to diseases.</w:t>
      </w:r>
    </w:p>
    <w:p>
      <w:pPr>
        <w:numPr>
          <w:ilvl w:val="0"/>
          <w:numId w:val="56"/>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Methanolic Extract:</w:t>
      </w:r>
      <w:r>
        <w:rPr>
          <w:rFonts w:ascii="Times New Roman" w:hAnsi="Times New Roman" w:cs="Times New Roman" w:eastAsia="Times New Roman"/>
          <w:color w:val="000000"/>
          <w:spacing w:val="0"/>
          <w:position w:val="0"/>
          <w:sz w:val="24"/>
          <w:shd w:fill="auto" w:val="clear"/>
        </w:rPr>
        <w:t xml:space="preserve"> A solution obtained by using methanol to extract soluble compounds from plant materials.</w:t>
      </w:r>
    </w:p>
    <w:p>
      <w:pPr>
        <w:numPr>
          <w:ilvl w:val="0"/>
          <w:numId w:val="56"/>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Carica papaya</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 tropical plant species known for its edible fruit and medicinal properties.</w:t>
      </w:r>
    </w:p>
    <w:p>
      <w:pPr>
        <w:numPr>
          <w:ilvl w:val="0"/>
          <w:numId w:val="56"/>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Antimicrobial Activity:</w:t>
      </w:r>
      <w:r>
        <w:rPr>
          <w:rFonts w:ascii="Times New Roman" w:hAnsi="Times New Roman" w:cs="Times New Roman" w:eastAsia="Times New Roman"/>
          <w:color w:val="000000"/>
          <w:spacing w:val="0"/>
          <w:position w:val="0"/>
          <w:sz w:val="24"/>
          <w:shd w:fill="auto" w:val="clear"/>
        </w:rPr>
        <w:t xml:space="preserve"> The ability of a substance to kill or inhibit the growth of microorganisms.</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TWO</w:t>
      </w: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LITERATURE REVIEW</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MEDICINAL CHEMISTRY</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(Sofowora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2013)</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Medicinal plants have been used since prehistoric times as food, dietary supplements or medicines. Drug research sometimes makes use of ethnobotany to search for pharmacologically active substances, and this approach has yielded hundreds of useful compounds (Ahn, 2017). These drugs include aspirin, digoxin, 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viz hepatitis, AIDs etc.</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2.2</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MEDICINAL PLANTS AS SOURCES OF ANTIMICROBIAL AGENTS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Plants produce a diverse array of secondary metabolites, including alkaloids, flavonoids, tannins, saponins, and phenolic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Recent studies have highlighted the efficacy of various medicinal plants against a broad spectrum of pathogens. For instance, a comprehensive review by Silva and Fernandes (2021) discusses the antimicrobial activity of plant-derived components and their possible mechanisms of action, emphasizing their chemical potential in combating microbial infections. Similarly, research by Rahman and Akhter (2018) demonstrated the antibacterial properties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seed extracts, affirming their potential as antimicrobial agents.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tab/>
        <w:t xml:space="preserve">Health Organization (WHO) estimates that approximately 80% of the world's population relies on traditional medicine for their primary healthcare needs (WHO, 2013).</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context of Nigeria, the rich biodiversity and ethnobotanical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Oloyede et al. (2018) on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leaf extracts revealed significant antimicrobial activity, supporting its traditional use in managing infectious diseases.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exploration of medicinal plants as sources of antimicrobial agents aligns with global efforts to address the AMR crisis. By investigating the phytochemical constituents and antimicrobial efficacy of plants like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2.3</w:t>
        <w:tab/>
        <w:t xml:space="preserve">PHYTOCHEMISTRY</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Phytochemistry is the study of chemical compounds produced by plants, particularly, secondary metabolites, synthesized as a measure for self-defence against insects, pests, pathogens, herbivores, ultraviolet exposure and environmental hazards (Chukwuebuka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2018). It takes into account the structural compositions of metabolites, the biosynthetic pathways, functions, mechanisms of action in the living systems as well as its medicinal, industrial and commercial applications (Chukwuebuka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2018). It is simply referred to as the study of phytochemicals. </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Phytochemicals, from the Greek word ‘phyto’ meaning plants, are biologically active naturally occurring chemical compounds found in plants, which provides health benefits for humans, further than those attributed to macronutrients and micronutrients (Hasler, 1999). They are natural bioactive compounds in plants that work with nutrients to protect them against pathogenic attack. They are produced by plants through primary or secondary metabolism. They have biological activity in the plant host and play a role in plant growth and defence against competitors, pathogen or predators (Molyneux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2007). These chemical constituents are usually concentrated in different parts of plant such as the roots, stems, leaves, flowers, fruits of seeds (Moranchian, 2000).</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2.3.1</w:t>
        <w:tab/>
        <w:t xml:space="preserve">PRIMARY METABOLITES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cellular metabolism and provide the biochemical precursors for secondary metabolite biosynthesis, many of which are pharmacologically active (Nelson et al., 2017).</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Carbohydrates are among the most common primary metabolites and serve as a primary energy source through glycolysis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Proteins, another crucial category of primary metabolites, are composed of amino acids linked by peptide bonds. These biomolecules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(Croteau et al., 2000).</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Lipids, which include fats, oils, phospholipids, and steroids, function as structural components of cell membranes and energy reserves. Phospholipids are particularly vital as they form the lipid bilayer of cell membranes, ensuring compartmentalization and functionality of cells. Additionally, sterols such as cholesterol are precursors to biologically important molecules like steroid hormones and vitamin D, which have extensive medicinal relevance (Voet et al., 2016).</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Nucleic acids, primarily DNA and RNA, carry genetic information and are involved in protein synthesis and cell regulation. Nucleotide derivatives such as ATP, NAD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and FAD also function as coenzymes and energy carriers, playing critical roles in metabolic reactions. Without these molecules, cellular processes such as replication, transcription, and translation would be impossible (Nelson et al., 2017).</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industrial and pharmaceutical biotechnology, the production and manipulation of primary metabolites have significant implications. For example, ethanol and lactic acid, both primary metabolites, are produced by microbial fermentation and have wide applications ranging from biofuels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Keasling, 2016).</w:t>
      </w:r>
      <w:r>
        <w:rPr>
          <w:rFonts w:ascii="Times New Roman" w:hAnsi="Times New Roman" w:cs="Times New Roman" w:eastAsia="Times New Roman"/>
          <w:b/>
          <w:color w:val="000000"/>
          <w:spacing w:val="0"/>
          <w:position w:val="0"/>
          <w:sz w:val="24"/>
          <w:shd w:fill="auto" w:val="clear"/>
        </w:rPr>
        <w:tab/>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2.3.2</w:t>
        <w:tab/>
        <w:t xml:space="preserve">SECONDARY METABOLITES</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Secondary metabolites are natural products synthesized mainly by bacteria, fungi and plants. They are molecules of low molecular weight with diverse chemical structures and biological activities (Olga, 2021). The medicinal effects of herbals is due to secondary metabolites. They provided lead compounds for the production of medications for treating various diseases from migraine up to cancer (Rehab &amp; Amira, 2017). The secondary metabolites are known to possess antioxidant (Wong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2009), antibacterial and antifungal (Hamid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2011), anti-inflammatory (Kumar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2008), radio-protective activity (Kurkina, 2018). The research of Bello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(2020) showed that the nanoparticles of plant extracts also possess biological activities at an improved rate. The major class of these chemicals are terpenes, alkaloid and phenolic compounds.</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The mechanism by which an organism biosynthesises these compounds is unique to an organism or is an expression of the individuality of a species and it is termed ‘secondary metabolism’. The most common pathways taken for this energy consuming reaction are performed through the pentose for glycosides, polysaccahrides; shikimic acid for phenols, tannins, aromatic alkaloids; acetate-malonate for phenols, alkaloids; and mevalonic acid for terpenes, steroids and alkaloids (Wallingford, 1999). The most important building blocks employed in the biosynthesis of secondary metabolites are derived from acetyl-CoA, shikimic acid, mevalonic acid and 1-deoxylulose-5-phosphate (Ginsburg, 2004). The biosynthetic scheme of plants secondary metabolites is showed below.</w:t>
      </w:r>
    </w:p>
    <w:p>
      <w:pPr>
        <w:spacing w:before="0" w:after="0" w:line="480"/>
        <w:ind w:right="0" w:left="0" w:firstLine="0"/>
        <w:jc w:val="both"/>
        <w:rPr>
          <w:rFonts w:ascii="Calibri" w:hAnsi="Calibri" w:cs="Calibri" w:eastAsia="Calibri"/>
          <w:color w:val="auto"/>
          <w:spacing w:val="0"/>
          <w:position w:val="0"/>
          <w:sz w:val="22"/>
          <w:shd w:fill="auto" w:val="clear"/>
        </w:rPr>
      </w:pPr>
      <w:r>
        <w:object w:dxaOrig="10811" w:dyaOrig="6681">
          <v:rect xmlns:o="urn:schemas-microsoft-com:office:office" xmlns:v="urn:schemas-microsoft-com:vml" id="rectole0000000001" style="width:540.550000pt;height:334.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 2.1: The Biosynthetic Scheme of Plants Secondary Metabolites (Ginsburg, 2004)</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2.4</w:t>
        <w:tab/>
        <w:t xml:space="preserve">EXTRACTION PROCESS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(Sukhdev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2008).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lyophilization. Each of these methods has advantages and disadvantages that should considered before use (Abdullahi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2012). Reducing the plant material to small particle size is essential, as it leads to increase in the area of contact between the plant material and the solvent, and consequently, the more effective the extraction by the solvents.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The extraction methods commonly in used are maceration, infusion, percolation, decoction, Soxhlet or continuous extraction, microwave assisted extraction (MAE), ultrasound-assisted extraction (UAE), accelerated solvent extraction (ASE), and supercritical fluid extraction (SFE) (Azwanida, 2015). Others include, phytotonics process, aqueous alcoholic extraction by fermentation, counter-current extraction (Sukhdev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2008). The most used extraction, as opined by (Krishnananda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2017) are briefly discussed below:</w:t>
      </w:r>
    </w:p>
    <w:p>
      <w:pPr>
        <w:numPr>
          <w:ilvl w:val="0"/>
          <w:numId w:val="65"/>
        </w:numPr>
        <w:spacing w:before="0" w:after="0" w:line="480"/>
        <w:ind w:right="0" w:left="1080" w:hanging="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Maceration</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process, the whole or coarsely powdered crude drug is placed in a stoppered container with the solvent and allowed to stand at room temperature for a period of at least 3 days with frequent agitation until the soluble matter has dissolved. The mixture is then strained, the marc (the damp solid material) is pressed, and the combined liquids are clarified by filtration or decantation after standing (Sukhdev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2008).</w:t>
      </w:r>
    </w:p>
    <w:p>
      <w:pPr>
        <w:numPr>
          <w:ilvl w:val="0"/>
          <w:numId w:val="67"/>
        </w:numPr>
        <w:spacing w:before="0" w:after="0" w:line="480"/>
        <w:ind w:right="0" w:left="108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Hot Continuous Extraction (SOXHLET</w:t>
      </w:r>
      <w:r>
        <w:rPr>
          <w:rFonts w:ascii="Times New Roman" w:hAnsi="Times New Roman" w:cs="Times New Roman" w:eastAsia="Times New Roman"/>
          <w:color w:val="000000"/>
          <w:spacing w:val="0"/>
          <w:position w:val="0"/>
          <w:sz w:val="24"/>
          <w:shd w:fill="auto" w:val="clear"/>
        </w:rPr>
        <w:t xml:space="preserve">)</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In this method, the finely ground crude drug is placed in a porous bag or “thimble” made of strong filter paper, which is placed in chamber of the Soxhlet apparatus. The extracting solvent in the flask is heated, and its vapors condense in condenser. The condensed extractant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(Sukhdev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2008).</w:t>
      </w:r>
    </w:p>
    <w:p>
      <w:pPr>
        <w:numPr>
          <w:ilvl w:val="0"/>
          <w:numId w:val="69"/>
        </w:numPr>
        <w:spacing w:before="0" w:after="0" w:line="480"/>
        <w:ind w:right="0" w:left="1080" w:hanging="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t xml:space="preserve">Supercritical Fluid Extraction (SFE)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Supercritical Fluid Extraction (SFE) involves use of gases, usually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can be manipulated and adjusted by varying the pressure and temperature (Patil &amp; Shettigar, 2010)</w:t>
      </w:r>
    </w:p>
    <w:p>
      <w:pPr>
        <w:numPr>
          <w:ilvl w:val="0"/>
          <w:numId w:val="71"/>
        </w:numPr>
        <w:spacing w:before="0" w:after="0" w:line="480"/>
        <w:ind w:right="0" w:left="1080" w:hanging="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Microwave-Assisted Extraction (MAE)</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from the ruptured cells occurs, hence increasing the yield of phytoconstituents (Gordy &amp; Smith, 1953; Goldman, 1962).</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2.5</w:t>
        <w:tab/>
        <w:t xml:space="preserve">BIOLOGICAL ACTIVITY</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Biological activity is “the capacity of a specific molecular entity to achieve a defined biological effect” on a target (Jackson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4">
        <w:r>
          <w:rPr>
            <w:rFonts w:ascii="Times New Roman" w:hAnsi="Times New Roman" w:cs="Times New Roman" w:eastAsia="Times New Roman"/>
            <w:color w:val="000000"/>
            <w:spacing w:val="0"/>
            <w:position w:val="0"/>
            <w:sz w:val="24"/>
            <w:u w:val="single"/>
            <w:shd w:fill="auto" w:val="clear"/>
          </w:rPr>
          <w:t xml:space="preserve">2007</w:t>
        </w:r>
      </w:hyperlink>
      <w:r>
        <w:rPr>
          <w:rFonts w:ascii="Times New Roman" w:hAnsi="Times New Roman" w:cs="Times New Roman" w:eastAsia="Times New Roman"/>
          <w:color w:val="000000"/>
          <w:spacing w:val="0"/>
          <w:position w:val="0"/>
          <w:sz w:val="24"/>
          <w:shd w:fill="auto" w:val="clear"/>
        </w:rPr>
        <w:t xml:space="preserve">). Biological activities occur as a result of certain effects from exposure to a molecule, these affect a metabolic or physiological response (Mariod &amp; Tohir, 2022). There are many sorts of biological activities such as antibacterial, antioxidant, antifungal, anti-cancer, antiarrhythmic, antimicrobial and anti-inflammatory. These activities can be studied in vivo and in vitro. Biological activity always depends on the dose given to the living organism, so it is logical to show either beneficial or adverse effects that range from low to high. A biological activity is determined by means of a biological assay.</w:t>
      </w:r>
    </w:p>
    <w:p>
      <w:pPr>
        <w:numPr>
          <w:ilvl w:val="0"/>
          <w:numId w:val="75"/>
        </w:numPr>
        <w:spacing w:before="0" w:after="0" w:line="480"/>
        <w:ind w:right="0" w:left="1080" w:hanging="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Antioxidants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Antioxidants are referred to as any substance that, when present in low concentrations compared to that of an oxidisable substrate, signi</w:t>
      </w:r>
      <w:r>
        <w:rPr>
          <w:rFonts w:ascii="Times New Roman" w:hAnsi="Times New Roman" w:cs="Times New Roman" w:eastAsia="Times New Roman"/>
          <w:color w:val="000000"/>
          <w:spacing w:val="0"/>
          <w:position w:val="0"/>
          <w:sz w:val="24"/>
          <w:shd w:fill="auto" w:val="clear"/>
        </w:rPr>
        <w:t xml:space="preserve">ﬁ</w:t>
      </w:r>
      <w:r>
        <w:rPr>
          <w:rFonts w:ascii="Times New Roman" w:hAnsi="Times New Roman" w:cs="Times New Roman" w:eastAsia="Times New Roman"/>
          <w:color w:val="000000"/>
          <w:spacing w:val="0"/>
          <w:position w:val="0"/>
          <w:sz w:val="24"/>
          <w:shd w:fill="auto" w:val="clear"/>
        </w:rPr>
        <w:t xml:space="preserve">cantly delays or inhibits the oxidation of that substrate (Halliwell &amp; Gutteridge, 1995). Antioxidants are the molecules that prevent cellular damage caused by oxidation of other molecules. Oxidation is a chemical reaction that transfers electrons from one molecule to an oxidizing agent. Oxidation reactions are known to produce free radicals. . Antioxidant constituents of the plant material act as these radical scavengers, and helps in converting these highly reactive species which contains one or more unpaired electrons in their outermost shell, to less reactive species. Once the free radicals are formed, the chain reaction starts. Antioxidant reacts with these free radicals and terminates this chain reaction by removing free radical intermediates and inhibits other oxidation reactions by oxidizing themselves (Mamta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2014).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variety of free radical scavenging antioxidants is found in dietary sources like fruits, vegetables and tea. Plants and animals have a complex system of multiple types of antioxidants, such as vitamin C and vitamin E, as well as enzymes, such as catalase (CAT), superoxide dismutase (SOD), and various peroxidases (Hamid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2010). These free radicals, importantly oxygen derivatives such as superoxide and hydroxyl radicals, peroxyl radicals and peroxynite, are responsible for oxidative stress leading to cell damage in the body which contribute to the pathophysiology of common diseases including atherosclerosis, chronic renal failure, and diabetes mellitus, macular degeneration, and cancer (Young &amp; Woodside, 2001).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Antioxidants can be classified into two major types based on their source, i.e. natural and synthetic antioxidants.</w:t>
      </w:r>
    </w:p>
    <w:p>
      <w:pPr>
        <w:numPr>
          <w:ilvl w:val="0"/>
          <w:numId w:val="77"/>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Natural antioxidants</w:t>
      </w:r>
      <w:r>
        <w:rPr>
          <w:rFonts w:ascii="Times New Roman" w:hAnsi="Times New Roman" w:cs="Times New Roman" w:eastAsia="Times New Roman"/>
          <w:color w:val="000000"/>
          <w:spacing w:val="0"/>
          <w:position w:val="0"/>
          <w:sz w:val="24"/>
          <w:shd w:fill="auto" w:val="clear"/>
        </w:rPr>
        <w:t xml:space="preserve"> are those either synthesized in human body through metabolic process or derived from other natural sources such as plants. Food tissues, because they are (or were) living, are under constant oxidative stress from free reactive oxygen species, and prooxidants generated both exogenously (heat and light) and endogenously (H</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and transition metals). For this reason, many of these tissues have developed antioxidant systems to control free radicals, lipid oxidation catalysts, oxidation intermediates, and secondary breakdown products (Nakatani, 2003). These antioxidants can be enzymatic e.g superoxide dismutase (SOD), catalase (CAT), and glutathione peroxidase (GPx), glutathione reductase (GR) and glucose-6- phosphate dehydrogenase (G6PDH) and non-enzymatic e.g minerals, vitamins, carotenoids, polyphenols, and others (Mamta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2014).</w:t>
      </w:r>
    </w:p>
    <w:p>
      <w:pPr>
        <w:numPr>
          <w:ilvl w:val="0"/>
          <w:numId w:val="77"/>
        </w:numPr>
        <w:spacing w:before="0" w:after="0" w:line="48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Synthetic antioxidants</w:t>
      </w:r>
      <w:r>
        <w:rPr>
          <w:rFonts w:ascii="Times New Roman" w:hAnsi="Times New Roman" w:cs="Times New Roman" w:eastAsia="Times New Roman"/>
          <w:color w:val="000000"/>
          <w:spacing w:val="0"/>
          <w:position w:val="0"/>
          <w:sz w:val="24"/>
          <w:shd w:fill="auto" w:val="clear"/>
        </w:rPr>
        <w:t xml:space="preserve"> are chemically synthesized since they do not occur in nature and are added to food as preservatives to help prevent lipid oxidation (Shahidi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1992). Basically, they are polyphenolic compounds that capture the free radicals and stop the chain reactions. Some of the known synthetic antioxidants include butylated hydroxyanisole (BHA), butylated hydroxytoluene (BHT), ethylenediaminetetraacetic acid (EDTA), 6-ethoxy-1,2-dihydro-2,2,4-trimethylquinoline (ethoxyquin), propyl gallate (PG), and tertiary butylhydroquinone (TBHQ) (Hamid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2010).</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(Cai &amp; Sun, 2003).</w:t>
      </w:r>
    </w:p>
    <w:p>
      <w:pPr>
        <w:numPr>
          <w:ilvl w:val="0"/>
          <w:numId w:val="79"/>
        </w:numPr>
        <w:spacing w:before="0" w:after="0" w:line="480"/>
        <w:ind w:right="0" w:left="72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Antiinflamatory Agents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Inflammations is composed of complex sequential changes in the tissue to eliminate </w:t>
      </w:r>
      <w:r>
        <w:rPr>
          <w:rFonts w:ascii="Times New Roman" w:hAnsi="Times New Roman" w:cs="Times New Roman" w:eastAsia="Times New Roman"/>
          <w:color w:val="000000"/>
          <w:spacing w:val="0"/>
          <w:position w:val="0"/>
          <w:sz w:val="24"/>
          <w:shd w:fill="auto" w:val="clear"/>
        </w:rPr>
        <w:t xml:space="preserve">initial cause of cell injury, which may have been caused by infectious agents or substances from their metabolism (microorganisms and toxins), as well as by physical agents (radiation, burn, and trauma), or chemicals (caustic substances) (Fialho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2018). Inflammation is caused by release of chemicals from tissues and migrating cells. Most strongly implicated are these mediators of inflammation; prostaglandins (PGs), leukotrienes (LT5), histamine, bradykinin, and, more recently, platelet-activating factor (PAF) and interleukin-1. (Vane &amp; Botting, 1987). The five cardinal signs of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ammation are local redness, swelling, pain, heat, and loss of function (Virshette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2019). In cases of prolonged release of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mediators and the activation of harmful signal-transduction pathways, the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process persists, and a mild but chronic proin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state may arise (Liu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2017). A low-grade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state is correlated with various disorders and chronic health conditions, such as obesity, diabetes, cancer, and cardiovascular diseases, among others (Clara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2020). Anti-in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agent can interfere in the pathophysiology of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ammation and thereby minimizing tissue damage.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Based on the mode of actions, anti-inflammatories is classified into two; the glucocorticoids and nonsteroidal anti-in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drugs (NSAIDs). Glucocorticoids act by inhibiting prostaglandins and proteins involved in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processes, such as corticosteroids, which among other indications are used in treatment for asthma and autoimmune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response. The NSAIDs prevent the prostaglandins from ever being synthesized by the inhibition of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cyclooxygenase</w:t>
        </w:r>
      </w:hyperlink>
      <w:r>
        <w:rPr>
          <w:rFonts w:ascii="Times New Roman" w:hAnsi="Times New Roman" w:cs="Times New Roman" w:eastAsia="Times New Roman"/>
          <w:color w:val="000000"/>
          <w:spacing w:val="0"/>
          <w:position w:val="0"/>
          <w:sz w:val="24"/>
          <w:shd w:fill="auto" w:val="clear"/>
        </w:rPr>
        <w:t xml:space="preserve"> (COX) enzyme which is responsible for synthesizing prostaglandins (Knights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2010). Some common examples of NSAIDs are acetylsalicylic acid (aspirin), asobutylphenyl propionic acid (ibuprofen) and naproxen.</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Numerous medicinal plants, due to their phytoconstituents such as alkaloids, terpenes, phenolic compounds such as tannins, lignans, coumarins, saponins, </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avonoids, are used instead of Non-steroidal anti-in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drugs (NSAIDs), as the use of non-steroidal anti-in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drugs is associated with several side e</w:t>
      </w:r>
      <w:r>
        <w:rPr>
          <w:rFonts w:ascii="Times New Roman" w:hAnsi="Times New Roman" w:cs="Times New Roman" w:eastAsia="Times New Roman"/>
          <w:color w:val="000000"/>
          <w:spacing w:val="0"/>
          <w:position w:val="0"/>
          <w:sz w:val="24"/>
          <w:shd w:fill="auto" w:val="clear"/>
        </w:rPr>
        <w:t xml:space="preserve">ﬀ</w:t>
      </w:r>
      <w:r>
        <w:rPr>
          <w:rFonts w:ascii="Times New Roman" w:hAnsi="Times New Roman" w:cs="Times New Roman" w:eastAsia="Times New Roman"/>
          <w:color w:val="000000"/>
          <w:spacing w:val="0"/>
          <w:position w:val="0"/>
          <w:sz w:val="24"/>
          <w:shd w:fill="auto" w:val="clear"/>
        </w:rPr>
        <w:t xml:space="preserve">ects, among which are unwanted e</w:t>
      </w:r>
      <w:r>
        <w:rPr>
          <w:rFonts w:ascii="Times New Roman" w:hAnsi="Times New Roman" w:cs="Times New Roman" w:eastAsia="Times New Roman"/>
          <w:color w:val="000000"/>
          <w:spacing w:val="0"/>
          <w:position w:val="0"/>
          <w:sz w:val="24"/>
          <w:shd w:fill="auto" w:val="clear"/>
        </w:rPr>
        <w:t xml:space="preserve">ﬀ</w:t>
      </w:r>
      <w:r>
        <w:rPr>
          <w:rFonts w:ascii="Times New Roman" w:hAnsi="Times New Roman" w:cs="Times New Roman" w:eastAsia="Times New Roman"/>
          <w:color w:val="000000"/>
          <w:spacing w:val="0"/>
          <w:position w:val="0"/>
          <w:sz w:val="24"/>
          <w:shd w:fill="auto" w:val="clear"/>
        </w:rPr>
        <w:t xml:space="preserve">ects on the gastrointestinal tract and the renal system. These plants helps in reducing inflammation and have few side effect as against NSAIDs (Clara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2020). An example of a phytotherapeutic anti-in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agent is Ache</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an</w:t>
      </w:r>
      <w:r>
        <w:rPr>
          <w:rFonts w:ascii="Times New Roman" w:hAnsi="Times New Roman" w:cs="Times New Roman" w:eastAsia="Times New Roman"/>
          <w:color w:val="000000"/>
          <w:spacing w:val="0"/>
          <w:position w:val="0"/>
          <w:sz w:val="24"/>
          <w:shd w:fill="auto" w:val="clear"/>
        </w:rPr>
        <w:t xml:space="preserve">®, indicated for the local treatment of in</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ammatory processes, and Da</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on 500 mg</w:t>
      </w:r>
      <w:r>
        <w:rPr>
          <w:rFonts w:ascii="Times New Roman" w:hAnsi="Times New Roman" w:cs="Times New Roman" w:eastAsia="Times New Roman"/>
          <w:color w:val="000000"/>
          <w:spacing w:val="0"/>
          <w:position w:val="0"/>
          <w:sz w:val="24"/>
          <w:shd w:fill="auto" w:val="clear"/>
        </w:rPr>
        <w:t xml:space="preserve">®, a drug composed of a puri</w:t>
      </w:r>
      <w:r>
        <w:rPr>
          <w:rFonts w:ascii="Times New Roman" w:hAnsi="Times New Roman" w:cs="Times New Roman" w:eastAsia="Times New Roman"/>
          <w:color w:val="000000"/>
          <w:spacing w:val="0"/>
          <w:position w:val="0"/>
          <w:sz w:val="24"/>
          <w:shd w:fill="auto" w:val="clear"/>
        </w:rPr>
        <w:t xml:space="preserve">ﬁ</w:t>
      </w:r>
      <w:r>
        <w:rPr>
          <w:rFonts w:ascii="Times New Roman" w:hAnsi="Times New Roman" w:cs="Times New Roman" w:eastAsia="Times New Roman"/>
          <w:color w:val="000000"/>
          <w:spacing w:val="0"/>
          <w:position w:val="0"/>
          <w:sz w:val="24"/>
          <w:shd w:fill="auto" w:val="clear"/>
        </w:rPr>
        <w:t xml:space="preserve">ed </w:t>
      </w:r>
      <w:r>
        <w:rPr>
          <w:rFonts w:ascii="Times New Roman" w:hAnsi="Times New Roman" w:cs="Times New Roman" w:eastAsia="Times New Roman"/>
          <w:color w:val="000000"/>
          <w:spacing w:val="0"/>
          <w:position w:val="0"/>
          <w:sz w:val="24"/>
          <w:shd w:fill="auto" w:val="clear"/>
        </w:rPr>
        <w:t xml:space="preserve">ﬂ</w:t>
      </w:r>
      <w:r>
        <w:rPr>
          <w:rFonts w:ascii="Times New Roman" w:hAnsi="Times New Roman" w:cs="Times New Roman" w:eastAsia="Times New Roman"/>
          <w:color w:val="000000"/>
          <w:spacing w:val="0"/>
          <w:position w:val="0"/>
          <w:sz w:val="24"/>
          <w:shd w:fill="auto" w:val="clear"/>
        </w:rPr>
        <w:t xml:space="preserve">avonoid fraction that presents venotonic and vasoprotective action (Lucas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2019).</w:t>
      </w:r>
    </w:p>
    <w:p>
      <w:pPr>
        <w:numPr>
          <w:ilvl w:val="0"/>
          <w:numId w:val="81"/>
        </w:numPr>
        <w:spacing w:before="0" w:after="0" w:line="480"/>
        <w:ind w:right="0" w:left="72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Antimicrobials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Antimicrobials are substances of natural, semi-synthetic or synthetic origin that inhibit the growth of microorganisms. Phytoconstituent employed by plants to protect themselves against pathogenic insects, bacteria, fungi or protozoa also belongs to this group and are 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phytoanticipins, which are preformed inhibitory compounds, or phytoalexins, which are derived from precursors via ‘de Novo Synthesis’ in response to microbial attack (Van Etten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1994).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Phytochemicals with antimicrobial activities include phenolics, terpenes, flavonoid, alkaloids, tannins, coumarins among others. Some phytochemicals such as phenolic acid act essentially by helping in the reduction of particular adherence of organisms to the cells lining the bladder and the teeth, which ultimately lowers the incidence of urinary-tract infections (UTI) and the dental caries. Plants can also exert either bacteriostatic or bactericidal activity on microbes (Francis, 2017). Antibiotics which kill bacteria are said to be bactericidal, while those that only prevent their multiplication are referred to as bacteriostatic. However, some antibiotics can act as both bacteriostatic and bactericidal depending on their concentration.</w:t>
      </w:r>
    </w:p>
    <w:p>
      <w:pPr>
        <w:spacing w:before="0" w:after="0" w:line="480"/>
        <w:ind w:right="0" w:left="0" w:firstLine="0"/>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2.6</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Botanical Description and Ethnomedicinal Uses of </w:t>
      </w:r>
      <w:r>
        <w:rPr>
          <w:rFonts w:ascii="Times New Roman" w:hAnsi="Times New Roman" w:cs="Times New Roman" w:eastAsia="Times New Roman"/>
          <w:b/>
          <w:i/>
          <w:color w:val="000000"/>
          <w:spacing w:val="0"/>
          <w:position w:val="0"/>
          <w:sz w:val="24"/>
          <w:shd w:fill="auto" w:val="clear"/>
        </w:rPr>
        <w:t xml:space="preserve">Carica papaya</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 commonly known as pawpaw and called “ibepe” in the Yoruba language, is a fast-growing, short-lived, herbaceous perennial plant belonging to the family Caricaceae (Nwocha et al., 2020). It is a small, sparsely branched tree that typically grows to a height of 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 meters. The stem is cylindrical, hollow, and marked with conspicuous leaf scars. The leaves are large, deeply lobed, and spirally arranged, supported by long petioles (Elfaruk et al., 2019). The plant bears large, fleshy, melon-like fruits that vary in size, shape, and color, usually containing numerous black seeds encased in a mucilaginous layer (Bashir &amp; Haruna, 2021).</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flowers of </w:t>
      </w:r>
      <w:r>
        <w:rPr>
          <w:rFonts w:ascii="Times New Roman" w:hAnsi="Times New Roman" w:cs="Times New Roman" w:eastAsia="Times New Roman"/>
          <w:i/>
          <w:color w:val="000000"/>
          <w:spacing w:val="0"/>
          <w:position w:val="0"/>
          <w:sz w:val="24"/>
          <w:shd w:fill="auto" w:val="clear"/>
        </w:rPr>
        <w:t xml:space="preserve">C. papaya</w:t>
      </w:r>
      <w:r>
        <w:rPr>
          <w:rFonts w:ascii="Times New Roman" w:hAnsi="Times New Roman" w:cs="Times New Roman" w:eastAsia="Times New Roman"/>
          <w:color w:val="000000"/>
          <w:spacing w:val="0"/>
          <w:position w:val="0"/>
          <w:sz w:val="24"/>
          <w:shd w:fill="auto" w:val="clear"/>
        </w:rPr>
        <w:t xml:space="preserve"> are dioecious, occurring separately as male and female flowers on different plants, or hermaphroditic on the same plant (Mwaura et al., 2020). The male flowers are borne on long pendulous racemes, while female and hermaphroditic flowers are usually solitary and axillary. This distinct floral arrangement contributes to the plant's genetic diversity and ensures effective cross-pollination (Mwaura et al., 2020).</w:t>
      </w:r>
    </w:p>
    <w:p>
      <w:pPr>
        <w:spacing w:before="0" w:after="0" w:line="480"/>
        <w:ind w:right="0" w:left="0" w:firstLine="720"/>
        <w:jc w:val="both"/>
        <w:rPr>
          <w:rFonts w:ascii="Calibri" w:hAnsi="Calibri" w:cs="Calibri" w:eastAsia="Calibri"/>
          <w:color w:val="auto"/>
          <w:spacing w:val="0"/>
          <w:position w:val="0"/>
          <w:sz w:val="22"/>
          <w:shd w:fill="auto" w:val="clear"/>
        </w:rPr>
      </w:pPr>
    </w:p>
    <w:p>
      <w:pPr>
        <w:spacing w:before="0" w:after="0" w:line="480"/>
        <w:ind w:right="0" w:left="0" w:firstLine="720"/>
        <w:jc w:val="center"/>
        <w:rPr>
          <w:rFonts w:ascii="Calibri" w:hAnsi="Calibri" w:cs="Calibri" w:eastAsia="Calibri"/>
          <w:color w:val="auto"/>
          <w:spacing w:val="0"/>
          <w:position w:val="0"/>
          <w:sz w:val="22"/>
          <w:shd w:fill="auto" w:val="clear"/>
        </w:rPr>
      </w:pPr>
      <w:r>
        <w:object w:dxaOrig="8747" w:dyaOrig="7289">
          <v:rect xmlns:o="urn:schemas-microsoft-com:office:office" xmlns:v="urn:schemas-microsoft-com:vml" id="rectole0000000002" style="width:437.350000pt;height:364.4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2" ShapeID="rectole0000000002" r:id="docRId6"/>
        </w:object>
      </w:r>
    </w:p>
    <w:p>
      <w:pPr>
        <w:spacing w:before="0" w:after="0" w:line="480"/>
        <w:ind w:right="0" w:left="0" w:firstLine="720"/>
        <w:jc w:val="center"/>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 2.2</w:t>
        <w:tab/>
      </w:r>
      <w:r>
        <w:rPr>
          <w:rFonts w:ascii="Times New Roman" w:hAnsi="Times New Roman" w:cs="Times New Roman" w:eastAsia="Times New Roman"/>
          <w:b/>
          <w:i/>
          <w:color w:val="000000"/>
          <w:spacing w:val="0"/>
          <w:position w:val="0"/>
          <w:sz w:val="24"/>
          <w:shd w:fill="auto" w:val="clear"/>
        </w:rPr>
        <w:t xml:space="preserve">Carica papaya</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Ethnomedicinally, </w:t>
      </w:r>
      <w:r>
        <w:rPr>
          <w:rFonts w:ascii="Times New Roman" w:hAnsi="Times New Roman" w:cs="Times New Roman" w:eastAsia="Times New Roman"/>
          <w:i/>
          <w:color w:val="000000"/>
          <w:spacing w:val="0"/>
          <w:position w:val="0"/>
          <w:sz w:val="24"/>
          <w:shd w:fill="auto" w:val="clear"/>
        </w:rPr>
        <w:t xml:space="preserve">C. papaya</w:t>
      </w:r>
      <w:r>
        <w:rPr>
          <w:rFonts w:ascii="Times New Roman" w:hAnsi="Times New Roman" w:cs="Times New Roman" w:eastAsia="Times New Roman"/>
          <w:color w:val="000000"/>
          <w:spacing w:val="0"/>
          <w:position w:val="0"/>
          <w:sz w:val="24"/>
          <w:shd w:fill="auto" w:val="clear"/>
        </w:rPr>
        <w:t xml:space="preserve"> has been widely utilized in many traditional medicine systems across Africa, Asia, and Latin America. In Yoruba ethnobotany, “ibepe” is used for treating malaria, diarrhea, stomach ulcers, and various infections (Aiyeloja &amp; Bello, 2018). The leaves, seeds, and unripe fruits are particularly important in Yoruba traditional medicine. According to Oyeyemi et al. (2020), decoctions of </w:t>
      </w:r>
      <w:r>
        <w:rPr>
          <w:rFonts w:ascii="Times New Roman" w:hAnsi="Times New Roman" w:cs="Times New Roman" w:eastAsia="Times New Roman"/>
          <w:i/>
          <w:color w:val="000000"/>
          <w:spacing w:val="0"/>
          <w:position w:val="0"/>
          <w:sz w:val="24"/>
          <w:shd w:fill="auto" w:val="clear"/>
        </w:rPr>
        <w:t xml:space="preserve">C. papaya</w:t>
      </w:r>
      <w:r>
        <w:rPr>
          <w:rFonts w:ascii="Times New Roman" w:hAnsi="Times New Roman" w:cs="Times New Roman" w:eastAsia="Times New Roman"/>
          <w:color w:val="000000"/>
          <w:spacing w:val="0"/>
          <w:position w:val="0"/>
          <w:sz w:val="24"/>
          <w:shd w:fill="auto" w:val="clear"/>
        </w:rPr>
        <w:t xml:space="preserve"> leaves are consumed to reduce fever and to treat gastrointestinal disorders, while the latex and seeds are used for their anthelmintic and wound-healing properties.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broader African traditional medicine, the latex is applied topically for skin infections and wound healing, while seed extracts are used as vermifuge and to treat bacterial and fungal infections (Mahmood et al., 2019). The leaf infusion is also believed to boost immunity and help manage conditions such as diabetes and hypertension (Kigigha et al., 2019).</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Several scientific studies support these ethnomedicinal claims, linking them to the rich phytochemical profile of the plant. For instance, Oloyede et al. (2018) identified potent antimicrobial activity in methanolic leaf extracts, validating the Yoruba and other ethnomedical practices. Similarly, research by Mwaura et al. (2020) emphasized the plant's antioxidant and hepatoprotective potential, which is integral to traditional treatments of liver-related ailments.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Globally, the therapeutic applications of </w:t>
      </w:r>
      <w:r>
        <w:rPr>
          <w:rFonts w:ascii="Times New Roman" w:hAnsi="Times New Roman" w:cs="Times New Roman" w:eastAsia="Times New Roman"/>
          <w:i/>
          <w:color w:val="000000"/>
          <w:spacing w:val="0"/>
          <w:position w:val="0"/>
          <w:sz w:val="24"/>
          <w:shd w:fill="auto" w:val="clear"/>
        </w:rPr>
        <w:t xml:space="preserve">C. papaya</w:t>
      </w:r>
      <w:r>
        <w:rPr>
          <w:rFonts w:ascii="Times New Roman" w:hAnsi="Times New Roman" w:cs="Times New Roman" w:eastAsia="Times New Roman"/>
          <w:color w:val="000000"/>
          <w:spacing w:val="0"/>
          <w:position w:val="0"/>
          <w:sz w:val="24"/>
          <w:shd w:fill="auto" w:val="clear"/>
        </w:rPr>
        <w:t xml:space="preserve"> are being harnessed in modern herbal formulations, particularly for gastrointestinal, dermatological, and infectious diseases (Bashir &amp; Haruna, 2021). In Nigeria, where pawpaw is abundant and easily accessible, its use in herbal remedies represents a critical aspect of primary healthcare in rural communities (Aiyeloja &amp; Bello, 2018). In summary, the botanical characteristics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make it a distinctive and valuable plant in tropical regions, while its wide-ranging ethnomedicinal uses, particularly in Yoruba and other African cultures, highlight its relevance as a natural source of therapeutic agents.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THREE</w:t>
      </w:r>
    </w:p>
    <w:p>
      <w:pPr>
        <w:spacing w:before="0" w:after="0" w:line="480"/>
        <w:ind w:right="0" w:left="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MATERIALS AND METHODS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3.1</w:t>
        <w:tab/>
        <w:t xml:space="preserve">MATERIALS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3.1.1</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APPARATUS AND REAGENTS USED</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APPARATUS</w:t>
      </w:r>
      <w:r>
        <w:rPr>
          <w:rFonts w:ascii="Times New Roman" w:hAnsi="Times New Roman" w:cs="Times New Roman" w:eastAsia="Times New Roman"/>
          <w:color w:val="000000"/>
          <w:spacing w:val="0"/>
          <w:position w:val="0"/>
          <w:sz w:val="24"/>
          <w:shd w:fill="auto" w:val="clear"/>
        </w:rPr>
        <w:t xml:space="preserve">: These include; weighing balance, stirrer, heating mantle, sample bottles, retort stand, syringe, foil paper, measuring cylinders, aspirator bottles, reagent bottles, extraction jar, mortar and pestle.</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REAGENTS</w:t>
      </w:r>
      <w:r>
        <w:rPr>
          <w:rFonts w:ascii="Times New Roman" w:hAnsi="Times New Roman" w:cs="Times New Roman" w:eastAsia="Times New Roman"/>
          <w:color w:val="000000"/>
          <w:spacing w:val="0"/>
          <w:position w:val="0"/>
          <w:sz w:val="24"/>
          <w:shd w:fill="auto" w:val="clear"/>
        </w:rPr>
        <w:t xml:space="preserve">: The reagents used were of analytical grade. These reagents include, methanol, copper sulphate, millon’s reagent, hydrochloric acid, Mayers’s reagent, ferric chloride solution, diethyl ether, ammonia solution, dil. Sodium hydroxide, acetic anhydride, ethanol, iodine, potassium iodide, sodium nitroprusside, benedict solution, ninhydrin reagents, lead acetate and benzene.</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w:t>
        <w:tab/>
        <w:t xml:space="preserve">METHODS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3.2.1</w:t>
        <w:tab/>
        <w:t xml:space="preserve">PLANT COLLECTION AND IDENTIFICATION</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Fresh </w:t>
      </w:r>
      <w:r>
        <w:rPr>
          <w:rFonts w:ascii="Times New Roman" w:hAnsi="Times New Roman" w:cs="Times New Roman" w:eastAsia="Times New Roman"/>
          <w:i/>
          <w:color w:val="000000"/>
          <w:spacing w:val="0"/>
          <w:position w:val="0"/>
          <w:sz w:val="24"/>
          <w:shd w:fill="auto" w:val="clear"/>
        </w:rPr>
        <w:t xml:space="preserve">C. papaya </w:t>
      </w:r>
      <w:r>
        <w:rPr>
          <w:rFonts w:ascii="Times New Roman" w:hAnsi="Times New Roman" w:cs="Times New Roman" w:eastAsia="Times New Roman"/>
          <w:color w:val="000000"/>
          <w:spacing w:val="0"/>
          <w:position w:val="0"/>
          <w:sz w:val="24"/>
          <w:shd w:fill="auto" w:val="clear"/>
        </w:rPr>
        <w:t xml:space="preserve">leaves were collected from nearby pawpaw tree at Kwara State Polytechnics, Ilorin, Kwara State, Nigeria, in April 2025, and authenticated by plant expert at the department of Agriculture Technology, Institute of Applied Sciences.</w:t>
      </w:r>
    </w:p>
    <w:p>
      <w:pPr>
        <w:spacing w:before="0" w:after="0" w:line="480"/>
        <w:ind w:right="0" w:left="0" w:firstLine="0"/>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3.2.2</w:t>
        <w:tab/>
        <w:t xml:space="preserve">EXTRACTION of </w:t>
      </w:r>
      <w:r>
        <w:rPr>
          <w:rFonts w:ascii="Times New Roman" w:hAnsi="Times New Roman" w:cs="Times New Roman" w:eastAsia="Times New Roman"/>
          <w:b/>
          <w:i/>
          <w:color w:val="000000"/>
          <w:spacing w:val="0"/>
          <w:position w:val="0"/>
          <w:sz w:val="24"/>
          <w:shd w:fill="auto" w:val="clear"/>
        </w:rPr>
        <w:t xml:space="preserve">C. papaya</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Cold extraction method was employed in the extraction of the plant. The solvent used was methanol, which was firstly distilled to remove any form of impurities. The leaves were washed, air dried and converted into fine powder using mortar and pestle. The powdered plant materials of </w:t>
      </w:r>
      <w:r>
        <w:rPr>
          <w:rFonts w:ascii="Times New Roman" w:hAnsi="Times New Roman" w:cs="Times New Roman" w:eastAsia="Times New Roman"/>
          <w:i/>
          <w:color w:val="000000"/>
          <w:spacing w:val="0"/>
          <w:position w:val="0"/>
          <w:sz w:val="24"/>
          <w:shd w:fill="auto" w:val="clear"/>
        </w:rPr>
        <w:t xml:space="preserve">C. papaya</w:t>
      </w:r>
      <w:r>
        <w:rPr>
          <w:rFonts w:ascii="Times New Roman" w:hAnsi="Times New Roman" w:cs="Times New Roman" w:eastAsia="Times New Roman"/>
          <w:color w:val="000000"/>
          <w:spacing w:val="0"/>
          <w:position w:val="0"/>
          <w:sz w:val="24"/>
          <w:shd w:fill="auto" w:val="clear"/>
        </w:rPr>
        <w:t xml:space="preserve"> weighing 1325g were macerated in 4L of ethanol in a tightly covered extraction jar such that the level of the solvent was above that of the plant materials. The plant material was left in the solvent for 96 hours, at room temperature, so as to ensure adequate extraction of the constituents. The crude extracts were then decanted into a labelled container using cotton wool, after which it was expose to air so that the solvent would evaporate. The mass of the crude extract was 1.102g.</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w:t>
        <w:tab/>
        <w:t xml:space="preserve">QUALITATIVE PHYTOCHEMICAL SCREENING</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Each of the crude extracts was subjected to qualitative phytochemical screening to test for the presence of primary and secondary metabolite. The screening test for different classes of the metabolites were done following procedures previously reported by Baswal et al., (2022).</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3.2.3.1</w:t>
        <w:tab/>
        <w:t xml:space="preserve">TEST FOR PROTEIN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Millon’s Test:</w:t>
      </w:r>
      <w:r>
        <w:rPr>
          <w:rFonts w:ascii="Times New Roman" w:hAnsi="Times New Roman" w:cs="Times New Roman" w:eastAsia="Times New Roman"/>
          <w:color w:val="000000"/>
          <w:spacing w:val="0"/>
          <w:position w:val="0"/>
          <w:sz w:val="24"/>
          <w:shd w:fill="auto" w:val="clear"/>
        </w:rPr>
        <w:t xml:space="preserve"> When a 2 ml of the extract was added with 2 drops of Millon’s reagent in a test tube, a white creamy precipitate appeared. On heating the white creamy precipitate, it changed to brick red which indicated the presence of proteins.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Biuret Test:</w:t>
      </w:r>
      <w:r>
        <w:rPr>
          <w:rFonts w:ascii="Times New Roman" w:hAnsi="Times New Roman" w:cs="Times New Roman" w:eastAsia="Times New Roman"/>
          <w:color w:val="000000"/>
          <w:spacing w:val="0"/>
          <w:position w:val="0"/>
          <w:sz w:val="24"/>
          <w:shd w:fill="auto" w:val="clear"/>
        </w:rPr>
        <w:t xml:space="preserve"> A 2 ml of extract and a few drops of copper sulphate solution were mixed. After this, 1 ml of ethanol (95%) with an excess of potassium hydroxide pellets was added to the solution. A violet or pink layer appeared which indicated the presence of proteins.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3.2.3.2</w:t>
        <w:tab/>
        <w:t xml:space="preserve">TEST FOR FATS AND FIXED OILS (Saponification Test)</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3.2.3.3</w:t>
        <w:tab/>
        <w:tab/>
        <w:t xml:space="preserve">TEST FOR CARBOHYDRATES (Benedict’s Test)</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ml of the extract was mixed with 3 ml of Benedict’s solution and heated in a boiling water bath for 10 minutes. After cooling of the solution, a green, yellow, or red precipitate appeared which indicated the presence of Carbohydrates.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3.2.3.4 </w:t>
        <w:tab/>
        <w:t xml:space="preserve">TEST FOR AMINO ACIDS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ml of the extract was added with 1 ml of ninhydrin reagent. Absence of deep blue colour signifies the absence of amino acids.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3.2.3.5</w:t>
        <w:tab/>
        <w:tab/>
        <w:t xml:space="preserve">TEST FOR GLYCOSIDES (Legal Test)</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ml of pyridine and 1ml of sodium nitroprusside were added to 2ml of extract. The color of the solution changed to pink or red which indicated the presence of glycosides.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3.2.3.6</w:t>
        <w:tab/>
        <w:tab/>
        <w:t xml:space="preserve">TEST FOR PHENOLIC COMPOUND AND TANNINS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Ferric Chloride Test:</w:t>
      </w:r>
      <w:r>
        <w:rPr>
          <w:rFonts w:ascii="Times New Roman" w:hAnsi="Times New Roman" w:cs="Times New Roman" w:eastAsia="Times New Roman"/>
          <w:color w:val="000000"/>
          <w:spacing w:val="0"/>
          <w:position w:val="0"/>
          <w:sz w:val="24"/>
          <w:shd w:fill="auto" w:val="clear"/>
        </w:rPr>
        <w:t xml:space="preserve"> 3 ml of the filtrate was added with 1ml of 5% ferric chloride solution in a test tube. The Bluish black color in the ethanolic layer indicated the presence of tannins and phenols.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Lead Acetate Test:</w:t>
      </w:r>
      <w:r>
        <w:rPr>
          <w:rFonts w:ascii="Times New Roman" w:hAnsi="Times New Roman" w:cs="Times New Roman" w:eastAsia="Times New Roman"/>
          <w:color w:val="000000"/>
          <w:spacing w:val="0"/>
          <w:position w:val="0"/>
          <w:sz w:val="24"/>
          <w:shd w:fill="auto" w:val="clear"/>
        </w:rPr>
        <w:t xml:space="preserve"> 3 ml of the extract was added with 1 ml of 10% lead acetate solution. A bulky white precipitate indicated the presence of phenolic compounds.</w:t>
      </w:r>
    </w:p>
    <w:p>
      <w:pPr>
        <w:spacing w:before="0" w:after="0" w:line="480"/>
        <w:ind w:right="0" w:left="0" w:firstLine="72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3.2.3.7</w:t>
        <w:tab/>
        <w:t xml:space="preserve">TEST FOR ALKALOIDS (Mayer’s Test)</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ml of extract was mixed with a few drops of Mayer’s reagent by the side of the test tube. Absence of white or creamy precipitate indicated the absence of alkaloids.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3.2.3.8</w:t>
        <w:tab/>
        <w:t xml:space="preserve">TEST FOR ANTHRAQUINONE (BORNTRAGER’S TEST)</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Small quantity of the extract (3 ml) was shaken with benzene (4ml). The mixture was filtered and 2ml of dilute 10% ammonia was added to the filterate. The appearance of pink-red colour in the ammoniacal (lower) layer confirms the presence of anthraquinone.</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3.2.4</w:t>
        <w:tab/>
        <w:t xml:space="preserve">ANTIMICROBIAL SCREENING OF THE CRUDE EXTRACTS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Antimicrobial screening of the extracts was carried out at Microbiology Unit, Department of Science Laboratory Technology, Kwara State Polytechnics. The procedure used is explained below.</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3.2.4.1</w:t>
        <w:tab/>
        <w:t xml:space="preserve">PREPARATION OF GRADED CONCENTRATION OF THE SAMPLE</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1000</w:t>
      </w:r>
      <w:r>
        <w:rPr>
          <w:rFonts w:ascii="Times New Roman" w:hAnsi="Times New Roman" w:cs="Times New Roman" w:eastAsia="Times New Roman"/>
          <w:color w:val="000000"/>
          <w:spacing w:val="0"/>
          <w:position w:val="0"/>
          <w:sz w:val="24"/>
          <w:shd w:fill="auto" w:val="clear"/>
        </w:rPr>
        <w:t xml:space="preserve">μg of the sample was dissolved in 10ml of DMSO (50%) for proper dissolution from which 2.5ml was taken into another 2.5ml of the solvent. The 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 xml:space="preserve"> test tube is the negative control (DMSO) while the 3</w:t>
      </w:r>
      <w:r>
        <w:rPr>
          <w:rFonts w:ascii="Times New Roman" w:hAnsi="Times New Roman" w:cs="Times New Roman" w:eastAsia="Times New Roman"/>
          <w:color w:val="000000"/>
          <w:spacing w:val="0"/>
          <w:position w:val="0"/>
          <w:sz w:val="24"/>
          <w:shd w:fill="auto" w:val="clear"/>
          <w:vertAlign w:val="superscript"/>
        </w:rPr>
        <w:t xml:space="preserve">rd</w:t>
      </w:r>
      <w:r>
        <w:rPr>
          <w:rFonts w:ascii="Times New Roman" w:hAnsi="Times New Roman" w:cs="Times New Roman" w:eastAsia="Times New Roman"/>
          <w:color w:val="000000"/>
          <w:spacing w:val="0"/>
          <w:position w:val="0"/>
          <w:sz w:val="24"/>
          <w:shd w:fill="auto" w:val="clear"/>
        </w:rPr>
        <w:t xml:space="preserve"> and 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test tubes were positive controls - ofloxacin and ampicilin.</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3.2.4.2</w:t>
        <w:tab/>
        <w:t xml:space="preserve">AGAR DIFFUSION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POUR PLATE METHOD (BACTERIA)</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overnight culture of each organism was prepared by taken a loop full of the organism from stock and inoculated each into the sterile nutrient broth of 5ml, each incubated for 18-24hrs at 37</w:t>
      </w:r>
      <w:r>
        <w:rPr>
          <w:rFonts w:ascii="Times New Roman" w:hAnsi="Times New Roman" w:cs="Times New Roman" w:eastAsia="Times New Roman"/>
          <w:color w:val="000000"/>
          <w:spacing w:val="0"/>
          <w:position w:val="0"/>
          <w:sz w:val="24"/>
          <w:shd w:fill="auto" w:val="clear"/>
          <w:vertAlign w:val="superscript"/>
        </w:rPr>
        <w:t xml:space="preserve">0</w:t>
      </w:r>
      <w:r>
        <w:rPr>
          <w:rFonts w:ascii="Times New Roman" w:hAnsi="Times New Roman" w:cs="Times New Roman" w:eastAsia="Times New Roman"/>
          <w:color w:val="000000"/>
          <w:spacing w:val="0"/>
          <w:position w:val="0"/>
          <w:sz w:val="24"/>
          <w:shd w:fill="auto" w:val="clear"/>
        </w:rPr>
        <w:t xml:space="preserve">C. From overnight culture 0.1ml of each organism was taken and put into 9.9ml of sterile distilled water to get 1:100 (10</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of the dilution of the organism.</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From the diluted organism (10</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0.2ml was taken into the prepared sterile nutrient agar which was at 45</w:t>
      </w:r>
      <w:r>
        <w:rPr>
          <w:rFonts w:ascii="Times New Roman" w:hAnsi="Times New Roman" w:cs="Times New Roman" w:eastAsia="Times New Roman"/>
          <w:color w:val="000000"/>
          <w:spacing w:val="0"/>
          <w:position w:val="0"/>
          <w:sz w:val="24"/>
          <w:shd w:fill="auto" w:val="clear"/>
          <w:vertAlign w:val="superscript"/>
        </w:rPr>
        <w:t xml:space="preserve">0</w:t>
      </w:r>
      <w:r>
        <w:rPr>
          <w:rFonts w:ascii="Times New Roman" w:hAnsi="Times New Roman" w:cs="Times New Roman" w:eastAsia="Times New Roman"/>
          <w:color w:val="000000"/>
          <w:spacing w:val="0"/>
          <w:position w:val="0"/>
          <w:sz w:val="24"/>
          <w:shd w:fill="auto" w:val="clear"/>
        </w:rPr>
        <w:t xml:space="preserve">C, then aseptically poured into sterile petri dishes, allowed to solidify for about 45-60 minutes (Van den Berge &amp; Vlietinck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Pr>
          <w:rFonts w:ascii="Times New Roman" w:hAnsi="Times New Roman" w:cs="Times New Roman" w:eastAsia="Times New Roman"/>
          <w:color w:val="000000"/>
          <w:spacing w:val="0"/>
          <w:position w:val="0"/>
          <w:sz w:val="24"/>
          <w:shd w:fill="auto" w:val="clear"/>
          <w:vertAlign w:val="superscript"/>
        </w:rPr>
        <w:t xml:space="preserve">0</w:t>
      </w:r>
      <w:r>
        <w:rPr>
          <w:rFonts w:ascii="Times New Roman" w:hAnsi="Times New Roman" w:cs="Times New Roman" w:eastAsia="Times New Roman"/>
          <w:color w:val="000000"/>
          <w:spacing w:val="0"/>
          <w:position w:val="0"/>
          <w:sz w:val="24"/>
          <w:shd w:fill="auto" w:val="clear"/>
        </w:rPr>
        <w:t xml:space="preserve">C.</w:t>
      </w:r>
    </w:p>
    <w:p>
      <w:pPr>
        <w:spacing w:before="0" w:after="0" w:line="48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FOUR</w:t>
      </w:r>
    </w:p>
    <w:p>
      <w:pPr>
        <w:spacing w:before="0" w:after="0" w:line="480"/>
        <w:ind w:right="0" w:left="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RESULTS AND DISCUSSION</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w:t>
        <w:tab/>
        <w:t xml:space="preserve">SAMPLE COLLECTION</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identified and authenticated </w:t>
      </w:r>
      <w:r>
        <w:rPr>
          <w:rFonts w:ascii="Times New Roman" w:hAnsi="Times New Roman" w:cs="Times New Roman" w:eastAsia="Times New Roman"/>
          <w:i/>
          <w:color w:val="000000"/>
          <w:spacing w:val="0"/>
          <w:position w:val="0"/>
          <w:sz w:val="24"/>
          <w:shd w:fill="auto" w:val="clear"/>
        </w:rPr>
        <w:t xml:space="preserve">Carica papya </w:t>
      </w:r>
      <w:r>
        <w:rPr>
          <w:rFonts w:ascii="Times New Roman" w:hAnsi="Times New Roman" w:cs="Times New Roman" w:eastAsia="Times New Roman"/>
          <w:color w:val="000000"/>
          <w:spacing w:val="0"/>
          <w:position w:val="0"/>
          <w:sz w:val="24"/>
          <w:shd w:fill="auto" w:val="clear"/>
        </w:rPr>
        <w:t xml:space="preserve">leaves were air-dried and crushed into powder. The weight of the whole plants and methanol extract are presented in Table 4.1 below.</w:t>
      </w:r>
    </w:p>
    <w:p>
      <w:pPr>
        <w:spacing w:before="0" w:after="0" w:line="480"/>
        <w:ind w:right="0" w:left="72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4.1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Weight of the Whole Plant and Methanol Extracts</w:t>
      </w:r>
    </w:p>
    <w:tbl>
      <w:tblPr/>
      <w:tblGrid>
        <w:gridCol w:w="1418"/>
        <w:gridCol w:w="3827"/>
        <w:gridCol w:w="3118"/>
      </w:tblGrid>
      <w:tr>
        <w:trPr>
          <w:trHeight w:val="429" w:hRule="auto"/>
          <w:jc w:val="center"/>
        </w:trPr>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S/N</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i/>
                <w:color w:val="000000"/>
                <w:spacing w:val="0"/>
                <w:position w:val="0"/>
                <w:sz w:val="24"/>
                <w:shd w:fill="auto" w:val="clear"/>
              </w:rPr>
              <w:t xml:space="preserve">Carica papaya</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Weight (g)</w:t>
            </w:r>
          </w:p>
        </w:tc>
      </w:tr>
      <w:tr>
        <w:trPr>
          <w:trHeight w:val="405" w:hRule="auto"/>
          <w:jc w:val="center"/>
        </w:trPr>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1</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Whole plant</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1325</w:t>
            </w:r>
          </w:p>
        </w:tc>
      </w:tr>
      <w:tr>
        <w:trPr>
          <w:trHeight w:val="429" w:hRule="auto"/>
          <w:jc w:val="center"/>
        </w:trPr>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2</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Methanol extract</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1.102</w:t>
            </w:r>
          </w:p>
        </w:tc>
      </w:tr>
    </w:tbl>
    <w:p>
      <w:pPr>
        <w:spacing w:before="0" w:after="0" w:line="480"/>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w:t>
        <w:tab/>
        <w:t xml:space="preserve">PHYTOCHEMICAL SCREENING OF THE CRUDE EXTRACTS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extract was screened for the different classes of metabolites using appropriate reagents and methods as outlined in chapter three. The result of the screening is presented in table 4.2 below.</w:t>
      </w:r>
    </w:p>
    <w:p>
      <w:pPr>
        <w:spacing w:before="0" w:after="0" w:line="480"/>
        <w:ind w:right="0" w:left="1440" w:hanging="72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4.2: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Phytochemical Tests Results </w:t>
      </w:r>
    </w:p>
    <w:tbl>
      <w:tblPr>
        <w:tblInd w:w="1440" w:type="dxa"/>
      </w:tblPr>
      <w:tblGrid>
        <w:gridCol w:w="590"/>
        <w:gridCol w:w="4192"/>
        <w:gridCol w:w="2151"/>
        <w:gridCol w:w="1203"/>
      </w:tblGrid>
      <w:tr>
        <w:trPr>
          <w:trHeight w:val="1" w:hRule="atLeast"/>
          <w:jc w:val="center"/>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S/N</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Phytochemicals</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Test method(s)</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Methanol extract</w:t>
            </w:r>
          </w:p>
        </w:tc>
      </w:tr>
      <w:tr>
        <w:trPr>
          <w:trHeight w:val="1" w:hRule="atLeast"/>
          <w:jc w:val="center"/>
        </w:trPr>
        <w:tc>
          <w:tcPr>
            <w:tcW w:w="5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419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Protein</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Millon</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9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Biuret </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Fats and fixed oils</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Saponification </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3</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Carbohydrates</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Benedict</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Amino acids</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Ninhydrin</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5</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Glycosides</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Legal</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6</w:t>
            </w:r>
          </w:p>
        </w:tc>
        <w:tc>
          <w:tcPr>
            <w:tcW w:w="419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Phenolic compounds and tannins </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Ferric chloride</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9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Lead acetate</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7</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Alkaloids</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Mayer</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center"/>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8</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Anthraquinones </w:t>
            </w:r>
          </w:p>
        </w:tc>
        <w:tc>
          <w:tcPr>
            <w:tcW w:w="21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Bontrager’s</w:t>
            </w:r>
          </w:p>
        </w:tc>
        <w:tc>
          <w:tcPr>
            <w:tcW w:w="1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p>
        </w:tc>
      </w:tr>
    </w:tbl>
    <w:p>
      <w:pPr>
        <w:numPr>
          <w:ilvl w:val="0"/>
          <w:numId w:val="169"/>
        </w:numPr>
        <w:spacing w:before="0" w:after="0" w:line="276"/>
        <w:ind w:right="0" w:left="720" w:hanging="36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Where: (+) sign indicates presence and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sign indicates absence of corresponding phytoconstitutents</w:t>
      </w:r>
    </w:p>
    <w:p>
      <w:pPr>
        <w:numPr>
          <w:ilvl w:val="0"/>
          <w:numId w:val="169"/>
        </w:numPr>
        <w:spacing w:before="0" w:after="0" w:line="276"/>
        <w:ind w:right="0" w:left="720" w:hanging="360"/>
        <w:jc w:val="both"/>
        <w:rPr>
          <w:rFonts w:ascii="Calibri" w:hAnsi="Calibri" w:cs="Calibri" w:eastAsia="Calibri"/>
          <w:color w:val="auto"/>
          <w:spacing w:val="0"/>
          <w:position w:val="0"/>
          <w:sz w:val="22"/>
          <w:shd w:fill="auto" w:val="clear"/>
        </w:rPr>
      </w:pP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The result of the phytochemical screening indicates the presence of proteins, fat and oil, carbohydrates, amino acids, glycosides, phenolic compound, tannins, and alkaloid, whereas anthraquinones was absent. The presence of these important classes of phytochemicals is a signature that </w:t>
      </w:r>
      <w:r>
        <w:rPr>
          <w:rFonts w:ascii="Times New Roman" w:hAnsi="Times New Roman" w:cs="Times New Roman" w:eastAsia="Times New Roman"/>
          <w:i/>
          <w:color w:val="000000"/>
          <w:spacing w:val="0"/>
          <w:position w:val="0"/>
          <w:sz w:val="24"/>
          <w:shd w:fill="auto" w:val="clear"/>
        </w:rPr>
        <w:t xml:space="preserve">C. papaya </w:t>
      </w:r>
      <w:r>
        <w:rPr>
          <w:rFonts w:ascii="Times New Roman" w:hAnsi="Times New Roman" w:cs="Times New Roman" w:eastAsia="Times New Roman"/>
          <w:color w:val="000000"/>
          <w:spacing w:val="0"/>
          <w:position w:val="0"/>
          <w:sz w:val="24"/>
          <w:shd w:fill="auto" w:val="clear"/>
        </w:rPr>
        <w:t xml:space="preserve">would have pharmacological importance.</w:t>
      </w:r>
    </w:p>
    <w:p>
      <w:pPr>
        <w:spacing w:before="0" w:after="0" w:line="48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w:t>
        <w:tab/>
        <w:t xml:space="preserve">ANTIMICROBIAL ACTIVITY of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Crude Extracts from </w:t>
      </w:r>
      <w:r>
        <w:rPr>
          <w:rFonts w:ascii="Times New Roman" w:hAnsi="Times New Roman" w:cs="Times New Roman" w:eastAsia="Times New Roman"/>
          <w:b/>
          <w:i/>
          <w:color w:val="000000"/>
          <w:spacing w:val="0"/>
          <w:position w:val="0"/>
          <w:sz w:val="24"/>
          <w:shd w:fill="auto" w:val="clear"/>
        </w:rPr>
        <w:t xml:space="preserve">C. papaya</w:t>
      </w:r>
    </w:p>
    <w:p>
      <w:pPr>
        <w:spacing w:before="0" w:after="0" w:line="48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The antibacterial assay is presented in table 4.3 below. The six bacterial used for this study are clinical strains of </w:t>
      </w:r>
      <w:r>
        <w:rPr>
          <w:rFonts w:ascii="Times New Roman" w:hAnsi="Times New Roman" w:cs="Times New Roman" w:eastAsia="Times New Roman"/>
          <w:i/>
          <w:color w:val="000000"/>
          <w:spacing w:val="0"/>
          <w:position w:val="0"/>
          <w:sz w:val="24"/>
          <w:shd w:fill="auto" w:val="clear"/>
        </w:rPr>
        <w:t xml:space="preserve">Staphylococcus aureus, Escherichia coli, Salmonella typhi, Klebsiellae pneumonae</w:t>
      </w:r>
      <w:r>
        <w:rPr>
          <w:rFonts w:ascii="Times New Roman" w:hAnsi="Times New Roman" w:cs="Times New Roman" w:eastAsia="Times New Roman"/>
          <w:color w:val="000000"/>
          <w:spacing w:val="0"/>
          <w:position w:val="0"/>
          <w:sz w:val="24"/>
          <w:shd w:fill="auto" w:val="clear"/>
        </w:rPr>
        <w:t xml:space="preserve">. </w:t>
      </w:r>
    </w:p>
    <w:p>
      <w:pPr>
        <w:spacing w:before="0" w:after="0" w:line="480"/>
        <w:ind w:right="0" w:left="0" w:firstLine="0"/>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4.3: Antibacterial Activity of Methanol Extracts from</w:t>
      </w:r>
      <w:r>
        <w:rPr>
          <w:rFonts w:ascii="Times New Roman" w:hAnsi="Times New Roman" w:cs="Times New Roman" w:eastAsia="Times New Roman"/>
          <w:b/>
          <w:i/>
          <w:color w:val="000000"/>
          <w:spacing w:val="0"/>
          <w:position w:val="0"/>
          <w:sz w:val="24"/>
          <w:shd w:fill="auto" w:val="clear"/>
        </w:rPr>
        <w:t xml:space="preserve"> C. papaya</w:t>
      </w:r>
    </w:p>
    <w:tbl>
      <w:tblPr/>
      <w:tblGrid>
        <w:gridCol w:w="590"/>
        <w:gridCol w:w="3240"/>
        <w:gridCol w:w="1915"/>
        <w:gridCol w:w="1915"/>
        <w:gridCol w:w="1916"/>
      </w:tblGrid>
      <w:tr>
        <w:trPr>
          <w:trHeight w:val="1" w:hRule="atLeast"/>
          <w:jc w:val="left"/>
        </w:trPr>
        <w:tc>
          <w:tcPr>
            <w:tcW w:w="59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rFonts w:ascii="Calibri" w:hAnsi="Calibri" w:cs="Calibri" w:eastAsia="Calibri"/>
                <w:color w:val="auto"/>
                <w:spacing w:val="0"/>
                <w:position w:val="0"/>
                <w:sz w:val="22"/>
                <w:shd w:fill="auto" w:val="clear"/>
              </w:rPr>
            </w:pPr>
          </w:p>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S/N</w:t>
            </w:r>
          </w:p>
        </w:tc>
        <w:tc>
          <w:tcPr>
            <w:tcW w:w="324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TEST ORGANISMS</w:t>
            </w:r>
          </w:p>
        </w:tc>
        <w:tc>
          <w:tcPr>
            <w:tcW w:w="574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Mean Zone Of Inhibition (cm)</w:t>
            </w:r>
          </w:p>
        </w:tc>
      </w:tr>
      <w:tr>
        <w:trPr>
          <w:trHeight w:val="1" w:hRule="atLeast"/>
          <w:jc w:val="left"/>
        </w:trPr>
        <w:tc>
          <w:tcPr>
            <w:tcW w:w="5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1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Extracts</w:t>
            </w:r>
          </w:p>
        </w:tc>
        <w:tc>
          <w:tcPr>
            <w:tcW w:w="383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Standard</w:t>
            </w:r>
          </w:p>
        </w:tc>
      </w:tr>
      <w:tr>
        <w:trPr>
          <w:trHeight w:val="1" w:hRule="atLeast"/>
          <w:jc w:val="left"/>
        </w:trPr>
        <w:tc>
          <w:tcPr>
            <w:tcW w:w="59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Ofloxacin </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Ampicilin</w:t>
            </w:r>
          </w:p>
        </w:tc>
      </w:tr>
      <w:tr>
        <w:trPr>
          <w:trHeight w:val="1" w:hRule="atLeast"/>
          <w:jc w:val="left"/>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Escherichia coli</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1.1</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4.1</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1.2</w:t>
            </w:r>
          </w:p>
        </w:tc>
      </w:tr>
      <w:tr>
        <w:trPr>
          <w:trHeight w:val="1" w:hRule="atLeast"/>
          <w:jc w:val="left"/>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Salmonella typhi</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1.1</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3.9</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1.0</w:t>
            </w:r>
          </w:p>
        </w:tc>
      </w:tr>
      <w:tr>
        <w:trPr>
          <w:trHeight w:val="1" w:hRule="atLeast"/>
          <w:jc w:val="left"/>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3</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Staphylococcus aureus</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1.2</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4.5</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1.6</w:t>
            </w:r>
          </w:p>
        </w:tc>
      </w:tr>
      <w:tr>
        <w:trPr>
          <w:trHeight w:val="1" w:hRule="atLeast"/>
          <w:jc w:val="left"/>
        </w:trPr>
        <w:tc>
          <w:tcPr>
            <w:tcW w:w="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32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Klebsiellae pneumonae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1.0</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2.3</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8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0.8</w:t>
            </w:r>
          </w:p>
        </w:tc>
      </w:tr>
    </w:tbl>
    <w:p>
      <w:pPr>
        <w:spacing w:before="0" w:after="0" w:line="480"/>
        <w:ind w:right="0" w:left="0" w:firstLine="720"/>
        <w:jc w:val="both"/>
        <w:rPr>
          <w:rFonts w:ascii="Calibri" w:hAnsi="Calibri" w:cs="Calibri" w:eastAsia="Calibri"/>
          <w:color w:val="auto"/>
          <w:spacing w:val="0"/>
          <w:position w:val="0"/>
          <w:sz w:val="22"/>
          <w:shd w:fill="auto" w:val="clear"/>
        </w:rPr>
      </w:pP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crude extract inhibited the growth of all the test organisms with </w:t>
      </w:r>
      <w:r>
        <w:rPr>
          <w:rFonts w:ascii="Times New Roman" w:hAnsi="Times New Roman" w:cs="Times New Roman" w:eastAsia="Times New Roman"/>
          <w:i/>
          <w:color w:val="000000"/>
          <w:spacing w:val="0"/>
          <w:position w:val="0"/>
          <w:sz w:val="24"/>
          <w:shd w:fill="auto" w:val="clear"/>
        </w:rPr>
        <w:t xml:space="preserve">Staphylococcus aureus </w:t>
      </w:r>
      <w:r>
        <w:rPr>
          <w:rFonts w:ascii="Times New Roman" w:hAnsi="Times New Roman" w:cs="Times New Roman" w:eastAsia="Times New Roman"/>
          <w:color w:val="000000"/>
          <w:spacing w:val="0"/>
          <w:position w:val="0"/>
          <w:sz w:val="24"/>
          <w:shd w:fill="auto" w:val="clear"/>
        </w:rPr>
        <w:t xml:space="preserve">showing more susceptibility, though the extract is not as effective as the standards (ofloxacin and ampicillin). The activity may be attributed to the presence of bioactive compounds such as phenolic compounds, alkaloid, tannins etc, which have been reported to exhibit antimicrobial activity.</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480"/>
        <w:ind w:right="0" w:left="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CHAPTER FIVE</w:t>
      </w:r>
    </w:p>
    <w:p>
      <w:pPr>
        <w:spacing w:before="0" w:after="0" w:line="480"/>
        <w:ind w:right="0" w:left="0" w:firstLine="72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CONCLUSION AND RECOMMENDATION </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tab/>
        <w:t xml:space="preserve">CONCLUSION</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leaves of </w:t>
      </w:r>
      <w:r>
        <w:rPr>
          <w:rFonts w:ascii="Times New Roman" w:hAnsi="Times New Roman" w:cs="Times New Roman" w:eastAsia="Times New Roman"/>
          <w:i/>
          <w:color w:val="000000"/>
          <w:spacing w:val="0"/>
          <w:position w:val="0"/>
          <w:sz w:val="24"/>
          <w:shd w:fill="auto" w:val="clear"/>
        </w:rPr>
        <w:t xml:space="preserve">C. papaya </w:t>
      </w:r>
      <w:r>
        <w:rPr>
          <w:rFonts w:ascii="Times New Roman" w:hAnsi="Times New Roman" w:cs="Times New Roman" w:eastAsia="Times New Roman"/>
          <w:color w:val="000000"/>
          <w:spacing w:val="0"/>
          <w:position w:val="0"/>
          <w:sz w:val="24"/>
          <w:shd w:fill="auto" w:val="clear"/>
        </w:rPr>
        <w:t xml:space="preserve">have been investigated in this research and the preliminary phytochemical assay revealed the presence of proteins, fat and oil, carbohydrates, amino acids, glycosides, phenolic compound, tannins, and alkaloid in the extracts. Antimicrobial activity of the extract against all the test bacteria were interesting, as the extracts show significant inhibition of all the test organisms.</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above results justify the application of this plant in alternative/traditional medicine for the treatment of various diseases especially those related to oxidative stress and microorganisms.</w:t>
      </w:r>
    </w:p>
    <w:p>
      <w:pPr>
        <w:spacing w:before="0" w:after="0" w:line="4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w:t>
        <w:tab/>
        <w:t xml:space="preserve">RECOMMENDATION </w:t>
      </w:r>
    </w:p>
    <w:p>
      <w:pPr>
        <w:spacing w:before="0" w:after="0" w:line="48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Further research should be conducted to fully isolate, identify, characterize and elucidate the structures of bioactive compounds responsible for the observed pharmacological effects.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360"/>
        <w:ind w:right="0" w:left="540" w:hanging="54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 </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Ahn, K. (2017). The worldwide trend of using botanical drugs and strategies for developing global drugs. </w:t>
      </w:r>
      <w:r>
        <w:rPr>
          <w:rFonts w:ascii="Times New Roman" w:hAnsi="Times New Roman" w:cs="Times New Roman" w:eastAsia="Times New Roman"/>
          <w:i/>
          <w:color w:val="000000"/>
          <w:spacing w:val="0"/>
          <w:position w:val="0"/>
          <w:sz w:val="24"/>
          <w:shd w:fill="auto" w:val="clear"/>
        </w:rPr>
        <w:t xml:space="preserve">BMB reports, 50(3)</w:t>
      </w:r>
      <w:r>
        <w:rPr>
          <w:rFonts w:ascii="Times New Roman" w:hAnsi="Times New Roman" w:cs="Times New Roman" w:eastAsia="Times New Roman"/>
          <w:color w:val="000000"/>
          <w:spacing w:val="0"/>
          <w:position w:val="0"/>
          <w:sz w:val="24"/>
          <w:shd w:fill="auto" w:val="clear"/>
        </w:rPr>
        <w:t xml:space="preserve">, 111-116.</w:t>
      </w:r>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Aina, V. O., Ibrahim, M. B., Abdulsalami, M. S., Adejo, G. O., &amp; Sumayya, I. A. (2017). Comparative phytochemical screening and antimicrobial activity of the aqueous and methanol leaf and bark extracts of Carica papaya. </w:t>
      </w:r>
      <w:r>
        <w:rPr>
          <w:rFonts w:ascii="Times New Roman" w:hAnsi="Times New Roman" w:cs="Times New Roman" w:eastAsia="Times New Roman"/>
          <w:i/>
          <w:color w:val="000000"/>
          <w:spacing w:val="0"/>
          <w:position w:val="0"/>
          <w:sz w:val="24"/>
          <w:shd w:fill="auto" w:val="clear"/>
        </w:rPr>
        <w:t xml:space="preserve">Journal of Pharmaceutical and Allied Sciences</w:t>
      </w:r>
      <w:r>
        <w:rPr>
          <w:rFonts w:ascii="Times New Roman" w:hAnsi="Times New Roman" w:cs="Times New Roman" w:eastAsia="Times New Roman"/>
          <w:color w:val="000000"/>
          <w:spacing w:val="0"/>
          <w:position w:val="0"/>
          <w:sz w:val="24"/>
          <w:shd w:fill="auto" w:val="clear"/>
        </w:rPr>
        <w:t xml:space="preserve">,14(1). Retrieved from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https://www.ajol.info/index.php/jophas/article/view/160433</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Aiyeloja, A. A., &amp; Bello, O. A. (2018). Ethnobotanical potentials of common herbs in Nigeria: A case study of Enugu State. </w:t>
      </w:r>
      <w:r>
        <w:rPr>
          <w:rFonts w:ascii="Times New Roman" w:hAnsi="Times New Roman" w:cs="Times New Roman" w:eastAsia="Times New Roman"/>
          <w:i/>
          <w:color w:val="000000"/>
          <w:spacing w:val="0"/>
          <w:position w:val="0"/>
          <w:sz w:val="24"/>
          <w:shd w:fill="auto" w:val="clear"/>
        </w:rPr>
        <w:t xml:space="preserve">Research Journal of Agriculture and Environmental Management</w:t>
      </w:r>
      <w:r>
        <w:rPr>
          <w:rFonts w:ascii="Times New Roman" w:hAnsi="Times New Roman" w:cs="Times New Roman" w:eastAsia="Times New Roman"/>
          <w:color w:val="000000"/>
          <w:spacing w:val="0"/>
          <w:position w:val="0"/>
          <w:sz w:val="24"/>
          <w:shd w:fill="auto" w:val="clear"/>
        </w:rPr>
        <w:t xml:space="preserve">, 7(3), 69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77.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https://doi.org/10.5897/RJAEM2018.0324</w:t>
        </w:r>
      </w:hyperlink>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Andrew, D., &amp; Simon, E. (2015). </w:t>
      </w:r>
      <w:r>
        <w:rPr>
          <w:rFonts w:ascii="Times New Roman" w:hAnsi="Times New Roman" w:cs="Times New Roman" w:eastAsia="Times New Roman"/>
          <w:i/>
          <w:color w:val="000000"/>
          <w:spacing w:val="0"/>
          <w:position w:val="0"/>
          <w:sz w:val="24"/>
          <w:shd w:fill="auto" w:val="clear"/>
        </w:rPr>
        <w:t xml:space="preserve">Handbook of medicinal chemistry: principles and practice.</w:t>
      </w:r>
      <w:r>
        <w:rPr>
          <w:rFonts w:ascii="Times New Roman" w:hAnsi="Times New Roman" w:cs="Times New Roman" w:eastAsia="Times New Roman"/>
          <w:color w:val="000000"/>
          <w:spacing w:val="0"/>
          <w:position w:val="0"/>
          <w:sz w:val="24"/>
          <w:shd w:fill="auto" w:val="clear"/>
        </w:rPr>
        <w:t xml:space="preserve"> Royal Society of Chemistry. doi: 10.1039/9781781782621836.</w:t>
      </w:r>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Bashir, L., &amp; Haruna, M. (2021). A review on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 and its pharmacological activities. </w:t>
      </w:r>
      <w:r>
        <w:rPr>
          <w:rFonts w:ascii="Times New Roman" w:hAnsi="Times New Roman" w:cs="Times New Roman" w:eastAsia="Times New Roman"/>
          <w:i/>
          <w:color w:val="000000"/>
          <w:spacing w:val="0"/>
          <w:position w:val="0"/>
          <w:sz w:val="24"/>
          <w:shd w:fill="auto" w:val="clear"/>
        </w:rPr>
        <w:t xml:space="preserve">World Journal of Pharmaceutical Research</w:t>
      </w:r>
      <w:r>
        <w:rPr>
          <w:rFonts w:ascii="Times New Roman" w:hAnsi="Times New Roman" w:cs="Times New Roman" w:eastAsia="Times New Roman"/>
          <w:color w:val="000000"/>
          <w:spacing w:val="0"/>
          <w:position w:val="0"/>
          <w:sz w:val="24"/>
          <w:shd w:fill="auto" w:val="clear"/>
        </w:rPr>
        <w:t xml:space="preserve">, 10(1), 152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167.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https://doi.org/10.20959/wjpr20211-19532</w:t>
        </w:r>
      </w:hyperlink>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Bello, O.M., Oguntoye S.O., Dada, A.O, Bello, O.E., Ali, T., Abdullahi, A.A., &amp; Adeniyi, O.A. (2020). Phytobiological-facilitated production of silver nanoparticles from selected non-cultivated vegetables in nigeria and their biological potential. </w:t>
      </w:r>
      <w:r>
        <w:rPr>
          <w:rFonts w:ascii="Times New Roman" w:hAnsi="Times New Roman" w:cs="Times New Roman" w:eastAsia="Times New Roman"/>
          <w:i/>
          <w:color w:val="000000"/>
          <w:spacing w:val="0"/>
          <w:position w:val="0"/>
          <w:sz w:val="24"/>
          <w:shd w:fill="auto" w:val="clear"/>
        </w:rPr>
        <w:t xml:space="preserve">Turk J. Pharm Sci, 17(6), </w:t>
      </w:r>
      <w:r>
        <w:rPr>
          <w:rFonts w:ascii="Times New Roman" w:hAnsi="Times New Roman" w:cs="Times New Roman" w:eastAsia="Times New Roman"/>
          <w:color w:val="000000"/>
          <w:spacing w:val="0"/>
          <w:position w:val="0"/>
          <w:sz w:val="24"/>
          <w:shd w:fill="auto" w:val="clear"/>
        </w:rPr>
        <w:t xml:space="preserve">599-609.</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Chukwu, E. E., Awoderu, O. B., Enwuru, C. A., et al. (2022). High prevalence of resistance to third-generation cephalosporins detected among clinical isolates from sentinel healthcare facilities in Lagos, Nigeria. </w:t>
      </w:r>
      <w:r>
        <w:rPr>
          <w:rFonts w:ascii="Times New Roman" w:hAnsi="Times New Roman" w:cs="Times New Roman" w:eastAsia="Times New Roman"/>
          <w:i/>
          <w:color w:val="000000"/>
          <w:spacing w:val="0"/>
          <w:position w:val="0"/>
          <w:sz w:val="24"/>
          <w:shd w:fill="auto" w:val="clear"/>
        </w:rPr>
        <w:t xml:space="preserve">Antimicrobial Resistance &amp; Infection Control</w:t>
      </w:r>
      <w:r>
        <w:rPr>
          <w:rFonts w:ascii="Times New Roman" w:hAnsi="Times New Roman" w:cs="Times New Roman" w:eastAsia="Times New Roman"/>
          <w:color w:val="000000"/>
          <w:spacing w:val="0"/>
          <w:position w:val="0"/>
          <w:sz w:val="24"/>
          <w:shd w:fill="auto" w:val="clear"/>
        </w:rPr>
        <w:t xml:space="preserve">, 11, 134.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https://doi.org/10.1186/s13756-022-01171-2(BioMed</w:t>
        </w:r>
      </w:hyperlink>
      <w:r>
        <w:rPr>
          <w:rFonts w:ascii="Times New Roman" w:hAnsi="Times New Roman" w:cs="Times New Roman" w:eastAsia="Times New Roman"/>
          <w:color w:val="000000"/>
          <w:spacing w:val="0"/>
          <w:position w:val="0"/>
          <w:sz w:val="24"/>
          <w:shd w:fill="auto" w:val="clear"/>
        </w:rPr>
        <w:t xml:space="preserve"> Central)</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Chukwuebuka, E., Jonathan, C.I, Toske, L.K., Minakshi, M., Hameed, S., Narasimha, Rao, G.M., Lawrence, J.F.G., &amp; Habibu, T. (2018). Introduction to Phytochemistry. </w:t>
      </w:r>
      <w:r>
        <w:rPr>
          <w:rFonts w:ascii="Times New Roman" w:hAnsi="Times New Roman" w:cs="Times New Roman" w:eastAsia="Times New Roman"/>
          <w:i/>
          <w:color w:val="000000"/>
          <w:spacing w:val="0"/>
          <w:position w:val="0"/>
          <w:sz w:val="24"/>
          <w:shd w:fill="auto" w:val="clear"/>
        </w:rPr>
        <w:t xml:space="preserve">Researchgate, 1</w:t>
      </w:r>
      <w:r>
        <w:rPr>
          <w:rFonts w:ascii="Times New Roman" w:hAnsi="Times New Roman" w:cs="Times New Roman" w:eastAsia="Times New Roman"/>
          <w:color w:val="000000"/>
          <w:spacing w:val="0"/>
          <w:position w:val="0"/>
          <w:sz w:val="24"/>
          <w:shd w:fill="auto" w:val="clear"/>
        </w:rPr>
        <w:t xml:space="preserve">. Retrieved from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https://www.researchgate.net/publication/319406552</w:t>
        </w:r>
      </w:hyperlink>
      <w:r>
        <w:rPr>
          <w:rFonts w:ascii="Times New Roman" w:hAnsi="Times New Roman" w:cs="Times New Roman" w:eastAsia="Times New Roman"/>
          <w:color w:val="000000"/>
          <w:spacing w:val="0"/>
          <w:position w:val="0"/>
          <w:sz w:val="24"/>
          <w:shd w:fill="auto" w:val="clear"/>
        </w:rPr>
        <w:t xml:space="preserve"> </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Cowan, M. M. (1999). Plant products as antimicrobial agents. </w:t>
      </w:r>
      <w:r>
        <w:rPr>
          <w:rFonts w:ascii="Times New Roman" w:hAnsi="Times New Roman" w:cs="Times New Roman" w:eastAsia="Times New Roman"/>
          <w:i/>
          <w:color w:val="000000"/>
          <w:spacing w:val="0"/>
          <w:position w:val="0"/>
          <w:sz w:val="24"/>
          <w:shd w:fill="auto" w:val="clear"/>
        </w:rPr>
        <w:t xml:space="preserve">Clinical Microbiology Reviews</w:t>
      </w:r>
      <w:r>
        <w:rPr>
          <w:rFonts w:ascii="Times New Roman" w:hAnsi="Times New Roman" w:cs="Times New Roman" w:eastAsia="Times New Roman"/>
          <w:color w:val="000000"/>
          <w:spacing w:val="0"/>
          <w:position w:val="0"/>
          <w:sz w:val="24"/>
          <w:shd w:fill="auto" w:val="clear"/>
        </w:rPr>
        <w:t xml:space="preserve">, 12(4), 564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582.</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Edward, B.W. (2022). What is medicinal chemistry? </w:t>
      </w:r>
      <w:r>
        <w:rPr>
          <w:rFonts w:ascii="Times New Roman" w:hAnsi="Times New Roman" w:cs="Times New Roman" w:eastAsia="Times New Roman"/>
          <w:i/>
          <w:color w:val="000000"/>
          <w:spacing w:val="0"/>
          <w:position w:val="0"/>
          <w:sz w:val="24"/>
          <w:shd w:fill="auto" w:val="clear"/>
        </w:rPr>
        <w:t xml:space="preserve">Libretext.</w:t>
      </w:r>
      <w:r>
        <w:rPr>
          <w:rFonts w:ascii="Times New Roman" w:hAnsi="Times New Roman" w:cs="Times New Roman" w:eastAsia="Times New Roman"/>
          <w:color w:val="000000"/>
          <w:spacing w:val="0"/>
          <w:position w:val="0"/>
          <w:sz w:val="24"/>
          <w:shd w:fill="auto" w:val="clear"/>
        </w:rPr>
        <w:t xml:space="preserve"> Retrieved from </w:t>
      </w:r>
      <w:hyperlink xmlns:r="http://schemas.openxmlformats.org/officeDocument/2006/relationships" r:id="docRId13">
        <w:r>
          <w:rPr>
            <w:rFonts w:ascii="Times New Roman" w:hAnsi="Times New Roman" w:cs="Times New Roman" w:eastAsia="Times New Roman"/>
            <w:color w:val="000000"/>
            <w:spacing w:val="0"/>
            <w:position w:val="0"/>
            <w:sz w:val="24"/>
            <w:u w:val="single"/>
            <w:shd w:fill="auto" w:val="clear"/>
          </w:rPr>
          <w:t xml:space="preserve">https://chem.libretexts.org</w:t>
        </w:r>
      </w:hyperlink>
      <w:r>
        <w:rPr>
          <w:rFonts w:ascii="Times New Roman" w:hAnsi="Times New Roman" w:cs="Times New Roman" w:eastAsia="Times New Roman"/>
          <w:color w:val="000000"/>
          <w:spacing w:val="0"/>
          <w:position w:val="0"/>
          <w:sz w:val="24"/>
          <w:shd w:fill="auto" w:val="clear"/>
        </w:rPr>
        <w:t xml:space="preserve">.</w:t>
      </w:r>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Elfaruk, M. S., Adekoya, K. A., &amp; Olayiwola, A. O. (2019). Pawpaw: The nature’s gift to health. </w:t>
      </w:r>
      <w:r>
        <w:rPr>
          <w:rFonts w:ascii="Times New Roman" w:hAnsi="Times New Roman" w:cs="Times New Roman" w:eastAsia="Times New Roman"/>
          <w:i/>
          <w:color w:val="000000"/>
          <w:spacing w:val="0"/>
          <w:position w:val="0"/>
          <w:sz w:val="24"/>
          <w:shd w:fill="auto" w:val="clear"/>
        </w:rPr>
        <w:t xml:space="preserve">International Journal of Biological Sciences and Applications</w:t>
      </w:r>
      <w:r>
        <w:rPr>
          <w:rFonts w:ascii="Times New Roman" w:hAnsi="Times New Roman" w:cs="Times New Roman" w:eastAsia="Times New Roman"/>
          <w:color w:val="000000"/>
          <w:spacing w:val="0"/>
          <w:position w:val="0"/>
          <w:sz w:val="24"/>
          <w:shd w:fill="auto" w:val="clear"/>
        </w:rPr>
        <w:t xml:space="preserve">, 6(2), 16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22.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https://doi.org/10.11648/j.ijbsa.20190602.11</w:t>
        </w:r>
      </w:hyperlink>
    </w:p>
    <w:p>
      <w:pPr>
        <w:spacing w:before="0" w:after="0" w:line="480"/>
        <w:ind w:right="0" w:left="709" w:hanging="709"/>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Ginsburg, I., Sadovinic M., Oron, M., &amp; Kohen, R. (2004). Novel chemiluminescence-inducing cocktails, part I: the role in light emission of combinations of luminal with SIN-1, selenite, albumin, glucose oxidase and Co</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Inflammopharmacology, 12(4), </w:t>
      </w:r>
      <w:r>
        <w:rPr>
          <w:rFonts w:ascii="Times New Roman" w:hAnsi="Times New Roman" w:cs="Times New Roman" w:eastAsia="Times New Roman"/>
          <w:color w:val="000000"/>
          <w:spacing w:val="0"/>
          <w:position w:val="0"/>
          <w:sz w:val="24"/>
          <w:shd w:fill="auto" w:val="clear"/>
        </w:rPr>
        <w:t xml:space="preserve">289-303.</w:t>
      </w:r>
      <w:r>
        <w:rPr>
          <w:rFonts w:ascii="Times New Roman" w:hAnsi="Times New Roman" w:cs="Times New Roman" w:eastAsia="Times New Roman"/>
          <w:i/>
          <w:color w:val="000000"/>
          <w:spacing w:val="0"/>
          <w:position w:val="0"/>
          <w:sz w:val="24"/>
          <w:shd w:fill="auto" w:val="clear"/>
        </w:rPr>
        <w:t xml:space="preserve"> </w:t>
      </w:r>
    </w:p>
    <w:p>
      <w:pPr>
        <w:spacing w:before="0" w:after="0" w:line="480"/>
        <w:ind w:right="0" w:left="709" w:hanging="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Goldman, R. (1962). </w:t>
      </w:r>
      <w:r>
        <w:rPr>
          <w:rFonts w:ascii="Times New Roman" w:hAnsi="Times New Roman" w:cs="Times New Roman" w:eastAsia="Times New Roman"/>
          <w:i/>
          <w:color w:val="000000"/>
          <w:spacing w:val="0"/>
          <w:position w:val="0"/>
          <w:sz w:val="24"/>
          <w:shd w:fill="auto" w:val="clear"/>
        </w:rPr>
        <w:t xml:space="preserve">Ultrasonic Technology.</w:t>
      </w:r>
      <w:r>
        <w:rPr>
          <w:rFonts w:ascii="Times New Roman" w:hAnsi="Times New Roman" w:cs="Times New Roman" w:eastAsia="Times New Roman"/>
          <w:color w:val="000000"/>
          <w:spacing w:val="0"/>
          <w:position w:val="0"/>
          <w:sz w:val="24"/>
          <w:shd w:fill="auto" w:val="clear"/>
        </w:rPr>
        <w:t xml:space="preserve"> Van Nostrand Reinhold, New York.</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Gordy, W.W.V., Smith, R.F.T. (1953). </w:t>
      </w:r>
      <w:r>
        <w:rPr>
          <w:rFonts w:ascii="Times New Roman" w:hAnsi="Times New Roman" w:cs="Times New Roman" w:eastAsia="Times New Roman"/>
          <w:i/>
          <w:color w:val="000000"/>
          <w:spacing w:val="0"/>
          <w:position w:val="0"/>
          <w:sz w:val="24"/>
          <w:shd w:fill="auto" w:val="clear"/>
        </w:rPr>
        <w:t xml:space="preserve">Microwave Spectroscopy</w:t>
      </w:r>
      <w:r>
        <w:rPr>
          <w:rFonts w:ascii="Times New Roman" w:hAnsi="Times New Roman" w:cs="Times New Roman" w:eastAsia="Times New Roman"/>
          <w:color w:val="000000"/>
          <w:spacing w:val="0"/>
          <w:position w:val="0"/>
          <w:sz w:val="24"/>
          <w:shd w:fill="auto" w:val="clear"/>
        </w:rPr>
        <w:t xml:space="preserve">. Wiley, New York.</w:t>
      </w:r>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Jaji, S. O., Damazio, O. A., Aiyelero, T. S., Oluwole, F. S., Olagbaye, G. A., Ajetunmobi, O. A., &amp; Ejire, A. A. (2021). Phytochemical contents, characterization and elemental analysis of pawpaw leave extract (Carica papaya). </w:t>
      </w:r>
      <w:r>
        <w:rPr>
          <w:rFonts w:ascii="Times New Roman" w:hAnsi="Times New Roman" w:cs="Times New Roman" w:eastAsia="Times New Roman"/>
          <w:i/>
          <w:color w:val="000000"/>
          <w:spacing w:val="0"/>
          <w:position w:val="0"/>
          <w:sz w:val="24"/>
          <w:shd w:fill="auto" w:val="clear"/>
        </w:rPr>
        <w:t xml:space="preserve">Journal of Chemical Society of Nigeria</w:t>
      </w:r>
      <w:r>
        <w:rPr>
          <w:rFonts w:ascii="Times New Roman" w:hAnsi="Times New Roman" w:cs="Times New Roman" w:eastAsia="Times New Roman"/>
          <w:color w:val="000000"/>
          <w:spacing w:val="0"/>
          <w:position w:val="0"/>
          <w:sz w:val="24"/>
          <w:shd w:fill="auto" w:val="clear"/>
        </w:rPr>
        <w:t xml:space="preserve">, 45(4). Retrieved from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https://www.journals.chemsociety.org.ng/index.php/jcsn/article/view/503</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Kayode, A., Olayemi, A., &amp; Olayinka, B. (2020). Antibiotic resistance patterns of bacterial isolates from urinary tract infections in South-West Nigeria. </w:t>
      </w:r>
      <w:r>
        <w:rPr>
          <w:rFonts w:ascii="Times New Roman" w:hAnsi="Times New Roman" w:cs="Times New Roman" w:eastAsia="Times New Roman"/>
          <w:i/>
          <w:color w:val="000000"/>
          <w:spacing w:val="0"/>
          <w:position w:val="0"/>
          <w:sz w:val="24"/>
          <w:shd w:fill="auto" w:val="clear"/>
        </w:rPr>
        <w:t xml:space="preserve">African Journal of Clinical and Experimental Microbiology</w:t>
      </w:r>
      <w:r>
        <w:rPr>
          <w:rFonts w:ascii="Times New Roman" w:hAnsi="Times New Roman" w:cs="Times New Roman" w:eastAsia="Times New Roman"/>
          <w:color w:val="000000"/>
          <w:spacing w:val="0"/>
          <w:position w:val="0"/>
          <w:sz w:val="24"/>
          <w:shd w:fill="auto" w:val="clear"/>
        </w:rPr>
        <w:t xml:space="preserve">, 21(1), 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https://doi.org/10.4314/ajcem.v21i1.1</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Kigigha, L. T., Benka-Coker, M. O., &amp; Enyinnia, I. (2019). Antibacterial activities of aqueous and methanolic extracts of pawpaw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seeds on bacterial isolates. </w:t>
      </w:r>
      <w:r>
        <w:rPr>
          <w:rFonts w:ascii="Times New Roman" w:hAnsi="Times New Roman" w:cs="Times New Roman" w:eastAsia="Times New Roman"/>
          <w:i/>
          <w:color w:val="000000"/>
          <w:spacing w:val="0"/>
          <w:position w:val="0"/>
          <w:sz w:val="24"/>
          <w:shd w:fill="auto" w:val="clear"/>
        </w:rPr>
        <w:t xml:space="preserve">Asian Pacific Journal of Tropical Medicine</w:t>
      </w:r>
      <w:r>
        <w:rPr>
          <w:rFonts w:ascii="Times New Roman" w:hAnsi="Times New Roman" w:cs="Times New Roman" w:eastAsia="Times New Roman"/>
          <w:color w:val="000000"/>
          <w:spacing w:val="0"/>
          <w:position w:val="0"/>
          <w:sz w:val="24"/>
          <w:shd w:fill="auto" w:val="clear"/>
        </w:rPr>
        <w:t xml:space="preserve">, 12(5), 217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223.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https://doi.org/10.4103/1995-7645.261231</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Laxminarayan, R., Duse, A., Wattal, C., et al. (2013). Antibiotic resistance</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the need for global solutions. </w:t>
      </w:r>
      <w:r>
        <w:rPr>
          <w:rFonts w:ascii="Times New Roman" w:hAnsi="Times New Roman" w:cs="Times New Roman" w:eastAsia="Times New Roman"/>
          <w:i/>
          <w:color w:val="000000"/>
          <w:spacing w:val="0"/>
          <w:position w:val="0"/>
          <w:sz w:val="24"/>
          <w:shd w:fill="auto" w:val="clear"/>
        </w:rPr>
        <w:t xml:space="preserve">The Lancet Infectious Diseases</w:t>
      </w:r>
      <w:r>
        <w:rPr>
          <w:rFonts w:ascii="Times New Roman" w:hAnsi="Times New Roman" w:cs="Times New Roman" w:eastAsia="Times New Roman"/>
          <w:color w:val="000000"/>
          <w:spacing w:val="0"/>
          <w:position w:val="0"/>
          <w:sz w:val="24"/>
          <w:shd w:fill="auto" w:val="clear"/>
        </w:rPr>
        <w:t xml:space="preserve">, 13(12), 1057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1098.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https://doi.org/10.1016/S1473-3099(13)70318-9</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Mahmood, S., Hussain, S., &amp; Aslam, S. (2019).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An overview of its nutritional, phytochemical and pharmacological significance. </w:t>
      </w:r>
      <w:r>
        <w:rPr>
          <w:rFonts w:ascii="Times New Roman" w:hAnsi="Times New Roman" w:cs="Times New Roman" w:eastAsia="Times New Roman"/>
          <w:i/>
          <w:color w:val="000000"/>
          <w:spacing w:val="0"/>
          <w:position w:val="0"/>
          <w:sz w:val="24"/>
          <w:shd w:fill="auto" w:val="clear"/>
        </w:rPr>
        <w:t xml:space="preserve">International Journal of Pharmaceutical Sciences and Research</w:t>
      </w:r>
      <w:r>
        <w:rPr>
          <w:rFonts w:ascii="Times New Roman" w:hAnsi="Times New Roman" w:cs="Times New Roman" w:eastAsia="Times New Roman"/>
          <w:color w:val="000000"/>
          <w:spacing w:val="0"/>
          <w:position w:val="0"/>
          <w:sz w:val="24"/>
          <w:shd w:fill="auto" w:val="clear"/>
        </w:rPr>
        <w:t xml:space="preserve">, 10(11), 5244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5254. </w:t>
      </w: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https://doi.org/10.13040/IJPSR.0975-8232.10(11).5244-54</w:t>
        </w:r>
      </w:hyperlink>
    </w:p>
    <w:p>
      <w:pPr>
        <w:spacing w:before="0" w:after="0" w:line="480"/>
        <w:ind w:right="0" w:left="709" w:hanging="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Mamta, S., Jyoti, S., Rajeev, N., Dharmendra, S. &amp; Abhishek, G. (2013). Phytochemistry of medicinal plans. </w:t>
      </w:r>
      <w:r>
        <w:rPr>
          <w:rFonts w:ascii="Times New Roman" w:hAnsi="Times New Roman" w:cs="Times New Roman" w:eastAsia="Times New Roman"/>
          <w:i/>
          <w:color w:val="000000"/>
          <w:spacing w:val="0"/>
          <w:position w:val="0"/>
          <w:sz w:val="24"/>
          <w:shd w:fill="auto" w:val="clear"/>
        </w:rPr>
        <w:t xml:space="preserve">Journal of Pharmacognosy and Phytochemistry, 1(6), </w:t>
      </w:r>
      <w:r>
        <w:rPr>
          <w:rFonts w:ascii="Times New Roman" w:hAnsi="Times New Roman" w:cs="Times New Roman" w:eastAsia="Times New Roman"/>
          <w:color w:val="000000"/>
          <w:spacing w:val="0"/>
          <w:position w:val="0"/>
          <w:sz w:val="24"/>
          <w:shd w:fill="auto" w:val="clear"/>
        </w:rPr>
        <w:t xml:space="preserve">168-182.</w:t>
      </w:r>
    </w:p>
    <w:p>
      <w:pPr>
        <w:spacing w:before="0" w:after="0" w:line="480"/>
        <w:ind w:right="0" w:left="709" w:hanging="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Molyneux, R.J., Lee, S.T., Gardner, D.R., Panther, K.E., &amp; James, L.F. (2007). Phytochemicals: the good, the bad, the ugly. </w:t>
      </w:r>
      <w:r>
        <w:rPr>
          <w:rFonts w:ascii="Times New Roman" w:hAnsi="Times New Roman" w:cs="Times New Roman" w:eastAsia="Times New Roman"/>
          <w:i/>
          <w:color w:val="000000"/>
          <w:spacing w:val="0"/>
          <w:position w:val="0"/>
          <w:sz w:val="24"/>
          <w:shd w:fill="auto" w:val="clear"/>
        </w:rPr>
        <w:t xml:space="preserve">Phytochemisty, 68(22)</w:t>
      </w:r>
      <w:r>
        <w:rPr>
          <w:rFonts w:ascii="Times New Roman" w:hAnsi="Times New Roman" w:cs="Times New Roman" w:eastAsia="Times New Roman"/>
          <w:color w:val="000000"/>
          <w:spacing w:val="0"/>
          <w:position w:val="0"/>
          <w:sz w:val="24"/>
          <w:shd w:fill="auto" w:val="clear"/>
        </w:rPr>
        <w:t xml:space="preserve">, 2973-2985</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Moorachian, M.E. (2000). Phytochemicals: why and how? </w:t>
      </w:r>
      <w:r>
        <w:rPr>
          <w:rFonts w:ascii="Times New Roman" w:hAnsi="Times New Roman" w:cs="Times New Roman" w:eastAsia="Times New Roman"/>
          <w:i/>
          <w:color w:val="000000"/>
          <w:spacing w:val="0"/>
          <w:position w:val="0"/>
          <w:sz w:val="24"/>
          <w:shd w:fill="auto" w:val="clear"/>
        </w:rPr>
        <w:t xml:space="preserve">Tastings</w:t>
      </w:r>
      <w:r>
        <w:rPr>
          <w:rFonts w:ascii="Times New Roman" w:hAnsi="Times New Roman" w:cs="Times New Roman" w:eastAsia="Times New Roman"/>
          <w:color w:val="000000"/>
          <w:spacing w:val="0"/>
          <w:position w:val="0"/>
          <w:sz w:val="24"/>
          <w:shd w:fill="auto" w:val="clear"/>
        </w:rPr>
        <w:t xml:space="preserve">. pp: 4-5.</w:t>
      </w:r>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Murray, C. J. L., Ikuta, K. S., Sharara, F., et al. (2022). Global burden of bacterial antimicrobial resistance in 2019: a systematic analysis. </w:t>
      </w:r>
      <w:r>
        <w:rPr>
          <w:rFonts w:ascii="Times New Roman" w:hAnsi="Times New Roman" w:cs="Times New Roman" w:eastAsia="Times New Roman"/>
          <w:i/>
          <w:color w:val="000000"/>
          <w:spacing w:val="0"/>
          <w:position w:val="0"/>
          <w:sz w:val="24"/>
          <w:shd w:fill="auto" w:val="clear"/>
        </w:rPr>
        <w:t xml:space="preserve">The Lancet</w:t>
      </w:r>
      <w:r>
        <w:rPr>
          <w:rFonts w:ascii="Times New Roman" w:hAnsi="Times New Roman" w:cs="Times New Roman" w:eastAsia="Times New Roman"/>
          <w:color w:val="000000"/>
          <w:spacing w:val="0"/>
          <w:position w:val="0"/>
          <w:sz w:val="24"/>
          <w:shd w:fill="auto" w:val="clear"/>
        </w:rPr>
        <w:t xml:space="preserve">, 399(10325), 629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655. </w:t>
      </w: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https://doi.org/10.1016/S0140-6736(21)02724-0</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Mwaura, F. B., Njuguna, S. M., &amp; Mbaria, J. M. (2020). Phytochemical constituents and biological activities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A review. </w:t>
      </w:r>
      <w:r>
        <w:rPr>
          <w:rFonts w:ascii="Times New Roman" w:hAnsi="Times New Roman" w:cs="Times New Roman" w:eastAsia="Times New Roman"/>
          <w:i/>
          <w:color w:val="000000"/>
          <w:spacing w:val="0"/>
          <w:position w:val="0"/>
          <w:sz w:val="24"/>
          <w:shd w:fill="auto" w:val="clear"/>
        </w:rPr>
        <w:t xml:space="preserve">Tropical Journal of Natural Product Research</w:t>
      </w:r>
      <w:r>
        <w:rPr>
          <w:rFonts w:ascii="Times New Roman" w:hAnsi="Times New Roman" w:cs="Times New Roman" w:eastAsia="Times New Roman"/>
          <w:color w:val="000000"/>
          <w:spacing w:val="0"/>
          <w:position w:val="0"/>
          <w:sz w:val="24"/>
          <w:shd w:fill="auto" w:val="clear"/>
        </w:rPr>
        <w:t xml:space="preserve">, 4(3), 488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495. </w:t>
      </w: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https://doi.org/10.26538/tjnpr/v4i3.19</w:t>
        </w:r>
      </w:hyperlink>
    </w:p>
    <w:p>
      <w:pPr>
        <w:spacing w:before="0" w:after="0" w:line="360"/>
        <w:ind w:right="0" w:left="540" w:hanging="54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Nigeria Centre for Disease Control and Prevention (NCDC). (2023). Nigeria Joins the Global Community to Commemorate World Antimicrobial Awareness Week (WAAW). Retrieved from </w:t>
      </w: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https://zadmin.ncdc.gov.ng/news/504/nigeria-joins-the-global-community-to-commemorate-world-antimicrobial-awareness-week-%28waaw%29</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Nwocha, C. O., Anyanwu, G. O., &amp; Okereke, C. N. (2020). Antimicrobial activity of the leaf, seed, and root extracts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 against selected bacterial isolates. </w:t>
      </w:r>
      <w:r>
        <w:rPr>
          <w:rFonts w:ascii="Times New Roman" w:hAnsi="Times New Roman" w:cs="Times New Roman" w:eastAsia="Times New Roman"/>
          <w:i/>
          <w:color w:val="000000"/>
          <w:spacing w:val="0"/>
          <w:position w:val="0"/>
          <w:sz w:val="24"/>
          <w:shd w:fill="auto" w:val="clear"/>
        </w:rPr>
        <w:t xml:space="preserve">Journal of Medicinal Plants Research</w:t>
      </w:r>
      <w:r>
        <w:rPr>
          <w:rFonts w:ascii="Times New Roman" w:hAnsi="Times New Roman" w:cs="Times New Roman" w:eastAsia="Times New Roman"/>
          <w:color w:val="000000"/>
          <w:spacing w:val="0"/>
          <w:position w:val="0"/>
          <w:sz w:val="24"/>
          <w:shd w:fill="auto" w:val="clear"/>
        </w:rPr>
        <w:t xml:space="preserve">, 14(3), 122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128. </w:t>
      </w: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https://doi.org/10.5897/JMPR2019.6767</w:t>
        </w:r>
      </w:hyperlink>
    </w:p>
    <w:p>
      <w:pPr>
        <w:spacing w:before="0" w:after="0" w:line="360"/>
        <w:ind w:right="0" w:left="540" w:hanging="54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O'Neill, J. (2016). Tackling drug-resistant infections globally: final report and recommendations. </w:t>
      </w:r>
      <w:r>
        <w:rPr>
          <w:rFonts w:ascii="Times New Roman" w:hAnsi="Times New Roman" w:cs="Times New Roman" w:eastAsia="Times New Roman"/>
          <w:i/>
          <w:color w:val="000000"/>
          <w:spacing w:val="0"/>
          <w:position w:val="0"/>
          <w:sz w:val="24"/>
          <w:shd w:fill="auto" w:val="clear"/>
        </w:rPr>
        <w:t xml:space="preserve">Review on Antimicrobial Resistance</w:t>
      </w:r>
      <w:r>
        <w:rPr>
          <w:rFonts w:ascii="Times New Roman" w:hAnsi="Times New Roman" w:cs="Times New Roman" w:eastAsia="Times New Roman"/>
          <w:color w:val="000000"/>
          <w:spacing w:val="0"/>
          <w:position w:val="0"/>
          <w:sz w:val="24"/>
          <w:shd w:fill="auto" w:val="clear"/>
        </w:rPr>
        <w:t xml:space="preserve">. Retrieved from </w:t>
      </w: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https://amr-review.org/sites/default/files/160518_Final%20paper_with%20cover.pdf</w:t>
        </w:r>
      </w:hyperlink>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Olayemi, O. O., Olayemi, O. O., &amp; Olayemi, O. O. (2019). Antimicrobial resistance in Nigeria: A review of the literature. </w:t>
      </w:r>
      <w:r>
        <w:rPr>
          <w:rFonts w:ascii="Times New Roman" w:hAnsi="Times New Roman" w:cs="Times New Roman" w:eastAsia="Times New Roman"/>
          <w:i/>
          <w:color w:val="000000"/>
          <w:spacing w:val="0"/>
          <w:position w:val="0"/>
          <w:sz w:val="24"/>
          <w:shd w:fill="auto" w:val="clear"/>
        </w:rPr>
        <w:t xml:space="preserve">African Journal of Clinical and Experimental Microbiology</w:t>
      </w:r>
      <w:r>
        <w:rPr>
          <w:rFonts w:ascii="Times New Roman" w:hAnsi="Times New Roman" w:cs="Times New Roman" w:eastAsia="Times New Roman"/>
          <w:color w:val="000000"/>
          <w:spacing w:val="0"/>
          <w:position w:val="0"/>
          <w:sz w:val="24"/>
          <w:shd w:fill="auto" w:val="clear"/>
        </w:rPr>
        <w:t xml:space="preserve">, 20(3), 203-210.</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Olga, M., &amp; Jerome, C. (2021). The biosynthesis of fungal secondary metabolites: from fundamentals to biotechnological applications. </w:t>
      </w:r>
      <w:r>
        <w:rPr>
          <w:rFonts w:ascii="Times New Roman" w:hAnsi="Times New Roman" w:cs="Times New Roman" w:eastAsia="Times New Roman"/>
          <w:i/>
          <w:color w:val="000000"/>
          <w:spacing w:val="0"/>
          <w:position w:val="0"/>
          <w:sz w:val="24"/>
          <w:shd w:fill="auto" w:val="clear"/>
        </w:rPr>
        <w:t xml:space="preserve">Encyclopedia of Mycology, 2, </w:t>
      </w:r>
      <w:r>
        <w:rPr>
          <w:rFonts w:ascii="Times New Roman" w:hAnsi="Times New Roman" w:cs="Times New Roman" w:eastAsia="Times New Roman"/>
          <w:color w:val="000000"/>
          <w:spacing w:val="0"/>
          <w:position w:val="0"/>
          <w:sz w:val="24"/>
          <w:shd w:fill="auto" w:val="clear"/>
        </w:rPr>
        <w:t xml:space="preserve">458-476.</w:t>
      </w:r>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Oloyede, O. I., Ajayi, A. O., &amp; Akinlabi, A. A. (2018). Phytochemical screening and antimicrobial activities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leaf extracts. </w:t>
      </w:r>
      <w:r>
        <w:rPr>
          <w:rFonts w:ascii="Times New Roman" w:hAnsi="Times New Roman" w:cs="Times New Roman" w:eastAsia="Times New Roman"/>
          <w:i/>
          <w:color w:val="000000"/>
          <w:spacing w:val="0"/>
          <w:position w:val="0"/>
          <w:sz w:val="24"/>
          <w:shd w:fill="auto" w:val="clear"/>
        </w:rPr>
        <w:t xml:space="preserve">Journal of Medicinal Plants Research</w:t>
      </w:r>
      <w:r>
        <w:rPr>
          <w:rFonts w:ascii="Times New Roman" w:hAnsi="Times New Roman" w:cs="Times New Roman" w:eastAsia="Times New Roman"/>
          <w:color w:val="000000"/>
          <w:spacing w:val="0"/>
          <w:position w:val="0"/>
          <w:sz w:val="24"/>
          <w:shd w:fill="auto" w:val="clear"/>
        </w:rPr>
        <w:t xml:space="preserve">, 12(10), 123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129. </w:t>
      </w: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https://doi.org/10.5897/JMPR2018.6666</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Oyeyemi, O. T., Adekeye, A., &amp; Olatunji, A. O. (2020). Antimalarial activity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leaf extract and its major phytochemicals in mice infected with </w:t>
      </w:r>
      <w:r>
        <w:rPr>
          <w:rFonts w:ascii="Times New Roman" w:hAnsi="Times New Roman" w:cs="Times New Roman" w:eastAsia="Times New Roman"/>
          <w:i/>
          <w:color w:val="000000"/>
          <w:spacing w:val="0"/>
          <w:position w:val="0"/>
          <w:sz w:val="24"/>
          <w:shd w:fill="auto" w:val="clear"/>
        </w:rPr>
        <w:t xml:space="preserve">Plasmodium berghei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Journal of Parasitic Diseases</w:t>
      </w:r>
      <w:r>
        <w:rPr>
          <w:rFonts w:ascii="Times New Roman" w:hAnsi="Times New Roman" w:cs="Times New Roman" w:eastAsia="Times New Roman"/>
          <w:color w:val="000000"/>
          <w:spacing w:val="0"/>
          <w:position w:val="0"/>
          <w:sz w:val="24"/>
          <w:shd w:fill="auto" w:val="clear"/>
        </w:rPr>
        <w:t xml:space="preserve">, 44(1), 37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43. </w:t>
      </w: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https://doi.org/10.1007/s12639-019-01166-3</w:t>
        </w:r>
      </w:hyperlink>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Rahman, S. A., &amp; Akhter, M. S. (2018). Antibacterial and cytotoxic activities of </w:t>
      </w:r>
      <w:r>
        <w:rPr>
          <w:rFonts w:ascii="Times New Roman" w:hAnsi="Times New Roman" w:cs="Times New Roman" w:eastAsia="Times New Roman"/>
          <w:i/>
          <w:color w:val="000000"/>
          <w:spacing w:val="0"/>
          <w:position w:val="0"/>
          <w:sz w:val="24"/>
          <w:shd w:fill="auto" w:val="clear"/>
        </w:rPr>
        <w:t xml:space="preserve">Carica papaya</w:t>
      </w:r>
      <w:r>
        <w:rPr>
          <w:rFonts w:ascii="Times New Roman" w:hAnsi="Times New Roman" w:cs="Times New Roman" w:eastAsia="Times New Roman"/>
          <w:color w:val="000000"/>
          <w:spacing w:val="0"/>
          <w:position w:val="0"/>
          <w:sz w:val="24"/>
          <w:shd w:fill="auto" w:val="clear"/>
        </w:rPr>
        <w:t xml:space="preserve"> L. (papaya) seeds. </w:t>
      </w:r>
      <w:r>
        <w:rPr>
          <w:rFonts w:ascii="Times New Roman" w:hAnsi="Times New Roman" w:cs="Times New Roman" w:eastAsia="Times New Roman"/>
          <w:i/>
          <w:color w:val="000000"/>
          <w:spacing w:val="0"/>
          <w:position w:val="0"/>
          <w:sz w:val="24"/>
          <w:shd w:fill="auto" w:val="clear"/>
        </w:rPr>
        <w:t xml:space="preserve">Khulna University Studies</w:t>
      </w:r>
      <w:r>
        <w:rPr>
          <w:rFonts w:ascii="Times New Roman" w:hAnsi="Times New Roman" w:cs="Times New Roman" w:eastAsia="Times New Roman"/>
          <w:color w:val="000000"/>
          <w:spacing w:val="0"/>
          <w:position w:val="0"/>
          <w:sz w:val="24"/>
          <w:shd w:fill="auto" w:val="clear"/>
        </w:rPr>
        <w:t xml:space="preserve">, 15(1 &amp; 2), 37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48.(ResearchGate)</w:t>
      </w:r>
    </w:p>
    <w:p>
      <w:pPr>
        <w:spacing w:before="0" w:after="0" w:line="480"/>
        <w:ind w:right="0" w:left="709" w:hanging="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Rehab, A.H., Amira, A.E. (2018). Plant secondary metabolites: the key drivers of the pharmacological actions of medicinal plant. </w:t>
      </w:r>
      <w:r>
        <w:rPr>
          <w:rFonts w:ascii="Times New Roman" w:hAnsi="Times New Roman" w:cs="Times New Roman" w:eastAsia="Times New Roman"/>
          <w:i/>
          <w:color w:val="000000"/>
          <w:spacing w:val="0"/>
          <w:position w:val="0"/>
          <w:sz w:val="24"/>
          <w:shd w:fill="auto" w:val="clear"/>
        </w:rPr>
        <w:t xml:space="preserve">Intechopen</w:t>
      </w:r>
      <w:r>
        <w:rPr>
          <w:rFonts w:ascii="Times New Roman" w:hAnsi="Times New Roman" w:cs="Times New Roman" w:eastAsia="Times New Roman"/>
          <w:color w:val="000000"/>
          <w:spacing w:val="0"/>
          <w:position w:val="0"/>
          <w:sz w:val="24"/>
          <w:shd w:fill="auto" w:val="clear"/>
        </w:rPr>
        <w:t xml:space="preserve">. doi: 10.5772/intechopen.76139. </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Silva, N. C. C., &amp; Fernandes, J. A. (2021). Towards advances in medicinal plant antimicrobial activity. </w:t>
      </w:r>
      <w:r>
        <w:rPr>
          <w:rFonts w:ascii="Times New Roman" w:hAnsi="Times New Roman" w:cs="Times New Roman" w:eastAsia="Times New Roman"/>
          <w:i/>
          <w:color w:val="000000"/>
          <w:spacing w:val="0"/>
          <w:position w:val="0"/>
          <w:sz w:val="24"/>
          <w:shd w:fill="auto" w:val="clear"/>
        </w:rPr>
        <w:t xml:space="preserve">Frontiers in Microbiology</w:t>
      </w:r>
      <w:r>
        <w:rPr>
          <w:rFonts w:ascii="Times New Roman" w:hAnsi="Times New Roman" w:cs="Times New Roman" w:eastAsia="Times New Roman"/>
          <w:color w:val="000000"/>
          <w:spacing w:val="0"/>
          <w:position w:val="0"/>
          <w:sz w:val="24"/>
          <w:shd w:fill="auto" w:val="clear"/>
        </w:rPr>
        <w:t xml:space="preserve">, 12, 8541629. </w:t>
      </w: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https://doi.org/10.3389/fmicb.2021.8541629(PubMed</w:t>
        </w:r>
      </w:hyperlink>
      <w:r>
        <w:rPr>
          <w:rFonts w:ascii="Times New Roman" w:hAnsi="Times New Roman" w:cs="Times New Roman" w:eastAsia="Times New Roman"/>
          <w:color w:val="000000"/>
          <w:spacing w:val="0"/>
          <w:position w:val="0"/>
          <w:sz w:val="24"/>
          <w:shd w:fill="auto" w:val="clear"/>
        </w:rPr>
        <w:t xml:space="preserve"> Central)</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Sofowora, A., Ogunbodede, E., &amp; Onayade, A. (2013). The role of place of medicinal plants in the strategies for disease prevention. </w:t>
      </w:r>
      <w:r>
        <w:rPr>
          <w:rFonts w:ascii="Times New Roman" w:hAnsi="Times New Roman" w:cs="Times New Roman" w:eastAsia="Times New Roman"/>
          <w:i/>
          <w:color w:val="000000"/>
          <w:spacing w:val="0"/>
          <w:position w:val="0"/>
          <w:sz w:val="24"/>
          <w:shd w:fill="auto" w:val="clear"/>
        </w:rPr>
        <w:t xml:space="preserve">Afr J Tradit Complement Altern Med., 10(5), </w:t>
      </w:r>
      <w:r>
        <w:rPr>
          <w:rFonts w:ascii="Times New Roman" w:hAnsi="Times New Roman" w:cs="Times New Roman" w:eastAsia="Times New Roman"/>
          <w:color w:val="000000"/>
          <w:spacing w:val="0"/>
          <w:position w:val="0"/>
          <w:sz w:val="24"/>
          <w:shd w:fill="auto" w:val="clear"/>
        </w:rPr>
        <w:t xml:space="preserve">210-229.</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Ventola, C. L. (2015). The antibiotic resistance crisis: part 1: causes and threats. </w:t>
      </w:r>
      <w:r>
        <w:rPr>
          <w:rFonts w:ascii="Times New Roman" w:hAnsi="Times New Roman" w:cs="Times New Roman" w:eastAsia="Times New Roman"/>
          <w:i/>
          <w:color w:val="000000"/>
          <w:spacing w:val="0"/>
          <w:position w:val="0"/>
          <w:sz w:val="24"/>
          <w:shd w:fill="auto" w:val="clear"/>
        </w:rPr>
        <w:t xml:space="preserve">Pharmacy and Therapeutics</w:t>
      </w:r>
      <w:r>
        <w:rPr>
          <w:rFonts w:ascii="Times New Roman" w:hAnsi="Times New Roman" w:cs="Times New Roman" w:eastAsia="Times New Roman"/>
          <w:color w:val="000000"/>
          <w:spacing w:val="0"/>
          <w:position w:val="0"/>
          <w:sz w:val="24"/>
          <w:shd w:fill="auto" w:val="clear"/>
        </w:rPr>
        <w:t xml:space="preserve">, 40(4), 277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283.</w:t>
      </w:r>
    </w:p>
    <w:p>
      <w:pPr>
        <w:spacing w:before="0" w:after="0" w:line="360"/>
        <w:ind w:right="0" w:left="540"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World Health Organization (WHO). (2020). Antimicrobial resistance. Retrieved from </w:t>
      </w: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https://www.who.int/news-room/fact-sheets/detail/antimicrobial-resistance(BioMed</w:t>
        </w:r>
      </w:hyperlink>
      <w:r>
        <w:rPr>
          <w:rFonts w:ascii="Times New Roman" w:hAnsi="Times New Roman" w:cs="Times New Roman" w:eastAsia="Times New Roman"/>
          <w:color w:val="000000"/>
          <w:spacing w:val="0"/>
          <w:position w:val="0"/>
          <w:sz w:val="24"/>
          <w:shd w:fill="auto" w:val="clear"/>
        </w:rPr>
        <w:t xml:space="preserve"> Central)</w:t>
      </w:r>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World Health Organization (WHO). (2019). Antimicrobial resistance. Retrieved from </w:t>
      </w: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https://www.who.int/news-room/fact-sheets/detail/antimicrobial-resistance</w:t>
        </w:r>
      </w:hyperlink>
    </w:p>
    <w:p>
      <w:pPr>
        <w:spacing w:before="0" w:after="0" w:line="360"/>
        <w:ind w:right="0" w:left="540"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World Health Organization (WHO). (2013). Traditional medicine. Retrieved from </w:t>
      </w:r>
      <w:hyperlink xmlns:r="http://schemas.openxmlformats.org/officeDocument/2006/relationships" r:id="docRId30">
        <w:r>
          <w:rPr>
            <w:rFonts w:ascii="Times New Roman" w:hAnsi="Times New Roman" w:cs="Times New Roman" w:eastAsia="Times New Roman"/>
            <w:color w:val="0000FF"/>
            <w:spacing w:val="0"/>
            <w:position w:val="0"/>
            <w:sz w:val="24"/>
            <w:u w:val="single"/>
            <w:shd w:fill="auto" w:val="clear"/>
          </w:rPr>
          <w:t xml:space="preserve">https://www.who.int/health-topics/traditional-complementary-and-integrative-medicine</w:t>
        </w:r>
      </w:hyperlink>
    </w:p>
    <w:p>
      <w:pPr>
        <w:spacing w:before="0" w:after="0" w:line="480"/>
        <w:ind w:right="0" w:left="0" w:firstLine="720"/>
        <w:jc w:val="both"/>
        <w:rPr>
          <w:rFonts w:ascii="Calibri" w:hAnsi="Calibri" w:cs="Calibri" w:eastAsia="Calibri"/>
          <w:color w:val="auto"/>
          <w:spacing w:val="0"/>
          <w:position w:val="0"/>
          <w:sz w:val="22"/>
          <w:shd w:fill="auto" w:val="clear"/>
        </w:rPr>
      </w:pPr>
    </w:p>
    <w:p>
      <w:pPr>
        <w:spacing w:before="0" w:after="0" w:line="48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50">
    <w:abstractNumId w:val="60"/>
  </w:num>
  <w:num w:numId="56">
    <w:abstractNumId w:val="54"/>
  </w:num>
  <w:num w:numId="65">
    <w:abstractNumId w:val="48"/>
  </w:num>
  <w:num w:numId="67">
    <w:abstractNumId w:val="42"/>
  </w:num>
  <w:num w:numId="69">
    <w:abstractNumId w:val="36"/>
  </w:num>
  <w:num w:numId="71">
    <w:abstractNumId w:val="30"/>
  </w:num>
  <w:num w:numId="75">
    <w:abstractNumId w:val="24"/>
  </w:num>
  <w:num w:numId="77">
    <w:abstractNumId w:val="18"/>
  </w:num>
  <w:num w:numId="79">
    <w:abstractNumId w:val="12"/>
  </w:num>
  <w:num w:numId="81">
    <w:abstractNumId w:val="6"/>
  </w:num>
  <w:num w:numId="16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2.wmf" Id="docRId7" Type="http://schemas.openxmlformats.org/officeDocument/2006/relationships/image" /><Relationship TargetMode="External" Target="https://doi.org/10.11648/j.ijbsa.20190602.11" Id="docRId14" Type="http://schemas.openxmlformats.org/officeDocument/2006/relationships/hyperlink" /><Relationship TargetMode="External" Target="https://doi.org/10.5897/JMPR2019.6767" Id="docRId23" Type="http://schemas.openxmlformats.org/officeDocument/2006/relationships/hyperlink" /><Relationship Target="embeddings/oleObject2.bin" Id="docRId6" Type="http://schemas.openxmlformats.org/officeDocument/2006/relationships/oleObject" /><Relationship Target="media/image0.wmf" Id="docRId1" Type="http://schemas.openxmlformats.org/officeDocument/2006/relationships/image" /><Relationship TargetMode="External" Target="https://www.journals.chemsociety.org.ng/index.php/jcsn/article/view/503" Id="docRId15" Type="http://schemas.openxmlformats.org/officeDocument/2006/relationships/hyperlink" /><Relationship TargetMode="External" Target="https://zadmin.ncdc.gov.ng/news/504/nigeria-joins-the-global-community-to-commemorate-world-antimicrobial-awareness-week-(waaw)" Id="docRId22" Type="http://schemas.openxmlformats.org/officeDocument/2006/relationships/hyperlink" /><Relationship TargetMode="External" Target="https://doi.org/10.5897/RJAEM2018.0324" Id="docRId9" Type="http://schemas.openxmlformats.org/officeDocument/2006/relationships/hyperlink" /><Relationship Target="embeddings/oleObject0.bin" Id="docRId0" Type="http://schemas.openxmlformats.org/officeDocument/2006/relationships/oleObject" /><Relationship TargetMode="External" Target="https://www.researchgate.net/publication/319406552" Id="docRId12" Type="http://schemas.openxmlformats.org/officeDocument/2006/relationships/hyperlink" /><Relationship TargetMode="External" Target="https://doi.org/10.26538/tjnpr/v4i3.19" Id="docRId21" Type="http://schemas.openxmlformats.org/officeDocument/2006/relationships/hyperlink" /><Relationship TargetMode="External" Target="https://www.who.int/news-room/fact-sheets/detail/antimicrobial-resistance" Id="docRId29" Type="http://schemas.openxmlformats.org/officeDocument/2006/relationships/hyperlink" /><Relationship TargetMode="External" Target="https://www.ajol.info/index.php/jophas/article/view/160433" Id="docRId8" Type="http://schemas.openxmlformats.org/officeDocument/2006/relationships/hyperlink" /><Relationship TargetMode="External" Target="https://chem.libretexts.org/" Id="docRId13" Type="http://schemas.openxmlformats.org/officeDocument/2006/relationships/hyperlink" /><Relationship TargetMode="External" Target="https://doi.org/10.1016/S0140-6736(21)02724-0" Id="docRId20" Type="http://schemas.openxmlformats.org/officeDocument/2006/relationships/hyperlink" /><Relationship TargetMode="External" Target="https://www.who.int/news-room/fact-sheets/detail/antimicrobial-resistance(BioMed" Id="docRId28" Type="http://schemas.openxmlformats.org/officeDocument/2006/relationships/hyperlink" /><Relationship Target="media/image1.wmf" Id="docRId3" Type="http://schemas.openxmlformats.org/officeDocument/2006/relationships/image" /><Relationship TargetMode="External" Target="https://doi.org/10.20959/wjpr20211-19532" Id="docRId10" Type="http://schemas.openxmlformats.org/officeDocument/2006/relationships/hyperlink" /><Relationship TargetMode="External" Target="https://doi.org/10.1016/S1473-3099(13)70318-9" Id="docRId18" Type="http://schemas.openxmlformats.org/officeDocument/2006/relationships/hyperlink" /><Relationship Target="embeddings/oleObject1.bin" Id="docRId2" Type="http://schemas.openxmlformats.org/officeDocument/2006/relationships/oleObject" /><Relationship TargetMode="External" Target="https://doi.org/10.3389/fmicb.2021.8541629(PubMed" Id="docRId27" Type="http://schemas.openxmlformats.org/officeDocument/2006/relationships/hyperlink" /><Relationship TargetMode="External" Target="https://www.who.int/health-topics/traditional-complementary-and-integrative-medicine" Id="docRId30" Type="http://schemas.openxmlformats.org/officeDocument/2006/relationships/hyperlink" /><Relationship TargetMode="External" Target="https://doi.org/10.1186/s13756-022-01171-2(BioMed" Id="docRId11" Type="http://schemas.openxmlformats.org/officeDocument/2006/relationships/hyperlink" /><Relationship TargetMode="External" Target="https://doi.org/10.13040/IJPSR.0975-8232.10(11).5244-54" Id="docRId19" Type="http://schemas.openxmlformats.org/officeDocument/2006/relationships/hyperlink" /><Relationship TargetMode="External" Target="https://doi.org/10.1007/s12639-019-01166-3" Id="docRId26" Type="http://schemas.openxmlformats.org/officeDocument/2006/relationships/hyperlink" /><Relationship Target="numbering.xml" Id="docRId31" Type="http://schemas.openxmlformats.org/officeDocument/2006/relationships/numbering" /><Relationship TargetMode="External" Target="https://en.wikipedia.org/wiki/Cyclooxygenase" Id="docRId5" Type="http://schemas.openxmlformats.org/officeDocument/2006/relationships/hyperlink" /><Relationship TargetMode="External" Target="https://doi.org/10.4314/ajcem.v21i1.1" Id="docRId16" Type="http://schemas.openxmlformats.org/officeDocument/2006/relationships/hyperlink" /><Relationship TargetMode="External" Target="https://doi.org/10.5897/JMPR2018.6666" Id="docRId25" Type="http://schemas.openxmlformats.org/officeDocument/2006/relationships/hyperlink" /><Relationship Target="styles.xml" Id="docRId32" Type="http://schemas.openxmlformats.org/officeDocument/2006/relationships/styles" /><Relationship TargetMode="External" Target="https://link.springer.com/referenceworkentry/10.1007/978-1-4419-9863-7_1337" Id="docRId4" Type="http://schemas.openxmlformats.org/officeDocument/2006/relationships/hyperlink" /><Relationship TargetMode="External" Target="https://doi.org/10.4103/1995-7645.261231" Id="docRId17" Type="http://schemas.openxmlformats.org/officeDocument/2006/relationships/hyperlink" /><Relationship TargetMode="External" Target="https://amr-review.org/sites/default/files/160518_Final%20paper_with%20cover.pdf" Id="docRId24" Type="http://schemas.openxmlformats.org/officeDocument/2006/relationships/hyperlink" /></Relationships>
</file>