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B98" w:rsidRPr="00822B98" w:rsidRDefault="00822B98" w:rsidP="00822B98">
      <w:pPr>
        <w:spacing w:line="240" w:lineRule="auto"/>
        <w:jc w:val="center"/>
        <w:rPr>
          <w:rFonts w:ascii="Times New Roman" w:hAnsi="Times New Roman" w:cs="Times New Roman"/>
          <w:b/>
          <w:bCs/>
          <w:sz w:val="32"/>
          <w:szCs w:val="32"/>
        </w:rPr>
      </w:pPr>
      <w:r w:rsidRPr="00822B98">
        <w:rPr>
          <w:rFonts w:ascii="Times New Roman" w:hAnsi="Times New Roman" w:cs="Times New Roman"/>
          <w:b/>
          <w:bCs/>
          <w:sz w:val="32"/>
          <w:szCs w:val="32"/>
        </w:rPr>
        <w:t xml:space="preserve">RABBIT CARCASS CHARACTERISTICS AS AFFECTED DIETS CONTAINING </w:t>
      </w:r>
      <w:r w:rsidRPr="00822B98">
        <w:rPr>
          <w:rFonts w:ascii="Times New Roman" w:hAnsi="Times New Roman" w:cs="Times New Roman"/>
          <w:b/>
          <w:bCs/>
          <w:i/>
          <w:iCs/>
          <w:sz w:val="32"/>
          <w:szCs w:val="32"/>
        </w:rPr>
        <w:t xml:space="preserve">TECTONA GRANDIS LEAF MEAL </w:t>
      </w:r>
      <w:r w:rsidRPr="00822B98">
        <w:rPr>
          <w:rFonts w:ascii="Times New Roman" w:hAnsi="Times New Roman" w:cs="Times New Roman"/>
          <w:b/>
          <w:bCs/>
          <w:sz w:val="32"/>
          <w:szCs w:val="32"/>
        </w:rPr>
        <w:t>AND OXIDIZED OIL</w:t>
      </w:r>
    </w:p>
    <w:p w:rsidR="00822B98" w:rsidRPr="001B6BE7" w:rsidRDefault="00822B98" w:rsidP="00822B98">
      <w:pPr>
        <w:jc w:val="center"/>
        <w:rPr>
          <w:rFonts w:ascii="Times New Roman" w:hAnsi="Times New Roman" w:cs="Times New Roman"/>
          <w:b/>
          <w:sz w:val="32"/>
          <w:szCs w:val="32"/>
        </w:rPr>
      </w:pPr>
      <w:r w:rsidRPr="001B6BE7">
        <w:rPr>
          <w:rFonts w:ascii="Times New Roman" w:hAnsi="Times New Roman" w:cs="Times New Roman"/>
          <w:b/>
          <w:sz w:val="32"/>
          <w:szCs w:val="32"/>
        </w:rPr>
        <w:t>BY</w:t>
      </w:r>
    </w:p>
    <w:p w:rsidR="00F82005" w:rsidRPr="00F82005" w:rsidRDefault="00F82005" w:rsidP="00F82005">
      <w:pPr>
        <w:jc w:val="center"/>
        <w:rPr>
          <w:rFonts w:ascii="Times New Roman" w:hAnsi="Times New Roman" w:cs="Times New Roman"/>
          <w:b/>
          <w:sz w:val="60"/>
          <w:szCs w:val="24"/>
        </w:rPr>
      </w:pPr>
      <w:r w:rsidRPr="00F82005">
        <w:rPr>
          <w:rFonts w:ascii="Times New Roman" w:hAnsi="Times New Roman" w:cs="Times New Roman"/>
          <w:b/>
          <w:sz w:val="60"/>
          <w:szCs w:val="24"/>
        </w:rPr>
        <w:t>ALABI AMINAT MORENIKEJI</w:t>
      </w:r>
    </w:p>
    <w:p w:rsidR="00F82005" w:rsidRPr="00F82005" w:rsidRDefault="00F82005" w:rsidP="00F82005">
      <w:pPr>
        <w:jc w:val="center"/>
        <w:rPr>
          <w:rFonts w:ascii="Times New Roman" w:hAnsi="Times New Roman" w:cs="Times New Roman"/>
          <w:b/>
          <w:sz w:val="60"/>
          <w:szCs w:val="24"/>
        </w:rPr>
      </w:pPr>
      <w:r w:rsidRPr="00F82005">
        <w:rPr>
          <w:rFonts w:ascii="Times New Roman" w:hAnsi="Times New Roman" w:cs="Times New Roman"/>
          <w:b/>
          <w:sz w:val="60"/>
          <w:szCs w:val="24"/>
        </w:rPr>
        <w:t>HND/23/AGT/FT/0082</w:t>
      </w:r>
    </w:p>
    <w:p w:rsidR="00822B98" w:rsidRPr="001B6BE7" w:rsidRDefault="00822B98" w:rsidP="00822B98">
      <w:pPr>
        <w:spacing w:line="240" w:lineRule="auto"/>
        <w:jc w:val="center"/>
        <w:rPr>
          <w:rFonts w:ascii="Times New Roman" w:hAnsi="Times New Roman" w:cs="Times New Roman"/>
          <w:b/>
          <w:sz w:val="28"/>
          <w:szCs w:val="28"/>
        </w:rPr>
      </w:pPr>
    </w:p>
    <w:p w:rsidR="00822B98" w:rsidRPr="001B6BE7" w:rsidRDefault="00822B98" w:rsidP="00822B98">
      <w:pPr>
        <w:spacing w:line="240" w:lineRule="auto"/>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822B98" w:rsidRPr="001B6BE7" w:rsidRDefault="00822B98" w:rsidP="00822B98">
      <w:pPr>
        <w:jc w:val="center"/>
        <w:rPr>
          <w:rFonts w:ascii="Times New Roman" w:hAnsi="Times New Roman" w:cs="Times New Roman"/>
          <w:sz w:val="24"/>
          <w:szCs w:val="24"/>
        </w:rPr>
      </w:pP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SUPERVISED BY: MR. AHMED, S.A</w:t>
      </w: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F82005" w:rsidRDefault="00F82005" w:rsidP="00822B98">
      <w:pPr>
        <w:jc w:val="center"/>
        <w:rPr>
          <w:rFonts w:ascii="Times New Roman" w:hAnsi="Times New Roman" w:cs="Times New Roman"/>
          <w:b/>
          <w:sz w:val="24"/>
          <w:szCs w:val="24"/>
        </w:rPr>
      </w:pPr>
    </w:p>
    <w:p w:rsidR="00F82005" w:rsidRDefault="00F82005" w:rsidP="00822B98">
      <w:pPr>
        <w:jc w:val="center"/>
        <w:rPr>
          <w:rFonts w:ascii="Times New Roman" w:hAnsi="Times New Roman" w:cs="Times New Roman"/>
          <w:b/>
          <w:sz w:val="24"/>
          <w:szCs w:val="24"/>
        </w:rPr>
      </w:pPr>
    </w:p>
    <w:p w:rsidR="00F82005" w:rsidRDefault="00F82005" w:rsidP="00822B98">
      <w:pPr>
        <w:jc w:val="center"/>
        <w:rPr>
          <w:rFonts w:ascii="Times New Roman" w:hAnsi="Times New Roman" w:cs="Times New Roman"/>
          <w:b/>
          <w:sz w:val="24"/>
          <w:szCs w:val="24"/>
        </w:rPr>
      </w:pPr>
    </w:p>
    <w:p w:rsidR="00F82005" w:rsidRDefault="00F82005" w:rsidP="00822B98">
      <w:pPr>
        <w:jc w:val="center"/>
        <w:rPr>
          <w:rFonts w:ascii="Times New Roman" w:hAnsi="Times New Roman" w:cs="Times New Roman"/>
          <w:b/>
          <w:sz w:val="24"/>
          <w:szCs w:val="24"/>
        </w:rPr>
      </w:pPr>
    </w:p>
    <w:p w:rsidR="00F82005" w:rsidRDefault="00F82005"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822B98" w:rsidRPr="001B6BE7" w:rsidRDefault="00822B98" w:rsidP="00822B98">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AHMED S.A</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Project supervisor</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Muhammed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t>DEDICATION</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This project is dedicated to Almighty God Who granted me the wisdom, moral knowledge and understanding and Who had made it possible for me to embark on and complete this project work.</w:t>
      </w: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rPr>
      </w:pPr>
      <w:r w:rsidRPr="001B6BE7">
        <w:rPr>
          <w:rFonts w:ascii="Times New Roman" w:hAnsi="Times New Roman" w:cs="Times New Roman"/>
          <w:b/>
          <w:sz w:val="24"/>
        </w:rPr>
        <w:t>ACKNOWLEDGEMENT</w:t>
      </w:r>
    </w:p>
    <w:p w:rsidR="00822B98" w:rsidRPr="001B6BE7" w:rsidRDefault="00822B98" w:rsidP="00822B98">
      <w:pPr>
        <w:jc w:val="both"/>
        <w:rPr>
          <w:rFonts w:ascii="Times New Roman" w:hAnsi="Times New Roman" w:cs="Times New Roman"/>
          <w:b/>
          <w:sz w:val="24"/>
        </w:rPr>
      </w:pPr>
      <w:r w:rsidRPr="001B6BE7">
        <w:rPr>
          <w:rFonts w:ascii="Times New Roman" w:hAnsi="Times New Roman" w:cs="Times New Roman"/>
          <w:sz w:val="24"/>
        </w:rPr>
        <w:t xml:space="preserve">I Thank Almighty God for sparing my life to this moment and for bestowing on me grace, all honour, praise and adoration to the Almighty God. </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My appreciation is extended the Head of Department of Agricultural Technology Mr. Banjoko I. K. and all departmental lecturers.</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822B98" w:rsidRPr="001B6BE7" w:rsidRDefault="00822B98" w:rsidP="00822B98">
      <w:pPr>
        <w:jc w:val="both"/>
        <w:rPr>
          <w:rFonts w:ascii="Times New Roman" w:hAnsi="Times New Roman" w:cs="Times New Roman"/>
          <w:b/>
          <w:i/>
          <w:sz w:val="24"/>
        </w:rPr>
      </w:pPr>
      <w:r w:rsidRPr="001B6BE7">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r w:rsidRPr="001B6BE7">
        <w:rPr>
          <w:rFonts w:ascii="Times New Roman" w:hAnsi="Times New Roman" w:cs="Times New Roman"/>
          <w:b/>
          <w:i/>
          <w:sz w:val="24"/>
          <w:szCs w:val="24"/>
        </w:rPr>
        <w:t xml:space="preserve">Abstract </w:t>
      </w:r>
    </w:p>
    <w:p w:rsidR="00712FC2" w:rsidRPr="00712FC2" w:rsidRDefault="00822B98" w:rsidP="00712FC2">
      <w:pPr>
        <w:jc w:val="both"/>
        <w:rPr>
          <w:rFonts w:ascii="Times New Roman" w:hAnsi="Times New Roman" w:cs="Times New Roman"/>
          <w:i/>
          <w:sz w:val="24"/>
          <w:szCs w:val="24"/>
        </w:rPr>
      </w:pPr>
      <w:r w:rsidRPr="001B6BE7">
        <w:rPr>
          <w:rFonts w:ascii="Times New Roman" w:hAnsi="Times New Roman" w:cs="Times New Roman"/>
          <w:i/>
          <w:sz w:val="24"/>
          <w:szCs w:val="24"/>
        </w:rPr>
        <w:t xml:space="preserve">The experiment was carried out to determine the haematological parameters of weaned rabbit fed diet containing Tectona grandis and oxidized oil. </w:t>
      </w:r>
      <w:r w:rsidRPr="001B6BE7">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w:t>
      </w:r>
      <w:r w:rsidRPr="00C22786">
        <w:rPr>
          <w:rFonts w:ascii="Times New Roman" w:hAnsi="Times New Roman" w:cs="Times New Roman"/>
          <w:bCs/>
          <w:i/>
        </w:rPr>
        <w:t xml:space="preserve">managed for eight weeks. The following </w:t>
      </w:r>
      <w:r w:rsidR="00712FC2">
        <w:rPr>
          <w:rFonts w:ascii="Times New Roman" w:hAnsi="Times New Roman" w:cs="Times New Roman"/>
          <w:bCs/>
          <w:i/>
        </w:rPr>
        <w:t>carcass</w:t>
      </w:r>
      <w:r w:rsidRPr="00C22786">
        <w:rPr>
          <w:rFonts w:ascii="Times New Roman" w:hAnsi="Times New Roman" w:cs="Times New Roman"/>
          <w:bCs/>
          <w:i/>
        </w:rPr>
        <w:t xml:space="preserve"> parameter were measured; </w:t>
      </w:r>
      <w:r w:rsidR="00712FC2" w:rsidRPr="00712FC2">
        <w:rPr>
          <w:rStyle w:val="Strong"/>
          <w:rFonts w:ascii="Times New Roman" w:hAnsi="Times New Roman" w:cs="Times New Roman"/>
          <w:b w:val="0"/>
          <w:i/>
          <w:sz w:val="24"/>
          <w:szCs w:val="24"/>
        </w:rPr>
        <w:t>Live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Bled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Hot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Reference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Fore part, mid part, hind part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Skin, shoulder, thorax, loin, legs, head, feet, the tail and all the internal organs</w:t>
      </w:r>
      <w:r w:rsidRPr="00712FC2">
        <w:rPr>
          <w:rFonts w:ascii="Times New Roman" w:hAnsi="Times New Roman" w:cs="Times New Roman"/>
          <w:i/>
          <w:color w:val="000000"/>
          <w:sz w:val="24"/>
          <w:szCs w:val="24"/>
        </w:rPr>
        <w:t xml:space="preserve">. </w:t>
      </w:r>
      <w:r w:rsidR="00712FC2" w:rsidRPr="00712FC2">
        <w:rPr>
          <w:rFonts w:ascii="Times New Roman" w:hAnsi="Times New Roman" w:cs="Times New Roman"/>
          <w:i/>
          <w:sz w:val="24"/>
          <w:szCs w:val="24"/>
          <w:lang w:val="en-GB"/>
        </w:rPr>
        <w:t xml:space="preserve">Though, there was no statistical difference in the carcass characteristics of rabbit, numerically, carcass characteristic value for rabbit </w:t>
      </w:r>
      <w:r w:rsidR="00712FC2" w:rsidRPr="00712FC2">
        <w:rPr>
          <w:rFonts w:ascii="Times New Roman" w:hAnsi="Times New Roman" w:cs="Times New Roman"/>
          <w:i/>
          <w:sz w:val="24"/>
          <w:szCs w:val="24"/>
        </w:rPr>
        <w:t>fed diet treatment 4 (</w:t>
      </w:r>
      <w:r w:rsidR="00712FC2" w:rsidRPr="00712FC2">
        <w:rPr>
          <w:rFonts w:ascii="Times New Roman" w:hAnsi="Times New Roman" w:cs="Times New Roman"/>
          <w:i/>
          <w:sz w:val="24"/>
          <w:szCs w:val="24"/>
          <w:lang w:val="en-GB"/>
        </w:rPr>
        <w:t xml:space="preserve">TGML10% </w:t>
      </w:r>
      <w:r w:rsidR="00712FC2" w:rsidRPr="00712FC2">
        <w:rPr>
          <w:rFonts w:ascii="Times New Roman" w:hAnsi="Times New Roman" w:cs="Times New Roman"/>
          <w:i/>
          <w:sz w:val="24"/>
          <w:szCs w:val="24"/>
        </w:rPr>
        <w:t>+ 3% O.O) was higher and therefore recommended.</w:t>
      </w:r>
    </w:p>
    <w:p w:rsidR="00712FC2" w:rsidRDefault="00712FC2" w:rsidP="00712FC2">
      <w:pPr>
        <w:jc w:val="both"/>
        <w:rPr>
          <w:rFonts w:ascii="Times New Roman" w:hAnsi="Times New Roman" w:cs="Times New Roman"/>
          <w:i/>
          <w:color w:val="000000"/>
          <w:sz w:val="24"/>
          <w:szCs w:val="24"/>
        </w:rPr>
      </w:pPr>
    </w:p>
    <w:p w:rsidR="00712FC2" w:rsidRPr="00C22786" w:rsidRDefault="00712FC2" w:rsidP="00822B98">
      <w:pPr>
        <w:spacing w:before="1" w:line="276" w:lineRule="auto"/>
        <w:ind w:right="322"/>
        <w:jc w:val="both"/>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t>TABLE OF CONTENTS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rsidR="00822B98" w:rsidRPr="001B6BE7" w:rsidRDefault="00822B98" w:rsidP="00822B98">
      <w:pPr>
        <w:pStyle w:val="ListParagraph"/>
        <w:numPr>
          <w:ilvl w:val="1"/>
          <w:numId w:val="9"/>
        </w:numPr>
        <w:autoSpaceDE w:val="0"/>
        <w:autoSpaceDN w:val="0"/>
        <w:adjustRightInd w:val="0"/>
        <w:spacing w:after="0" w:line="276" w:lineRule="auto"/>
        <w:jc w:val="both"/>
        <w:rPr>
          <w:rFonts w:ascii="Times New Roman" w:hAnsi="Times New Roman" w:cs="Times New Roman"/>
          <w:i/>
          <w:sz w:val="24"/>
          <w:szCs w:val="24"/>
        </w:rPr>
      </w:pPr>
      <w:r w:rsidRPr="001B6BE7">
        <w:rPr>
          <w:rFonts w:ascii="Times New Roman" w:hAnsi="Times New Roman" w:cs="Times New Roman"/>
          <w:i/>
          <w:sz w:val="24"/>
          <w:szCs w:val="24"/>
        </w:rPr>
        <w:t xml:space="preserve">Tectona grandis Linn </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r w:rsidRPr="001B6BE7">
        <w:rPr>
          <w:rFonts w:ascii="Times New Roman" w:hAnsi="Times New Roman" w:cs="Times New Roman"/>
          <w:bCs/>
          <w:i/>
          <w:sz w:val="24"/>
          <w:szCs w:val="24"/>
        </w:rPr>
        <w:t>Tectona grandis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rsidR="00822B98" w:rsidRPr="001B6BE7" w:rsidRDefault="00822B98" w:rsidP="00822B98">
      <w:pPr>
        <w:pStyle w:val="ListParagraph"/>
        <w:numPr>
          <w:ilvl w:val="0"/>
          <w:numId w:val="10"/>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rsidR="00822B98" w:rsidRPr="001B6BE7" w:rsidRDefault="00822B98" w:rsidP="00822B98">
      <w:pPr>
        <w:pStyle w:val="ListParagraph"/>
        <w:numPr>
          <w:ilvl w:val="1"/>
          <w:numId w:val="10"/>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rsidR="00822B98" w:rsidRPr="001B6BE7" w:rsidRDefault="00822B98" w:rsidP="00822B98">
      <w:pPr>
        <w:pStyle w:val="ListParagraph"/>
        <w:numPr>
          <w:ilvl w:val="0"/>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lastRenderedPageBreak/>
        <w:t xml:space="preserve">Conclusion </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rsidR="00822B98" w:rsidRDefault="00822B98" w:rsidP="00F21868">
      <w:pPr>
        <w:spacing w:after="0" w:line="360" w:lineRule="auto"/>
        <w:jc w:val="center"/>
        <w:rPr>
          <w:rFonts w:ascii="Times New Roman" w:hAnsi="Times New Roman" w:cs="Times New Roman"/>
          <w:sz w:val="24"/>
          <w:szCs w:val="24"/>
        </w:rPr>
      </w:pPr>
    </w:p>
    <w:p w:rsidR="00F21868" w:rsidRDefault="00F21868" w:rsidP="00F21868">
      <w:pPr>
        <w:spacing w:after="0" w:line="360" w:lineRule="auto"/>
        <w:jc w:val="center"/>
        <w:rPr>
          <w:rFonts w:ascii="Times New Roman" w:hAnsi="Times New Roman" w:cs="Times New Roman"/>
          <w:sz w:val="24"/>
          <w:szCs w:val="24"/>
        </w:rPr>
      </w:pPr>
      <w:r w:rsidRPr="00F21868">
        <w:rPr>
          <w:rFonts w:ascii="Times New Roman" w:hAnsi="Times New Roman" w:cs="Times New Roman"/>
          <w:sz w:val="24"/>
          <w:szCs w:val="24"/>
        </w:rPr>
        <w:t>CHAPTER ONE</w:t>
      </w:r>
    </w:p>
    <w:p w:rsidR="00F21868" w:rsidRPr="00F21868" w:rsidRDefault="00F21868" w:rsidP="00F21868">
      <w:pPr>
        <w:pStyle w:val="ListParagraph"/>
        <w:numPr>
          <w:ilvl w:val="0"/>
          <w:numId w:val="1"/>
        </w:numPr>
        <w:spacing w:line="360" w:lineRule="auto"/>
        <w:jc w:val="center"/>
        <w:rPr>
          <w:rFonts w:ascii="Times New Roman" w:hAnsi="Times New Roman" w:cs="Times New Roman"/>
          <w:sz w:val="24"/>
          <w:szCs w:val="24"/>
        </w:rPr>
      </w:pPr>
      <w:r w:rsidRPr="00F21868">
        <w:rPr>
          <w:rFonts w:ascii="Times New Roman" w:hAnsi="Times New Roman" w:cs="Times New Roman"/>
          <w:sz w:val="24"/>
          <w:szCs w:val="24"/>
        </w:rPr>
        <w:t>INTRODUCTION</w:t>
      </w:r>
    </w:p>
    <w:p w:rsidR="00F21868" w:rsidRPr="00F21868" w:rsidRDefault="00F21868" w:rsidP="00F2186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INTRODUCTION </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Rabbit farming has gained significant attention globally due to its economic and nutritional benefits. Rabbit meat is known for its high protein, low cholesterol, and high digestibility, making it an ideal choice for health-conscious consumers (Ajayi</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2021). However, the rising cost of conventional feed ingredients, such as maize and soybean meal, poses a challenge to the sustainability of rabbit production (Akinmutimi&amp;Onwukwe, 2020). This has led to increased interest in non-conventional feed resources, such as Tectona grandis leaves and agro-industrial by-products, to improve feed efficiency and carcass quality.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(teak) is a tropical tree widely cultivated in Nigeria and other parts of the world. Its leaves contain bioactive compounds, including flavonoids, tannins, and phenolic compounds, which have antimicrobial, antioxidant, and growth-promoting properties (Sarker</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2018). Studies have shown that incorporating </w:t>
      </w:r>
      <w:r>
        <w:rPr>
          <w:rFonts w:ascii="Times New Roman" w:hAnsi="Times New Roman" w:cs="Times New Roman"/>
          <w:sz w:val="24"/>
          <w:szCs w:val="24"/>
        </w:rPr>
        <w:t xml:space="preserve">natural leaf such as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in livestock feed can enhance growth performance, improve gut health, and boost immunity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However, its high tannin content may interfere with protein digestibility, requiring proper processing or supplementation with digestibility enhancers. In Nigeria, research on the use of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in animal nutrition is still emerging, with most studies focusing on poultry and ruminants (Ekenyem&amp;Madubuike, 2021). Its application in rabbit diets remains largely unexplored, despite its potential to serve as an alternative protein source and a natural antioxidant. Oxidized oil results from prolonged storage or repeated heating of fats and oils, leading to lipid peroxidation and the formation of harmful compounds such as peroxides and aldehydes (Li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2020). In animal nutrition, the consumption of oxidized oil has been linked to reduced growth </w:t>
      </w:r>
      <w:r w:rsidRPr="00F21868">
        <w:rPr>
          <w:rFonts w:ascii="Times New Roman" w:hAnsi="Times New Roman" w:cs="Times New Roman"/>
          <w:sz w:val="24"/>
          <w:szCs w:val="24"/>
        </w:rPr>
        <w:lastRenderedPageBreak/>
        <w:t>performance, impaired nutrient utilization, and increased oxidative stress in tissues (Oluwafemi</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2019). In rabbits, high dietary levels of oxidized oil can negatively affect carcass traits, meat quality, and overall health, leading to economic losses in production. Several studies have indicated that antioxidants can mitigate the harmful effects of oxidized oil in animal diets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Given its high antioxidant content,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may counteract the negative effects of oxidized oil by reducing lipid peroxidation and enhancing meat oxidative stability. While studies have been conducted on the </w:t>
      </w:r>
      <w:r>
        <w:rPr>
          <w:rFonts w:ascii="Times New Roman" w:hAnsi="Times New Roman" w:cs="Times New Roman"/>
          <w:sz w:val="24"/>
          <w:szCs w:val="24"/>
        </w:rPr>
        <w:t xml:space="preserve">phytochemical, nutritional, antioxidant and antibacterialof </w:t>
      </w:r>
      <w:r w:rsidRPr="00F21868">
        <w:rPr>
          <w:rFonts w:ascii="Times New Roman" w:hAnsi="Times New Roman" w:cs="Times New Roman"/>
          <w:i/>
          <w:sz w:val="24"/>
          <w:szCs w:val="24"/>
        </w:rPr>
        <w:t>Tectona grandis</w:t>
      </w:r>
      <w:r>
        <w:rPr>
          <w:rFonts w:ascii="Times New Roman" w:hAnsi="Times New Roman" w:cs="Times New Roman"/>
          <w:sz w:val="24"/>
          <w:szCs w:val="24"/>
        </w:rPr>
        <w:t xml:space="preserve">, the used </w:t>
      </w:r>
      <w:r w:rsidRPr="00F21868">
        <w:rPr>
          <w:rFonts w:ascii="Times New Roman" w:hAnsi="Times New Roman" w:cs="Times New Roman"/>
          <w:sz w:val="24"/>
          <w:szCs w:val="24"/>
        </w:rPr>
        <w:t>in ani</w:t>
      </w:r>
      <w:r>
        <w:rPr>
          <w:rFonts w:ascii="Times New Roman" w:hAnsi="Times New Roman" w:cs="Times New Roman"/>
          <w:sz w:val="24"/>
          <w:szCs w:val="24"/>
        </w:rPr>
        <w:t>mal nutrition and the effects on oxidative stress caused by feeding</w:t>
      </w:r>
      <w:r w:rsidRPr="00F21868">
        <w:rPr>
          <w:rFonts w:ascii="Times New Roman" w:hAnsi="Times New Roman" w:cs="Times New Roman"/>
          <w:sz w:val="24"/>
          <w:szCs w:val="24"/>
        </w:rPr>
        <w:t xml:space="preserve"> oxidized oil in livestock diets, </w:t>
      </w:r>
      <w:r>
        <w:rPr>
          <w:rFonts w:ascii="Times New Roman" w:hAnsi="Times New Roman" w:cs="Times New Roman"/>
          <w:sz w:val="24"/>
          <w:szCs w:val="24"/>
        </w:rPr>
        <w:t>have not been exploited, especially the</w:t>
      </w:r>
      <w:r w:rsidRPr="00F21868">
        <w:rPr>
          <w:rFonts w:ascii="Times New Roman" w:hAnsi="Times New Roman" w:cs="Times New Roman"/>
          <w:sz w:val="24"/>
          <w:szCs w:val="24"/>
        </w:rPr>
        <w:t xml:space="preserve"> impact on rabbit carcass characteristics. </w:t>
      </w:r>
    </w:p>
    <w:p w:rsidR="00F21868" w:rsidRPr="00F21868" w:rsidRDefault="00F21868" w:rsidP="00F2186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OBJECTIVE</w:t>
      </w:r>
    </w:p>
    <w:p w:rsidR="00F21868" w:rsidRPr="00F21868" w:rsidRDefault="00F21868" w:rsidP="00F21868">
      <w:pPr>
        <w:spacing w:after="0" w:line="360" w:lineRule="auto"/>
        <w:jc w:val="both"/>
        <w:rPr>
          <w:rFonts w:ascii="Times New Roman" w:hAnsi="Times New Roman" w:cs="Times New Roman"/>
          <w:b/>
          <w:sz w:val="24"/>
          <w:szCs w:val="24"/>
        </w:rPr>
      </w:pPr>
      <w:r w:rsidRPr="00F21868">
        <w:rPr>
          <w:rFonts w:ascii="Times New Roman" w:hAnsi="Times New Roman" w:cs="Times New Roman"/>
          <w:b/>
          <w:sz w:val="24"/>
          <w:szCs w:val="24"/>
        </w:rPr>
        <w:t>General Objective</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 xml:space="preserve">This study aims to evaluate the effects of diets containing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and oxidized oil on rabbit carcass traits and meat quality. </w:t>
      </w:r>
    </w:p>
    <w:p w:rsidR="00F21868" w:rsidRPr="00F21868" w:rsidRDefault="00F21868" w:rsidP="00F21868">
      <w:pPr>
        <w:spacing w:after="0" w:line="360" w:lineRule="auto"/>
        <w:jc w:val="both"/>
        <w:rPr>
          <w:rFonts w:ascii="Times New Roman" w:hAnsi="Times New Roman" w:cs="Times New Roman"/>
          <w:sz w:val="24"/>
          <w:szCs w:val="24"/>
        </w:rPr>
      </w:pPr>
      <w:r w:rsidRPr="00F21868">
        <w:rPr>
          <w:rFonts w:ascii="Times New Roman" w:hAnsi="Times New Roman" w:cs="Times New Roman"/>
          <w:b/>
          <w:sz w:val="24"/>
          <w:szCs w:val="24"/>
        </w:rPr>
        <w:t>Specific Objectives</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valuate the carcass characteristics of rabbits fed </w:t>
      </w:r>
      <w:r w:rsidRPr="009A4F5D">
        <w:rPr>
          <w:rFonts w:ascii="Times New Roman" w:hAnsi="Times New Roman" w:cs="Times New Roman"/>
          <w:i/>
          <w:sz w:val="24"/>
          <w:szCs w:val="24"/>
        </w:rPr>
        <w:t>Tectona grandis</w:t>
      </w:r>
      <w:r w:rsidR="009A4F5D">
        <w:rPr>
          <w:rFonts w:ascii="Times New Roman" w:hAnsi="Times New Roman" w:cs="Times New Roman"/>
          <w:sz w:val="24"/>
          <w:szCs w:val="24"/>
        </w:rPr>
        <w:t>leaf meal and oxidized oil</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xamine the effect of oxidative stress on live weight and primal cuts on weaner rabbits. </w:t>
      </w:r>
    </w:p>
    <w:p w:rsidR="009A4F5D" w:rsidRDefault="00F21868" w:rsidP="009A4F5D">
      <w:pPr>
        <w:pStyle w:val="ListParagraph"/>
        <w:numPr>
          <w:ilvl w:val="1"/>
          <w:numId w:val="1"/>
        </w:num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JUSTIFICATION </w:t>
      </w:r>
    </w:p>
    <w:p w:rsidR="009A4F5D" w:rsidRDefault="00F21868" w:rsidP="009A4F5D">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This study is justified by the need to explore alternative feed ingredients that can improve sustainability and efficiency of livestock production. The use of </w:t>
      </w:r>
      <w:r w:rsidRPr="009A4F5D">
        <w:rPr>
          <w:rFonts w:ascii="Times New Roman" w:hAnsi="Times New Roman" w:cs="Times New Roman"/>
          <w:i/>
          <w:sz w:val="24"/>
          <w:szCs w:val="24"/>
        </w:rPr>
        <w:t>Tectona grandis</w:t>
      </w:r>
      <w:r w:rsidR="009A4F5D">
        <w:rPr>
          <w:rFonts w:ascii="Times New Roman" w:hAnsi="Times New Roman" w:cs="Times New Roman"/>
          <w:sz w:val="24"/>
          <w:szCs w:val="24"/>
        </w:rPr>
        <w:t xml:space="preserve">leaf meal </w:t>
      </w:r>
      <w:r w:rsidRPr="009A4F5D">
        <w:rPr>
          <w:rFonts w:ascii="Times New Roman" w:hAnsi="Times New Roman" w:cs="Times New Roman"/>
          <w:sz w:val="24"/>
          <w:szCs w:val="24"/>
        </w:rPr>
        <w:t xml:space="preserve">as feed ingredient may offer a cost effective and environmentally friendly solution for livestock production and it may also reduce or eliminate the effect of oxidative stress in </w:t>
      </w:r>
      <w:r w:rsidRPr="009A4F5D">
        <w:rPr>
          <w:rFonts w:ascii="Times New Roman" w:hAnsi="Times New Roman" w:cs="Times New Roman"/>
          <w:sz w:val="24"/>
          <w:szCs w:val="24"/>
        </w:rPr>
        <w:lastRenderedPageBreak/>
        <w:t>rabbits due to abundant antioxidants present in it, therefore improving on its carcass characteristics. The findings will contribute to the body of knowledge on alternative feed resources and provide practical recommendations for rabbit farmers in Nigeria.</w:t>
      </w:r>
    </w:p>
    <w:p w:rsidR="009A4F5D" w:rsidRDefault="009A4F5D" w:rsidP="009A4F5D">
      <w:pPr>
        <w:spacing w:line="360" w:lineRule="auto"/>
        <w:jc w:val="both"/>
        <w:rPr>
          <w:rFonts w:ascii="Times New Roman" w:hAnsi="Times New Roman" w:cs="Times New Roman"/>
          <w:sz w:val="24"/>
          <w:szCs w:val="24"/>
        </w:rPr>
      </w:pPr>
    </w:p>
    <w:p w:rsidR="009A4F5D" w:rsidRDefault="009A4F5D" w:rsidP="009A4F5D">
      <w:pPr>
        <w:spacing w:line="360" w:lineRule="auto"/>
        <w:jc w:val="both"/>
        <w:rPr>
          <w:rFonts w:ascii="Times New Roman" w:hAnsi="Times New Roman" w:cs="Times New Roman"/>
          <w:sz w:val="24"/>
          <w:szCs w:val="24"/>
        </w:rPr>
      </w:pPr>
    </w:p>
    <w:p w:rsidR="00947124" w:rsidRPr="00D3011B" w:rsidRDefault="00947124" w:rsidP="00947124">
      <w:pPr>
        <w:pStyle w:val="BodyText"/>
        <w:tabs>
          <w:tab w:val="left" w:pos="1800"/>
        </w:tabs>
        <w:spacing w:before="20" w:line="276" w:lineRule="auto"/>
        <w:ind w:left="0" w:right="278"/>
        <w:jc w:val="center"/>
        <w:rPr>
          <w:b/>
          <w:color w:val="000000"/>
          <w:sz w:val="24"/>
          <w:szCs w:val="24"/>
        </w:rPr>
      </w:pPr>
      <w:r w:rsidRPr="00D3011B">
        <w:rPr>
          <w:b/>
          <w:color w:val="000000"/>
          <w:sz w:val="24"/>
          <w:szCs w:val="24"/>
        </w:rPr>
        <w:t>CHAPTER TWO</w:t>
      </w:r>
    </w:p>
    <w:p w:rsidR="00947124" w:rsidRPr="00D3011B" w:rsidRDefault="00947124" w:rsidP="00947124">
      <w:pPr>
        <w:pStyle w:val="BodyText"/>
        <w:tabs>
          <w:tab w:val="left" w:pos="1800"/>
        </w:tabs>
        <w:spacing w:before="20" w:line="276" w:lineRule="auto"/>
        <w:ind w:right="278"/>
        <w:jc w:val="center"/>
        <w:rPr>
          <w:b/>
          <w:color w:val="000000"/>
          <w:sz w:val="24"/>
          <w:szCs w:val="24"/>
        </w:rPr>
      </w:pPr>
      <w:r w:rsidRPr="00D3011B">
        <w:rPr>
          <w:b/>
          <w:color w:val="000000"/>
          <w:sz w:val="24"/>
          <w:szCs w:val="24"/>
        </w:rPr>
        <w:t>2.0. LITERATURE REVIEW</w:t>
      </w:r>
    </w:p>
    <w:p w:rsidR="00947124" w:rsidRPr="00D3011B" w:rsidRDefault="00947124" w:rsidP="00947124">
      <w:pPr>
        <w:pStyle w:val="BodyText"/>
        <w:tabs>
          <w:tab w:val="left" w:pos="1800"/>
        </w:tabs>
        <w:spacing w:before="20" w:line="276" w:lineRule="auto"/>
        <w:ind w:right="278"/>
        <w:rPr>
          <w:b/>
          <w:color w:val="000000"/>
          <w:sz w:val="24"/>
          <w:szCs w:val="24"/>
        </w:rPr>
      </w:pPr>
      <w:r w:rsidRPr="00D3011B">
        <w:rPr>
          <w:b/>
          <w:color w:val="000000"/>
          <w:sz w:val="24"/>
          <w:szCs w:val="24"/>
        </w:rPr>
        <w:t xml:space="preserve">2.1 livestock production and militating factors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w:t>
      </w:r>
      <w:r w:rsidRPr="00D3011B">
        <w:rPr>
          <w:rFonts w:ascii="Times New Roman" w:hAnsi="Times New Roman" w:cs="Times New Roman"/>
          <w:sz w:val="24"/>
          <w:szCs w:val="24"/>
        </w:rPr>
        <w:lastRenderedPageBreak/>
        <w:t>thereby, stabilizing food supply (Adams, 2016). Despite its smaller output compared with that of staple crops, productivity and income growth in the livestock sector have strong income multiplier and poverty reduction impacts (Adams, 2016).</w:t>
      </w:r>
    </w:p>
    <w:p w:rsidR="00947124" w:rsidRPr="00D3011B" w:rsidRDefault="00947124" w:rsidP="00947124">
      <w:pPr>
        <w:autoSpaceDE w:val="0"/>
        <w:autoSpaceDN w:val="0"/>
        <w:adjustRightInd w:val="0"/>
        <w:spacing w:line="360" w:lineRule="auto"/>
        <w:contextualSpacing/>
        <w:jc w:val="both"/>
        <w:rPr>
          <w:rFonts w:ascii="Times New Roman" w:hAnsi="Times New Roman" w:cs="Times New Roman"/>
          <w:b/>
          <w:sz w:val="24"/>
          <w:szCs w:val="24"/>
        </w:rPr>
      </w:pPr>
      <w:r w:rsidRPr="00D3011B">
        <w:rPr>
          <w:rFonts w:ascii="Times New Roman" w:hAnsi="Times New Roman" w:cs="Times New Roman"/>
          <w:b/>
          <w:sz w:val="24"/>
          <w:szCs w:val="24"/>
        </w:rPr>
        <w:t>2.2. PROBLEMS MILITATING AGAINST SUSTAINABLE LIVESTOCK PRODUCTION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(Etuk</w:t>
      </w:r>
      <w:r w:rsidRPr="00D3011B">
        <w:rPr>
          <w:rFonts w:ascii="Times New Roman" w:hAnsi="Times New Roman" w:cs="Times New Roman"/>
          <w:i/>
          <w:sz w:val="24"/>
          <w:szCs w:val="24"/>
        </w:rPr>
        <w:t>et al</w:t>
      </w:r>
      <w:r w:rsidRPr="00D3011B">
        <w:rPr>
          <w:rFonts w:ascii="Times New Roman" w:hAnsi="Times New Roman" w:cs="Times New Roman"/>
          <w:sz w:val="24"/>
          <w:szCs w:val="24"/>
        </w:rPr>
        <w:t>., 2014).</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2.2.1. Effects high cost of conventional feed and the need for exploring novel feedstuffs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sludges (Etuk</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Many </w:t>
      </w:r>
      <w:r w:rsidRPr="00D3011B">
        <w:rPr>
          <w:rFonts w:ascii="Times New Roman" w:hAnsi="Times New Roman" w:cs="Times New Roman"/>
          <w:sz w:val="24"/>
          <w:szCs w:val="24"/>
        </w:rPr>
        <w:lastRenderedPageBreak/>
        <w:t>livestock and poultry farmers compound their own feed themselves for their farm animals but they face the challenges of raw materials for compounding the feed which may be very expensive or unavailable (Etuk</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Attempt has recently been taken to reduce the cost of feed, including the incorporation of agro-industrial by-products in broiler diets as an energy source (Sugiharto</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However, some limitations may exist when using agro-industrial by-products as ingredients in broiler rations. The high and low contents of fibre and protein in the by-products may limit the digestibility and thus inclusion level of such by-products (Sugiharto</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(Sugiharto</w:t>
      </w:r>
      <w:r w:rsidRPr="00D3011B">
        <w:rPr>
          <w:rFonts w:ascii="Times New Roman" w:hAnsi="Times New Roman" w:cs="Times New Roman"/>
          <w:i/>
          <w:sz w:val="24"/>
          <w:szCs w:val="24"/>
        </w:rPr>
        <w:t>et al</w:t>
      </w:r>
      <w:r w:rsidRPr="00D3011B">
        <w:rPr>
          <w:rFonts w:ascii="Times New Roman" w:hAnsi="Times New Roman" w:cs="Times New Roman"/>
          <w:sz w:val="24"/>
          <w:szCs w:val="24"/>
        </w:rPr>
        <w:t>., 2018a). This may be beneficial in reducing the proportion of the conventional expensive protein-rich feed ingredients in broiler rations.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It has been known that some particular foliage contain a number of bioactive compounds that are beneficial for the health of chickens. These compounds include vitamins, phenolic acids, flavonoids, isothiocyanates, tannins as well as saponins (Vergara-Jimenez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containing high levels of leaf meal may improve nutrient digestibility and thus alleviated growth performance of broilers (Rama Rao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pStyle w:val="ListParagraph"/>
        <w:numPr>
          <w:ilvl w:val="1"/>
          <w:numId w:val="7"/>
        </w:numPr>
        <w:autoSpaceDE w:val="0"/>
        <w:autoSpaceDN w:val="0"/>
        <w:adjustRightInd w:val="0"/>
        <w:spacing w:after="0" w:line="360" w:lineRule="auto"/>
        <w:jc w:val="both"/>
        <w:rPr>
          <w:rFonts w:ascii="Times New Roman" w:hAnsi="Times New Roman" w:cs="Times New Roman"/>
          <w:b/>
          <w:i/>
          <w:sz w:val="24"/>
          <w:szCs w:val="24"/>
        </w:rPr>
      </w:pPr>
      <w:r w:rsidRPr="00D3011B">
        <w:rPr>
          <w:rFonts w:ascii="Times New Roman" w:hAnsi="Times New Roman" w:cs="Times New Roman"/>
          <w:b/>
          <w:i/>
          <w:sz w:val="24"/>
          <w:szCs w:val="24"/>
        </w:rPr>
        <w:t xml:space="preserve">TECTONA GRANDIS Linn </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2.3.1. Morphology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 large tree, which can attain a height more than 30 m. It has a simple root system. Colour of the bark varies from pale brown to grey. Leaves have some distinct </w:t>
      </w:r>
      <w:r w:rsidRPr="00D3011B">
        <w:rPr>
          <w:rFonts w:ascii="Times New Roman" w:hAnsi="Times New Roman" w:cs="Times New Roman"/>
          <w:sz w:val="24"/>
          <w:szCs w:val="24"/>
        </w:rPr>
        <w:lastRenderedPageBreak/>
        <w:t>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rsidR="00947124" w:rsidRPr="00D3011B" w:rsidRDefault="00947124" w:rsidP="00947124">
      <w:pPr>
        <w:autoSpaceDE w:val="0"/>
        <w:autoSpaceDN w:val="0"/>
        <w:adjustRightInd w:val="0"/>
        <w:spacing w:after="0" w:line="360" w:lineRule="auto"/>
        <w:jc w:val="both"/>
        <w:rPr>
          <w:rFonts w:ascii="Times New Roman" w:hAnsi="Times New Roman" w:cs="Times New Roman"/>
          <w:b/>
          <w:bCs/>
          <w:iCs/>
          <w:sz w:val="24"/>
          <w:szCs w:val="24"/>
        </w:rPr>
      </w:pPr>
      <w:r w:rsidRPr="00D3011B">
        <w:rPr>
          <w:rFonts w:ascii="Times New Roman" w:hAnsi="Times New Roman" w:cs="Times New Roman"/>
          <w:b/>
          <w:sz w:val="24"/>
          <w:szCs w:val="24"/>
        </w:rPr>
        <w:t>2.3.2. Taxonomy of</w:t>
      </w:r>
      <w:r w:rsidRPr="00D3011B">
        <w:rPr>
          <w:rFonts w:ascii="Times New Roman" w:hAnsi="Times New Roman" w:cs="Times New Roman"/>
          <w:b/>
          <w:bCs/>
          <w:i/>
          <w:iCs/>
          <w:sz w:val="24"/>
          <w:szCs w:val="24"/>
        </w:rPr>
        <w:t xml:space="preserve">T. grandis </w:t>
      </w:r>
      <w:r w:rsidRPr="00D3011B">
        <w:rPr>
          <w:rFonts w:ascii="Times New Roman" w:hAnsi="Times New Roman" w:cs="Times New Roman"/>
          <w:b/>
          <w:bCs/>
          <w:iCs/>
          <w:sz w:val="24"/>
          <w:szCs w:val="24"/>
        </w:rPr>
        <w:t>Linn</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Kingdom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 xml:space="preserve">Plantae </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Super division </w:t>
      </w:r>
      <w:r w:rsidRPr="00D3011B">
        <w:rPr>
          <w:rFonts w:ascii="Times New Roman" w:hAnsi="Times New Roman" w:cs="Times New Roman"/>
          <w:bCs/>
          <w:iCs/>
          <w:sz w:val="24"/>
          <w:szCs w:val="24"/>
        </w:rPr>
        <w:tab/>
        <w:t>Angiosperms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Division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Eudicots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Class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Asterids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Order</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Lamiales</w:t>
      </w:r>
    </w:p>
    <w:p w:rsidR="00947124" w:rsidRPr="00D3011B" w:rsidRDefault="00947124" w:rsidP="00947124">
      <w:pPr>
        <w:autoSpaceDE w:val="0"/>
        <w:autoSpaceDN w:val="0"/>
        <w:adjustRightInd w:val="0"/>
        <w:spacing w:after="0" w:line="360" w:lineRule="auto"/>
        <w:jc w:val="both"/>
        <w:rPr>
          <w:rFonts w:ascii="Times New Roman" w:hAnsi="Times New Roman" w:cs="Times New Roman"/>
          <w:sz w:val="24"/>
          <w:szCs w:val="24"/>
        </w:rPr>
      </w:pPr>
      <w:r w:rsidRPr="00D3011B">
        <w:rPr>
          <w:rFonts w:ascii="Times New Roman" w:hAnsi="Times New Roman" w:cs="Times New Roman"/>
          <w:bCs/>
          <w:iCs/>
          <w:sz w:val="24"/>
          <w:szCs w:val="24"/>
        </w:rPr>
        <w:t xml:space="preserve">Family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sz w:val="24"/>
          <w:szCs w:val="24"/>
        </w:rPr>
        <w:t>Verbenaceae</w:t>
      </w:r>
    </w:p>
    <w:p w:rsidR="00947124" w:rsidRPr="00D3011B" w:rsidRDefault="00947124" w:rsidP="00947124">
      <w:pPr>
        <w:autoSpaceDE w:val="0"/>
        <w:autoSpaceDN w:val="0"/>
        <w:adjustRightInd w:val="0"/>
        <w:spacing w:after="0" w:line="360" w:lineRule="auto"/>
        <w:jc w:val="both"/>
        <w:rPr>
          <w:rFonts w:ascii="Times New Roman" w:hAnsi="Times New Roman" w:cs="Times New Roman"/>
          <w:i/>
          <w:iCs/>
          <w:sz w:val="24"/>
          <w:szCs w:val="24"/>
        </w:rPr>
      </w:pPr>
      <w:r w:rsidRPr="00D3011B">
        <w:rPr>
          <w:rFonts w:ascii="Times New Roman" w:hAnsi="Times New Roman" w:cs="Times New Roman"/>
          <w:sz w:val="24"/>
          <w:szCs w:val="24"/>
        </w:rPr>
        <w:t xml:space="preserve">Genus </w:t>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i/>
          <w:iCs/>
          <w:sz w:val="24"/>
          <w:szCs w:val="24"/>
        </w:rPr>
        <w:t>Tectona</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iCs/>
          <w:sz w:val="24"/>
          <w:szCs w:val="24"/>
        </w:rPr>
        <w:t xml:space="preserve">Species </w:t>
      </w:r>
      <w:r w:rsidRPr="00D3011B">
        <w:rPr>
          <w:rFonts w:ascii="Times New Roman" w:hAnsi="Times New Roman" w:cs="Times New Roman"/>
          <w:iCs/>
          <w:sz w:val="24"/>
          <w:szCs w:val="24"/>
        </w:rPr>
        <w:tab/>
      </w:r>
      <w:r w:rsidRPr="00D3011B">
        <w:rPr>
          <w:rFonts w:ascii="Times New Roman" w:hAnsi="Times New Roman" w:cs="Times New Roman"/>
          <w:iCs/>
          <w:sz w:val="24"/>
          <w:szCs w:val="24"/>
        </w:rPr>
        <w:tab/>
        <w:t xml:space="preserve">Grandis </w:t>
      </w:r>
      <w:r w:rsidRPr="00D3011B">
        <w:rPr>
          <w:rFonts w:ascii="Times New Roman" w:hAnsi="Times New Roman" w:cs="Times New Roman"/>
          <w:iCs/>
          <w:sz w:val="24"/>
          <w:szCs w:val="24"/>
        </w:rPr>
        <w:tab/>
      </w:r>
      <w:r w:rsidRPr="00D3011B">
        <w:rPr>
          <w:rFonts w:ascii="Times New Roman" w:hAnsi="Times New Roman" w:cs="Times New Roman"/>
          <w:sz w:val="24"/>
          <w:szCs w:val="24"/>
        </w:rPr>
        <w:t>(ICFRE.2009).</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2.3.3. Utilization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w:t>
      </w:r>
      <w:r w:rsidRPr="00D3011B">
        <w:rPr>
          <w:rFonts w:ascii="Times New Roman" w:hAnsi="Times New Roman" w:cs="Times New Roman"/>
          <w:sz w:val="24"/>
          <w:szCs w:val="24"/>
        </w:rPr>
        <w:lastRenderedPageBreak/>
        <w:t>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rsidR="00947124" w:rsidRPr="00D3011B" w:rsidRDefault="00947124" w:rsidP="00947124">
      <w:pPr>
        <w:pStyle w:val="Default"/>
        <w:spacing w:line="360" w:lineRule="auto"/>
        <w:jc w:val="both"/>
        <w:rPr>
          <w:b/>
        </w:rPr>
      </w:pPr>
      <w:r w:rsidRPr="00D3011B">
        <w:rPr>
          <w:b/>
        </w:rPr>
        <w:t xml:space="preserve">2.3.4. </w:t>
      </w:r>
      <w:r w:rsidRPr="00D3011B">
        <w:rPr>
          <w:b/>
          <w:bCs/>
        </w:rPr>
        <w:t>Distribution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Mohanadas, 2002).</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2.3.5. Use in Traditional Medicines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w:t>
      </w:r>
      <w:r w:rsidRPr="00D3011B">
        <w:rPr>
          <w:rFonts w:ascii="Times New Roman" w:hAnsi="Times New Roman" w:cs="Times New Roman"/>
          <w:sz w:val="24"/>
          <w:szCs w:val="24"/>
        </w:rPr>
        <w:lastRenderedPageBreak/>
        <w:t>activity, anti-haemolytic anaemia activity, Hair growth activity, Antioxidant activity etc. They are also used for treating inflammatory swelling (</w:t>
      </w:r>
      <w:r w:rsidRPr="00D3011B">
        <w:rPr>
          <w:rFonts w:ascii="Times New Roman" w:hAnsi="Times New Roman" w:cs="Times New Roman"/>
          <w:color w:val="000000"/>
          <w:sz w:val="24"/>
          <w:szCs w:val="24"/>
        </w:rPr>
        <w:t>Neamatallah</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2005)</w:t>
      </w:r>
      <w:r w:rsidRPr="00D3011B">
        <w:rPr>
          <w:rFonts w:ascii="Times New Roman" w:hAnsi="Times New Roman" w:cs="Times New Roman"/>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 PHYTOCHEMICAL CONSTITUENTS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Several classes of phytochemicals like alkaloids, glycosides, saponins, steroids, flavonoids, proteins and carbohydrates have been reported in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 xml:space="preserve">(Rodney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2012).Secondary metabolites such as tectoquinone, 5-hydroxylapachol, tectol, betulinic acid, betulinic aldehyde, squalene, lapachol were also extracted from the plant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Acetovanillone, E-isofuraldehyde, Evofolin, syringaresinol, medioresinol, balaphonin, lariciresinol, zhebeiresinol, 1- hydroxypinoresinol together with two new compounds Tectonoelin A and Tectonoelin B were extracted from the leaves of </w:t>
      </w:r>
      <w:r w:rsidRPr="00D3011B">
        <w:rPr>
          <w:rFonts w:ascii="Times New Roman" w:hAnsi="Times New Roman" w:cs="Times New Roman"/>
          <w:i/>
          <w:iCs/>
          <w:sz w:val="24"/>
          <w:szCs w:val="24"/>
        </w:rPr>
        <w:t xml:space="preserve">Tectonagrandis. </w:t>
      </w:r>
      <w:r w:rsidRPr="00D3011B">
        <w:rPr>
          <w:rFonts w:ascii="Times New Roman" w:hAnsi="Times New Roman" w:cs="Times New Roman"/>
          <w:sz w:val="24"/>
          <w:szCs w:val="24"/>
        </w:rPr>
        <w:t xml:space="preserve">9,10 dimethoxy-2 methyl-anthra-1,4-quinone ,5-Hydroxylapachol along with tecomaquinone,methylquinizarin, lapachol, dehydroxy-α- lapachone were isolated from the heartwood of </w:t>
      </w:r>
      <w:r w:rsidRPr="00D3011B">
        <w:rPr>
          <w:rFonts w:ascii="Times New Roman" w:hAnsi="Times New Roman" w:cs="Times New Roman"/>
          <w:i/>
          <w:iCs/>
          <w:sz w:val="24"/>
          <w:szCs w:val="24"/>
        </w:rPr>
        <w:t>Tectonagrandis</w:t>
      </w:r>
      <w:r w:rsidRPr="00D3011B">
        <w:rPr>
          <w:rFonts w:ascii="Times New Roman" w:hAnsi="Times New Roman" w:cs="Times New Roman"/>
          <w:sz w:val="24"/>
          <w:szCs w:val="24"/>
        </w:rPr>
        <w:t xml:space="preserv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w:t>
      </w:r>
      <w:r w:rsidRPr="00D3011B">
        <w:rPr>
          <w:rFonts w:ascii="Times New Roman" w:hAnsi="Times New Roman" w:cs="Times New Roman"/>
          <w:i/>
          <w:sz w:val="24"/>
          <w:szCs w:val="24"/>
        </w:rPr>
        <w:t>et al</w:t>
      </w:r>
      <w:r w:rsidRPr="00D3011B">
        <w:rPr>
          <w:rFonts w:ascii="Times New Roman" w:hAnsi="Times New Roman" w:cs="Times New Roman"/>
          <w:sz w:val="24"/>
          <w:szCs w:val="24"/>
        </w:rPr>
        <w:t>., 2009).</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2.4.1. Pharmacological activities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bCs/>
          <w:sz w:val="24"/>
          <w:szCs w:val="24"/>
        </w:rPr>
      </w:pPr>
      <w:r w:rsidRPr="00D3011B">
        <w:rPr>
          <w:rFonts w:ascii="Times New Roman" w:hAnsi="Times New Roman" w:cs="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(Neha and Sangeeta</w:t>
      </w:r>
      <w:r w:rsidRPr="00D3011B">
        <w:rPr>
          <w:rFonts w:ascii="Times New Roman" w:hAnsi="Times New Roman" w:cs="Times New Roman"/>
          <w:sz w:val="24"/>
          <w:szCs w:val="24"/>
        </w:rPr>
        <w:t xml:space="preserve">, 2013).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Traditionally;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bark</w:t>
      </w:r>
      <w:r w:rsidRPr="00D3011B">
        <w:rPr>
          <w:rFonts w:ascii="Times New Roman" w:hAnsi="Times New Roman" w:cs="Times New Roman"/>
          <w:sz w:val="24"/>
          <w:szCs w:val="24"/>
        </w:rPr>
        <w:t xml:space="preserve">: is used as astringent, constipation, anthelmintic and depurative, also used in bronchitis, hyperacidity, dysentery, verminosis, burning sensation, diabetes, </w:t>
      </w:r>
      <w:r w:rsidRPr="00D3011B">
        <w:rPr>
          <w:rFonts w:ascii="Times New Roman" w:hAnsi="Times New Roman" w:cs="Times New Roman"/>
          <w:sz w:val="24"/>
          <w:szCs w:val="24"/>
        </w:rPr>
        <w:lastRenderedPageBreak/>
        <w:t>difficult labour, leprosy and skin diseases.</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leaves</w:t>
      </w:r>
      <w:r w:rsidRPr="00D3011B">
        <w:rPr>
          <w:rFonts w:ascii="Times New Roman" w:hAnsi="Times New Roman" w:cs="Times New Roman"/>
          <w:sz w:val="24"/>
          <w:szCs w:val="24"/>
        </w:rPr>
        <w:t>: are used in haemostatic, depurative, anti-inflammatory and vulnerary. They are useful in inflammations, leprosy, skin diseases, pruritus, stomatitis, indolent ulcers, haemorrhages and haemoptysis.</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wood</w:t>
      </w:r>
      <w:r w:rsidRPr="00D3011B">
        <w:rPr>
          <w:rFonts w:ascii="Times New Roman" w:hAnsi="Times New Roman" w:cs="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roots</w:t>
      </w:r>
      <w:r w:rsidRPr="00D3011B">
        <w:rPr>
          <w:rFonts w:ascii="Times New Roman" w:hAnsi="Times New Roman" w:cs="Times New Roman"/>
          <w:sz w:val="24"/>
          <w:szCs w:val="24"/>
        </w:rPr>
        <w:t xml:space="preserve">: are useful in anuria and retention of urine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While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flowers</w:t>
      </w:r>
      <w:r w:rsidRPr="00D3011B">
        <w:rPr>
          <w:rFonts w:ascii="Times New Roman" w:hAnsi="Times New Roman" w:cs="Times New Roman"/>
          <w:sz w:val="24"/>
          <w:szCs w:val="24"/>
        </w:rPr>
        <w:t>: are acrid, bitter dry and cures bronchitis, biliousness, urinary discharge (Varier, 1996). According to Unani system of medicine, oil extracted from the flowers is useful in scabies, and promotes the hair growth (Ragasa</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Antibacterial activity</w:t>
      </w:r>
    </w:p>
    <w:p w:rsidR="00947124" w:rsidRPr="00D3011B" w:rsidRDefault="00947124" w:rsidP="00947124">
      <w:pPr>
        <w:pStyle w:val="Default"/>
        <w:spacing w:line="360" w:lineRule="auto"/>
        <w:jc w:val="both"/>
      </w:pPr>
      <w:r w:rsidRPr="00D3011B">
        <w:t xml:space="preserve">Antibacterial activity of </w:t>
      </w:r>
      <w:r w:rsidRPr="00D3011B">
        <w:rPr>
          <w:i/>
          <w:iCs/>
        </w:rPr>
        <w:t xml:space="preserve">T. grandis </w:t>
      </w:r>
      <w:r w:rsidRPr="00D3011B">
        <w:t xml:space="preserve">bark extracts towards </w:t>
      </w:r>
      <w:r w:rsidRPr="00D3011B">
        <w:rPr>
          <w:i/>
          <w:iCs/>
        </w:rPr>
        <w:t xml:space="preserve">S. aureus </w:t>
      </w:r>
      <w:r w:rsidRPr="00D3011B">
        <w:t xml:space="preserve">and other bacterial strains was reported by Rafullah and Suleiman (1999). The leaf extracts of </w:t>
      </w:r>
      <w:r w:rsidRPr="00D3011B">
        <w:rPr>
          <w:i/>
          <w:iCs/>
        </w:rPr>
        <w:t xml:space="preserve">Tectona grandis </w:t>
      </w:r>
      <w:r w:rsidRPr="00D3011B">
        <w:rPr>
          <w:iCs/>
        </w:rPr>
        <w:t xml:space="preserve">was </w:t>
      </w:r>
      <w:r w:rsidRPr="00D3011B">
        <w:t>found to contain two quinones: naphthotectone and anthratectone that were mainly responsible for the antibacterial activity and good antiradical properties (Neamatallah</w:t>
      </w:r>
      <w:r w:rsidRPr="00D3011B">
        <w:rPr>
          <w:i/>
        </w:rPr>
        <w:t>et al</w:t>
      </w:r>
      <w:r w:rsidRPr="00D3011B">
        <w:t xml:space="preserve">., 2005). The other active ingredient that contribute to antibacterial activity was found to be 5-hydroxy-1,4- naphthalenedione (Juglone). Mahesh and Jayakumaran (2010), showed the antibacterial activity of leaf, bark and wood extracts of </w:t>
      </w:r>
      <w:r w:rsidRPr="00D3011B">
        <w:rPr>
          <w:i/>
          <w:iCs/>
        </w:rPr>
        <w:t xml:space="preserve">T. grandis </w:t>
      </w:r>
      <w:r w:rsidRPr="00D3011B">
        <w:t xml:space="preserve">against </w:t>
      </w:r>
      <w:r w:rsidRPr="00D3011B">
        <w:rPr>
          <w:i/>
          <w:iCs/>
        </w:rPr>
        <w:t xml:space="preserve">Staphylococcus aureus </w:t>
      </w:r>
      <w:r w:rsidRPr="00D3011B">
        <w:t xml:space="preserve">(ATCC 25923), </w:t>
      </w:r>
      <w:r w:rsidRPr="00D3011B">
        <w:rPr>
          <w:i/>
          <w:iCs/>
        </w:rPr>
        <w:t>Klebsiellapneumoniae</w:t>
      </w:r>
      <w:r w:rsidRPr="00D3011B">
        <w:t xml:space="preserve">(ATCC 700603), hospital strains of </w:t>
      </w:r>
      <w:r w:rsidRPr="00D3011B">
        <w:rPr>
          <w:i/>
          <w:iCs/>
        </w:rPr>
        <w:t>Salmonella paratyphi</w:t>
      </w:r>
      <w:r w:rsidRPr="00D3011B">
        <w:t xml:space="preserve">and </w:t>
      </w:r>
      <w:r w:rsidRPr="00D3011B">
        <w:rPr>
          <w:i/>
          <w:iCs/>
        </w:rPr>
        <w:t xml:space="preserve">Proteus mirabilis </w:t>
      </w:r>
      <w:r w:rsidRPr="00D3011B">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D3011B">
        <w:rPr>
          <w:i/>
          <w:iCs/>
        </w:rPr>
        <w:t xml:space="preserve">S. aureus, B. subtilis) </w:t>
      </w:r>
      <w:r w:rsidRPr="00D3011B">
        <w:t>and Gram-negative (</w:t>
      </w:r>
      <w:r w:rsidRPr="00D3011B">
        <w:rPr>
          <w:i/>
          <w:iCs/>
        </w:rPr>
        <w:t xml:space="preserve">P. aeruginosa) </w:t>
      </w:r>
      <w:r w:rsidRPr="00D3011B">
        <w:t>bacteria.</w:t>
      </w:r>
    </w:p>
    <w:p w:rsidR="00947124" w:rsidRPr="00D3011B" w:rsidRDefault="00947124" w:rsidP="00947124">
      <w:pPr>
        <w:pStyle w:val="Default"/>
        <w:numPr>
          <w:ilvl w:val="0"/>
          <w:numId w:val="6"/>
        </w:numPr>
        <w:spacing w:line="360" w:lineRule="auto"/>
        <w:jc w:val="both"/>
      </w:pPr>
      <w:r w:rsidRPr="00D3011B">
        <w:rPr>
          <w:b/>
          <w:bCs/>
        </w:rPr>
        <w:t xml:space="preserve">Antifungal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The available literature reveals that tectoquinone and anthraquinone from teak sawdust, possess antifungal activity. Other phytochemicals reported from teak viz., juglone, </w:t>
      </w:r>
      <w:r w:rsidRPr="00D3011B">
        <w:rPr>
          <w:rFonts w:ascii="Times New Roman" w:hAnsi="Times New Roman" w:cs="Times New Roman"/>
          <w:color w:val="000000"/>
          <w:sz w:val="24"/>
          <w:szCs w:val="24"/>
        </w:rPr>
        <w:lastRenderedPageBreak/>
        <w:t>lapachol and deoxylapachol (Naphthoquinones) also possess antimicrobial activity (Sumthong</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p>
    <w:p w:rsidR="00947124" w:rsidRPr="00D3011B" w:rsidRDefault="00947124" w:rsidP="00947124">
      <w:pPr>
        <w:pStyle w:val="Default"/>
        <w:spacing w:line="360" w:lineRule="auto"/>
        <w:jc w:val="both"/>
      </w:pPr>
      <w:r w:rsidRPr="00D3011B">
        <w:t xml:space="preserve">The leaf and bark extracts of </w:t>
      </w:r>
      <w:r w:rsidRPr="00D3011B">
        <w:rPr>
          <w:i/>
          <w:iCs/>
        </w:rPr>
        <w:t xml:space="preserve">Tectona grandis </w:t>
      </w:r>
      <w:r w:rsidRPr="00D3011B">
        <w:t>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Sumthong</w:t>
      </w:r>
      <w:r w:rsidRPr="00D3011B">
        <w:rPr>
          <w:i/>
        </w:rPr>
        <w:t>et al</w:t>
      </w:r>
      <w:r w:rsidRPr="00D3011B">
        <w:t>. (2006).</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bCs/>
          <w:sz w:val="24"/>
          <w:szCs w:val="24"/>
        </w:rPr>
        <w:t>Suseela and Parimala (2017)</w:t>
      </w:r>
      <w:r w:rsidRPr="00D3011B">
        <w:rPr>
          <w:rFonts w:ascii="Times New Roman" w:hAnsi="Times New Roman" w:cs="Times New Roman"/>
          <w:color w:val="000000"/>
          <w:sz w:val="24"/>
          <w:szCs w:val="24"/>
        </w:rPr>
        <w:t xml:space="preserve">reported that both leaf and bark extracts of </w:t>
      </w:r>
      <w:r w:rsidRPr="00D3011B">
        <w:rPr>
          <w:rFonts w:ascii="Times New Roman" w:hAnsi="Times New Roman" w:cs="Times New Roman"/>
          <w:i/>
          <w:iCs/>
          <w:color w:val="000000"/>
          <w:sz w:val="24"/>
          <w:szCs w:val="24"/>
        </w:rPr>
        <w:t xml:space="preserve">Tectona grandis </w:t>
      </w:r>
      <w:r w:rsidRPr="00D3011B">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sz w:val="24"/>
          <w:szCs w:val="24"/>
        </w:rPr>
        <w:t>Antioxidant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Sumthong</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xml:space="preserve">. (2006) </w:t>
      </w:r>
      <w:r w:rsidRPr="00D3011B">
        <w:rPr>
          <w:rFonts w:ascii="Times New Roman" w:hAnsi="Times New Roman" w:cs="Times New Roman"/>
          <w:sz w:val="24"/>
          <w:szCs w:val="24"/>
        </w:rPr>
        <w:t xml:space="preserve">examined the antioxidant activity of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 xml:space="preserve">Linn. Leaf extracts employing four </w:t>
      </w:r>
      <w:r w:rsidRPr="00D3011B">
        <w:rPr>
          <w:rFonts w:ascii="Times New Roman" w:hAnsi="Times New Roman" w:cs="Times New Roman"/>
          <w:i/>
          <w:iCs/>
          <w:sz w:val="24"/>
          <w:szCs w:val="24"/>
        </w:rPr>
        <w:t xml:space="preserve">in vitro </w:t>
      </w:r>
      <w:r w:rsidRPr="00D3011B">
        <w:rPr>
          <w:rFonts w:ascii="Times New Roman" w:hAnsi="Times New Roman" w:cs="Times New Roman"/>
          <w:sz w:val="24"/>
          <w:szCs w:val="24"/>
        </w:rPr>
        <w:t>assay systems, i.e., Total phenolic content, reducing power, Super oxide radical scavenging activity, Inhibition of H</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O</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D3011B">
        <w:rPr>
          <w:rFonts w:ascii="Times New Roman" w:hAnsi="Times New Roman" w:cs="Times New Roman"/>
          <w:i/>
          <w:iCs/>
          <w:sz w:val="24"/>
          <w:szCs w:val="24"/>
        </w:rPr>
        <w:t>in vitro</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Linn shows potential scavenging activity among all other 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sidRPr="00D3011B">
        <w:rPr>
          <w:rFonts w:ascii="Times New Roman" w:hAnsi="Times New Roman" w:cs="Times New Roman"/>
          <w:color w:val="000000"/>
          <w:sz w:val="24"/>
          <w:szCs w:val="24"/>
        </w:rPr>
        <w:t>Sumthong</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r w:rsidRPr="00D3011B">
        <w:rPr>
          <w:rFonts w:ascii="Times New Roman" w:hAnsi="Times New Roman" w:cs="Times New Roman"/>
          <w:sz w:val="24"/>
          <w:szCs w:val="24"/>
        </w:rPr>
        <w:t>).</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color w:val="000000"/>
          <w:sz w:val="24"/>
          <w:szCs w:val="24"/>
        </w:rPr>
        <w:t xml:space="preserve">Anti-haemolytic anaemia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lastRenderedPageBreak/>
        <w:t xml:space="preserve">Traditional oral report indicates that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Linn, is used in the treatment of anemia in Togo (Aboudoulatif</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r w:rsidRPr="00D3011B">
        <w:rPr>
          <w:rFonts w:ascii="Times New Roman" w:hAnsi="Times New Roman" w:cs="Times New Roman"/>
          <w:color w:val="000000"/>
          <w:sz w:val="24"/>
          <w:szCs w:val="24"/>
        </w:rPr>
        <w:t xml:space="preserve"> The ethanol extract of leaves of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D3011B">
        <w:rPr>
          <w:rFonts w:ascii="Times New Roman" w:hAnsi="Times New Roman" w:cs="Times New Roman"/>
          <w:sz w:val="24"/>
          <w:szCs w:val="24"/>
        </w:rPr>
        <w:t>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haematocrit and reticulocytes rate mainly 7 days after phenylhydrazine administration. So the study suggested that, the extract could stimulate erythropoiesis process and which may increase the number of young RBCs (reticulocytes) (</w:t>
      </w:r>
      <w:r w:rsidRPr="00D3011B">
        <w:rPr>
          <w:rFonts w:ascii="Times New Roman" w:hAnsi="Times New Roman" w:cs="Times New Roman"/>
          <w:color w:val="000000"/>
          <w:sz w:val="24"/>
          <w:szCs w:val="24"/>
        </w:rPr>
        <w:t>Aboudoulatif</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Anti-inflammatory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Anti-ulcer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Lapachol, a naphthaquinone isolated from the roots of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given at a dose of 5 mg/ kg twice daily for 3 days was foundto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(Shruthi</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sz w:val="24"/>
          <w:szCs w:val="24"/>
        </w:rPr>
      </w:pPr>
      <w:r w:rsidRPr="00D3011B">
        <w:rPr>
          <w:rFonts w:ascii="Times New Roman" w:hAnsi="Times New Roman" w:cs="Times New Roman"/>
          <w:b/>
          <w:sz w:val="24"/>
          <w:szCs w:val="24"/>
        </w:rPr>
        <w:lastRenderedPageBreak/>
        <w:t xml:space="preserve">RABBIT PRODUCTION </w:t>
      </w:r>
    </w:p>
    <w:p w:rsidR="00947124" w:rsidRPr="00D3011B" w:rsidRDefault="00947124" w:rsidP="00947124">
      <w:pPr>
        <w:pStyle w:val="BodyText"/>
        <w:tabs>
          <w:tab w:val="left" w:pos="1800"/>
        </w:tabs>
        <w:ind w:left="0"/>
        <w:rPr>
          <w:sz w:val="24"/>
          <w:szCs w:val="24"/>
        </w:rPr>
      </w:pPr>
      <w:r w:rsidRPr="00D3011B">
        <w:rPr>
          <w:sz w:val="24"/>
          <w:szCs w:val="24"/>
        </w:rPr>
        <w:t>Rabbits (</w:t>
      </w:r>
      <w:r w:rsidRPr="00D3011B">
        <w:rPr>
          <w:i/>
          <w:sz w:val="24"/>
          <w:szCs w:val="24"/>
        </w:rPr>
        <w:t>Oryctolaguscuniculus</w:t>
      </w:r>
      <w:r w:rsidRPr="00D3011B">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947124" w:rsidRPr="00D3011B" w:rsidRDefault="00947124" w:rsidP="00947124">
      <w:pPr>
        <w:pStyle w:val="BodyText"/>
        <w:tabs>
          <w:tab w:val="left" w:pos="1800"/>
        </w:tabs>
        <w:ind w:left="0"/>
        <w:rPr>
          <w:sz w:val="24"/>
          <w:szCs w:val="24"/>
        </w:rPr>
      </w:pPr>
      <w:r w:rsidRPr="00D3011B">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947124" w:rsidRPr="00D3011B" w:rsidRDefault="00947124" w:rsidP="00947124">
      <w:pPr>
        <w:pStyle w:val="BodyText"/>
        <w:tabs>
          <w:tab w:val="left" w:pos="1800"/>
        </w:tabs>
        <w:ind w:left="0"/>
        <w:rPr>
          <w:sz w:val="24"/>
          <w:szCs w:val="24"/>
        </w:rPr>
      </w:pPr>
      <w:r w:rsidRPr="00D3011B">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(Ayodele,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phytobiotic growth promoter (Oloruntola</w:t>
      </w:r>
      <w:r w:rsidRPr="00D3011B">
        <w:rPr>
          <w:i/>
          <w:sz w:val="24"/>
          <w:szCs w:val="24"/>
        </w:rPr>
        <w:t>et al</w:t>
      </w:r>
      <w:r w:rsidRPr="00D3011B">
        <w:rPr>
          <w:sz w:val="24"/>
          <w:szCs w:val="24"/>
        </w:rPr>
        <w:t xml:space="preserve">. 2016). Herbs in monogastric diets </w:t>
      </w:r>
      <w:r w:rsidRPr="00D3011B">
        <w:rPr>
          <w:sz w:val="24"/>
          <w:szCs w:val="24"/>
        </w:rPr>
        <w:lastRenderedPageBreak/>
        <w:t>are known for impacting the metabolism by combating microbial activities and stress (Dhama</w:t>
      </w:r>
      <w:r w:rsidRPr="00D3011B">
        <w:rPr>
          <w:i/>
          <w:sz w:val="24"/>
          <w:szCs w:val="24"/>
        </w:rPr>
        <w:t>et al</w:t>
      </w:r>
      <w:r w:rsidRPr="00D3011B">
        <w:rPr>
          <w:sz w:val="24"/>
          <w:szCs w:val="24"/>
        </w:rPr>
        <w:t>. 2015) through the prevention of pathogens colonization and enhancement of the digestive enzymes production and activities by the phytogenic components of the plants’ parts (Dhama</w:t>
      </w:r>
      <w:r w:rsidRPr="00D3011B">
        <w:rPr>
          <w:i/>
          <w:sz w:val="24"/>
          <w:szCs w:val="24"/>
        </w:rPr>
        <w:t>et al</w:t>
      </w:r>
      <w:r w:rsidRPr="00D3011B">
        <w:rPr>
          <w:sz w:val="24"/>
          <w:szCs w:val="24"/>
        </w:rPr>
        <w:t xml:space="preserve">. 2015). Numerous plants possess anti-microbial traits which are synthesized during secondary metabolism of the plant (Ayodele, 2016). </w:t>
      </w:r>
    </w:p>
    <w:p w:rsidR="00947124" w:rsidRPr="00D3011B" w:rsidRDefault="00947124" w:rsidP="00947124">
      <w:pPr>
        <w:shd w:val="clear" w:color="auto" w:fill="FFFFFF"/>
        <w:spacing w:line="360" w:lineRule="auto"/>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2.5.1ImportanceofRabbitsinLivestock</w:t>
      </w:r>
      <w:r w:rsidRPr="00D3011B">
        <w:rPr>
          <w:rFonts w:ascii="Times New Roman" w:hAnsi="Times New Roman" w:cs="Times New Roman"/>
          <w:b/>
          <w:color w:val="000000"/>
          <w:spacing w:val="-2"/>
          <w:sz w:val="24"/>
          <w:szCs w:val="24"/>
        </w:rPr>
        <w:t>Production</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 xml:space="preserve">Meat Production: Rabbit meat is a lean, high-protein source with low cholesterol levels, making itidealforhealth-consciousconsumers.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 xml:space="preserve">ReproductiveEfficiency:Rabbitshaveshortgestationperiods(28–31days),highlitter sizes,and theabilitytobreedthroughouttheyear,ensuringsteadyproduction.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pacing w:val="-2"/>
          <w:sz w:val="24"/>
          <w:szCs w:val="24"/>
        </w:rPr>
        <w:t xml:space="preserve">Adaptability:Rabbitscanthriveindiverseenvironmentsandutilizeforages,agricultural by-products, </w:t>
      </w:r>
      <w:r w:rsidRPr="00D3011B">
        <w:rPr>
          <w:rFonts w:ascii="Times New Roman" w:hAnsi="Times New Roman" w:cs="Times New Roman"/>
          <w:color w:val="000000"/>
          <w:sz w:val="24"/>
          <w:szCs w:val="24"/>
        </w:rPr>
        <w:t>andunconventionalfeedresourcessuchasleaves.</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color w:val="000000"/>
          <w:sz w:val="24"/>
          <w:szCs w:val="24"/>
        </w:rPr>
        <w:t xml:space="preserve">2.5.2. </w:t>
      </w:r>
      <w:r w:rsidRPr="00D3011B">
        <w:rPr>
          <w:rFonts w:ascii="Times New Roman" w:hAnsi="Times New Roman" w:cs="Times New Roman"/>
          <w:b/>
          <w:sz w:val="24"/>
          <w:szCs w:val="24"/>
        </w:rPr>
        <w:t>Rabbit Nutrition</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2020</w:t>
      </w:r>
      <w:r w:rsidRPr="00D3011B">
        <w:rPr>
          <w:rFonts w:ascii="Times New Roman" w:hAnsi="Times New Roman" w:cs="Times New Roman"/>
          <w:sz w:val="24"/>
          <w:szCs w:val="24"/>
        </w:rPr>
        <w:t>)</w:t>
      </w:r>
      <w:r w:rsidRPr="00D3011B">
        <w:rPr>
          <w:rFonts w:ascii="Times New Roman" w:hAnsi="Times New Roman" w:cs="Times New Roman"/>
          <w:color w:val="000000"/>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w:t>
      </w:r>
      <w:r w:rsidRPr="00D3011B">
        <w:rPr>
          <w:rFonts w:ascii="Times New Roman" w:hAnsi="Times New Roman" w:cs="Times New Roman"/>
          <w:sz w:val="24"/>
          <w:szCs w:val="24"/>
        </w:rPr>
        <w:lastRenderedPageBreak/>
        <w:t>libitum. Bucks and does without litters need 6 to 8 ounces of pellets a day. When raising Angora rabbits, you should avoid feeding hay because the dust will contaminate the wool and lower its quality. Rabbits require fresh, clean water every day (Iyeghe-Erakpotobor</w:t>
      </w:r>
      <w:r w:rsidRPr="00D3011B">
        <w:rPr>
          <w:rFonts w:ascii="Times New Roman" w:hAnsi="Times New Roman" w:cs="Times New Roman"/>
          <w:i/>
          <w:sz w:val="24"/>
          <w:szCs w:val="24"/>
        </w:rPr>
        <w:t>et al</w:t>
      </w:r>
      <w:r w:rsidRPr="00D3011B">
        <w:rPr>
          <w:rFonts w:ascii="Times New Roman" w:hAnsi="Times New Roman" w:cs="Times New Roman"/>
          <w:sz w:val="24"/>
          <w:szCs w:val="24"/>
        </w:rPr>
        <w:t>.,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(Shi-yi</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been reported to perform better on different feed ration ranging from fodder, forage, grains and forage combination and compounded feed (Heba</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Heba</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r w:rsidRPr="00D3011B">
        <w:rPr>
          <w:rFonts w:ascii="Times New Roman" w:hAnsi="Times New Roman" w:cs="Times New Roman"/>
          <w:bCs/>
          <w:sz w:val="24"/>
          <w:szCs w:val="24"/>
        </w:rPr>
        <w:t>Iyeghe-Erakpotobor</w:t>
      </w:r>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indicating that the rabbits were able to utilize nutrients in the high forage and low concentrate combinations. </w:t>
      </w:r>
      <w:r w:rsidRPr="00D3011B">
        <w:rPr>
          <w:rFonts w:ascii="Times New Roman" w:hAnsi="Times New Roman" w:cs="Times New Roman"/>
          <w:bCs/>
          <w:sz w:val="24"/>
          <w:szCs w:val="24"/>
        </w:rPr>
        <w:t>Iyeghe-Erakpotobor</w:t>
      </w:r>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lastRenderedPageBreak/>
        <w:t>In general, rabbits will eat about 80 percent of available plants. However, they have their favourites, including the leaves below the crown of cabbages (</w:t>
      </w:r>
      <w:r w:rsidRPr="00D3011B">
        <w:rPr>
          <w:rFonts w:ascii="Times New Roman" w:hAnsi="Times New Roman" w:cs="Times New Roman"/>
          <w:i/>
          <w:iCs/>
          <w:color w:val="000000"/>
          <w:sz w:val="24"/>
          <w:szCs w:val="24"/>
        </w:rPr>
        <w:t>Brassica aleracea</w:t>
      </w:r>
      <w:r w:rsidRPr="00D3011B">
        <w:rPr>
          <w:rFonts w:ascii="Times New Roman" w:hAnsi="Times New Roman" w:cs="Times New Roman"/>
          <w:color w:val="000000"/>
          <w:sz w:val="24"/>
          <w:szCs w:val="24"/>
        </w:rPr>
        <w:t>), groundnut leaves, juice plant (</w:t>
      </w:r>
      <w:r w:rsidRPr="00D3011B">
        <w:rPr>
          <w:rFonts w:ascii="Times New Roman" w:hAnsi="Times New Roman" w:cs="Times New Roman"/>
          <w:i/>
          <w:iCs/>
          <w:color w:val="000000"/>
          <w:sz w:val="24"/>
          <w:szCs w:val="24"/>
        </w:rPr>
        <w:t>Euphorbia heterophylla</w:t>
      </w:r>
      <w:r w:rsidRPr="00D3011B">
        <w:rPr>
          <w:rFonts w:ascii="Times New Roman" w:hAnsi="Times New Roman" w:cs="Times New Roman"/>
          <w:color w:val="000000"/>
          <w:sz w:val="24"/>
          <w:szCs w:val="24"/>
        </w:rPr>
        <w:t xml:space="preserve">), </w:t>
      </w:r>
      <w:r w:rsidRPr="00D3011B">
        <w:rPr>
          <w:rFonts w:ascii="Times New Roman" w:hAnsi="Times New Roman" w:cs="Times New Roman"/>
          <w:i/>
          <w:iCs/>
          <w:color w:val="000000"/>
          <w:sz w:val="24"/>
          <w:szCs w:val="24"/>
        </w:rPr>
        <w:t>Centrosemapubescens</w:t>
      </w:r>
      <w:r w:rsidRPr="00D3011B">
        <w:rPr>
          <w:rFonts w:ascii="Times New Roman" w:hAnsi="Times New Roman" w:cs="Times New Roman"/>
          <w:color w:val="000000"/>
          <w:sz w:val="24"/>
          <w:szCs w:val="24"/>
        </w:rPr>
        <w:t>and wild marigold (M</w:t>
      </w:r>
      <w:r w:rsidRPr="00D3011B">
        <w:rPr>
          <w:rFonts w:ascii="Times New Roman" w:hAnsi="Times New Roman" w:cs="Times New Roman"/>
          <w:i/>
          <w:iCs/>
          <w:color w:val="000000"/>
          <w:sz w:val="24"/>
          <w:szCs w:val="24"/>
        </w:rPr>
        <w:t>elantherascandens</w:t>
      </w:r>
      <w:r w:rsidRPr="00D3011B">
        <w:rPr>
          <w:rFonts w:ascii="Times New Roman" w:hAnsi="Times New Roman" w:cs="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sidRPr="00D3011B">
        <w:rPr>
          <w:rFonts w:ascii="Times New Roman" w:hAnsi="Times New Roman" w:cs="Times New Roman"/>
          <w:sz w:val="24"/>
          <w:szCs w:val="24"/>
        </w:rPr>
        <w:t>De-Blas and Mateos, 2010)</w:t>
      </w:r>
      <w:r w:rsidRPr="00D3011B">
        <w:rPr>
          <w:rFonts w:ascii="Times New Roman" w:hAnsi="Times New Roman" w:cs="Times New Roman"/>
          <w:color w:val="000000"/>
          <w:sz w:val="24"/>
          <w:szCs w:val="24"/>
        </w:rPr>
        <w:t>.</w:t>
      </w:r>
    </w:p>
    <w:p w:rsidR="00947124" w:rsidRPr="00D3011B" w:rsidRDefault="00947124" w:rsidP="00947124">
      <w:pPr>
        <w:pStyle w:val="BodyText"/>
        <w:tabs>
          <w:tab w:val="left" w:pos="1800"/>
        </w:tabs>
        <w:spacing w:before="19"/>
        <w:ind w:hanging="720"/>
        <w:rPr>
          <w:b/>
          <w:color w:val="000000"/>
          <w:sz w:val="24"/>
          <w:szCs w:val="24"/>
        </w:rPr>
      </w:pPr>
      <w:r w:rsidRPr="00D3011B">
        <w:rPr>
          <w:b/>
          <w:color w:val="000000"/>
          <w:sz w:val="24"/>
          <w:szCs w:val="24"/>
        </w:rPr>
        <w:t>NutritionalCompositionofTectonagrandis</w:t>
      </w:r>
      <w:r w:rsidRPr="00D3011B">
        <w:rPr>
          <w:b/>
          <w:color w:val="000000"/>
          <w:spacing w:val="-2"/>
          <w:sz w:val="24"/>
          <w:szCs w:val="24"/>
        </w:rPr>
        <w:t>Leaves</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b/>
          <w:color w:val="000000"/>
          <w:sz w:val="24"/>
          <w:szCs w:val="24"/>
        </w:rPr>
        <w:t>CrudeProtein:</w:t>
      </w:r>
      <w:r w:rsidRPr="00D3011B">
        <w:rPr>
          <w:rFonts w:ascii="Times New Roman" w:hAnsi="Times New Roman" w:cs="Times New Roman"/>
          <w:color w:val="000000"/>
          <w:sz w:val="24"/>
          <w:szCs w:val="24"/>
        </w:rPr>
        <w:t>Theleavescontain15–18%crudeprotein,whichmeetsasignificant</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color w:val="000000"/>
          <w:sz w:val="24"/>
          <w:szCs w:val="24"/>
        </w:rPr>
        <w:t>portionof theproteinrequirementforrabbits(Oloruntola</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z w:val="24"/>
          <w:szCs w:val="24"/>
        </w:rPr>
      </w:pPr>
      <w:r w:rsidRPr="00D3011B">
        <w:rPr>
          <w:rFonts w:ascii="Times New Roman" w:hAnsi="Times New Roman" w:cs="Times New Roman"/>
          <w:b/>
          <w:color w:val="000000"/>
          <w:spacing w:val="-4"/>
          <w:sz w:val="24"/>
          <w:szCs w:val="24"/>
        </w:rPr>
        <w:t>FiberContent</w:t>
      </w:r>
      <w:r w:rsidRPr="00D3011B">
        <w:rPr>
          <w:rFonts w:ascii="Times New Roman" w:hAnsi="Times New Roman" w:cs="Times New Roman"/>
          <w:color w:val="000000"/>
          <w:spacing w:val="-4"/>
          <w:sz w:val="24"/>
          <w:szCs w:val="24"/>
        </w:rPr>
        <w:t xml:space="preserve">:Thehighfibercontent(30–40%)supportsguthealthandenhancesnutrientabsorption </w:t>
      </w:r>
      <w:r w:rsidRPr="00D3011B">
        <w:rPr>
          <w:rFonts w:ascii="Times New Roman" w:hAnsi="Times New Roman" w:cs="Times New Roman"/>
          <w:color w:val="000000"/>
          <w:sz w:val="24"/>
          <w:szCs w:val="24"/>
        </w:rPr>
        <w:t>inrabbits,whicharehindgutfermenters(Akinwande&amp;Akinola,</w:t>
      </w:r>
    </w:p>
    <w:p w:rsidR="00947124" w:rsidRPr="00D3011B" w:rsidRDefault="00947124" w:rsidP="00947124">
      <w:pPr>
        <w:tabs>
          <w:tab w:val="left" w:pos="146"/>
          <w:tab w:val="left" w:pos="1800"/>
        </w:tabs>
        <w:spacing w:line="360" w:lineRule="auto"/>
        <w:ind w:right="322"/>
        <w:jc w:val="both"/>
        <w:rPr>
          <w:rFonts w:ascii="Times New Roman" w:hAnsi="Times New Roman" w:cs="Times New Roman"/>
          <w:color w:val="000000"/>
          <w:spacing w:val="-7"/>
          <w:sz w:val="24"/>
          <w:szCs w:val="24"/>
        </w:rPr>
      </w:pP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line="360" w:lineRule="auto"/>
        <w:ind w:right="328"/>
        <w:jc w:val="both"/>
        <w:rPr>
          <w:rFonts w:ascii="Times New Roman" w:hAnsi="Times New Roman" w:cs="Times New Roman"/>
          <w:color w:val="000000"/>
          <w:spacing w:val="-2"/>
          <w:sz w:val="24"/>
          <w:szCs w:val="24"/>
        </w:rPr>
      </w:pPr>
      <w:r w:rsidRPr="00D3011B">
        <w:rPr>
          <w:rFonts w:ascii="Times New Roman" w:hAnsi="Times New Roman" w:cs="Times New Roman"/>
          <w:b/>
          <w:color w:val="000000"/>
          <w:spacing w:val="-2"/>
          <w:sz w:val="24"/>
          <w:szCs w:val="24"/>
        </w:rPr>
        <w:t>Antioxidants:</w:t>
      </w:r>
      <w:r w:rsidRPr="00D3011B">
        <w:rPr>
          <w:rFonts w:ascii="Times New Roman" w:hAnsi="Times New Roman" w:cs="Times New Roman"/>
          <w:color w:val="000000"/>
          <w:spacing w:val="-2"/>
          <w:sz w:val="24"/>
          <w:szCs w:val="24"/>
        </w:rPr>
        <w:t xml:space="preserve"> The leaves are rich in phytochemicals such as flavonoids, polyphenols, and tannins, </w:t>
      </w:r>
      <w:r w:rsidRPr="00D3011B">
        <w:rPr>
          <w:rFonts w:ascii="Times New Roman" w:hAnsi="Times New Roman" w:cs="Times New Roman"/>
          <w:color w:val="000000"/>
          <w:sz w:val="24"/>
          <w:szCs w:val="24"/>
        </w:rPr>
        <w:t>whichactasnaturalantioxidantstocombatoxidativestress(Ebenebe</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.,2013).</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BenefitsofTectonagrandisLeavesinRabbit</w:t>
      </w:r>
      <w:r w:rsidRPr="00D3011B">
        <w:rPr>
          <w:rFonts w:ascii="Times New Roman" w:hAnsi="Times New Roman" w:cs="Times New Roman"/>
          <w:b/>
          <w:color w:val="000000"/>
          <w:spacing w:val="-2"/>
          <w:sz w:val="24"/>
          <w:szCs w:val="24"/>
        </w:rPr>
        <w:t>Diets.</w:t>
      </w:r>
    </w:p>
    <w:p w:rsidR="00947124" w:rsidRPr="00D3011B" w:rsidRDefault="00947124" w:rsidP="00947124">
      <w:pPr>
        <w:pStyle w:val="BodyText"/>
        <w:spacing w:before="18"/>
        <w:ind w:left="0" w:right="316"/>
        <w:rPr>
          <w:color w:val="000000"/>
          <w:sz w:val="24"/>
          <w:szCs w:val="24"/>
        </w:rPr>
      </w:pPr>
      <w:r w:rsidRPr="00D3011B">
        <w:rPr>
          <w:color w:val="000000"/>
          <w:sz w:val="24"/>
          <w:szCs w:val="24"/>
        </w:rPr>
        <w:t xml:space="preserve">GrowthandWeightGain:RabbitsfeddietscontainingTectonagrandisleavesachievedcomparable </w:t>
      </w:r>
      <w:r w:rsidRPr="00D3011B">
        <w:rPr>
          <w:color w:val="000000"/>
          <w:spacing w:val="-2"/>
          <w:sz w:val="24"/>
          <w:szCs w:val="24"/>
        </w:rPr>
        <w:lastRenderedPageBreak/>
        <w:t xml:space="preserve">orsuperiorgrowthperformancetothosefedconventionalfeeds,likelyduetotheleaves’highprotein </w:t>
      </w:r>
      <w:r w:rsidRPr="00D3011B">
        <w:rPr>
          <w:color w:val="000000"/>
          <w:sz w:val="24"/>
          <w:szCs w:val="24"/>
        </w:rPr>
        <w:t>andantioxidantcontent(Oloruntola</w:t>
      </w:r>
      <w:r w:rsidRPr="00D3011B">
        <w:rPr>
          <w:i/>
          <w:color w:val="000000"/>
          <w:sz w:val="24"/>
          <w:szCs w:val="24"/>
        </w:rPr>
        <w:t>etal</w:t>
      </w:r>
      <w:r w:rsidRPr="00D3011B">
        <w:rPr>
          <w:color w:val="000000"/>
          <w:sz w:val="24"/>
          <w:szCs w:val="24"/>
        </w:rPr>
        <w:t>.,2018)</w:t>
      </w:r>
    </w:p>
    <w:p w:rsidR="00947124" w:rsidRPr="00D3011B" w:rsidRDefault="00947124" w:rsidP="00947124">
      <w:pPr>
        <w:tabs>
          <w:tab w:val="left" w:pos="146"/>
          <w:tab w:val="left" w:pos="1800"/>
        </w:tabs>
        <w:spacing w:line="360" w:lineRule="auto"/>
        <w:ind w:right="326"/>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Digestibility:</w:t>
      </w:r>
      <w:r w:rsidRPr="00D3011B">
        <w:rPr>
          <w:rFonts w:ascii="Times New Roman" w:hAnsi="Times New Roman" w:cs="Times New Roman"/>
          <w:color w:val="000000"/>
          <w:sz w:val="24"/>
          <w:szCs w:val="24"/>
        </w:rPr>
        <w:t>ThefiberinTectonagrandisleavessupportshealthydigestion,reducingincidences ofenteritisanddiarrheainrabbits.</w:t>
      </w:r>
    </w:p>
    <w:p w:rsidR="00947124" w:rsidRPr="00D3011B" w:rsidRDefault="00947124" w:rsidP="00947124">
      <w:pPr>
        <w:pStyle w:val="BodyText"/>
        <w:ind w:left="0" w:right="329"/>
        <w:rPr>
          <w:color w:val="000000"/>
          <w:sz w:val="24"/>
          <w:szCs w:val="24"/>
        </w:rPr>
      </w:pPr>
      <w:r w:rsidRPr="00D3011B">
        <w:rPr>
          <w:color w:val="000000"/>
          <w:sz w:val="24"/>
          <w:szCs w:val="24"/>
        </w:rPr>
        <w:t xml:space="preserve">Theanti-nutritionalfactors(SoetanandOyewole,2009).Theadverseeffectofsome anti-nutrientsinfeedcanbeovercomebyrepeatedwashingwithwaterwhichmakesthefeedmorepalatablebyreducingitsbitterness.Thoughbywashing,little quantityofthedrymatterislost(Joshietal.,2012).AccordingtoTogunandOseni,(2005),haematologicalprofile;redblood cells, white blood cells, packed cell volume and haemoglobinhavebeenfoundusefulfordiseaseprognosisandfortherapeuticandfeed stressmonitoring.Thereforetheaimof </w:t>
      </w:r>
      <w:r w:rsidRPr="00D3011B">
        <w:rPr>
          <w:color w:val="000000"/>
          <w:spacing w:val="-4"/>
          <w:sz w:val="24"/>
          <w:szCs w:val="24"/>
        </w:rPr>
        <w:t>this</w:t>
      </w:r>
      <w:r w:rsidRPr="00D3011B">
        <w:rPr>
          <w:color w:val="000000"/>
          <w:spacing w:val="-2"/>
          <w:sz w:val="24"/>
          <w:szCs w:val="24"/>
        </w:rPr>
        <w:t>study</w:t>
      </w:r>
      <w:r w:rsidRPr="00D3011B">
        <w:rPr>
          <w:color w:val="000000"/>
          <w:spacing w:val="-4"/>
          <w:sz w:val="24"/>
          <w:szCs w:val="24"/>
        </w:rPr>
        <w:t>was</w:t>
      </w:r>
      <w:r w:rsidRPr="00D3011B">
        <w:rPr>
          <w:color w:val="000000"/>
          <w:spacing w:val="-6"/>
          <w:sz w:val="24"/>
          <w:szCs w:val="24"/>
        </w:rPr>
        <w:t>to</w:t>
      </w:r>
      <w:r w:rsidRPr="00D3011B">
        <w:rPr>
          <w:color w:val="000000"/>
          <w:spacing w:val="-2"/>
          <w:sz w:val="24"/>
          <w:szCs w:val="24"/>
        </w:rPr>
        <w:t>investigate</w:t>
      </w:r>
      <w:r w:rsidRPr="00D3011B">
        <w:rPr>
          <w:color w:val="000000"/>
          <w:spacing w:val="-4"/>
          <w:sz w:val="24"/>
          <w:szCs w:val="24"/>
        </w:rPr>
        <w:t>the</w:t>
      </w:r>
      <w:r w:rsidRPr="00D3011B">
        <w:rPr>
          <w:color w:val="000000"/>
          <w:spacing w:val="-2"/>
          <w:sz w:val="24"/>
          <w:szCs w:val="24"/>
        </w:rPr>
        <w:t>effect</w:t>
      </w:r>
      <w:r w:rsidRPr="00D3011B">
        <w:rPr>
          <w:color w:val="000000"/>
          <w:sz w:val="24"/>
          <w:szCs w:val="24"/>
        </w:rPr>
        <w:tab/>
      </w:r>
      <w:r w:rsidRPr="00D3011B">
        <w:rPr>
          <w:color w:val="000000"/>
          <w:spacing w:val="-6"/>
          <w:sz w:val="24"/>
          <w:szCs w:val="24"/>
        </w:rPr>
        <w:t xml:space="preserve">of </w:t>
      </w:r>
      <w:r w:rsidRPr="00D3011B">
        <w:rPr>
          <w:color w:val="000000"/>
          <w:spacing w:val="-2"/>
          <w:sz w:val="24"/>
          <w:szCs w:val="24"/>
        </w:rPr>
        <w:t>feeding</w:t>
      </w:r>
      <w:r w:rsidRPr="00D3011B">
        <w:rPr>
          <w:color w:val="000000"/>
          <w:spacing w:val="-4"/>
          <w:sz w:val="24"/>
          <w:szCs w:val="24"/>
        </w:rPr>
        <w:t>raw</w:t>
      </w:r>
      <w:r w:rsidRPr="00D3011B">
        <w:rPr>
          <w:color w:val="000000"/>
          <w:sz w:val="24"/>
          <w:szCs w:val="24"/>
        </w:rPr>
        <w:tab/>
      </w:r>
      <w:r w:rsidRPr="00D3011B">
        <w:rPr>
          <w:color w:val="000000"/>
          <w:spacing w:val="-4"/>
          <w:sz w:val="24"/>
          <w:szCs w:val="24"/>
        </w:rPr>
        <w:t>and</w:t>
      </w:r>
      <w:r w:rsidRPr="00D3011B">
        <w:rPr>
          <w:color w:val="000000"/>
          <w:spacing w:val="-2"/>
          <w:sz w:val="24"/>
          <w:szCs w:val="24"/>
        </w:rPr>
        <w:t>boiledrosella</w:t>
      </w:r>
      <w:r w:rsidRPr="00D3011B">
        <w:rPr>
          <w:color w:val="000000"/>
          <w:spacing w:val="-6"/>
          <w:sz w:val="24"/>
          <w:szCs w:val="24"/>
        </w:rPr>
        <w:t xml:space="preserve">(Hibiscus </w:t>
      </w:r>
      <w:r w:rsidRPr="00D3011B">
        <w:rPr>
          <w:color w:val="000000"/>
          <w:sz w:val="24"/>
          <w:szCs w:val="24"/>
        </w:rPr>
        <w:t xml:space="preserve">sabdariffaL.)seedmealbaseddietsonbloodprofileofgrowingrabbit. </w:t>
      </w:r>
      <w:r w:rsidRPr="00D3011B">
        <w:rPr>
          <w:color w:val="000000"/>
          <w:spacing w:val="-6"/>
          <w:sz w:val="24"/>
          <w:szCs w:val="24"/>
        </w:rPr>
        <w:t>The</w:t>
      </w:r>
      <w:r w:rsidRPr="00D3011B">
        <w:rPr>
          <w:color w:val="000000"/>
          <w:spacing w:val="-2"/>
          <w:sz w:val="24"/>
          <w:szCs w:val="24"/>
        </w:rPr>
        <w:t>anti-nutritional</w:t>
      </w:r>
      <w:r w:rsidRPr="00D3011B">
        <w:rPr>
          <w:color w:val="000000"/>
          <w:sz w:val="24"/>
          <w:szCs w:val="24"/>
        </w:rPr>
        <w:t xml:space="preserve"> factors(Soetan</w:t>
      </w:r>
      <w:r w:rsidRPr="00D3011B">
        <w:rPr>
          <w:color w:val="000000"/>
          <w:spacing w:val="-4"/>
          <w:sz w:val="24"/>
          <w:szCs w:val="24"/>
        </w:rPr>
        <w:t>and</w:t>
      </w:r>
      <w:r w:rsidRPr="00D3011B">
        <w:rPr>
          <w:color w:val="000000"/>
          <w:sz w:val="24"/>
          <w:szCs w:val="24"/>
        </w:rPr>
        <w:t xml:space="preserve">Oyewole,2009). </w:t>
      </w:r>
      <w:r w:rsidRPr="00D3011B">
        <w:rPr>
          <w:color w:val="000000"/>
          <w:spacing w:val="-4"/>
          <w:sz w:val="24"/>
          <w:szCs w:val="24"/>
        </w:rPr>
        <w:t>The</w:t>
      </w:r>
      <w:r w:rsidRPr="00D3011B">
        <w:rPr>
          <w:color w:val="000000"/>
          <w:sz w:val="24"/>
          <w:szCs w:val="24"/>
        </w:rPr>
        <w:tab/>
        <w:t xml:space="preserve">adverseeffectofsome </w:t>
      </w:r>
      <w:r w:rsidRPr="00D3011B">
        <w:rPr>
          <w:color w:val="000000"/>
          <w:spacing w:val="-2"/>
          <w:sz w:val="24"/>
          <w:szCs w:val="24"/>
        </w:rPr>
        <w:t>anti-nutrients</w:t>
      </w:r>
      <w:r w:rsidRPr="00D3011B">
        <w:rPr>
          <w:color w:val="000000"/>
          <w:spacing w:val="-6"/>
          <w:sz w:val="24"/>
          <w:szCs w:val="24"/>
        </w:rPr>
        <w:t>in</w:t>
      </w:r>
      <w:r w:rsidRPr="00D3011B">
        <w:rPr>
          <w:color w:val="000000"/>
          <w:spacing w:val="-4"/>
          <w:sz w:val="24"/>
          <w:szCs w:val="24"/>
        </w:rPr>
        <w:t>feedcan</w:t>
      </w:r>
      <w:r w:rsidRPr="00D3011B">
        <w:rPr>
          <w:color w:val="000000"/>
          <w:spacing w:val="-6"/>
          <w:sz w:val="24"/>
          <w:szCs w:val="24"/>
        </w:rPr>
        <w:t>be</w:t>
      </w:r>
      <w:r w:rsidRPr="00D3011B">
        <w:rPr>
          <w:color w:val="000000"/>
          <w:sz w:val="24"/>
          <w:szCs w:val="24"/>
        </w:rPr>
        <w:t xml:space="preserve"> overcome </w:t>
      </w:r>
      <w:r w:rsidRPr="00D3011B">
        <w:rPr>
          <w:color w:val="000000"/>
          <w:spacing w:val="-6"/>
          <w:sz w:val="24"/>
          <w:szCs w:val="24"/>
        </w:rPr>
        <w:t>by</w:t>
      </w:r>
      <w:r w:rsidRPr="00D3011B">
        <w:rPr>
          <w:color w:val="000000"/>
          <w:spacing w:val="-2"/>
          <w:sz w:val="24"/>
          <w:szCs w:val="24"/>
        </w:rPr>
        <w:t xml:space="preserve">repeatedwash in </w:t>
      </w:r>
      <w:r w:rsidRPr="00D3011B">
        <w:rPr>
          <w:color w:val="000000"/>
          <w:spacing w:val="-4"/>
          <w:sz w:val="24"/>
          <w:szCs w:val="24"/>
        </w:rPr>
        <w:t xml:space="preserve">withwater </w:t>
      </w:r>
      <w:r w:rsidRPr="00D3011B">
        <w:rPr>
          <w:color w:val="000000"/>
          <w:spacing w:val="-2"/>
          <w:sz w:val="24"/>
          <w:szCs w:val="24"/>
        </w:rPr>
        <w:t>whichmakes</w:t>
      </w:r>
      <w:r w:rsidRPr="00D3011B">
        <w:rPr>
          <w:color w:val="000000"/>
          <w:spacing w:val="-4"/>
          <w:sz w:val="24"/>
          <w:szCs w:val="24"/>
        </w:rPr>
        <w:t>thefeedmore</w:t>
      </w:r>
      <w:r w:rsidRPr="00D3011B">
        <w:rPr>
          <w:color w:val="000000"/>
          <w:spacing w:val="-2"/>
          <w:sz w:val="24"/>
          <w:szCs w:val="24"/>
        </w:rPr>
        <w:t>palatable</w:t>
      </w:r>
      <w:r w:rsidRPr="00D3011B">
        <w:rPr>
          <w:color w:val="000000"/>
          <w:sz w:val="24"/>
          <w:szCs w:val="24"/>
        </w:rPr>
        <w:t xml:space="preserve"> byreducingitsbitterness.Thoughbywashing, littlequantityofthedrymatterislost(Joshi</w:t>
      </w:r>
      <w:r w:rsidRPr="00D3011B">
        <w:rPr>
          <w:i/>
          <w:color w:val="000000"/>
          <w:sz w:val="24"/>
          <w:szCs w:val="24"/>
        </w:rPr>
        <w:t>etal</w:t>
      </w:r>
      <w:r w:rsidRPr="00D3011B">
        <w:rPr>
          <w:color w:val="000000"/>
          <w:sz w:val="24"/>
          <w:szCs w:val="24"/>
        </w:rPr>
        <w:t>.,2012).AccordingtoTogunandOseni</w:t>
      </w:r>
      <w:r w:rsidRPr="00D3011B">
        <w:rPr>
          <w:color w:val="000000"/>
          <w:spacing w:val="-2"/>
          <w:sz w:val="24"/>
          <w:szCs w:val="24"/>
        </w:rPr>
        <w:t>(2005),haematologicalprofile;</w:t>
      </w:r>
      <w:r w:rsidRPr="00D3011B">
        <w:rPr>
          <w:color w:val="000000"/>
          <w:spacing w:val="-4"/>
          <w:sz w:val="24"/>
          <w:szCs w:val="24"/>
        </w:rPr>
        <w:t>red</w:t>
      </w:r>
      <w:r w:rsidRPr="00D3011B">
        <w:rPr>
          <w:color w:val="000000"/>
          <w:sz w:val="24"/>
          <w:szCs w:val="24"/>
        </w:rPr>
        <w:t xml:space="preserve"> bloodcells,whitebloodcells,packedcellvolumeand haemoglobinhavebeenfoundusefulfordisease </w:t>
      </w:r>
      <w:r w:rsidRPr="00D3011B">
        <w:rPr>
          <w:color w:val="000000"/>
          <w:spacing w:val="-2"/>
          <w:sz w:val="24"/>
          <w:szCs w:val="24"/>
        </w:rPr>
        <w:t>prognosis</w:t>
      </w:r>
      <w:r w:rsidRPr="00D3011B">
        <w:rPr>
          <w:color w:val="000000"/>
          <w:spacing w:val="-4"/>
          <w:sz w:val="24"/>
          <w:szCs w:val="24"/>
        </w:rPr>
        <w:t>and</w:t>
      </w:r>
      <w:r w:rsidRPr="00D3011B">
        <w:rPr>
          <w:color w:val="000000"/>
          <w:sz w:val="24"/>
          <w:szCs w:val="24"/>
        </w:rPr>
        <w:tab/>
      </w:r>
      <w:r w:rsidRPr="00D3011B">
        <w:rPr>
          <w:color w:val="000000"/>
          <w:spacing w:val="-4"/>
          <w:sz w:val="24"/>
          <w:szCs w:val="24"/>
        </w:rPr>
        <w:t>for</w:t>
      </w:r>
      <w:r w:rsidRPr="00D3011B">
        <w:rPr>
          <w:color w:val="000000"/>
          <w:spacing w:val="-2"/>
          <w:sz w:val="24"/>
          <w:szCs w:val="24"/>
        </w:rPr>
        <w:t>therapeutic</w:t>
      </w:r>
      <w:r w:rsidRPr="00D3011B">
        <w:rPr>
          <w:color w:val="000000"/>
          <w:sz w:val="24"/>
          <w:szCs w:val="24"/>
        </w:rPr>
        <w:t xml:space="preserve"> andfeed stressmonitoring.</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 xml:space="preserve">OILS AND OXIDIZED OIL IN LIVESTOCK FEEDING </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sz w:val="24"/>
          <w:szCs w:val="24"/>
        </w:rPr>
        <w:t xml:space="preserve">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w:t>
      </w:r>
      <w:r w:rsidRPr="00D3011B">
        <w:rPr>
          <w:rFonts w:ascii="Times New Roman" w:hAnsi="Times New Roman" w:cs="Times New Roman"/>
          <w:sz w:val="24"/>
          <w:szCs w:val="24"/>
        </w:rPr>
        <w:lastRenderedPageBreak/>
        <w:t>divided into saturated (without double bond), unsaturated (with double bond), monounsaturated (with one double bond) and polyunsaturated fatty acids (PUFAs) (with two or more double bonds) (Orsavova</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Vegetable oils, rich in PUFAs, are used in broiler ration to enhance their growth performance because of their high digestibility (Shafqat</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Fats with longer chain length and a higher degree of saturation result in a lower fat absorption leading to a lower nitrogen corrected apparent metabolizable energy. Fats with greater proportion of short- and mid-chain fatty acids (C4:0–C14:0) are well absorbed compared to long-chain animal fats (Shafqat</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Inclusion of oil in poultry diets helps birds to overcome growth depression and manage heat stress (Wang et al., 2016). Lipids increase the energy content of the diet, decrease feed dustiness (Varady et al., 2012), enhance feed palatability (Cleland et al., 2005), consistency and fat soluble vitamins absorption, and supply of essential fatty acids leading to an improved zootechnical performance of the birds (Shafqat</w:t>
      </w:r>
      <w:r w:rsidRPr="00D3011B">
        <w:rPr>
          <w:rFonts w:ascii="Times New Roman" w:hAnsi="Times New Roman" w:cs="Times New Roman"/>
          <w:i/>
          <w:sz w:val="24"/>
          <w:szCs w:val="24"/>
        </w:rPr>
        <w:t>et al</w:t>
      </w:r>
      <w:r w:rsidRPr="00D3011B">
        <w:rPr>
          <w:rFonts w:ascii="Times New Roman" w:hAnsi="Times New Roman" w:cs="Times New Roman"/>
          <w:sz w:val="24"/>
          <w:szCs w:val="24"/>
        </w:rPr>
        <w:t>., 2021).</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2.6.1. Lipid oxidation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hydroperoxides and lipid peroxyl radicals (Yin </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The process of lipid oxidation is divided into three phases including initiation, propagation and termination with each phase consuming and producing primary, secondary and tertiary complexes, respectively (Belitz</w:t>
      </w:r>
      <w:r w:rsidRPr="00D3011B">
        <w:rPr>
          <w:rFonts w:ascii="Times New Roman" w:hAnsi="Times New Roman" w:cs="Times New Roman"/>
          <w:i/>
          <w:sz w:val="24"/>
          <w:szCs w:val="24"/>
        </w:rPr>
        <w:t>et al</w:t>
      </w:r>
      <w:r w:rsidRPr="00D3011B">
        <w:rPr>
          <w:rFonts w:ascii="Times New Roman" w:hAnsi="Times New Roman" w:cs="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Many peroxidation compounds including acids, aldehydes, and polymerized fatty acids formed during lipid </w:t>
      </w:r>
      <w:r w:rsidRPr="00D3011B">
        <w:rPr>
          <w:rFonts w:ascii="Times New Roman" w:hAnsi="Times New Roman" w:cs="Times New Roman"/>
          <w:sz w:val="24"/>
          <w:szCs w:val="24"/>
        </w:rPr>
        <w:lastRenderedPageBreak/>
        <w:t xml:space="preserve">peroxidation process can be assessed to evaluate the severity of lipid peroxidation (Kerr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(Lindblom</w:t>
      </w:r>
      <w:r w:rsidRPr="00D3011B">
        <w:rPr>
          <w:rFonts w:ascii="Times New Roman" w:hAnsi="Times New Roman" w:cs="Times New Roman"/>
          <w:i/>
          <w:sz w:val="24"/>
          <w:szCs w:val="24"/>
        </w:rPr>
        <w:t>et al</w:t>
      </w:r>
      <w:r w:rsidRPr="00D3011B">
        <w:rPr>
          <w:rFonts w:ascii="Times New Roman" w:hAnsi="Times New Roman" w:cs="Times New Roman"/>
          <w:sz w:val="24"/>
          <w:szCs w:val="24"/>
        </w:rPr>
        <w:t>., 2019). The propagation phase produces secondary oxidation products including aldehydes, ketones and acids which are commonly estimated by thiobarbituric acid reactive substances and p-anisidine value. P-anisidine value measures the total molecular weight of saturated and unsaturated aldehydes. Thiobarbituric acid reactive substances are indirect measure of malondialdehyde, formed in lipid peroxidation, whereas there are other aldehydes contributing to the thiobarbituric acid reactive substances value not specific to lipid peroxidation (Kerr et al., 2015). The termination phase follows the propagation phase and is supposed to yield the most harmful products of lipid peroxidation relative to DNA, protein or lipid damage.</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sz w:val="24"/>
          <w:szCs w:val="24"/>
        </w:rPr>
        <w:t xml:space="preserve">2.6.2. </w:t>
      </w:r>
      <w:r w:rsidRPr="00D3011B">
        <w:rPr>
          <w:rFonts w:ascii="Times New Roman" w:hAnsi="Times New Roman" w:cs="Times New Roman"/>
          <w:b/>
          <w:sz w:val="24"/>
          <w:szCs w:val="24"/>
        </w:rPr>
        <w:t>Global frying of food</w:t>
      </w:r>
    </w:p>
    <w:p w:rsidR="00947124"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(Tres</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2013). Provision of feed, containing oxidized oil, to broilers and turkeys resulted in a decreased growth performance and feed efﬁciency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2000) possibly due to a decreased feed intake because of off flavour, reduced palatability and digestibility of the feed. Oxidized fat in diets has a signiﬁcant effect on the production of lipid rancidity </w:t>
      </w:r>
      <w:r w:rsidRPr="00D3011B">
        <w:rPr>
          <w:rFonts w:ascii="Times New Roman" w:hAnsi="Times New Roman" w:cs="Times New Roman"/>
          <w:sz w:val="24"/>
          <w:szCs w:val="24"/>
        </w:rPr>
        <w:lastRenderedPageBreak/>
        <w:t>in meat products that leads to an increased drip loss and a decrease in its shelf life (Delles</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Pr="00D3011B" w:rsidRDefault="00712FC2" w:rsidP="00947124">
      <w:pPr>
        <w:tabs>
          <w:tab w:val="left" w:pos="345"/>
          <w:tab w:val="left" w:pos="1800"/>
        </w:tabs>
        <w:spacing w:line="360" w:lineRule="auto"/>
        <w:jc w:val="both"/>
        <w:rPr>
          <w:rFonts w:ascii="Times New Roman" w:hAnsi="Times New Roman" w:cs="Times New Roman"/>
          <w:b/>
          <w:color w:val="000000"/>
          <w:sz w:val="24"/>
          <w:szCs w:val="24"/>
        </w:rPr>
      </w:pP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b/>
          <w:sz w:val="24"/>
          <w:szCs w:val="24"/>
        </w:rPr>
        <w:t>2.6.3.Influence of dietary oxidized oil in livestock</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growth performance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(Dibner</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These oxidation products reduced fat retention to 1.4% and energy value of the diet by 1%, resulting in a lower BWG in broilers. Tavarez</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performed a study to examine the influence of oil quality (PV: 180 meq kg–1 of oil) and antioxidant inclusion (blend of ethoxyquin and propyl gallate at two levels; 0 or 135 mg/kg) in broilers and observed that antioxidant supplemented diets increased FI by 2.4% and BWG by 4%, whereas FCR remained unaffected compared to the birds in control group (PV: 1 meq kg–1).</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nutrients digestibility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Acikgoz</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investigated the nutrients digestibility in broilers by supplementing the oxidized (PV: 148 meq kg–1) oil with or without vitamin E and did not observe any significant effect on digestibility coefficients of crude protein and fat in male broilers during the grower phase (22–42 days). The apparent crude-fat digestibility was, however, decreased from 95% (fresh fish oil) to 91% (PV: 200 meq kg–1) and 74% (PV: 400 meq kg–1) in mink (Borsting</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1994). The digestibility response of broilers fed oxidized oil based diets (PV: 156 meq kg–1) and reported no significant difference in the retention of DM and nitrogen, whereas about 1.6% reduction in energy and fat retention was observed compared with the birds fed fresh oil based diets.</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gut health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D3011B">
        <w:rPr>
          <w:rFonts w:ascii="Times New Roman" w:hAnsi="Times New Roman" w:cs="Times New Roman"/>
          <w:i/>
          <w:sz w:val="24"/>
          <w:szCs w:val="24"/>
        </w:rPr>
        <w:t>et al</w:t>
      </w:r>
      <w:r w:rsidRPr="00D3011B">
        <w:rPr>
          <w:rFonts w:ascii="Times New Roman" w:hAnsi="Times New Roman" w:cs="Times New Roman"/>
          <w:sz w:val="24"/>
          <w:szCs w:val="24"/>
        </w:rPr>
        <w:t>., 1984).</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carcass characteristics and meat quality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Heating of oil may lead to decreased capability of the broilers to metabolize and utilize energy as a result of increased primary, secondary and tertiary oxidation products that may enhance the oxidative stress in the birds (Ehr</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Lin et al. (1989) </w:t>
      </w:r>
      <w:r w:rsidRPr="00D3011B">
        <w:rPr>
          <w:rFonts w:ascii="Times New Roman" w:hAnsi="Times New Roman" w:cs="Times New Roman"/>
          <w:sz w:val="24"/>
          <w:szCs w:val="24"/>
        </w:rPr>
        <w:lastRenderedPageBreak/>
        <w:t>concluded that the oxidative products destroy the fat-soluble vitamins (A, D, E and K) and reported 25% decreased 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examined the effects of oxidized oil (PV: 156 meq kg–1) based diets on tocopherol (vitamin E) levels and observed reduced concentrations of α and γ-tocopherol in all tissues of broilers. </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Effects on blood chemistry and tissue oxidative status.</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(Abdi-Hachesoo</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evaluated the influence of fat (combination of rapeseed oil and poultry fat) with varied degrees of oxidation.</w:t>
      </w:r>
    </w:p>
    <w:p w:rsidR="00947124" w:rsidRPr="00D3011B" w:rsidRDefault="00947124" w:rsidP="00947124">
      <w:pPr>
        <w:pStyle w:val="BodyText"/>
        <w:tabs>
          <w:tab w:val="left" w:pos="1800"/>
        </w:tabs>
        <w:ind w:left="0"/>
        <w:rPr>
          <w:b/>
          <w:color w:val="000000"/>
          <w:sz w:val="24"/>
          <w:szCs w:val="24"/>
        </w:rPr>
      </w:pPr>
      <w:r w:rsidRPr="00D3011B">
        <w:rPr>
          <w:b/>
          <w:color w:val="000000"/>
          <w:sz w:val="24"/>
          <w:szCs w:val="24"/>
        </w:rPr>
        <w:t>2.6.4.AntioxidantRoleofLeavesinMitigatingOxidative</w:t>
      </w:r>
      <w:r w:rsidRPr="00D3011B">
        <w:rPr>
          <w:b/>
          <w:color w:val="000000"/>
          <w:spacing w:val="-2"/>
          <w:sz w:val="24"/>
          <w:szCs w:val="24"/>
        </w:rPr>
        <w:t>Stress</w:t>
      </w:r>
    </w:p>
    <w:p w:rsidR="00947124" w:rsidRPr="00D3011B" w:rsidRDefault="00947124" w:rsidP="00947124">
      <w:pPr>
        <w:pStyle w:val="BodyText"/>
        <w:tabs>
          <w:tab w:val="left" w:pos="1800"/>
        </w:tabs>
        <w:ind w:left="0" w:right="327"/>
        <w:rPr>
          <w:color w:val="000000"/>
          <w:sz w:val="24"/>
          <w:szCs w:val="24"/>
        </w:rPr>
      </w:pPr>
      <w:r w:rsidRPr="00D3011B">
        <w:rPr>
          <w:color w:val="000000"/>
          <w:sz w:val="24"/>
          <w:szCs w:val="24"/>
        </w:rPr>
        <w:t>Tectona grandis are rich in natural antioxidants, including flavonoids, tannins, and polyphenols, whichcanhelpneutralizeROSandprotectcellularcomponents.</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Reduction in Lipid Peroxidation: Antioxidants in leaves reduce the levels of MDA, a biomarker foroxidativedamagetolipids(Oloruntola</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BoostingAntioxidantEnzymes:DietaryleaveshavebeenshowntoincreasetheactivityofSOD, catalase(CAT),andGPxinrabbits,enhancingtheirabilitytocombatoxidativestress(Akinwande&amp;Akinola,2018).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lastRenderedPageBreak/>
        <w:t>ImprovedImmunity:Theantioxidantpropertiesofleavesimproveimmuneresponse,reducingthe inflammatoryeffectscausedbyoxidizedoil(Ebenebe</w:t>
      </w:r>
      <w:r w:rsidRPr="00D3011B">
        <w:rPr>
          <w:rFonts w:ascii="Times New Roman" w:hAnsi="Times New Roman" w:cs="Times New Roman"/>
          <w:i/>
          <w:color w:val="000000"/>
          <w:sz w:val="24"/>
          <w:szCs w:val="24"/>
        </w:rPr>
        <w:t>etal</w:t>
      </w:r>
      <w:r w:rsidRPr="00D3011B">
        <w:rPr>
          <w:rFonts w:ascii="Times New Roman" w:hAnsi="Times New Roman" w:cs="Times New Roman"/>
          <w:color w:val="000000"/>
          <w:sz w:val="24"/>
          <w:szCs w:val="24"/>
        </w:rPr>
        <w:t>.,2013).</w:t>
      </w:r>
    </w:p>
    <w:p w:rsidR="00947124" w:rsidRDefault="00947124" w:rsidP="00947124">
      <w:pPr>
        <w:spacing w:after="0" w:line="360" w:lineRule="auto"/>
        <w:jc w:val="both"/>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47124">
      <w:pPr>
        <w:spacing w:after="0" w:line="360" w:lineRule="auto"/>
        <w:rPr>
          <w:rFonts w:ascii="Times New Roman" w:hAnsi="Times New Roman" w:cs="Times New Roman"/>
          <w:b/>
          <w:sz w:val="24"/>
          <w:szCs w:val="24"/>
        </w:rPr>
      </w:pPr>
    </w:p>
    <w:p w:rsidR="009A4F5D" w:rsidRPr="004F5B28" w:rsidRDefault="009A4F5D" w:rsidP="009A4F5D">
      <w:pPr>
        <w:spacing w:after="0" w:line="360" w:lineRule="auto"/>
        <w:jc w:val="center"/>
        <w:rPr>
          <w:rFonts w:ascii="Times New Roman" w:hAnsi="Times New Roman" w:cs="Times New Roman"/>
          <w:b/>
          <w:sz w:val="24"/>
          <w:szCs w:val="24"/>
        </w:rPr>
      </w:pPr>
      <w:r w:rsidRPr="004F5B28">
        <w:rPr>
          <w:rFonts w:ascii="Times New Roman" w:hAnsi="Times New Roman" w:cs="Times New Roman"/>
          <w:b/>
          <w:sz w:val="24"/>
          <w:szCs w:val="24"/>
        </w:rPr>
        <w:t>CHAPTER THREE</w:t>
      </w:r>
    </w:p>
    <w:p w:rsidR="009A4F5D" w:rsidRPr="009A4F5D" w:rsidRDefault="009A4F5D" w:rsidP="009A4F5D">
      <w:pPr>
        <w:pStyle w:val="ListParagraph"/>
        <w:numPr>
          <w:ilvl w:val="0"/>
          <w:numId w:val="3"/>
        </w:numPr>
        <w:spacing w:after="0" w:line="360" w:lineRule="auto"/>
        <w:jc w:val="center"/>
        <w:rPr>
          <w:rFonts w:ascii="Times New Roman" w:hAnsi="Times New Roman" w:cs="Times New Roman"/>
          <w:b/>
          <w:sz w:val="24"/>
          <w:szCs w:val="24"/>
        </w:rPr>
      </w:pPr>
      <w:r w:rsidRPr="009A4F5D">
        <w:rPr>
          <w:rFonts w:ascii="Times New Roman" w:hAnsi="Times New Roman" w:cs="Times New Roman"/>
          <w:b/>
          <w:sz w:val="24"/>
          <w:szCs w:val="24"/>
        </w:rPr>
        <w:t>MATERIALS AND METHODS</w:t>
      </w:r>
    </w:p>
    <w:p w:rsidR="009A4F5D" w:rsidRDefault="009A4F5D" w:rsidP="00947124">
      <w:pPr>
        <w:pStyle w:val="Default"/>
        <w:spacing w:line="360" w:lineRule="auto"/>
        <w:ind w:left="360"/>
        <w:jc w:val="both"/>
        <w:rPr>
          <w:b/>
          <w:bCs/>
        </w:rPr>
      </w:pPr>
      <w:r>
        <w:rPr>
          <w:b/>
          <w:bCs/>
        </w:rPr>
        <w:t>3.1. Study Area</w:t>
      </w:r>
    </w:p>
    <w:p w:rsidR="009A4F5D" w:rsidRDefault="009A4F5D" w:rsidP="00947124">
      <w:pPr>
        <w:pStyle w:val="Default"/>
        <w:spacing w:line="360" w:lineRule="auto"/>
        <w:jc w:val="both"/>
        <w:rPr>
          <w:bCs/>
        </w:rPr>
      </w:pPr>
      <w:r>
        <w:rPr>
          <w:bCs/>
        </w:rPr>
        <w:t>The experiment was carried out at the Department of Agricultural Technology Garden, Institute of Applied Sciences, Kwara State Polytechnic, Ilorin, Kwara State.</w:t>
      </w:r>
    </w:p>
    <w:p w:rsidR="009A4F5D" w:rsidRPr="009A4F5D" w:rsidRDefault="009A4F5D" w:rsidP="00947124">
      <w:pPr>
        <w:pStyle w:val="Default"/>
        <w:spacing w:line="360" w:lineRule="auto"/>
        <w:ind w:left="360"/>
        <w:jc w:val="both"/>
        <w:rPr>
          <w:bCs/>
        </w:rPr>
      </w:pPr>
      <w:r>
        <w:rPr>
          <w:b/>
        </w:rPr>
        <w:t xml:space="preserve">3.2. </w:t>
      </w:r>
      <w:r w:rsidRPr="009A4F5D">
        <w:rPr>
          <w:b/>
        </w:rPr>
        <w:t>Construction of rabbit hutch</w:t>
      </w:r>
    </w:p>
    <w:p w:rsidR="009A4F5D" w:rsidRPr="009A4F5D" w:rsidRDefault="009A4F5D" w:rsidP="00947124">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9A4F5D" w:rsidRDefault="009A4F5D" w:rsidP="00947124">
      <w:pPr>
        <w:pStyle w:val="Default"/>
        <w:spacing w:line="360" w:lineRule="auto"/>
        <w:ind w:left="360"/>
        <w:jc w:val="both"/>
        <w:rPr>
          <w:b/>
          <w:bCs/>
        </w:rPr>
      </w:pPr>
      <w:r>
        <w:rPr>
          <w:b/>
          <w:bCs/>
        </w:rPr>
        <w:t>3.3. Sample collection and processing</w:t>
      </w:r>
    </w:p>
    <w:p w:rsidR="009A4F5D" w:rsidRDefault="009A4F5D" w:rsidP="00947124">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leaves was identified at the Department of Biology, </w:t>
      </w:r>
      <w:r>
        <w:rPr>
          <w:bCs/>
        </w:rPr>
        <w:t>Kwara State Polytechnic,</w:t>
      </w:r>
      <w:r w:rsidRPr="000A58A1">
        <w:t>Ilorin,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w:t>
      </w:r>
      <w:r w:rsidRPr="000A58A1">
        <w:lastRenderedPageBreak/>
        <w:t xml:space="preserve">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rsidR="009A4F5D" w:rsidRDefault="009A4F5D" w:rsidP="00947124">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rsidR="009A4F5D" w:rsidRPr="00F279DD" w:rsidRDefault="009A4F5D" w:rsidP="00947124">
      <w:pPr>
        <w:pStyle w:val="Default"/>
        <w:spacing w:line="360" w:lineRule="auto"/>
        <w:jc w:val="both"/>
        <w:rPr>
          <w:b/>
          <w:bCs/>
          <w:i/>
        </w:rPr>
      </w:pPr>
      <w:r w:rsidRPr="00F279DD">
        <w:rPr>
          <w:b/>
          <w:bCs/>
          <w:i/>
        </w:rPr>
        <w:t>Preparation of Oxidize oil</w:t>
      </w:r>
    </w:p>
    <w:p w:rsidR="009A4F5D" w:rsidRDefault="009A4F5D" w:rsidP="00947124">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Jaarin and Kamisal (2012) and Leong </w:t>
      </w:r>
      <w:r>
        <w:rPr>
          <w:bCs/>
          <w:i/>
        </w:rPr>
        <w:t>et al</w:t>
      </w:r>
      <w:r>
        <w:rPr>
          <w:bCs/>
        </w:rPr>
        <w:t>. (2012).</w:t>
      </w:r>
    </w:p>
    <w:p w:rsidR="009A4F5D" w:rsidRDefault="009A4F5D" w:rsidP="00947124">
      <w:pPr>
        <w:pStyle w:val="Default"/>
        <w:spacing w:line="360" w:lineRule="auto"/>
        <w:ind w:left="360"/>
        <w:jc w:val="both"/>
        <w:rPr>
          <w:bCs/>
        </w:rPr>
      </w:pPr>
      <w:r>
        <w:rPr>
          <w:b/>
          <w:bCs/>
        </w:rPr>
        <w:t>3.4. Experimental design</w:t>
      </w:r>
    </w:p>
    <w:p w:rsidR="009A4F5D" w:rsidRDefault="009A4F5D" w:rsidP="00947124">
      <w:pPr>
        <w:pStyle w:val="Default"/>
        <w:spacing w:after="240"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rsidR="009A4F5D" w:rsidRDefault="009A4F5D" w:rsidP="00947124">
      <w:pPr>
        <w:pStyle w:val="Default"/>
        <w:spacing w:line="360" w:lineRule="auto"/>
        <w:jc w:val="both"/>
        <w:rPr>
          <w:bCs/>
        </w:rPr>
      </w:pPr>
      <w:r>
        <w:rPr>
          <w:bCs/>
        </w:rPr>
        <w:t xml:space="preserve">D1……… Treatment one (Control diet + normal oil) </w:t>
      </w:r>
    </w:p>
    <w:p w:rsidR="009A4F5D" w:rsidRDefault="009A4F5D" w:rsidP="00947124">
      <w:pPr>
        <w:pStyle w:val="Default"/>
        <w:spacing w:line="360" w:lineRule="auto"/>
        <w:jc w:val="both"/>
        <w:rPr>
          <w:bCs/>
        </w:rPr>
      </w:pPr>
      <w:r>
        <w:rPr>
          <w:bCs/>
        </w:rPr>
        <w:t>D2………Treatment two (Control diet + oxidized oil</w:t>
      </w:r>
      <w:r>
        <w:t>)</w:t>
      </w:r>
      <w:r>
        <w:rPr>
          <w:bCs/>
        </w:rPr>
        <w:t>.</w:t>
      </w:r>
    </w:p>
    <w:p w:rsidR="009A4F5D" w:rsidRDefault="009A4F5D" w:rsidP="00947124">
      <w:pPr>
        <w:pStyle w:val="Default"/>
        <w:spacing w:line="360" w:lineRule="auto"/>
        <w:jc w:val="both"/>
        <w:rPr>
          <w:bCs/>
        </w:rPr>
      </w:pPr>
      <w:r>
        <w:rPr>
          <w:bCs/>
        </w:rPr>
        <w:t xml:space="preserve">D3.. Treatment three (Control diet + oxidized oil + </w:t>
      </w:r>
      <w:r>
        <w:t>Butylated hydroxyl anisole (BHA</w:t>
      </w:r>
      <w:r>
        <w:rPr>
          <w:bCs/>
        </w:rPr>
        <w:t>).</w:t>
      </w:r>
    </w:p>
    <w:p w:rsidR="009A4F5D" w:rsidRDefault="009A4F5D" w:rsidP="00947124">
      <w:pPr>
        <w:pStyle w:val="Default"/>
        <w:spacing w:after="240" w:line="360" w:lineRule="auto"/>
        <w:jc w:val="both"/>
        <w:rPr>
          <w:bCs/>
        </w:rPr>
      </w:pPr>
      <w:r>
        <w:rPr>
          <w:bCs/>
        </w:rPr>
        <w:t>D4……… Treatment four (best diet with TGLM + oxidized oil).</w:t>
      </w:r>
      <w:bookmarkStart w:id="0" w:name="_Hlk131749140"/>
    </w:p>
    <w:bookmarkEnd w:id="0"/>
    <w:p w:rsidR="009A4F5D" w:rsidRPr="00947124" w:rsidRDefault="009A4F5D" w:rsidP="00947124">
      <w:pPr>
        <w:pStyle w:val="Default"/>
        <w:spacing w:line="360" w:lineRule="auto"/>
        <w:ind w:left="360"/>
        <w:jc w:val="both"/>
        <w:rPr>
          <w:b/>
        </w:rPr>
      </w:pPr>
      <w:r>
        <w:rPr>
          <w:b/>
        </w:rPr>
        <w:t xml:space="preserve">3.5. </w:t>
      </w:r>
      <w:r w:rsidRPr="00947124">
        <w:rPr>
          <w:b/>
        </w:rPr>
        <w:t>Animal feeding and management</w:t>
      </w:r>
    </w:p>
    <w:p w:rsidR="009A4F5D" w:rsidRPr="00947124" w:rsidRDefault="009A4F5D" w:rsidP="00947124">
      <w:pPr>
        <w:spacing w:line="36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The </w:t>
      </w:r>
      <w:r w:rsidRPr="00947124">
        <w:rPr>
          <w:rFonts w:ascii="Times New Roman" w:hAnsi="Times New Roman" w:cs="Times New Roman"/>
          <w:bCs/>
          <w:sz w:val="24"/>
          <w:szCs w:val="24"/>
        </w:rPr>
        <w:t>homogeneous sex</w:t>
      </w:r>
      <w:r w:rsidRPr="00947124">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947124">
        <w:rPr>
          <w:rFonts w:ascii="Times New Roman" w:hAnsi="Times New Roman" w:cs="Times New Roman"/>
          <w:i/>
          <w:iCs/>
          <w:sz w:val="24"/>
          <w:szCs w:val="24"/>
          <w:lang w:val="en-GB"/>
        </w:rPr>
        <w:t>ad-libitum</w:t>
      </w:r>
      <w:r w:rsidRPr="00947124">
        <w:rPr>
          <w:rFonts w:ascii="Times New Roman" w:hAnsi="Times New Roman" w:cs="Times New Roman"/>
          <w:sz w:val="24"/>
          <w:szCs w:val="24"/>
          <w:lang w:val="en-GB"/>
        </w:rPr>
        <w:t xml:space="preserve"> with adequate supply of cool clean water. The rabbit was given adequate management. The pen was kept clean and other </w:t>
      </w:r>
      <w:r w:rsidRPr="00947124">
        <w:rPr>
          <w:rFonts w:ascii="Times New Roman" w:hAnsi="Times New Roman" w:cs="Times New Roman"/>
          <w:sz w:val="24"/>
          <w:szCs w:val="24"/>
          <w:lang w:val="en-GB"/>
        </w:rPr>
        <w:lastRenderedPageBreak/>
        <w:t xml:space="preserve">precautions taken into consideration as the need may require. The kits was dewormed for ectoparasite and endoparasite, and was given broad spectrum antibiotics against infections. </w:t>
      </w:r>
    </w:p>
    <w:p w:rsidR="009A4F5D" w:rsidRPr="00947124" w:rsidRDefault="00712FC2" w:rsidP="00712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9A4F5D" w:rsidRPr="00947124">
        <w:rPr>
          <w:rFonts w:ascii="Times New Roman" w:hAnsi="Times New Roman" w:cs="Times New Roman"/>
          <w:b/>
          <w:sz w:val="24"/>
          <w:szCs w:val="24"/>
          <w:lang w:val="en-GB"/>
        </w:rPr>
        <w:t>Experimental diets</w:t>
      </w:r>
    </w:p>
    <w:p w:rsidR="009A4F5D" w:rsidRPr="00947124" w:rsidRDefault="009A4F5D" w:rsidP="00712FC2">
      <w:pPr>
        <w:spacing w:after="0" w:line="24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2063"/>
        <w:gridCol w:w="1897"/>
        <w:gridCol w:w="1530"/>
        <w:gridCol w:w="1800"/>
        <w:gridCol w:w="1530"/>
      </w:tblGrid>
      <w:tr w:rsidR="009A4F5D" w:rsidRPr="00947124" w:rsidTr="00822B98">
        <w:tc>
          <w:tcPr>
            <w:tcW w:w="2063"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TGLM %replacement for wheat offal</w:t>
            </w:r>
          </w:p>
        </w:tc>
      </w:tr>
      <w:tr w:rsidR="009A4F5D" w:rsidRPr="00947124" w:rsidTr="00822B98">
        <w:tc>
          <w:tcPr>
            <w:tcW w:w="2063" w:type="dxa"/>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 0%</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BHA 150g/kg</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TGML10%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+ 3% O.O</w:t>
            </w:r>
          </w:p>
        </w:tc>
      </w:tr>
      <w:tr w:rsidR="009A4F5D" w:rsidRPr="00947124" w:rsidTr="00822B98">
        <w:tc>
          <w:tcPr>
            <w:tcW w:w="2063"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20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TGLM</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Groundnut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Salt</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Vit./Min. Premixes</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Lysine</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Oil</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Total </w:t>
            </w:r>
          </w:p>
        </w:tc>
        <w:tc>
          <w:tcPr>
            <w:tcW w:w="1897"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N. 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80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O.O.+BHA</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 100kg</w:t>
            </w:r>
          </w:p>
        </w:tc>
      </w:tr>
      <w:tr w:rsidR="009A4F5D" w:rsidRPr="00947124" w:rsidTr="00822B98">
        <w:tc>
          <w:tcPr>
            <w:tcW w:w="8820" w:type="dxa"/>
            <w:gridSpan w:val="5"/>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b/>
                <w:i/>
                <w:sz w:val="24"/>
                <w:szCs w:val="24"/>
                <w:lang w:val="en-GB"/>
              </w:rPr>
            </w:pPr>
          </w:p>
        </w:tc>
      </w:tr>
    </w:tbl>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TGML. </w:t>
      </w:r>
      <w:r w:rsidRPr="00947124">
        <w:rPr>
          <w:rFonts w:ascii="Times New Roman" w:hAnsi="Times New Roman" w:cs="Times New Roman"/>
          <w:i/>
          <w:sz w:val="24"/>
          <w:szCs w:val="24"/>
        </w:rPr>
        <w:t>Tectona grandis</w:t>
      </w:r>
      <w:r w:rsidRPr="00947124">
        <w:rPr>
          <w:rFonts w:ascii="Times New Roman" w:hAnsi="Times New Roman" w:cs="Times New Roman"/>
          <w:sz w:val="24"/>
          <w:szCs w:val="24"/>
        </w:rPr>
        <w:t xml:space="preserve"> leaf meal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N.O.</w:t>
      </w:r>
      <w:r w:rsidRPr="00947124">
        <w:rPr>
          <w:rFonts w:ascii="Times New Roman" w:hAnsi="Times New Roman" w:cs="Times New Roman"/>
          <w:sz w:val="24"/>
          <w:szCs w:val="24"/>
        </w:rPr>
        <w:tab/>
        <w:t>Normal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O.O. </w:t>
      </w:r>
      <w:r w:rsidRPr="00947124">
        <w:rPr>
          <w:rFonts w:ascii="Times New Roman" w:hAnsi="Times New Roman" w:cs="Times New Roman"/>
          <w:sz w:val="24"/>
          <w:szCs w:val="24"/>
        </w:rPr>
        <w:tab/>
        <w:t>Oxidized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BHA</w:t>
      </w:r>
      <w:r w:rsidRPr="00947124">
        <w:rPr>
          <w:rFonts w:ascii="Times New Roman" w:hAnsi="Times New Roman" w:cs="Times New Roman"/>
          <w:bCs/>
          <w:sz w:val="24"/>
          <w:szCs w:val="24"/>
        </w:rPr>
        <w:t xml:space="preserve">. </w:t>
      </w:r>
      <w:r w:rsidRPr="00947124">
        <w:rPr>
          <w:rFonts w:ascii="Times New Roman" w:hAnsi="Times New Roman" w:cs="Times New Roman"/>
          <w:bCs/>
          <w:sz w:val="24"/>
          <w:szCs w:val="24"/>
        </w:rPr>
        <w:tab/>
      </w:r>
      <w:r w:rsidRPr="00947124">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816"/>
        <w:gridCol w:w="1656"/>
        <w:gridCol w:w="996"/>
        <w:gridCol w:w="996"/>
        <w:gridCol w:w="996"/>
      </w:tblGrid>
      <w:tr w:rsidR="009A4F5D" w:rsidRPr="00947124" w:rsidTr="00822B98">
        <w:tc>
          <w:tcPr>
            <w:tcW w:w="0" w:type="auto"/>
            <w:gridSpan w:val="5"/>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b/>
                <w:i/>
                <w:sz w:val="24"/>
                <w:szCs w:val="24"/>
                <w:lang w:val="en-GB"/>
              </w:rPr>
            </w:pPr>
            <w:r w:rsidRPr="00947124">
              <w:rPr>
                <w:rFonts w:ascii="Times New Roman" w:hAnsi="Times New Roman" w:cs="Times New Roman"/>
                <w:b/>
                <w:i/>
                <w:sz w:val="24"/>
                <w:szCs w:val="24"/>
                <w:lang w:val="en-GB"/>
              </w:rPr>
              <w:t>Calculated Nutritional Value</w:t>
            </w:r>
          </w:p>
        </w:tc>
      </w:tr>
      <w:tr w:rsidR="009A4F5D" w:rsidRPr="00947124" w:rsidTr="00822B98">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Digestible Energy (Kcal/kg)</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2390.15</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protein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15.04</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fat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4.90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Ash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fibre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7.40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r>
      <w:tr w:rsidR="009A4F5D" w:rsidRPr="00947124" w:rsidTr="00822B98">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r>
    </w:tbl>
    <w:p w:rsidR="009A4F5D" w:rsidRPr="00947124" w:rsidRDefault="009A4F5D" w:rsidP="000A367C">
      <w:pPr>
        <w:spacing w:before="240" w:after="0" w:line="360" w:lineRule="auto"/>
        <w:jc w:val="both"/>
        <w:rPr>
          <w:rFonts w:ascii="Times New Roman" w:hAnsi="Times New Roman" w:cs="Times New Roman"/>
          <w:b/>
          <w:sz w:val="24"/>
          <w:szCs w:val="24"/>
        </w:rPr>
      </w:pPr>
      <w:r w:rsidRPr="00947124">
        <w:rPr>
          <w:rFonts w:ascii="Times New Roman" w:hAnsi="Times New Roman" w:cs="Times New Roman"/>
          <w:b/>
          <w:sz w:val="24"/>
          <w:szCs w:val="24"/>
        </w:rPr>
        <w:t xml:space="preserve">3.7. Experimentation </w:t>
      </w:r>
    </w:p>
    <w:p w:rsidR="009A4F5D" w:rsidRPr="00947124" w:rsidRDefault="009A4F5D" w:rsidP="000A367C">
      <w:pPr>
        <w:pStyle w:val="ListParagraph"/>
        <w:spacing w:after="0" w:line="360" w:lineRule="auto"/>
        <w:ind w:left="360"/>
        <w:jc w:val="both"/>
        <w:rPr>
          <w:rFonts w:ascii="Times New Roman" w:hAnsi="Times New Roman" w:cs="Times New Roman"/>
          <w:sz w:val="24"/>
          <w:szCs w:val="24"/>
        </w:rPr>
      </w:pPr>
      <w:r w:rsidRPr="00947124">
        <w:rPr>
          <w:rFonts w:ascii="Times New Roman" w:hAnsi="Times New Roman" w:cs="Times New Roman"/>
          <w:sz w:val="24"/>
          <w:szCs w:val="24"/>
        </w:rPr>
        <w:t>The following parameters was analyzed and data was collected</w:t>
      </w:r>
    </w:p>
    <w:p w:rsidR="00947124" w:rsidRPr="00947124" w:rsidRDefault="00947124" w:rsidP="00947124">
      <w:pPr>
        <w:autoSpaceDE w:val="0"/>
        <w:autoSpaceDN w:val="0"/>
        <w:adjustRightInd w:val="0"/>
        <w:spacing w:after="0" w:line="360" w:lineRule="auto"/>
        <w:jc w:val="both"/>
        <w:rPr>
          <w:rFonts w:ascii="Times New Roman" w:hAnsi="Times New Roman" w:cs="Times New Roman"/>
          <w:sz w:val="24"/>
          <w:szCs w:val="24"/>
        </w:rPr>
      </w:pPr>
      <w:r w:rsidRPr="00947124">
        <w:rPr>
          <w:rFonts w:ascii="Times New Roman" w:hAnsi="Times New Roman" w:cs="Times New Roman"/>
          <w:b/>
          <w:sz w:val="24"/>
          <w:szCs w:val="24"/>
        </w:rPr>
        <w:lastRenderedPageBreak/>
        <w:t xml:space="preserve">Carcass characteristics measurement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At the end of the experiment period (at 8 weeks feeding trial), slaughter yield and carcass quality measurement was performed on rabbits selected randomly from each treatment.</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selected rabbits were fasted for 12 hours without feed but with supply of cool clean water.</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slaughtering and carcass dissection procedures follow the world Rabbit Science Association recommendation as described by </w:t>
      </w:r>
      <w:r w:rsidRPr="00947124">
        <w:rPr>
          <w:rFonts w:ascii="Times New Roman" w:hAnsi="Times New Roman" w:cs="Times New Roman"/>
          <w:color w:val="2E2E2E"/>
          <w:sz w:val="24"/>
          <w:szCs w:val="24"/>
        </w:rPr>
        <w:t xml:space="preserve">Soren and Julio, (2020); </w:t>
      </w:r>
      <w:r w:rsidRPr="00947124">
        <w:rPr>
          <w:rFonts w:ascii="Times New Roman" w:hAnsi="Times New Roman" w:cs="Times New Roman"/>
          <w:color w:val="000000"/>
          <w:sz w:val="24"/>
          <w:szCs w:val="24"/>
        </w:rPr>
        <w:t>Blasco</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(1993).</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rabbits was weighed immediately before slaughtering (slaughter weight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 slaughtered rabbit was bled then weighed (bled weight B.W).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Then skinned, genitals, urinary bladder, GIT and the distal part of the legs removed to get Hot carcass weight</w:t>
      </w:r>
      <w:r w:rsidRPr="00947124">
        <w:rPr>
          <w:rFonts w:ascii="Times New Roman" w:hAnsi="Times New Roman" w:cs="Times New Roman"/>
          <w:color w:val="2E2E2E"/>
          <w:sz w:val="24"/>
          <w:szCs w:val="24"/>
        </w:rPr>
        <w:t xml:space="preserve"> HCW (with the head, thorasic cage, organs; liver, kidney, heart, lungs, thymus, trachea and esophagus) and perirenal and scapular fat was weighed together 30 min after slaughtering (HCW).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 xml:space="preserve">Then the head, liver, kidney, heart, lungs, thymus, trachea and esophagus was removed to obtain the reference carcass weight (RCW as percentage of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carcass was then cut in between the last thorasic and first lumber vertebrae and between the 6</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resulting into three parts; fore, intermediate and hind.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RCW was further divided into left and right hind legs, loin region (between the 1</w:t>
      </w:r>
      <w:r w:rsidRPr="00947124">
        <w:rPr>
          <w:rFonts w:ascii="Times New Roman" w:hAnsi="Times New Roman" w:cs="Times New Roman"/>
          <w:color w:val="2E2E2E"/>
          <w:sz w:val="24"/>
          <w:szCs w:val="24"/>
          <w:vertAlign w:val="superscript"/>
        </w:rPr>
        <w:t>st</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according to Pla and Dalla-Zotte (2000). The left hind leg was deboned and the meat-to-bone ratio was calculated (Soren and Julio, 2020; </w:t>
      </w:r>
      <w:r w:rsidRPr="00947124">
        <w:rPr>
          <w:rFonts w:ascii="Times New Roman" w:hAnsi="Times New Roman" w:cs="Times New Roman"/>
          <w:color w:val="000000"/>
          <w:sz w:val="24"/>
          <w:szCs w:val="24"/>
        </w:rPr>
        <w:t>Blasco</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xml:space="preserve">., 1996).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Primal cuts measurement to include; shoulder, thorax, loin, legs, intermediate cut and hind cut.</w:t>
      </w:r>
    </w:p>
    <w:p w:rsidR="009A4F5D" w:rsidRPr="00947124" w:rsidRDefault="00947124" w:rsidP="00947124">
      <w:pPr>
        <w:pStyle w:val="ListParagraph"/>
        <w:numPr>
          <w:ilvl w:val="0"/>
          <w:numId w:val="4"/>
        </w:numPr>
        <w:autoSpaceDE w:val="0"/>
        <w:autoSpaceDN w:val="0"/>
        <w:adjustRightInd w:val="0"/>
        <w:spacing w:after="200" w:line="360" w:lineRule="auto"/>
        <w:rPr>
          <w:rFonts w:ascii="Times New Roman" w:hAnsi="Times New Roman" w:cs="Times New Roman"/>
          <w:color w:val="2E2E2E"/>
          <w:sz w:val="24"/>
          <w:szCs w:val="24"/>
        </w:rPr>
      </w:pPr>
      <w:r w:rsidRPr="00947124">
        <w:rPr>
          <w:rFonts w:ascii="Times New Roman" w:hAnsi="Times New Roman" w:cs="Times New Roman"/>
          <w:color w:val="2E2E2E"/>
          <w:sz w:val="24"/>
          <w:szCs w:val="24"/>
        </w:rPr>
        <w:lastRenderedPageBreak/>
        <w:t>While the internal organs to be measured include liver, kidney, heart, spleen, lungs and trachea.</w:t>
      </w:r>
    </w:p>
    <w:p w:rsidR="009A4F5D" w:rsidRPr="00947124" w:rsidRDefault="009A4F5D" w:rsidP="00822B98">
      <w:pPr>
        <w:autoSpaceDE w:val="0"/>
        <w:autoSpaceDN w:val="0"/>
        <w:adjustRightInd w:val="0"/>
        <w:spacing w:after="0" w:line="360" w:lineRule="auto"/>
        <w:jc w:val="both"/>
        <w:rPr>
          <w:rFonts w:ascii="Times New Roman" w:hAnsi="Times New Roman" w:cs="Times New Roman"/>
          <w:b/>
          <w:color w:val="2E2E2E"/>
          <w:sz w:val="24"/>
          <w:szCs w:val="24"/>
        </w:rPr>
      </w:pPr>
      <w:r w:rsidRPr="00947124">
        <w:rPr>
          <w:rFonts w:ascii="Times New Roman" w:hAnsi="Times New Roman" w:cs="Times New Roman"/>
          <w:b/>
          <w:color w:val="2E2E2E"/>
          <w:sz w:val="24"/>
          <w:szCs w:val="24"/>
        </w:rPr>
        <w:t>3.8. Statistical Analysis</w:t>
      </w:r>
    </w:p>
    <w:p w:rsidR="009A4F5D" w:rsidRPr="00947124" w:rsidRDefault="009A4F5D" w:rsidP="00947124">
      <w:pPr>
        <w:spacing w:line="360" w:lineRule="auto"/>
        <w:jc w:val="both"/>
        <w:rPr>
          <w:rFonts w:ascii="Times New Roman" w:hAnsi="Times New Roman" w:cs="Times New Roman"/>
          <w:sz w:val="24"/>
          <w:szCs w:val="24"/>
        </w:rPr>
      </w:pPr>
      <w:r w:rsidRPr="00947124">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9A4F5D" w:rsidRDefault="009A4F5D"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Pr="00947124" w:rsidRDefault="000A367C" w:rsidP="009A4F5D">
      <w:pPr>
        <w:spacing w:line="360" w:lineRule="auto"/>
        <w:jc w:val="both"/>
        <w:rPr>
          <w:rFonts w:ascii="Times New Roman" w:hAnsi="Times New Roman" w:cs="Times New Roman"/>
          <w:sz w:val="24"/>
          <w:szCs w:val="24"/>
        </w:rPr>
      </w:pPr>
    </w:p>
    <w:p w:rsidR="00822B98" w:rsidRDefault="00822B98" w:rsidP="00822B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822B98" w:rsidRDefault="00822B98" w:rsidP="00822B98">
      <w:pPr>
        <w:pStyle w:val="ListParagraph"/>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822B98" w:rsidRPr="00822B98" w:rsidRDefault="00822B98" w:rsidP="00822B98">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RESULT</w:t>
      </w:r>
    </w:p>
    <w:p w:rsidR="00822B98" w:rsidRPr="0080565D" w:rsidRDefault="00822B98" w:rsidP="00822B98">
      <w:pPr>
        <w:spacing w:after="0" w:line="240" w:lineRule="auto"/>
        <w:jc w:val="both"/>
        <w:rPr>
          <w:rFonts w:ascii="Times New Roman" w:hAnsi="Times New Roman" w:cs="Times New Roman"/>
          <w:b/>
          <w:sz w:val="24"/>
          <w:szCs w:val="24"/>
        </w:rPr>
      </w:pPr>
      <w:r w:rsidRPr="0080565D">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80565D">
        <w:rPr>
          <w:rFonts w:ascii="Times New Roman" w:hAnsi="Times New Roman" w:cs="Times New Roman"/>
          <w:b/>
          <w:bCs/>
          <w:sz w:val="24"/>
          <w:szCs w:val="24"/>
        </w:rPr>
        <w:t>. Carcass characteristics and internal organs</w:t>
      </w:r>
      <w:r w:rsidRPr="0080565D">
        <w:rPr>
          <w:rFonts w:ascii="Times New Roman" w:hAnsi="Times New Roman" w:cs="Times New Roman"/>
          <w:b/>
          <w:sz w:val="24"/>
          <w:szCs w:val="24"/>
        </w:rPr>
        <w:t xml:space="preserve"> of rabbits fed diet supplemented with oxidized oil and with or without 10% TGLM</w:t>
      </w:r>
    </w:p>
    <w:tbl>
      <w:tblPr>
        <w:tblStyle w:val="TableGrid"/>
        <w:tblW w:w="9990"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8"/>
        <w:gridCol w:w="1332"/>
        <w:gridCol w:w="1374"/>
        <w:gridCol w:w="1803"/>
        <w:gridCol w:w="1349"/>
        <w:gridCol w:w="876"/>
        <w:gridCol w:w="888"/>
      </w:tblGrid>
      <w:tr w:rsidR="00822B98" w:rsidRPr="009F3356" w:rsidTr="00822B98">
        <w:tc>
          <w:tcPr>
            <w:tcW w:w="2368" w:type="dxa"/>
            <w:tcBorders>
              <w:top w:val="single" w:sz="4" w:space="0" w:color="auto"/>
              <w:bottom w:val="single" w:sz="4" w:space="0" w:color="auto"/>
            </w:tcBorders>
          </w:tcPr>
          <w:p w:rsidR="00822B98" w:rsidRPr="009F3356" w:rsidRDefault="00822B98" w:rsidP="00822B98">
            <w:pPr>
              <w:jc w:val="both"/>
              <w:rPr>
                <w:rFonts w:ascii="Times New Roman" w:hAnsi="Times New Roman" w:cs="Times New Roman"/>
                <w:sz w:val="24"/>
                <w:szCs w:val="24"/>
              </w:rPr>
            </w:pPr>
            <w:r w:rsidRPr="009F3356">
              <w:rPr>
                <w:rFonts w:ascii="Times New Roman" w:hAnsi="Times New Roman" w:cs="Times New Roman"/>
                <w:sz w:val="24"/>
                <w:szCs w:val="24"/>
              </w:rPr>
              <w:t xml:space="preserve">Item </w:t>
            </w:r>
          </w:p>
        </w:tc>
        <w:tc>
          <w:tcPr>
            <w:tcW w:w="1332"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74"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803"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 BHA 150g/kg</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49"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TGML10%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rPr>
              <w:t>+ 3% O.O</w:t>
            </w:r>
          </w:p>
        </w:tc>
        <w:tc>
          <w:tcPr>
            <w:tcW w:w="876"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sz w:val="24"/>
                <w:szCs w:val="24"/>
              </w:rPr>
              <w:t>SEM</w:t>
            </w:r>
          </w:p>
        </w:tc>
        <w:tc>
          <w:tcPr>
            <w:tcW w:w="888"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i/>
                <w:iCs/>
                <w:sz w:val="24"/>
                <w:szCs w:val="24"/>
              </w:rPr>
              <w:t>P</w:t>
            </w:r>
            <w:r w:rsidRPr="00822B98">
              <w:rPr>
                <w:rFonts w:ascii="Times New Roman" w:hAnsi="Times New Roman" w:cs="Times New Roman"/>
                <w:sz w:val="24"/>
                <w:szCs w:val="24"/>
                <w:vertAlign w:val="subscript"/>
              </w:rPr>
              <w:t>value</w:t>
            </w:r>
          </w:p>
        </w:tc>
      </w:tr>
      <w:tr w:rsidR="00822B98" w:rsidRPr="009F3356" w:rsidTr="00822B98">
        <w:tc>
          <w:tcPr>
            <w:tcW w:w="236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Live weight </w:t>
            </w:r>
          </w:p>
        </w:tc>
        <w:tc>
          <w:tcPr>
            <w:tcW w:w="1332"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1914.33</w:t>
            </w:r>
          </w:p>
        </w:tc>
        <w:tc>
          <w:tcPr>
            <w:tcW w:w="1374"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1752.33</w:t>
            </w:r>
          </w:p>
        </w:tc>
        <w:tc>
          <w:tcPr>
            <w:tcW w:w="1803"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1846.00</w:t>
            </w:r>
          </w:p>
        </w:tc>
        <w:tc>
          <w:tcPr>
            <w:tcW w:w="1349"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2159.00</w:t>
            </w:r>
          </w:p>
        </w:tc>
        <w:tc>
          <w:tcPr>
            <w:tcW w:w="876"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793.92</w:t>
            </w:r>
          </w:p>
        </w:tc>
        <w:tc>
          <w:tcPr>
            <w:tcW w:w="88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0.189</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Bled weight  </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1856.33</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1703.67</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1795.00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2094.67</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417.75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0.190</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Hot carcass weight </w:t>
            </w:r>
          </w:p>
        </w:tc>
        <w:tc>
          <w:tcPr>
            <w:tcW w:w="1332"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1047.00</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926.00</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977.00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1144.33</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559.75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0.452</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Reference carcass wgt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57.30</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55.73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55.86</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56.91</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6.98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0.853</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Fore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377.67</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315.33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323.00</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284.50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0.448</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Mind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185.33</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177.00</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206.33</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240.67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548.25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0.273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Hind part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347.00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349.33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353.33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422.33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214.25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0.548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Skin </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192.33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833.75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0.220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lastRenderedPageBreak/>
              <w:t>Shoulder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128.00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129.33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383.92</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0.415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Thorax</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131.33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142.00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167.33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535.75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Loin</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120.67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109.00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125.00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770.17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0.245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Legs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256.67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235.67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273.33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238.08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0.465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Head</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176.33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189.00</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354.17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0.258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Feet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55.00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57.67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61.67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0.775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Tail</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9.33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0.235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GIT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443.67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319.50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0.431</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Liver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51.25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Hearth</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0.153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Kidney</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2.33</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0.990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Lungs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0.892</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Trachea</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0.25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0.119</w:t>
            </w:r>
          </w:p>
        </w:tc>
      </w:tr>
      <w:tr w:rsidR="00822B98" w:rsidRPr="009F3356" w:rsidTr="00822B98">
        <w:tc>
          <w:tcPr>
            <w:tcW w:w="236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Blood</w:t>
            </w:r>
          </w:p>
        </w:tc>
        <w:tc>
          <w:tcPr>
            <w:tcW w:w="1332"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59.67</w:t>
            </w:r>
          </w:p>
        </w:tc>
        <w:tc>
          <w:tcPr>
            <w:tcW w:w="1374"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48.67</w:t>
            </w:r>
          </w:p>
        </w:tc>
        <w:tc>
          <w:tcPr>
            <w:tcW w:w="1803"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49"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64.33</w:t>
            </w:r>
          </w:p>
        </w:tc>
        <w:tc>
          <w:tcPr>
            <w:tcW w:w="876"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102.25</w:t>
            </w:r>
          </w:p>
        </w:tc>
        <w:tc>
          <w:tcPr>
            <w:tcW w:w="88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0.289</w:t>
            </w:r>
          </w:p>
        </w:tc>
      </w:tr>
    </w:tbl>
    <w:p w:rsidR="00822B98" w:rsidRPr="00822B98" w:rsidRDefault="00822B98" w:rsidP="00822B98">
      <w:pPr>
        <w:jc w:val="both"/>
        <w:rPr>
          <w:rFonts w:ascii="Times New Roman" w:hAnsi="Times New Roman" w:cs="Times New Roman"/>
          <w:sz w:val="20"/>
          <w:szCs w:val="20"/>
        </w:rPr>
      </w:pPr>
      <w:r w:rsidRPr="00822B98">
        <w:rPr>
          <w:rFonts w:ascii="Times New Roman" w:hAnsi="Times New Roman" w:cs="Times New Roman"/>
          <w:sz w:val="20"/>
          <w:szCs w:val="20"/>
          <w:vertAlign w:val="superscript"/>
        </w:rPr>
        <w:t>a, b, c</w:t>
      </w:r>
      <w:r w:rsidRPr="00822B98">
        <w:rPr>
          <w:rFonts w:ascii="Times New Roman" w:hAnsi="Times New Roman" w:cs="Times New Roman"/>
          <w:sz w:val="20"/>
          <w:szCs w:val="20"/>
        </w:rPr>
        <w:t xml:space="preserve"> Means in a row with no common superscript differ significantly (</w:t>
      </w:r>
      <w:r w:rsidRPr="00822B98">
        <w:rPr>
          <w:rFonts w:ascii="Times New Roman" w:hAnsi="Times New Roman" w:cs="Times New Roman"/>
          <w:i/>
          <w:iCs/>
          <w:sz w:val="20"/>
          <w:szCs w:val="20"/>
        </w:rPr>
        <w:t>P</w:t>
      </w:r>
      <w:r w:rsidRPr="00822B98">
        <w:rPr>
          <w:rFonts w:ascii="Times New Roman" w:hAnsi="Times New Roman" w:cs="Times New Roman"/>
          <w:sz w:val="20"/>
          <w:szCs w:val="20"/>
        </w:rPr>
        <w:t xml:space="preserve">&lt; 0.05). Values are means of three replicates. </w:t>
      </w:r>
    </w:p>
    <w:p w:rsidR="00822B98" w:rsidRDefault="00822B98" w:rsidP="00E54DE8">
      <w:pPr>
        <w:spacing w:line="360" w:lineRule="auto"/>
        <w:jc w:val="both"/>
        <w:rPr>
          <w:rFonts w:ascii="Times New Roman" w:hAnsi="Times New Roman" w:cs="Times New Roman"/>
          <w:bCs/>
          <w:sz w:val="24"/>
          <w:szCs w:val="24"/>
        </w:rPr>
      </w:pPr>
      <w:r w:rsidRPr="00D6334A">
        <w:rPr>
          <w:rFonts w:ascii="Times New Roman" w:hAnsi="Times New Roman" w:cs="Times New Roman"/>
          <w:sz w:val="24"/>
          <w:szCs w:val="24"/>
        </w:rPr>
        <w:t>The</w:t>
      </w:r>
      <w:r>
        <w:rPr>
          <w:rFonts w:ascii="Times New Roman" w:hAnsi="Times New Roman" w:cs="Times New Roman"/>
          <w:sz w:val="24"/>
          <w:szCs w:val="24"/>
        </w:rPr>
        <w:t xml:space="preserve"> result of</w:t>
      </w:r>
      <w:r>
        <w:rPr>
          <w:rFonts w:ascii="Times New Roman" w:hAnsi="Times New Roman" w:cs="Times New Roman"/>
          <w:bCs/>
          <w:sz w:val="24"/>
          <w:szCs w:val="24"/>
        </w:rPr>
        <w:t>carcass characteristics and internal organs</w:t>
      </w:r>
      <w:r w:rsidRPr="00D6334A">
        <w:rPr>
          <w:rFonts w:ascii="Times New Roman" w:hAnsi="Times New Roman" w:cs="Times New Roman"/>
          <w:sz w:val="24"/>
          <w:szCs w:val="24"/>
        </w:rPr>
        <w:t xml:space="preserve">of </w:t>
      </w:r>
      <w:r>
        <w:rPr>
          <w:rFonts w:ascii="Times New Roman" w:hAnsi="Times New Roman" w:cs="Times New Roman"/>
          <w:sz w:val="24"/>
          <w:szCs w:val="24"/>
        </w:rPr>
        <w:t xml:space="preserve">rabbits fed diet supplemented with oxidized oil and with or without 10% </w:t>
      </w:r>
      <w:r w:rsidRPr="00D6334A">
        <w:rPr>
          <w:rFonts w:ascii="Times New Roman" w:hAnsi="Times New Roman" w:cs="Times New Roman"/>
          <w:sz w:val="24"/>
          <w:szCs w:val="24"/>
        </w:rPr>
        <w:t>TGL</w:t>
      </w:r>
      <w:r>
        <w:rPr>
          <w:rFonts w:ascii="Times New Roman" w:hAnsi="Times New Roman" w:cs="Times New Roman"/>
          <w:sz w:val="24"/>
          <w:szCs w:val="24"/>
        </w:rPr>
        <w:t>M is presented in table 4</w:t>
      </w:r>
      <w:r>
        <w:rPr>
          <w:rFonts w:ascii="Times New Roman" w:hAnsi="Times New Roman" w:cs="Times New Roman"/>
          <w:b/>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N.O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non-oxidized oil</w:t>
      </w:r>
      <w:r w:rsidRPr="001A4CB4">
        <w:rPr>
          <w:rFonts w:ascii="Times New Roman" w:hAnsi="Times New Roman" w:cs="Times New Roman"/>
          <w:bCs/>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BHA 150g/kg </w:t>
      </w:r>
      <w:r>
        <w:rPr>
          <w:rFonts w:ascii="Times New Roman" w:hAnsi="Times New Roman" w:cs="Times New Roman"/>
          <w:bCs/>
          <w:sz w:val="24"/>
          <w:szCs w:val="24"/>
        </w:rPr>
        <w:t>+ 3%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150g/kg butylated hydroxyl anisole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1</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bCs/>
          <w:sz w:val="24"/>
          <w:szCs w:val="24"/>
        </w:rPr>
        <w:t>3% O.O</w:t>
      </w:r>
      <w:r w:rsidRPr="001A4CB4">
        <w:rPr>
          <w:rFonts w:ascii="Times New Roman" w:hAnsi="Times New Roman" w:cs="Times New Roman"/>
          <w:bCs/>
          <w:sz w:val="24"/>
          <w:szCs w:val="24"/>
        </w:rPr>
        <w:t xml:space="preserve">, diet containing </w:t>
      </w:r>
      <w:r>
        <w:rPr>
          <w:rFonts w:ascii="Times New Roman" w:hAnsi="Times New Roman" w:cs="Times New Roman"/>
          <w:bCs/>
          <w:sz w:val="24"/>
          <w:szCs w:val="24"/>
        </w:rPr>
        <w:t>1</w:t>
      </w:r>
      <w:r w:rsidRPr="001A4CB4">
        <w:rPr>
          <w:rFonts w:ascii="Times New Roman" w:hAnsi="Times New Roman" w:cs="Times New Roman"/>
          <w:bCs/>
          <w:sz w:val="24"/>
          <w:szCs w:val="24"/>
        </w:rPr>
        <w:t xml:space="preserve">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 </w:t>
      </w:r>
      <w:r w:rsidRPr="001A4CB4">
        <w:rPr>
          <w:rFonts w:ascii="Times New Roman" w:hAnsi="Times New Roman" w:cs="Times New Roman"/>
          <w:bCs/>
          <w:sz w:val="24"/>
          <w:szCs w:val="24"/>
        </w:rPr>
        <w:t>SEM, standard error of mean.</w:t>
      </w:r>
      <w:r>
        <w:rPr>
          <w:rFonts w:ascii="Times New Roman" w:hAnsi="Times New Roman" w:cs="Times New Roman"/>
          <w:bCs/>
          <w:sz w:val="24"/>
          <w:szCs w:val="24"/>
        </w:rPr>
        <w:t xml:space="preserve"> The result of carcass characteristics, primal cuts and internal organs in were not (P &gt; 0.05) influenced by dietary treatments.  </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bCs/>
          <w:sz w:val="24"/>
          <w:szCs w:val="24"/>
        </w:rPr>
      </w:pPr>
      <w:r w:rsidRPr="00E54DE8">
        <w:rPr>
          <w:rFonts w:ascii="Times New Roman" w:hAnsi="Times New Roman" w:cs="Times New Roman"/>
          <w:b/>
          <w:bCs/>
          <w:sz w:val="24"/>
          <w:szCs w:val="24"/>
        </w:rPr>
        <w:t xml:space="preserve">DISCUSSION </w:t>
      </w:r>
    </w:p>
    <w:p w:rsidR="00E54DE8" w:rsidRDefault="00E54DE8" w:rsidP="00E54DE8">
      <w:pPr>
        <w:spacing w:line="360" w:lineRule="auto"/>
        <w:jc w:val="both"/>
        <w:rPr>
          <w:rFonts w:ascii="Times New Roman" w:hAnsi="Times New Roman" w:cs="Times New Roman"/>
          <w:sz w:val="24"/>
          <w:szCs w:val="24"/>
        </w:rPr>
      </w:pPr>
      <w:r w:rsidRPr="001C1444">
        <w:rPr>
          <w:rFonts w:ascii="Times New Roman" w:hAnsi="Times New Roman" w:cs="Times New Roman"/>
          <w:sz w:val="24"/>
          <w:szCs w:val="24"/>
        </w:rPr>
        <w:t xml:space="preserve">The dietary supplementation with oxidized oil, with or without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(TGLM), had no impact on carcass traits and internal organs of rabbits. No 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w:t>
      </w:r>
      <w:r w:rsidRPr="001C1444">
        <w:rPr>
          <w:rFonts w:ascii="Times New Roman" w:hAnsi="Times New Roman" w:cs="Times New Roman"/>
          <w:sz w:val="24"/>
          <w:szCs w:val="24"/>
        </w:rPr>
        <w:lastRenderedPageBreak/>
        <w:t xml:space="preserve">10% had a significant differences on the carcass composition or dressing percentage of the rabbits. Despite the </w:t>
      </w:r>
      <w:r w:rsidRPr="00E54DE8">
        <w:rPr>
          <w:rStyle w:val="Strong"/>
          <w:rFonts w:ascii="Times New Roman" w:hAnsi="Times New Roman" w:cs="Times New Roman"/>
          <w:b w:val="0"/>
          <w:sz w:val="24"/>
          <w:szCs w:val="24"/>
        </w:rPr>
        <w:t>numerical increase</w:t>
      </w:r>
      <w:r w:rsidRPr="001C1444">
        <w:rPr>
          <w:rFonts w:ascii="Times New Roman" w:hAnsi="Times New Roman" w:cs="Times New Roman"/>
          <w:sz w:val="24"/>
          <w:szCs w:val="24"/>
        </w:rPr>
        <w:t xml:space="preserve"> in live </w:t>
      </w:r>
      <w:r w:rsidRPr="00912107">
        <w:rPr>
          <w:rFonts w:ascii="Times New Roman" w:hAnsi="Times New Roman" w:cs="Times New Roman"/>
          <w:i/>
          <w:sz w:val="24"/>
          <w:szCs w:val="24"/>
        </w:rPr>
        <w:t>wei</w:t>
      </w:r>
      <w:r w:rsidRPr="001C1444">
        <w:rPr>
          <w:rFonts w:ascii="Times New Roman" w:hAnsi="Times New Roman" w:cs="Times New Roman"/>
          <w:sz w:val="24"/>
          <w:szCs w:val="24"/>
        </w:rPr>
        <w:t xml:space="preserve">ght and hot carcass weight in the </w:t>
      </w:r>
      <w:r w:rsidRPr="00E54DE8">
        <w:rPr>
          <w:rStyle w:val="Strong"/>
          <w:rFonts w:ascii="Times New Roman" w:hAnsi="Times New Roman" w:cs="Times New Roman"/>
          <w:b w:val="0"/>
          <w:sz w:val="24"/>
          <w:szCs w:val="24"/>
        </w:rPr>
        <w:t>TGLM 10% + 3% O.O</w:t>
      </w:r>
      <w:r w:rsidRPr="001C1444">
        <w:rPr>
          <w:rFonts w:ascii="Times New Roman" w:hAnsi="Times New Roman" w:cs="Times New Roman"/>
          <w:sz w:val="24"/>
          <w:szCs w:val="24"/>
        </w:rPr>
        <w:t xml:space="preserve"> group, the differences were not statistically significant, but this suggests a </w:t>
      </w:r>
      <w:r w:rsidRPr="00E54DE8">
        <w:rPr>
          <w:rStyle w:val="Strong"/>
          <w:rFonts w:ascii="Times New Roman" w:hAnsi="Times New Roman" w:cs="Times New Roman"/>
          <w:b w:val="0"/>
          <w:sz w:val="24"/>
          <w:szCs w:val="24"/>
        </w:rPr>
        <w:t>possible trend</w:t>
      </w:r>
      <w:r w:rsidRPr="001C1444">
        <w:rPr>
          <w:rFonts w:ascii="Times New Roman" w:hAnsi="Times New Roman" w:cs="Times New Roman"/>
          <w:sz w:val="24"/>
          <w:szCs w:val="24"/>
        </w:rPr>
        <w:t xml:space="preserve"> toward better growth or nutrient utilization in this group, which could be attributed to the bioactive components in </w:t>
      </w:r>
      <w:r w:rsidRPr="001C1444">
        <w:rPr>
          <w:rStyle w:val="Emphasis"/>
          <w:rFonts w:ascii="Times New Roman" w:hAnsi="Times New Roman" w:cs="Times New Roman"/>
          <w:sz w:val="24"/>
          <w:szCs w:val="24"/>
        </w:rPr>
        <w:t>T. grandis</w:t>
      </w:r>
      <w:r w:rsidRPr="001C1444">
        <w:rPr>
          <w:rFonts w:ascii="Times New Roman" w:hAnsi="Times New Roman" w:cs="Times New Roman"/>
          <w:sz w:val="24"/>
          <w:szCs w:val="24"/>
        </w:rPr>
        <w:t xml:space="preserve"> aiding in oxidative stress reduction. The inclusion of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in diets containing oxidized oil does </w:t>
      </w:r>
      <w:r w:rsidRPr="00E54DE8">
        <w:rPr>
          <w:rStyle w:val="Strong"/>
          <w:rFonts w:ascii="Times New Roman" w:hAnsi="Times New Roman" w:cs="Times New Roman"/>
          <w:b w:val="0"/>
          <w:sz w:val="24"/>
          <w:szCs w:val="24"/>
        </w:rPr>
        <w:t>not compromise carcass yield or internal organ integrity</w:t>
      </w:r>
      <w:r w:rsidRPr="001C1444">
        <w:rPr>
          <w:rFonts w:ascii="Times New Roman" w:hAnsi="Times New Roman" w:cs="Times New Roman"/>
          <w:sz w:val="24"/>
          <w:szCs w:val="24"/>
        </w:rPr>
        <w:t xml:space="preserve">. The lack of significant differences across treatments reinforces the </w:t>
      </w:r>
      <w:r w:rsidRPr="00E54DE8">
        <w:rPr>
          <w:rStyle w:val="Strong"/>
          <w:rFonts w:ascii="Times New Roman" w:hAnsi="Times New Roman" w:cs="Times New Roman"/>
          <w:b w:val="0"/>
          <w:sz w:val="24"/>
          <w:szCs w:val="24"/>
        </w:rPr>
        <w:t>safety and potential neutrality</w:t>
      </w:r>
      <w:r w:rsidRPr="001C1444">
        <w:rPr>
          <w:rFonts w:ascii="Times New Roman" w:hAnsi="Times New Roman" w:cs="Times New Roman"/>
          <w:sz w:val="24"/>
          <w:szCs w:val="24"/>
        </w:rPr>
        <w:t xml:space="preserve"> of TGLM inclusion at 10% with regard to carcass and organ development. </w:t>
      </w:r>
      <w:r w:rsidRPr="00E54DE8">
        <w:rPr>
          <w:rFonts w:ascii="Times New Roman" w:hAnsi="Times New Roman" w:cs="Times New Roman"/>
          <w:sz w:val="24"/>
          <w:szCs w:val="24"/>
        </w:rPr>
        <w:t xml:space="preserve">These findings support the </w:t>
      </w:r>
      <w:r w:rsidRPr="00E54DE8">
        <w:rPr>
          <w:rStyle w:val="Strong"/>
          <w:rFonts w:ascii="Times New Roman" w:hAnsi="Times New Roman" w:cs="Times New Roman"/>
          <w:b w:val="0"/>
          <w:sz w:val="24"/>
          <w:szCs w:val="24"/>
        </w:rPr>
        <w:t>feasible incorporation TGLM as a functional feed additive</w:t>
      </w:r>
      <w:r w:rsidRPr="00E54DE8">
        <w:rPr>
          <w:rFonts w:ascii="Times New Roman" w:hAnsi="Times New Roman" w:cs="Times New Roman"/>
          <w:sz w:val="24"/>
          <w:szCs w:val="24"/>
        </w:rPr>
        <w:t xml:space="preserve"> without negatively impacting the economic meat parts of rabbits. Natural feed additive have</w:t>
      </w:r>
      <w:r w:rsidRPr="007E22EC">
        <w:rPr>
          <w:rFonts w:ascii="Times New Roman" w:hAnsi="Times New Roman" w:cs="Times New Roman"/>
          <w:sz w:val="24"/>
          <w:szCs w:val="24"/>
        </w:rPr>
        <w:t xml:space="preserve"> reported to enhance the </w:t>
      </w:r>
      <w:r>
        <w:rPr>
          <w:rFonts w:ascii="Times New Roman" w:hAnsi="Times New Roman" w:cs="Times New Roman"/>
          <w:sz w:val="24"/>
          <w:szCs w:val="24"/>
        </w:rPr>
        <w:t>carcass characteristic of livestock</w:t>
      </w:r>
      <w:r w:rsidRPr="007E22EC">
        <w:rPr>
          <w:rFonts w:ascii="Times New Roman" w:hAnsi="Times New Roman" w:cs="Times New Roman"/>
          <w:sz w:val="24"/>
          <w:szCs w:val="24"/>
        </w:rPr>
        <w:t xml:space="preserve"> (</w:t>
      </w:r>
      <w:r w:rsidRPr="007E22EC">
        <w:rPr>
          <w:rFonts w:ascii="Times New Roman" w:hAnsi="Times New Roman" w:cs="Times New Roman"/>
          <w:color w:val="222222"/>
          <w:sz w:val="24"/>
          <w:szCs w:val="24"/>
          <w:shd w:val="clear" w:color="auto" w:fill="FFFFFF"/>
        </w:rPr>
        <w:t>Ncube</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2018; Adeyemi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2022; </w:t>
      </w:r>
      <w:r w:rsidRPr="007E22EC">
        <w:rPr>
          <w:rFonts w:ascii="Times New Roman" w:hAnsi="Times New Roman" w:cs="Times New Roman"/>
          <w:color w:val="222222"/>
          <w:sz w:val="24"/>
          <w:szCs w:val="24"/>
          <w:shd w:val="clear" w:color="auto" w:fill="FFFFFF"/>
        </w:rPr>
        <w:t xml:space="preserve">Adeyemi </w:t>
      </w:r>
      <w:r w:rsidRPr="007E22EC">
        <w:rPr>
          <w:rFonts w:ascii="Times New Roman" w:hAnsi="Times New Roman" w:cs="Times New Roman"/>
          <w:i/>
          <w:color w:val="222222"/>
          <w:sz w:val="24"/>
          <w:szCs w:val="24"/>
          <w:shd w:val="clear" w:color="auto" w:fill="FFFFFF"/>
        </w:rPr>
        <w:t>et al</w:t>
      </w:r>
      <w:r w:rsidRPr="007E22EC">
        <w:rPr>
          <w:rFonts w:ascii="Times New Roman" w:hAnsi="Times New Roman" w:cs="Times New Roman"/>
          <w:color w:val="222222"/>
          <w:sz w:val="24"/>
          <w:szCs w:val="24"/>
          <w:shd w:val="clear" w:color="auto" w:fill="FFFFFF"/>
        </w:rPr>
        <w:t>., 2025b).</w:t>
      </w:r>
    </w:p>
    <w:p w:rsidR="009A4F5D" w:rsidRPr="00947124" w:rsidRDefault="009A4F5D" w:rsidP="009A4F5D">
      <w:pPr>
        <w:spacing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Pr="00E54DE8" w:rsidRDefault="00E54DE8" w:rsidP="00E54DE8">
      <w:pPr>
        <w:spacing w:after="0" w:line="240" w:lineRule="auto"/>
        <w:jc w:val="center"/>
        <w:rPr>
          <w:rFonts w:ascii="Times New Roman" w:hAnsi="Times New Roman" w:cs="Times New Roman"/>
          <w:b/>
          <w:sz w:val="24"/>
          <w:szCs w:val="24"/>
        </w:rPr>
      </w:pPr>
      <w:r w:rsidRPr="00E54DE8">
        <w:rPr>
          <w:rFonts w:ascii="Times New Roman" w:hAnsi="Times New Roman" w:cs="Times New Roman"/>
          <w:b/>
          <w:sz w:val="24"/>
          <w:szCs w:val="24"/>
        </w:rPr>
        <w:t>CHAPTER FIVE</w:t>
      </w:r>
    </w:p>
    <w:p w:rsidR="00E54DE8" w:rsidRPr="00E54DE8" w:rsidRDefault="00E54DE8" w:rsidP="00E54DE8">
      <w:pPr>
        <w:pStyle w:val="ListParagraph"/>
        <w:numPr>
          <w:ilvl w:val="0"/>
          <w:numId w:val="3"/>
        </w:numPr>
        <w:spacing w:after="0" w:line="360" w:lineRule="auto"/>
        <w:jc w:val="center"/>
        <w:rPr>
          <w:rFonts w:ascii="Times New Roman" w:hAnsi="Times New Roman" w:cs="Times New Roman"/>
          <w:b/>
          <w:sz w:val="24"/>
          <w:szCs w:val="24"/>
        </w:rPr>
      </w:pPr>
      <w:r w:rsidRPr="00E54DE8">
        <w:rPr>
          <w:rFonts w:ascii="Times New Roman" w:hAnsi="Times New Roman" w:cs="Times New Roman"/>
          <w:b/>
          <w:sz w:val="24"/>
          <w:szCs w:val="24"/>
        </w:rPr>
        <w:t>CONCLUSION AND RECOMMENDATION</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sz w:val="24"/>
          <w:szCs w:val="24"/>
        </w:rPr>
      </w:pPr>
      <w:r w:rsidRPr="00E54DE8">
        <w:rPr>
          <w:rFonts w:ascii="Times New Roman" w:hAnsi="Times New Roman" w:cs="Times New Roman"/>
          <w:b/>
          <w:sz w:val="24"/>
          <w:szCs w:val="24"/>
        </w:rPr>
        <w:t>CONCLUSION</w:t>
      </w:r>
    </w:p>
    <w:p w:rsidR="00E54DE8"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shows that no </w:t>
      </w:r>
      <w:r w:rsidRPr="001C1444">
        <w:rPr>
          <w:rFonts w:ascii="Times New Roman" w:hAnsi="Times New Roman" w:cs="Times New Roman"/>
          <w:sz w:val="24"/>
          <w:szCs w:val="24"/>
        </w:rPr>
        <w:t xml:space="preserve">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w:t>
      </w:r>
      <w:r>
        <w:rPr>
          <w:rFonts w:ascii="Times New Roman" w:hAnsi="Times New Roman" w:cs="Times New Roman"/>
          <w:sz w:val="24"/>
          <w:szCs w:val="24"/>
        </w:rPr>
        <w:t xml:space="preserve"> Numerically, value obtained </w:t>
      </w:r>
      <w:r>
        <w:rPr>
          <w:rFonts w:ascii="Times New Roman" w:hAnsi="Times New Roman" w:cs="Times New Roman"/>
          <w:sz w:val="24"/>
          <w:szCs w:val="24"/>
        </w:rPr>
        <w:lastRenderedPageBreak/>
        <w:t>for carcass characteristics for rabbit fed diet treatment 4 (</w:t>
      </w:r>
      <w:r>
        <w:rPr>
          <w:rFonts w:ascii="Times New Roman" w:hAnsi="Times New Roman" w:cs="Times New Roman"/>
          <w:sz w:val="24"/>
          <w:szCs w:val="24"/>
          <w:lang w:val="en-GB"/>
        </w:rPr>
        <w:t xml:space="preserve">TGML10% </w:t>
      </w:r>
      <w:r>
        <w:rPr>
          <w:rFonts w:ascii="Times New Roman" w:hAnsi="Times New Roman" w:cs="Times New Roman"/>
          <w:sz w:val="24"/>
          <w:szCs w:val="24"/>
        </w:rPr>
        <w:t>+ 3% O.O) was higher than other treatments.</w:t>
      </w:r>
    </w:p>
    <w:p w:rsidR="00E54DE8" w:rsidRPr="00712FC2" w:rsidRDefault="00E54DE8" w:rsidP="000A367C">
      <w:pPr>
        <w:pStyle w:val="ListParagraph"/>
        <w:numPr>
          <w:ilvl w:val="1"/>
          <w:numId w:val="3"/>
        </w:numPr>
        <w:spacing w:after="0" w:line="360" w:lineRule="auto"/>
        <w:jc w:val="both"/>
        <w:rPr>
          <w:rFonts w:ascii="Times New Roman" w:hAnsi="Times New Roman" w:cs="Times New Roman"/>
          <w:b/>
          <w:sz w:val="24"/>
          <w:szCs w:val="24"/>
          <w:lang w:val="en-GB"/>
        </w:rPr>
      </w:pPr>
      <w:r w:rsidRPr="00712FC2">
        <w:rPr>
          <w:rFonts w:ascii="Times New Roman" w:hAnsi="Times New Roman" w:cs="Times New Roman"/>
          <w:b/>
          <w:sz w:val="24"/>
          <w:szCs w:val="24"/>
          <w:lang w:val="en-GB"/>
        </w:rPr>
        <w:t>RECOMMENDATION</w:t>
      </w:r>
    </w:p>
    <w:p w:rsidR="00712FC2"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Statistically, </w:t>
      </w:r>
      <w:r w:rsidR="00712FC2">
        <w:rPr>
          <w:rFonts w:ascii="Times New Roman" w:hAnsi="Times New Roman" w:cs="Times New Roman"/>
          <w:sz w:val="24"/>
          <w:szCs w:val="24"/>
          <w:lang w:val="en-GB"/>
        </w:rPr>
        <w:t xml:space="preserve">there was no difference in the carcass characteristics of rabbit measured but numerically, carcass characteristic value for rabbit </w:t>
      </w:r>
      <w:r w:rsidR="00712FC2">
        <w:rPr>
          <w:rFonts w:ascii="Times New Roman" w:hAnsi="Times New Roman" w:cs="Times New Roman"/>
          <w:sz w:val="24"/>
          <w:szCs w:val="24"/>
        </w:rPr>
        <w:t>fed diet treatment 4 (</w:t>
      </w:r>
      <w:r w:rsidR="00712FC2">
        <w:rPr>
          <w:rFonts w:ascii="Times New Roman" w:hAnsi="Times New Roman" w:cs="Times New Roman"/>
          <w:sz w:val="24"/>
          <w:szCs w:val="24"/>
          <w:lang w:val="en-GB"/>
        </w:rPr>
        <w:t xml:space="preserve">TGML10% </w:t>
      </w:r>
      <w:r w:rsidR="00712FC2">
        <w:rPr>
          <w:rFonts w:ascii="Times New Roman" w:hAnsi="Times New Roman" w:cs="Times New Roman"/>
          <w:sz w:val="24"/>
          <w:szCs w:val="24"/>
        </w:rPr>
        <w:t>+ 3% O.O) was higher and therefore recommended.</w:t>
      </w: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E54DE8" w:rsidRPr="00E54DE8" w:rsidRDefault="00E54DE8" w:rsidP="00E54DE8">
      <w:pPr>
        <w:jc w:val="both"/>
        <w:rPr>
          <w:rFonts w:ascii="Times New Roman" w:hAnsi="Times New Roman" w:cs="Times New Roman"/>
          <w:sz w:val="24"/>
          <w:szCs w:val="24"/>
          <w:lang w:val="en-GB"/>
        </w:rPr>
      </w:pPr>
    </w:p>
    <w:p w:rsidR="00712FC2" w:rsidRDefault="00712FC2" w:rsidP="00002149">
      <w:pPr>
        <w:spacing w:after="0" w:line="360" w:lineRule="auto"/>
        <w:jc w:val="both"/>
        <w:rPr>
          <w:rFonts w:ascii="Times New Roman" w:hAnsi="Times New Roman" w:cs="Times New Roman"/>
          <w:sz w:val="24"/>
          <w:szCs w:val="24"/>
        </w:rPr>
      </w:pPr>
      <w:bookmarkStart w:id="1" w:name="_GoBack"/>
      <w:bookmarkEnd w:id="1"/>
    </w:p>
    <w:p w:rsidR="009A4F5D" w:rsidRPr="00712FC2" w:rsidRDefault="00F21868" w:rsidP="00712FC2">
      <w:pPr>
        <w:spacing w:after="0" w:line="240" w:lineRule="auto"/>
        <w:jc w:val="both"/>
        <w:rPr>
          <w:rFonts w:ascii="Times New Roman" w:hAnsi="Times New Roman" w:cs="Times New Roman"/>
          <w:b/>
          <w:sz w:val="24"/>
          <w:szCs w:val="24"/>
        </w:rPr>
      </w:pPr>
      <w:r w:rsidRPr="00712FC2">
        <w:rPr>
          <w:rFonts w:ascii="Times New Roman" w:hAnsi="Times New Roman" w:cs="Times New Roman"/>
          <w:b/>
          <w:sz w:val="24"/>
          <w:szCs w:val="24"/>
        </w:rPr>
        <w:t xml:space="preserve">REFERENCES </w:t>
      </w:r>
    </w:p>
    <w:p w:rsidR="00002149" w:rsidRPr="00D3011B" w:rsidRDefault="00002149" w:rsidP="00002149">
      <w:pPr>
        <w:pStyle w:val="Default"/>
        <w:ind w:left="720" w:hanging="720"/>
        <w:jc w:val="both"/>
      </w:pPr>
      <w:r w:rsidRPr="00D3011B">
        <w:t xml:space="preserve">Abdel-Hamid., Romelh E., Huang Z., and Enomoto T. (2020). Bioactive properties of probiotic set yoghurt supplemented with Siraitiagrosvenorii fruit extract. Food chemistry 303, 125400, 2020. </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Abou-Elkhair, R.; Selim, S.; Hussein, E. (2018). Effect of supplementing layer hen diet</w:t>
      </w:r>
      <w:r w:rsidRPr="00D3011B">
        <w:rPr>
          <w:rFonts w:ascii="Times New Roman" w:hAnsi="Times New Roman" w:cs="Times New Roman"/>
          <w:sz w:val="24"/>
          <w:szCs w:val="24"/>
        </w:rPr>
        <w:tab/>
        <w:t>with</w:t>
      </w:r>
      <w:r w:rsidRPr="00D3011B">
        <w:rPr>
          <w:rFonts w:ascii="Times New Roman" w:hAnsi="Times New Roman" w:cs="Times New Roman"/>
          <w:sz w:val="24"/>
          <w:szCs w:val="24"/>
        </w:rPr>
        <w:tab/>
        <w:t>phytogenic feed additives on laying performance, egg quality, egg lipid</w:t>
      </w:r>
      <w:r w:rsidRPr="00D3011B">
        <w:rPr>
          <w:rFonts w:ascii="Times New Roman" w:hAnsi="Times New Roman" w:cs="Times New Roman"/>
          <w:sz w:val="24"/>
          <w:szCs w:val="24"/>
        </w:rPr>
        <w:tab/>
        <w:t>peroxidation and</w:t>
      </w:r>
      <w:r w:rsidRPr="00D3011B">
        <w:rPr>
          <w:rFonts w:ascii="Times New Roman" w:hAnsi="Times New Roman" w:cs="Times New Roman"/>
          <w:sz w:val="24"/>
          <w:szCs w:val="24"/>
        </w:rPr>
        <w:tab/>
        <w:t>blood biochemical constituents. Anim. Nutr. 2018, 4, 394</w:t>
      </w:r>
      <w:r w:rsidRPr="00D3011B">
        <w:rPr>
          <w:rFonts w:ascii="Times New Roman" w:hAnsi="Times New Roman" w:cs="Times New Roman"/>
          <w:sz w:val="24"/>
          <w:szCs w:val="24"/>
        </w:rPr>
        <w:tab/>
        <w:t>400.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Acikgoz Z., Bayraktar H., Altan O., Akhisaroglu S.T., Kirkpinar F., Altun Z. (2011). The effects of moderately oxidized dietary oil with or without vitamin E supplementation on performance, nutrient digestibility, some blood traits, lipid </w:t>
      </w:r>
      <w:r w:rsidRPr="00D3011B">
        <w:rPr>
          <w:rFonts w:ascii="Times New Roman" w:hAnsi="Times New Roman" w:cs="Times New Roman"/>
          <w:sz w:val="24"/>
          <w:szCs w:val="24"/>
        </w:rPr>
        <w:lastRenderedPageBreak/>
        <w:t>peroxidation and antioxidant defence of male broilers. J. Sci. Food Agri., 91: 1277–1282.</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iCs/>
          <w:sz w:val="24"/>
          <w:szCs w:val="24"/>
        </w:rPr>
      </w:pPr>
      <w:r w:rsidRPr="00D3011B">
        <w:rPr>
          <w:rFonts w:ascii="Times New Roman" w:hAnsi="Times New Roman" w:cs="Times New Roman"/>
          <w:sz w:val="24"/>
          <w:szCs w:val="24"/>
        </w:rPr>
        <w:t xml:space="preserve">Adams O. K. (2016). </w:t>
      </w:r>
      <w:r w:rsidRPr="00D3011B">
        <w:rPr>
          <w:rFonts w:ascii="Times New Roman" w:hAnsi="Times New Roman" w:cs="Times New Roman"/>
          <w:bCs/>
          <w:sz w:val="24"/>
          <w:szCs w:val="24"/>
        </w:rPr>
        <w:t xml:space="preserve">Economic Impact of Livestock Production on The Society: A CaseStudy ofIkareAkokoOndo State. </w:t>
      </w:r>
      <w:r w:rsidRPr="00D3011B">
        <w:rPr>
          <w:rFonts w:ascii="Times New Roman" w:hAnsi="Times New Roman" w:cs="Times New Roman"/>
          <w:i/>
          <w:iCs/>
          <w:sz w:val="24"/>
          <w:szCs w:val="24"/>
        </w:rPr>
        <w:t xml:space="preserve">Journal of Agriculture and Veterinary Science (IOSR-JAVS). </w:t>
      </w:r>
      <w:r w:rsidRPr="00D3011B">
        <w:rPr>
          <w:rFonts w:ascii="Times New Roman" w:hAnsi="Times New Roman" w:cs="Times New Roman"/>
          <w:iCs/>
          <w:sz w:val="24"/>
          <w:szCs w:val="24"/>
        </w:rPr>
        <w:t>Volume 9, Issue 12 Ver. I (Dec. 2016), PP 77-80</w:t>
      </w:r>
      <w:hyperlink r:id="rId7" w:history="1">
        <w:r w:rsidRPr="00D3011B">
          <w:rPr>
            <w:rStyle w:val="Hyperlink"/>
            <w:rFonts w:ascii="Times New Roman" w:hAnsi="Times New Roman" w:cs="Times New Roman"/>
            <w:iCs/>
            <w:sz w:val="24"/>
            <w:szCs w:val="24"/>
          </w:rPr>
          <w:t>www.iosrjournals.org</w:t>
        </w:r>
      </w:hyperlink>
      <w:r w:rsidRPr="00D3011B">
        <w:rPr>
          <w:rFonts w:ascii="Times New Roman" w:hAnsi="Times New Roman" w:cs="Times New Roman"/>
          <w:iCs/>
          <w:sz w:val="24"/>
          <w:szCs w:val="24"/>
        </w:rPr>
        <w:t>.</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Adeyemi, O. A., et al. (2022). “Effects of Tectona grandi</w:t>
      </w:r>
      <w:r>
        <w:rPr>
          <w:rFonts w:ascii="Times New Roman" w:hAnsi="Times New Roman" w:cs="Times New Roman"/>
          <w:sz w:val="24"/>
          <w:szCs w:val="24"/>
        </w:rPr>
        <w:t>s leaf meal inclusion on growth</w:t>
      </w:r>
      <w:r>
        <w:rPr>
          <w:rFonts w:ascii="Times New Roman" w:hAnsi="Times New Roman" w:cs="Times New Roman"/>
          <w:sz w:val="24"/>
          <w:szCs w:val="24"/>
        </w:rPr>
        <w:tab/>
      </w:r>
      <w:r w:rsidRPr="00947124">
        <w:rPr>
          <w:rFonts w:ascii="Times New Roman" w:hAnsi="Times New Roman" w:cs="Times New Roman"/>
          <w:sz w:val="24"/>
          <w:szCs w:val="24"/>
        </w:rPr>
        <w:t>performance and meat quality of broiler chicke</w:t>
      </w:r>
      <w:r>
        <w:rPr>
          <w:rFonts w:ascii="Times New Roman" w:hAnsi="Times New Roman" w:cs="Times New Roman"/>
          <w:sz w:val="24"/>
          <w:szCs w:val="24"/>
        </w:rPr>
        <w:t>ns.” Nigerian Journal of Animal</w:t>
      </w:r>
      <w:r>
        <w:rPr>
          <w:rFonts w:ascii="Times New Roman" w:hAnsi="Times New Roman" w:cs="Times New Roman"/>
          <w:sz w:val="24"/>
          <w:szCs w:val="24"/>
        </w:rPr>
        <w:tab/>
      </w:r>
      <w:r w:rsidRPr="00947124">
        <w:rPr>
          <w:rFonts w:ascii="Times New Roman" w:hAnsi="Times New Roman" w:cs="Times New Roman"/>
          <w:sz w:val="24"/>
          <w:szCs w:val="24"/>
        </w:rPr>
        <w:t xml:space="preserve">Science, 34(1), 45-55. </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Ajayi, F. T., et al. (2021). “Rabbit production as a sus</w:t>
      </w:r>
      <w:r>
        <w:rPr>
          <w:rFonts w:ascii="Times New Roman" w:hAnsi="Times New Roman" w:cs="Times New Roman"/>
          <w:sz w:val="24"/>
          <w:szCs w:val="24"/>
        </w:rPr>
        <w:t>tainable enterprise in Nigeria:</w:t>
      </w:r>
      <w:r>
        <w:rPr>
          <w:rFonts w:ascii="Times New Roman" w:hAnsi="Times New Roman" w:cs="Times New Roman"/>
          <w:sz w:val="24"/>
          <w:szCs w:val="24"/>
        </w:rPr>
        <w:tab/>
      </w:r>
      <w:r w:rsidRPr="00947124">
        <w:rPr>
          <w:rFonts w:ascii="Times New Roman" w:hAnsi="Times New Roman" w:cs="Times New Roman"/>
          <w:sz w:val="24"/>
          <w:szCs w:val="24"/>
        </w:rPr>
        <w:t xml:space="preserve">Challenges and prospects.” Tropical Animal Production, 5(2), 150-165. </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Akinmutimi, A. H., &amp;Onwukwe, F. U. (2020). “Alter</w:t>
      </w:r>
      <w:r>
        <w:rPr>
          <w:rFonts w:ascii="Times New Roman" w:hAnsi="Times New Roman" w:cs="Times New Roman"/>
          <w:sz w:val="24"/>
          <w:szCs w:val="24"/>
        </w:rPr>
        <w:t>native feed resources in rabbit</w:t>
      </w:r>
      <w:r>
        <w:rPr>
          <w:rFonts w:ascii="Times New Roman" w:hAnsi="Times New Roman" w:cs="Times New Roman"/>
          <w:sz w:val="24"/>
          <w:szCs w:val="24"/>
        </w:rPr>
        <w:tab/>
      </w:r>
      <w:r w:rsidRPr="00947124">
        <w:rPr>
          <w:rFonts w:ascii="Times New Roman" w:hAnsi="Times New Roman" w:cs="Times New Roman"/>
          <w:sz w:val="24"/>
          <w:szCs w:val="24"/>
        </w:rPr>
        <w:t>nutrition: A review.” Journal of Sustainable Agriculture</w:t>
      </w:r>
      <w:r>
        <w:rPr>
          <w:rFonts w:ascii="Times New Roman" w:hAnsi="Times New Roman" w:cs="Times New Roman"/>
          <w:sz w:val="24"/>
          <w:szCs w:val="24"/>
        </w:rPr>
        <w:t xml:space="preserve"> and Environment, 22(4),</w:t>
      </w:r>
      <w:r>
        <w:rPr>
          <w:rFonts w:ascii="Times New Roman" w:hAnsi="Times New Roman" w:cs="Times New Roman"/>
          <w:sz w:val="24"/>
          <w:szCs w:val="24"/>
        </w:rPr>
        <w:tab/>
      </w:r>
      <w:r w:rsidRPr="00947124">
        <w:rPr>
          <w:rFonts w:ascii="Times New Roman" w:hAnsi="Times New Roman" w:cs="Times New Roman"/>
          <w:sz w:val="24"/>
          <w:szCs w:val="24"/>
        </w:rPr>
        <w:t>78-89.</w:t>
      </w:r>
    </w:p>
    <w:p w:rsidR="00002149" w:rsidRPr="00D3011B" w:rsidRDefault="00002149" w:rsidP="00002149">
      <w:pPr>
        <w:pStyle w:val="Default"/>
        <w:ind w:left="720" w:hanging="720"/>
        <w:jc w:val="both"/>
      </w:pPr>
      <w:r w:rsidRPr="00D3011B">
        <w:t xml:space="preserve">  Ashore A., Gholipoor M., Gholami A and Abbasdokht H. (2022). Evaluation of some morphological and physiological characteristicsof cumin by using magnetic water and superabsorbent under a low irrigation regime. Jci.ut.ac.ir. </w:t>
      </w:r>
    </w:p>
    <w:p w:rsidR="00002149" w:rsidRPr="00D3011B" w:rsidRDefault="00002149" w:rsidP="00002149">
      <w:pPr>
        <w:pStyle w:val="BodyText"/>
        <w:spacing w:line="240" w:lineRule="auto"/>
        <w:ind w:left="0" w:right="329"/>
        <w:rPr>
          <w:color w:val="000000"/>
          <w:sz w:val="24"/>
          <w:szCs w:val="24"/>
        </w:rPr>
      </w:pPr>
      <w:r w:rsidRPr="00D3011B">
        <w:rPr>
          <w:sz w:val="24"/>
          <w:szCs w:val="24"/>
        </w:rPr>
        <w:t>Ayodele, S. O., Oloruntola, O. D., &amp;Agbede, J. O. (2016). Effect of Alchornea</w:t>
      </w:r>
      <w:r w:rsidRPr="00D3011B">
        <w:rPr>
          <w:sz w:val="24"/>
          <w:szCs w:val="24"/>
        </w:rPr>
        <w:tab/>
        <w:t>cordifolia leaf</w:t>
      </w:r>
      <w:r w:rsidRPr="00D3011B">
        <w:rPr>
          <w:sz w:val="24"/>
          <w:szCs w:val="24"/>
        </w:rPr>
        <w:tab/>
        <w:t>meal inclusion and enzyme supplementation on performance</w:t>
      </w:r>
      <w:r w:rsidRPr="00D3011B">
        <w:rPr>
          <w:sz w:val="24"/>
          <w:szCs w:val="24"/>
        </w:rPr>
        <w:tab/>
        <w:t>and digestibility of</w:t>
      </w:r>
      <w:r w:rsidRPr="00D3011B">
        <w:rPr>
          <w:sz w:val="24"/>
          <w:szCs w:val="24"/>
        </w:rPr>
        <w:tab/>
        <w:t>rabbits. World Rabbit Science, 24, 201–206.</w:t>
      </w:r>
      <w:r w:rsidRPr="00D3011B">
        <w:rPr>
          <w:sz w:val="24"/>
          <w:szCs w:val="24"/>
        </w:rPr>
        <w:tab/>
        <w:t>https://doi.org/ 10.4995/wrs.2016.3933.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Bamishaye F.A., Odutuga A.A. and Minari J.B. (2019). Phytochemical Constituents and</w:t>
      </w:r>
      <w:r w:rsidRPr="00D3011B">
        <w:rPr>
          <w:rFonts w:ascii="Times New Roman" w:hAnsi="Times New Roman" w:cs="Times New Roman"/>
          <w:sz w:val="24"/>
          <w:szCs w:val="24"/>
        </w:rPr>
        <w:tab/>
        <w:t>antidiarrhoeal effects the aqeous extract of Terminalia leave on Wiastar Rat.</w:t>
      </w:r>
      <w:r w:rsidRPr="00D3011B">
        <w:rPr>
          <w:rFonts w:ascii="Times New Roman" w:hAnsi="Times New Roman" w:cs="Times New Roman"/>
          <w:sz w:val="24"/>
          <w:szCs w:val="24"/>
        </w:rPr>
        <w:tab/>
        <w:t>African</w:t>
      </w:r>
      <w:r w:rsidRPr="00D3011B">
        <w:rPr>
          <w:rFonts w:ascii="Times New Roman" w:hAnsi="Times New Roman" w:cs="Times New Roman"/>
          <w:sz w:val="24"/>
          <w:szCs w:val="24"/>
        </w:rPr>
        <w:tab/>
        <w:t>Journal of Pharmacy. 7 (16), 848-851, 2019.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Belitz H.D., Grosch W., Schieberle P. (2009). Food Chemistry. Springer-Verlag. Berlin, pp. 158–247.</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Burnett, N., Mathura, K., Metivier, K. S., Holder, R. B., Brown, G., &amp; Campbell, M.</w:t>
      </w:r>
      <w:r w:rsidRPr="00D3011B">
        <w:rPr>
          <w:rFonts w:ascii="Times New Roman" w:hAnsi="Times New Roman" w:cs="Times New Roman"/>
          <w:sz w:val="24"/>
          <w:szCs w:val="24"/>
        </w:rPr>
        <w:tab/>
        <w:t>(2008).</w:t>
      </w:r>
      <w:r w:rsidRPr="00D3011B">
        <w:rPr>
          <w:rFonts w:ascii="Times New Roman" w:hAnsi="Times New Roman" w:cs="Times New Roman"/>
          <w:sz w:val="24"/>
          <w:szCs w:val="24"/>
        </w:rPr>
        <w:tab/>
        <w:t>An investigation into haematological and serum chemistry parameters</w:t>
      </w:r>
      <w:r w:rsidRPr="00D3011B">
        <w:rPr>
          <w:rFonts w:ascii="Times New Roman" w:hAnsi="Times New Roman" w:cs="Times New Roman"/>
          <w:sz w:val="24"/>
          <w:szCs w:val="24"/>
        </w:rPr>
        <w:tab/>
        <w:t>of</w:t>
      </w:r>
      <w:r w:rsidRPr="00D3011B">
        <w:rPr>
          <w:rFonts w:ascii="Times New Roman" w:hAnsi="Times New Roman" w:cs="Times New Roman"/>
          <w:sz w:val="24"/>
          <w:szCs w:val="24"/>
        </w:rPr>
        <w:tab/>
        <w:t>rabbits in Trinidad.</w:t>
      </w:r>
      <w:r w:rsidRPr="00D3011B">
        <w:rPr>
          <w:rFonts w:ascii="Times New Roman" w:hAnsi="Times New Roman" w:cs="Times New Roman"/>
          <w:sz w:val="24"/>
          <w:szCs w:val="24"/>
        </w:rPr>
        <w:tab/>
        <w:t>World Rabbit Science, 14, 175–187.</w:t>
      </w:r>
    </w:p>
    <w:p w:rsidR="00002149" w:rsidRPr="00D3011B" w:rsidRDefault="00002149" w:rsidP="00002149">
      <w:pPr>
        <w:pStyle w:val="Default"/>
        <w:ind w:left="720" w:hanging="720"/>
        <w:jc w:val="both"/>
      </w:pPr>
      <w:r w:rsidRPr="00D3011B">
        <w:t>Christinova L., Simonova M.P., and Laukova A. (2009). Enterococcus faecium CCM7420, bacteriocin PPB and their effects in the digestive tract of rabbits. Czech J Anim Sci. 54(8), 376-386,2009.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Cleland L.G., James M.J., Proudman S.M. (2005). Fish oil: what the prescriber needs to know. Arthritis Res. Ther., 8: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Da Rocha C., Maiorka A., De PaulaValle F.L., Gonsales Schramm V., Ange - li A.L., Fischer D.S.A.V. (2012). The effect of soybean oil quality and vitamin E supplementation on turkey diet nutrition. J. Appl. Poult. Res., 21: 318–324.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De Blas C. and Mateos G. G. (2010). Chapter 12 - Feed formulation De Blas C. and Wisemann J., Nutrition of the rabbit , 2nd edition, CAB International,Wallingford, UK. 222-233.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lastRenderedPageBreak/>
        <w:t>Delles R.M., Xiong Y.L., True A.D., Ao T., Dawson K.A. (2015). Augmentation of waterholding and textural properties of breast meat from oxidatively stressed broilers by dietary antioxidant regimens. Br. Poult. Sci., 56: 304–314.</w:t>
      </w:r>
    </w:p>
    <w:p w:rsidR="00002149" w:rsidRPr="00D3011B" w:rsidRDefault="00002149" w:rsidP="00002149">
      <w:pPr>
        <w:pStyle w:val="Default"/>
        <w:ind w:left="720" w:hanging="720"/>
        <w:jc w:val="both"/>
      </w:pPr>
      <w:r w:rsidRPr="00D3011B">
        <w:t>Ebeid T.A., Zeweil H.S, Basyony M.M. and Dosoky W.M. (2013). Fortification of rabbit diet with vitamin E os selenium affects growth performance, lipid peroxidation, oxidative status and immune response in growing rabbits. Livestock science 155 (2-3), 323-331.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Ekenyem, B. U., &amp;Madubuike, F. N. (2021). “Effect of T</w:t>
      </w:r>
      <w:r>
        <w:rPr>
          <w:rFonts w:ascii="Times New Roman" w:hAnsi="Times New Roman" w:cs="Times New Roman"/>
          <w:sz w:val="24"/>
          <w:szCs w:val="24"/>
        </w:rPr>
        <w:t>ectona grandis leaf extracts on</w:t>
      </w:r>
      <w:r>
        <w:rPr>
          <w:rFonts w:ascii="Times New Roman" w:hAnsi="Times New Roman" w:cs="Times New Roman"/>
          <w:sz w:val="24"/>
          <w:szCs w:val="24"/>
        </w:rPr>
        <w:tab/>
      </w:r>
      <w:r w:rsidRPr="00947124">
        <w:rPr>
          <w:rFonts w:ascii="Times New Roman" w:hAnsi="Times New Roman" w:cs="Times New Roman"/>
          <w:sz w:val="24"/>
          <w:szCs w:val="24"/>
        </w:rPr>
        <w:t>growth and nutrient digestibility in livestock</w:t>
      </w:r>
      <w:r>
        <w:rPr>
          <w:rFonts w:ascii="Times New Roman" w:hAnsi="Times New Roman" w:cs="Times New Roman"/>
          <w:sz w:val="24"/>
          <w:szCs w:val="24"/>
        </w:rPr>
        <w:t>.” Livestock Research for Rural</w:t>
      </w:r>
      <w:r>
        <w:rPr>
          <w:rFonts w:ascii="Times New Roman" w:hAnsi="Times New Roman" w:cs="Times New Roman"/>
          <w:sz w:val="24"/>
          <w:szCs w:val="24"/>
        </w:rPr>
        <w:tab/>
      </w:r>
      <w:r w:rsidRPr="00947124">
        <w:rPr>
          <w:rFonts w:ascii="Times New Roman" w:hAnsi="Times New Roman" w:cs="Times New Roman"/>
          <w:sz w:val="24"/>
          <w:szCs w:val="24"/>
        </w:rPr>
        <w:t xml:space="preserve">Development, 33(5), 112-120.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lang w:eastAsia="zh-CN"/>
        </w:rPr>
        <w:t>Etuk R., Grace R. E. and Baghebo M. (2014). Small and Medium Scale Enterprises (SMEs) and Nigeria’s Economic Development. Med.j.soc.sci. 5(7):656-662.</w:t>
      </w:r>
    </w:p>
    <w:p w:rsidR="00002149" w:rsidRPr="00D3011B" w:rsidRDefault="00002149" w:rsidP="00002149">
      <w:pPr>
        <w:autoSpaceDE w:val="0"/>
        <w:autoSpaceDN w:val="0"/>
        <w:adjustRightInd w:val="0"/>
        <w:spacing w:after="0" w:line="240" w:lineRule="auto"/>
        <w:ind w:left="630" w:hanging="630"/>
        <w:jc w:val="both"/>
        <w:rPr>
          <w:rStyle w:val="Hyperlink"/>
          <w:rFonts w:ascii="Times New Roman" w:hAnsi="Times New Roman" w:cs="Times New Roman"/>
          <w:sz w:val="24"/>
          <w:szCs w:val="24"/>
        </w:rPr>
      </w:pPr>
      <w:r w:rsidRPr="00D3011B">
        <w:rPr>
          <w:rStyle w:val="Hyperlink"/>
          <w:rFonts w:ascii="Times New Roman" w:hAnsi="Times New Roman" w:cs="Times New Roman"/>
          <w:sz w:val="24"/>
          <w:szCs w:val="24"/>
        </w:rPr>
        <w:t>Fawzia A., Ibrahim M., and Sohair A. (2020). Effect of using pricklypiar and it by-products as alternative feed sources on performance of growing rabbit. Egyptian journal of rabbit science. 29(1), 99-124.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Frankel E.N. (1991). Recent advances in lipid oxidation. J. Sci. Food Agric., 54: 495–511.</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Heba S. A., Salama A. M S., Osama H E. and Ahmed M. (2021). Agronomic and In Vitro Quality Evaluation of Dual-Purpose Cereals Clipped at Variable Ages and Their Utilization in Rabbit Feeding. </w:t>
      </w:r>
      <w:r w:rsidRPr="00D3011B">
        <w:rPr>
          <w:rFonts w:ascii="Times New Roman" w:hAnsi="Times New Roman" w:cs="Times New Roman"/>
          <w:i/>
          <w:sz w:val="24"/>
          <w:szCs w:val="24"/>
        </w:rPr>
        <w:t xml:space="preserve">Agronomy </w:t>
      </w:r>
      <w:r w:rsidRPr="00D3011B">
        <w:rPr>
          <w:rFonts w:ascii="Times New Roman" w:hAnsi="Times New Roman" w:cs="Times New Roman"/>
          <w:sz w:val="24"/>
          <w:szCs w:val="24"/>
        </w:rPr>
        <w:t>11 (6), 1147, 2021.</w:t>
      </w:r>
    </w:p>
    <w:p w:rsidR="00002149" w:rsidRPr="00D3011B" w:rsidRDefault="00002149" w:rsidP="00002149">
      <w:pPr>
        <w:pStyle w:val="Default"/>
        <w:ind w:left="720" w:hanging="720"/>
        <w:jc w:val="both"/>
      </w:pPr>
      <w:r w:rsidRPr="00D3011B">
        <w:t>Hendry L.C., Stevenson M., MacBryde J. and Ball P. (2019). Local food supply chain resilience to constitutional change: the Brexit effect. International journal of operations and production management 39(3), 429-453.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bCs/>
          <w:sz w:val="24"/>
          <w:szCs w:val="24"/>
        </w:rPr>
        <w:t xml:space="preserve">Iyeghe-Erakpotobor G. T., Aliyu R and Uguru, J. (2006).Evaluation of concentrate, grass and legumecombinations on performance and nutrient digestibilityof grower rabbits under tropical conditions. </w:t>
      </w:r>
      <w:r w:rsidRPr="00D3011B">
        <w:rPr>
          <w:rFonts w:ascii="Times New Roman" w:hAnsi="Times New Roman" w:cs="Times New Roman"/>
          <w:i/>
          <w:sz w:val="24"/>
          <w:szCs w:val="24"/>
        </w:rPr>
        <w:t>African Journal of Biotechnology</w:t>
      </w:r>
      <w:r w:rsidRPr="00D3011B">
        <w:rPr>
          <w:rFonts w:ascii="Times New Roman" w:hAnsi="Times New Roman" w:cs="Times New Roman"/>
          <w:sz w:val="24"/>
          <w:szCs w:val="24"/>
        </w:rPr>
        <w:t xml:space="preserve"> Vol. 4 (20), pp. 2004-2008.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rPr>
      </w:pPr>
      <w:r>
        <w:rPr>
          <w:rFonts w:ascii="Times New Roman" w:hAnsi="Times New Roman" w:cs="Times New Roman"/>
          <w:sz w:val="24"/>
          <w:szCs w:val="24"/>
        </w:rPr>
        <w:t>Jank</w:t>
      </w:r>
      <w:r w:rsidRPr="00D3011B">
        <w:rPr>
          <w:rFonts w:ascii="Times New Roman" w:hAnsi="Times New Roman" w:cs="Times New Roman"/>
          <w:sz w:val="24"/>
          <w:szCs w:val="24"/>
        </w:rPr>
        <w:t>o</w:t>
      </w:r>
      <w:r>
        <w:rPr>
          <w:rFonts w:ascii="Times New Roman" w:hAnsi="Times New Roman" w:cs="Times New Roman"/>
          <w:sz w:val="24"/>
          <w:szCs w:val="24"/>
        </w:rPr>
        <w:t>wski J., Zdunczyk Z., Koncicki A., Juskiewicz J., Farug</w:t>
      </w:r>
      <w:r w:rsidRPr="00D3011B">
        <w:rPr>
          <w:rFonts w:ascii="Times New Roman" w:hAnsi="Times New Roman" w:cs="Times New Roman"/>
          <w:sz w:val="24"/>
          <w:szCs w:val="24"/>
        </w:rPr>
        <w:t>a A. (2000). The response of turkeys to diets containing oxidized fat of differing degree of oxidation. J. Anim. Feed Sci., 9: 363–370.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K</w:t>
      </w:r>
      <w:r w:rsidRPr="00D3011B">
        <w:rPr>
          <w:rFonts w:ascii="Times New Roman" w:hAnsi="Times New Roman" w:cs="Times New Roman"/>
          <w:sz w:val="24"/>
          <w:szCs w:val="24"/>
        </w:rPr>
        <w:t>e</w:t>
      </w:r>
      <w:r>
        <w:rPr>
          <w:rFonts w:ascii="Times New Roman" w:hAnsi="Times New Roman" w:cs="Times New Roman"/>
          <w:sz w:val="24"/>
          <w:szCs w:val="24"/>
        </w:rPr>
        <w:t>rr B.J., Kellner T.A., Sh</w:t>
      </w:r>
      <w:r w:rsidRPr="00D3011B">
        <w:rPr>
          <w:rFonts w:ascii="Times New Roman" w:hAnsi="Times New Roman" w:cs="Times New Roman"/>
          <w:sz w:val="24"/>
          <w:szCs w:val="24"/>
        </w:rPr>
        <w:t>u</w:t>
      </w:r>
      <w:r>
        <w:rPr>
          <w:rFonts w:ascii="Times New Roman" w:hAnsi="Times New Roman" w:cs="Times New Roman"/>
          <w:sz w:val="24"/>
          <w:szCs w:val="24"/>
        </w:rPr>
        <w:t>rso</w:t>
      </w:r>
      <w:r w:rsidRPr="00D3011B">
        <w:rPr>
          <w:rFonts w:ascii="Times New Roman" w:hAnsi="Times New Roman" w:cs="Times New Roman"/>
          <w:sz w:val="24"/>
          <w:szCs w:val="24"/>
        </w:rPr>
        <w:t>n G.C. (2015). Characteristics of lipids and their feeding value in swine diets. J. Anim. Sci. Biotechnol., 6: 1–30.</w:t>
      </w:r>
    </w:p>
    <w:p w:rsidR="00002149" w:rsidRPr="00D3011B" w:rsidRDefault="00002149" w:rsidP="00002149">
      <w:pPr>
        <w:pStyle w:val="Default"/>
        <w:ind w:left="720" w:hanging="720"/>
        <w:jc w:val="both"/>
      </w:pPr>
      <w:r w:rsidRPr="00D3011B">
        <w:t xml:space="preserve">Kahl R. (1984). Synthetic antioxidants: biochemical actions and interference with radiation, toxic compounds, chemical mutagens and chemical carcinogens. </w:t>
      </w:r>
      <w:r w:rsidRPr="00D3011B">
        <w:rPr>
          <w:i/>
        </w:rPr>
        <w:t>Toxicology</w:t>
      </w:r>
      <w:r w:rsidRPr="00D3011B">
        <w:t xml:space="preserve"> 33 (3-4), 185-228, 1984.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L i n d b l o m S.C., G a b l e r N.K., B o b e c k E.A., K e r r B.J. (2019). Oil source and peroxidation status interactively affect growth performance and oxidative status in broilers from 4 to 25 d of age. Poultry Sci., 98: 1749–1761.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Li, X., et al. (2020). “Impact of oxidized oil on growth per</w:t>
      </w:r>
      <w:r>
        <w:rPr>
          <w:rFonts w:ascii="Times New Roman" w:hAnsi="Times New Roman" w:cs="Times New Roman"/>
          <w:sz w:val="24"/>
          <w:szCs w:val="24"/>
        </w:rPr>
        <w:t>formance, lipid metabolism, and</w:t>
      </w:r>
      <w:r>
        <w:rPr>
          <w:rFonts w:ascii="Times New Roman" w:hAnsi="Times New Roman" w:cs="Times New Roman"/>
          <w:sz w:val="24"/>
          <w:szCs w:val="24"/>
        </w:rPr>
        <w:tab/>
      </w:r>
      <w:r w:rsidRPr="00947124">
        <w:rPr>
          <w:rFonts w:ascii="Times New Roman" w:hAnsi="Times New Roman" w:cs="Times New Roman"/>
          <w:sz w:val="24"/>
          <w:szCs w:val="24"/>
        </w:rPr>
        <w:t>oxidative stress in meat animals.” Animal Feed Science and Techno</w:t>
      </w:r>
      <w:r>
        <w:rPr>
          <w:rFonts w:ascii="Times New Roman" w:hAnsi="Times New Roman" w:cs="Times New Roman"/>
          <w:sz w:val="24"/>
          <w:szCs w:val="24"/>
        </w:rPr>
        <w:t>logy, 267,</w:t>
      </w:r>
      <w:r>
        <w:rPr>
          <w:rFonts w:ascii="Times New Roman" w:hAnsi="Times New Roman" w:cs="Times New Roman"/>
          <w:sz w:val="24"/>
          <w:szCs w:val="24"/>
        </w:rPr>
        <w:tab/>
      </w:r>
      <w:r w:rsidRPr="00947124">
        <w:rPr>
          <w:rFonts w:ascii="Times New Roman" w:hAnsi="Times New Roman" w:cs="Times New Roman"/>
          <w:sz w:val="24"/>
          <w:szCs w:val="24"/>
        </w:rPr>
        <w:t>114567.</w:t>
      </w:r>
    </w:p>
    <w:p w:rsidR="00002149" w:rsidRPr="00D3011B" w:rsidRDefault="00002149" w:rsidP="00002149">
      <w:pPr>
        <w:pStyle w:val="Default"/>
        <w:ind w:left="720" w:hanging="720"/>
        <w:jc w:val="both"/>
      </w:pPr>
      <w:r w:rsidRPr="00D3011B">
        <w:lastRenderedPageBreak/>
        <w:t>Mattioli S., Cardinali R., BalzanoM. .. (2017). Influence of dietary supplementation with prebiotic, oregano extract and vitamin E on fatty acid profile and oxidative status of rabbit meat. journal of food quality 2017 (1), 3015120.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Mustafa M. A. G. (2019). Effect of eucalyptus leaf and its supplementation with diet on broiler performance, microbial and physiological statues to alleviate cold stress. </w:t>
      </w:r>
      <w:r w:rsidRPr="00D3011B">
        <w:rPr>
          <w:rFonts w:ascii="Times New Roman" w:hAnsi="Times New Roman" w:cs="Times New Roman"/>
          <w:i/>
          <w:sz w:val="24"/>
          <w:szCs w:val="24"/>
        </w:rPr>
        <w:t>Iraqi Journal of Agricultural Science</w:t>
      </w:r>
      <w:r w:rsidRPr="00D3011B">
        <w:rPr>
          <w:rFonts w:ascii="Times New Roman" w:hAnsi="Times New Roman" w:cs="Times New Roman"/>
          <w:sz w:val="24"/>
          <w:szCs w:val="24"/>
        </w:rPr>
        <w:t>, 50, 953-963.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Mutsami C. and Karl S. (2020). Commercial Rabbit Farming and Poverty In Urban and</w:t>
      </w:r>
      <w:r w:rsidRPr="00D3011B">
        <w:rPr>
          <w:rFonts w:ascii="Times New Roman" w:hAnsi="Times New Roman" w:cs="Times New Roman"/>
          <w:sz w:val="24"/>
          <w:szCs w:val="24"/>
        </w:rPr>
        <w:tab/>
        <w:t>Peri</w:t>
      </w:r>
      <w:r w:rsidRPr="00D3011B">
        <w:rPr>
          <w:rFonts w:ascii="Times New Roman" w:hAnsi="Times New Roman" w:cs="Times New Roman"/>
          <w:sz w:val="24"/>
          <w:szCs w:val="24"/>
        </w:rPr>
        <w:tab/>
        <w:t xml:space="preserve">urban Kenya. </w:t>
      </w:r>
      <w:r w:rsidRPr="00D3011B">
        <w:rPr>
          <w:rFonts w:ascii="Times New Roman" w:hAnsi="Times New Roman" w:cs="Times New Roman"/>
          <w:i/>
          <w:sz w:val="24"/>
          <w:szCs w:val="24"/>
        </w:rPr>
        <w:t>Frontier in Veterinary Science</w:t>
      </w:r>
      <w:r w:rsidRPr="00D3011B">
        <w:rPr>
          <w:rFonts w:ascii="Times New Roman" w:hAnsi="Times New Roman" w:cs="Times New Roman"/>
          <w:sz w:val="24"/>
          <w:szCs w:val="24"/>
        </w:rPr>
        <w:t>. 7, 353, 2020.</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Neamatallah A., Yan L., Dewar S.J. and Austin B. (2005). An Extract From Teak (</w:t>
      </w:r>
      <w:r w:rsidRPr="00D3011B">
        <w:rPr>
          <w:rFonts w:ascii="Times New Roman" w:hAnsi="Times New Roman" w:cs="Times New Roman"/>
          <w:i/>
          <w:iCs/>
          <w:sz w:val="24"/>
          <w:szCs w:val="24"/>
        </w:rPr>
        <w:t>Tectona</w:t>
      </w:r>
      <w:r w:rsidRPr="00D3011B">
        <w:rPr>
          <w:rFonts w:ascii="Times New Roman" w:hAnsi="Times New Roman" w:cs="Times New Roman"/>
          <w:i/>
          <w:iCs/>
          <w:sz w:val="24"/>
          <w:szCs w:val="24"/>
        </w:rPr>
        <w:tab/>
        <w:t>grandis</w:t>
      </w:r>
      <w:r w:rsidRPr="00D3011B">
        <w:rPr>
          <w:rFonts w:ascii="Times New Roman" w:hAnsi="Times New Roman" w:cs="Times New Roman"/>
          <w:sz w:val="24"/>
          <w:szCs w:val="24"/>
        </w:rPr>
        <w:t xml:space="preserve">) Bark Inhibited </w:t>
      </w:r>
      <w:r w:rsidRPr="00D3011B">
        <w:rPr>
          <w:rFonts w:ascii="Times New Roman" w:hAnsi="Times New Roman" w:cs="Times New Roman"/>
          <w:i/>
          <w:iCs/>
          <w:sz w:val="24"/>
          <w:szCs w:val="24"/>
        </w:rPr>
        <w:t>Listeria monocytogenes</w:t>
      </w:r>
      <w:r w:rsidRPr="00D3011B">
        <w:rPr>
          <w:rFonts w:ascii="Times New Roman" w:hAnsi="Times New Roman" w:cs="Times New Roman"/>
          <w:sz w:val="24"/>
          <w:szCs w:val="24"/>
        </w:rPr>
        <w:t>and Methicillin Resistant</w:t>
      </w:r>
      <w:r w:rsidRPr="00D3011B">
        <w:rPr>
          <w:rFonts w:ascii="Times New Roman" w:hAnsi="Times New Roman" w:cs="Times New Roman"/>
          <w:sz w:val="24"/>
          <w:szCs w:val="24"/>
        </w:rPr>
        <w:tab/>
      </w:r>
      <w:r w:rsidRPr="00D3011B">
        <w:rPr>
          <w:rFonts w:ascii="Times New Roman" w:hAnsi="Times New Roman" w:cs="Times New Roman"/>
          <w:i/>
          <w:iCs/>
          <w:sz w:val="24"/>
          <w:szCs w:val="24"/>
        </w:rPr>
        <w:t>Staphylococcus aureus</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Lett in Applied Microbio</w:t>
      </w:r>
      <w:r w:rsidRPr="00D3011B">
        <w:rPr>
          <w:rFonts w:ascii="Times New Roman" w:hAnsi="Times New Roman" w:cs="Times New Roman"/>
          <w:sz w:val="24"/>
          <w:szCs w:val="24"/>
        </w:rPr>
        <w:t>, 2005; 41: 94–96.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Ogbunugafor, H.A.; Eeneh, F.U.; Ozumba, A.N.; Igwoezikpe, M.N.; Okpuzor, J.; Igwilo,</w:t>
      </w:r>
      <w:r w:rsidRPr="00D3011B">
        <w:rPr>
          <w:rFonts w:ascii="Times New Roman" w:hAnsi="Times New Roman" w:cs="Times New Roman"/>
          <w:sz w:val="24"/>
          <w:szCs w:val="24"/>
        </w:rPr>
        <w:tab/>
        <w:t>I.O.;</w:t>
      </w:r>
      <w:r w:rsidRPr="00D3011B">
        <w:rPr>
          <w:rFonts w:ascii="Times New Roman" w:hAnsi="Times New Roman" w:cs="Times New Roman"/>
          <w:sz w:val="24"/>
          <w:szCs w:val="24"/>
        </w:rPr>
        <w:tab/>
        <w:t>Adenekan, S.O.; Onyekwelu, O.A. (2011). Physico-chemical and anti</w:t>
      </w:r>
      <w:r w:rsidRPr="00D3011B">
        <w:rPr>
          <w:rFonts w:ascii="Times New Roman" w:hAnsi="Times New Roman" w:cs="Times New Roman"/>
          <w:sz w:val="24"/>
          <w:szCs w:val="24"/>
        </w:rPr>
        <w:tab/>
        <w:t>oxidant properties</w:t>
      </w:r>
      <w:r w:rsidRPr="00D3011B">
        <w:rPr>
          <w:rFonts w:ascii="Times New Roman" w:hAnsi="Times New Roman" w:cs="Times New Roman"/>
          <w:sz w:val="24"/>
          <w:szCs w:val="24"/>
        </w:rPr>
        <w:tab/>
        <w:t>of Moringaoleifera seed oil. Pak. J. Nutr. 2011, 10, 40</w:t>
      </w:r>
      <w:r w:rsidRPr="00D3011B">
        <w:rPr>
          <w:rFonts w:ascii="Times New Roman" w:hAnsi="Times New Roman" w:cs="Times New Roman"/>
          <w:sz w:val="24"/>
          <w:szCs w:val="24"/>
        </w:rPr>
        <w:tab/>
        <w:t>414.</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Oloruntola, O. D., Ayodele, S. O., Agbede, J. O., Oloruntola, D. A., Ogunsipe, M. H., &amp;</w:t>
      </w:r>
      <w:r w:rsidRPr="00D3011B">
        <w:rPr>
          <w:rFonts w:ascii="Times New Roman" w:hAnsi="Times New Roman" w:cs="Times New Roman"/>
          <w:sz w:val="24"/>
          <w:szCs w:val="24"/>
        </w:rPr>
        <w:tab/>
        <w:t>Omoniyi, I. S. (2016). Effect of Alchorneacordifolia leaf meal and enzyme</w:t>
      </w:r>
      <w:r w:rsidRPr="00D3011B">
        <w:rPr>
          <w:rFonts w:ascii="Times New Roman" w:hAnsi="Times New Roman" w:cs="Times New Roman"/>
          <w:sz w:val="24"/>
          <w:szCs w:val="24"/>
        </w:rPr>
        <w:tab/>
        <w:t>supplementation on</w:t>
      </w:r>
      <w:r w:rsidRPr="00D3011B">
        <w:rPr>
          <w:rFonts w:ascii="Times New Roman" w:hAnsi="Times New Roman" w:cs="Times New Roman"/>
          <w:sz w:val="24"/>
          <w:szCs w:val="24"/>
        </w:rPr>
        <w:tab/>
        <w:t>growth, haematological, immunostimulatory and serum</w:t>
      </w:r>
      <w:r w:rsidRPr="00D3011B">
        <w:rPr>
          <w:rFonts w:ascii="Times New Roman" w:hAnsi="Times New Roman" w:cs="Times New Roman"/>
          <w:sz w:val="24"/>
          <w:szCs w:val="24"/>
        </w:rPr>
        <w:tab/>
        <w:t>biochemical response of rabbits.</w:t>
      </w:r>
      <w:r w:rsidRPr="00D3011B">
        <w:rPr>
          <w:rFonts w:ascii="Times New Roman" w:hAnsi="Times New Roman" w:cs="Times New Roman"/>
          <w:sz w:val="24"/>
          <w:szCs w:val="24"/>
        </w:rPr>
        <w:tab/>
        <w:t>Asian Journal of Biological and Life</w:t>
      </w:r>
      <w:r w:rsidRPr="00D3011B">
        <w:rPr>
          <w:rFonts w:ascii="Times New Roman" w:hAnsi="Times New Roman" w:cs="Times New Roman"/>
          <w:sz w:val="24"/>
          <w:szCs w:val="24"/>
        </w:rPr>
        <w:tab/>
        <w:t>Sciences, 5(2),</w:t>
      </w:r>
      <w:r w:rsidRPr="00D3011B">
        <w:rPr>
          <w:rFonts w:ascii="Times New Roman" w:hAnsi="Times New Roman" w:cs="Times New Roman"/>
          <w:sz w:val="24"/>
          <w:szCs w:val="24"/>
        </w:rPr>
        <w:tab/>
        <w:t>190–195.</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Oluwafemi, R. A., et al. (2019). “Effects of dietary oxidized</w:t>
      </w:r>
      <w:r>
        <w:rPr>
          <w:rFonts w:ascii="Times New Roman" w:hAnsi="Times New Roman" w:cs="Times New Roman"/>
          <w:sz w:val="24"/>
          <w:szCs w:val="24"/>
        </w:rPr>
        <w:t xml:space="preserve"> oil on carcass characteristics</w:t>
      </w:r>
      <w:r>
        <w:rPr>
          <w:rFonts w:ascii="Times New Roman" w:hAnsi="Times New Roman" w:cs="Times New Roman"/>
          <w:sz w:val="24"/>
          <w:szCs w:val="24"/>
        </w:rPr>
        <w:tab/>
      </w:r>
      <w:r w:rsidRPr="00947124">
        <w:rPr>
          <w:rFonts w:ascii="Times New Roman" w:hAnsi="Times New Roman" w:cs="Times New Roman"/>
          <w:sz w:val="24"/>
          <w:szCs w:val="24"/>
        </w:rPr>
        <w:t>and meat quality in rabbits.” Nigerian Journal of Ani</w:t>
      </w:r>
      <w:r>
        <w:rPr>
          <w:rFonts w:ascii="Times New Roman" w:hAnsi="Times New Roman" w:cs="Times New Roman"/>
          <w:sz w:val="24"/>
          <w:szCs w:val="24"/>
        </w:rPr>
        <w:t>mal Production, 46(3), 120</w:t>
      </w:r>
      <w:r>
        <w:rPr>
          <w:rFonts w:ascii="Times New Roman" w:hAnsi="Times New Roman" w:cs="Times New Roman"/>
          <w:sz w:val="24"/>
          <w:szCs w:val="24"/>
        </w:rPr>
        <w:tab/>
      </w:r>
      <w:r w:rsidRPr="00947124">
        <w:rPr>
          <w:rFonts w:ascii="Times New Roman" w:hAnsi="Times New Roman" w:cs="Times New Roman"/>
          <w:sz w:val="24"/>
          <w:szCs w:val="24"/>
        </w:rPr>
        <w:t>134.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Orsavova J., Misurcova L., Ambrozova V.J., Vicha R., Mlcek J. (2015). Fatty acids composition of vegetable oils and its contribution to dietary energy intake and dependence of cardiovascular mortality on dietary intake of fatty acids. Int. J. Mol. Sci., 16: 12871–12890.</w:t>
      </w:r>
    </w:p>
    <w:p w:rsidR="00002149" w:rsidRPr="00D3011B" w:rsidRDefault="00002149" w:rsidP="00002149">
      <w:pPr>
        <w:pStyle w:val="Default"/>
        <w:ind w:left="720" w:hanging="720"/>
        <w:jc w:val="both"/>
      </w:pPr>
      <w:r w:rsidRPr="00D3011B">
        <w:t xml:space="preserve">Osman A. and Salama A. (2021). Alleviation of carbon tetrachloride induced hepatocellular damage and oxidative stress in rats. Journal of Food Biochemistry 45(1), e13562, 2021. </w:t>
      </w:r>
    </w:p>
    <w:p w:rsidR="00002149" w:rsidRPr="00D3011B" w:rsidRDefault="00002149" w:rsidP="00002149">
      <w:pPr>
        <w:pStyle w:val="Default"/>
        <w:ind w:left="720" w:hanging="720"/>
        <w:jc w:val="both"/>
      </w:pPr>
      <w:r w:rsidRPr="00D3011B">
        <w:t>Pla, M. and DalleZotte, A. (2000). Harmonisation of criteria and methods used in rabbit meat research. in</w:t>
      </w:r>
      <w:r w:rsidRPr="00D3011B">
        <w:rPr>
          <w:i/>
        </w:rPr>
        <w:t>Proc 7th World Rabbit Congr</w:t>
      </w:r>
      <w:r w:rsidRPr="00D3011B">
        <w:t>., Valencia, Spain. pp 539-545.</w:t>
      </w:r>
    </w:p>
    <w:p w:rsidR="00002149" w:rsidRPr="00D3011B" w:rsidRDefault="00002149" w:rsidP="00002149">
      <w:pPr>
        <w:spacing w:after="0" w:line="240" w:lineRule="auto"/>
        <w:jc w:val="both"/>
        <w:rPr>
          <w:rFonts w:ascii="Times New Roman" w:hAnsi="Times New Roman" w:cs="Times New Roman"/>
          <w:i/>
          <w:iCs/>
          <w:sz w:val="24"/>
          <w:szCs w:val="24"/>
        </w:rPr>
      </w:pPr>
      <w:r w:rsidRPr="00D3011B">
        <w:rPr>
          <w:rFonts w:ascii="Times New Roman" w:hAnsi="Times New Roman" w:cs="Times New Roman"/>
          <w:color w:val="000000"/>
          <w:sz w:val="24"/>
          <w:szCs w:val="24"/>
        </w:rPr>
        <w:t>Rafullah, M.K. and Suleiman M.M. (1999). 5-Hydroxylapachol: a cytotoxic agent from</w:t>
      </w:r>
      <w:r w:rsidRPr="00D3011B">
        <w:rPr>
          <w:rFonts w:ascii="Times New Roman" w:hAnsi="Times New Roman" w:cs="Times New Roman"/>
          <w:color w:val="000000"/>
          <w:sz w:val="24"/>
          <w:szCs w:val="24"/>
        </w:rPr>
        <w:tab/>
      </w:r>
      <w:r w:rsidRPr="00D3011B">
        <w:rPr>
          <w:rFonts w:ascii="Times New Roman" w:hAnsi="Times New Roman" w:cs="Times New Roman"/>
          <w:i/>
          <w:iCs/>
          <w:color w:val="000000"/>
          <w:sz w:val="24"/>
          <w:szCs w:val="24"/>
        </w:rPr>
        <w:t>Tectonagrandis</w:t>
      </w:r>
      <w:r w:rsidRPr="00D3011B">
        <w:rPr>
          <w:rFonts w:ascii="Times New Roman" w:hAnsi="Times New Roman" w:cs="Times New Roman"/>
          <w:color w:val="000000"/>
          <w:sz w:val="24"/>
          <w:szCs w:val="24"/>
        </w:rPr>
        <w:t xml:space="preserve">, Phytochem, 1999; 50: 439-442. </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Ragasa C.Y., Lapina M.C., Lee J.J., Mandia E.H. and Rideout J.A. (2008). Secondary Metabolites From Tectona philippinensis, </w:t>
      </w:r>
      <w:r w:rsidRPr="00D3011B">
        <w:rPr>
          <w:rFonts w:ascii="Times New Roman" w:hAnsi="Times New Roman" w:cs="Times New Roman"/>
          <w:i/>
          <w:sz w:val="24"/>
          <w:szCs w:val="24"/>
        </w:rPr>
        <w:t>Nat Prod Res</w:t>
      </w:r>
      <w:r w:rsidRPr="00D3011B">
        <w:rPr>
          <w:rFonts w:ascii="Times New Roman" w:hAnsi="Times New Roman" w:cs="Times New Roman"/>
          <w:sz w:val="24"/>
          <w:szCs w:val="24"/>
        </w:rPr>
        <w:t>. 2008, 22 Suppl 9, 820-824.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bCs/>
          <w:color w:val="000000"/>
          <w:sz w:val="24"/>
          <w:szCs w:val="24"/>
        </w:rPr>
        <w:t xml:space="preserve">Rama Rao S V., Raju M V L N., Prakash B., Rajkumar U. and Reddy E P K. (2019). </w:t>
      </w:r>
      <w:r w:rsidRPr="00D3011B">
        <w:rPr>
          <w:rFonts w:ascii="Times New Roman" w:hAnsi="Times New Roman" w:cs="Times New Roman"/>
          <w:color w:val="000000"/>
          <w:sz w:val="24"/>
          <w:szCs w:val="24"/>
        </w:rPr>
        <w:t>Effect ofsupplementing moringa (</w:t>
      </w:r>
      <w:r w:rsidRPr="00D3011B">
        <w:rPr>
          <w:rFonts w:ascii="Times New Roman" w:hAnsi="Times New Roman" w:cs="Times New Roman"/>
          <w:i/>
          <w:iCs/>
          <w:color w:val="000000"/>
          <w:sz w:val="24"/>
          <w:szCs w:val="24"/>
        </w:rPr>
        <w:t>Moringaoleifera</w:t>
      </w:r>
      <w:r w:rsidRPr="00D3011B">
        <w:rPr>
          <w:rFonts w:ascii="Times New Roman" w:hAnsi="Times New Roman" w:cs="Times New Roman"/>
          <w:color w:val="000000"/>
          <w:sz w:val="24"/>
          <w:szCs w:val="24"/>
        </w:rPr>
        <w:t>) leaf meal and pomegranate (</w:t>
      </w:r>
      <w:r w:rsidRPr="00D3011B">
        <w:rPr>
          <w:rFonts w:ascii="Times New Roman" w:hAnsi="Times New Roman" w:cs="Times New Roman"/>
          <w:i/>
          <w:iCs/>
          <w:color w:val="000000"/>
          <w:sz w:val="24"/>
          <w:szCs w:val="24"/>
        </w:rPr>
        <w:t>Punicagranatum</w:t>
      </w:r>
      <w:r w:rsidRPr="00D3011B">
        <w:rPr>
          <w:rFonts w:ascii="Times New Roman" w:hAnsi="Times New Roman" w:cs="Times New Roman"/>
          <w:color w:val="000000"/>
          <w:sz w:val="24"/>
          <w:szCs w:val="24"/>
        </w:rPr>
        <w:t xml:space="preserve">) peel meal on performance, carcass attributes, immune and </w:t>
      </w:r>
      <w:r w:rsidRPr="00D3011B">
        <w:rPr>
          <w:rFonts w:ascii="Times New Roman" w:hAnsi="Times New Roman" w:cs="Times New Roman"/>
          <w:color w:val="000000"/>
          <w:sz w:val="24"/>
          <w:szCs w:val="24"/>
        </w:rPr>
        <w:lastRenderedPageBreak/>
        <w:t xml:space="preserve">antioxidant responses in broiler chickens. </w:t>
      </w:r>
      <w:r w:rsidRPr="00D3011B">
        <w:rPr>
          <w:rFonts w:ascii="Times New Roman" w:hAnsi="Times New Roman" w:cs="Times New Roman"/>
          <w:i/>
          <w:color w:val="000000"/>
          <w:sz w:val="24"/>
          <w:szCs w:val="24"/>
        </w:rPr>
        <w:t>Animal Production Science</w:t>
      </w:r>
      <w:r w:rsidRPr="00D3011B">
        <w:rPr>
          <w:rFonts w:ascii="Times New Roman" w:hAnsi="Times New Roman" w:cs="Times New Roman"/>
          <w:color w:val="000000"/>
          <w:sz w:val="24"/>
          <w:szCs w:val="24"/>
        </w:rPr>
        <w:t xml:space="preserve">, 59, 288-294. </w:t>
      </w:r>
      <w:r w:rsidRPr="00D3011B">
        <w:rPr>
          <w:rFonts w:ascii="Times New Roman" w:hAnsi="Times New Roman" w:cs="Times New Roman"/>
          <w:color w:val="000080"/>
          <w:sz w:val="24"/>
          <w:szCs w:val="24"/>
        </w:rPr>
        <w:t>https://doi.org/10.1071/AN17390</w:t>
      </w:r>
    </w:p>
    <w:p w:rsidR="00002149" w:rsidRPr="00D3011B" w:rsidRDefault="00002149" w:rsidP="00002149">
      <w:pPr>
        <w:pStyle w:val="Default"/>
        <w:ind w:left="720" w:hanging="720"/>
        <w:jc w:val="both"/>
      </w:pPr>
      <w:r w:rsidRPr="00D3011B">
        <w:t xml:space="preserve">Razali N., Razab R., Mat Junit S. and Abdulaziz A. (2008). Radical Scavenging and Reducing Properties of Extracts of Cashew Shoots (Anacardiumoccidentale). </w:t>
      </w:r>
      <w:r w:rsidRPr="00D3011B">
        <w:rPr>
          <w:i/>
        </w:rPr>
        <w:t>Food Chem</w:t>
      </w:r>
      <w:r w:rsidRPr="00D3011B">
        <w:t>. 111:38-44.</w:t>
      </w:r>
    </w:p>
    <w:p w:rsidR="00002149" w:rsidRPr="00D3011B" w:rsidRDefault="00002149" w:rsidP="00002149">
      <w:pPr>
        <w:pStyle w:val="Default"/>
        <w:ind w:left="720" w:hanging="720"/>
        <w:jc w:val="both"/>
      </w:pPr>
      <w:r w:rsidRPr="00D3011B">
        <w:t>Robinson T. (2011). Global Livestock Production System 152pp.</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Rodney L., Rosa M.V., Jose M.G.M., Clara N. and Francisco A.M.  (2012). Tectonoelins, New NorlignansFrom Bioactive Extract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PhytochemLett</w:t>
      </w:r>
      <w:r w:rsidRPr="00D3011B">
        <w:rPr>
          <w:rFonts w:ascii="Times New Roman" w:hAnsi="Times New Roman" w:cs="Times New Roman"/>
          <w:sz w:val="24"/>
          <w:szCs w:val="24"/>
        </w:rPr>
        <w:t>. 2012; 5: 382-386.</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Sarker, M. S. K., et al. (2018). “Antioxidant and anti</w:t>
      </w:r>
      <w:r>
        <w:rPr>
          <w:rFonts w:ascii="Times New Roman" w:hAnsi="Times New Roman" w:cs="Times New Roman"/>
          <w:sz w:val="24"/>
          <w:szCs w:val="24"/>
        </w:rPr>
        <w:t>microbial properties of Tectona</w:t>
      </w:r>
      <w:r>
        <w:rPr>
          <w:rFonts w:ascii="Times New Roman" w:hAnsi="Times New Roman" w:cs="Times New Roman"/>
          <w:sz w:val="24"/>
          <w:szCs w:val="24"/>
        </w:rPr>
        <w:tab/>
      </w:r>
      <w:r w:rsidRPr="00947124">
        <w:rPr>
          <w:rFonts w:ascii="Times New Roman" w:hAnsi="Times New Roman" w:cs="Times New Roman"/>
          <w:sz w:val="24"/>
          <w:szCs w:val="24"/>
        </w:rPr>
        <w:t>grandis: Potential applications in animal nutr</w:t>
      </w:r>
      <w:r>
        <w:rPr>
          <w:rFonts w:ascii="Times New Roman" w:hAnsi="Times New Roman" w:cs="Times New Roman"/>
          <w:sz w:val="24"/>
          <w:szCs w:val="24"/>
        </w:rPr>
        <w:t>ition.” Asian Journal of Animal</w:t>
      </w:r>
      <w:r>
        <w:rPr>
          <w:rFonts w:ascii="Times New Roman" w:hAnsi="Times New Roman" w:cs="Times New Roman"/>
          <w:sz w:val="24"/>
          <w:szCs w:val="24"/>
        </w:rPr>
        <w:tab/>
      </w:r>
      <w:r w:rsidRPr="00947124">
        <w:rPr>
          <w:rFonts w:ascii="Times New Roman" w:hAnsi="Times New Roman" w:cs="Times New Roman"/>
          <w:sz w:val="24"/>
          <w:szCs w:val="24"/>
        </w:rPr>
        <w:t>Sciences, 12(1), 87- 95.</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Shafqat N. Q., Muhammad R., , Ghulam Y., , Fehmeeda B., , Muhammad A. S., Nazir A. K., Saima N. and Talat N. P. (2012). Effects of dietary oxidized oil on growth performa meat quality and biochemical indices in poultry-a review. Ann. Anim. Sci., Vol. 21, No. 1 (2021) 29–46.</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Shi-yi C., Feilong D., Xianbo J., Hanzhong L., Gong W. Z. and Song-Jia L. (2019). Gut microbiota with differential tolerance against the reduced dietary fibre level in rabbit. </w:t>
      </w:r>
      <w:r w:rsidRPr="00D3011B">
        <w:rPr>
          <w:rFonts w:ascii="Times New Roman" w:hAnsi="Times New Roman" w:cs="Times New Roman"/>
          <w:i/>
          <w:sz w:val="24"/>
          <w:szCs w:val="24"/>
        </w:rPr>
        <w:t>Scientific reports</w:t>
      </w:r>
      <w:r w:rsidRPr="00D3011B">
        <w:rPr>
          <w:rFonts w:ascii="Times New Roman" w:hAnsi="Times New Roman" w:cs="Times New Roman"/>
          <w:sz w:val="24"/>
          <w:szCs w:val="24"/>
        </w:rPr>
        <w:t xml:space="preserve"> 9(1), 288-294.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Shruthi D.P., Sunith K.E., Haritha K.E., Govindappa M. and Siddalingeshwera K.G. (2012). Phytochemical Screening, Antioxidant and Anti-inflammatory Activity of Different Extract From Leaf, Bark and Stem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Int J Res PharmacolPharmacotherapeutics</w:t>
      </w:r>
      <w:r w:rsidRPr="00D3011B">
        <w:rPr>
          <w:rFonts w:ascii="Times New Roman" w:hAnsi="Times New Roman" w:cs="Times New Roman"/>
          <w:sz w:val="24"/>
          <w:szCs w:val="24"/>
        </w:rPr>
        <w:t>. 2012; 1 Suppl 2: 140-146.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Su, B. and Chen, X. (2020). Current Status and Potential of Moringaoleifera Leaf as an</w:t>
      </w:r>
      <w:r w:rsidRPr="00D3011B">
        <w:rPr>
          <w:rFonts w:ascii="Times New Roman" w:hAnsi="Times New Roman" w:cs="Times New Roman"/>
          <w:sz w:val="24"/>
          <w:szCs w:val="24"/>
        </w:rPr>
        <w:tab/>
        <w:t>Alternative Protein Source for Animal Feeds. Front. Vet. Sci. 2020, 26, 53.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Sugiharto S., Yudiarti T., Isroli I. and Widiastuti E. (2018). </w:t>
      </w:r>
      <w:r w:rsidRPr="00D3011B">
        <w:rPr>
          <w:rFonts w:ascii="Times New Roman" w:hAnsi="Times New Roman" w:cs="Times New Roman"/>
          <w:sz w:val="24"/>
          <w:szCs w:val="24"/>
        </w:rPr>
        <w:t>The potential of tropical agro</w:t>
      </w:r>
      <w:r w:rsidRPr="00D3011B">
        <w:rPr>
          <w:rFonts w:ascii="Times New Roman" w:hAnsi="Times New Roman" w:cs="Times New Roman"/>
          <w:sz w:val="24"/>
          <w:szCs w:val="24"/>
        </w:rPr>
        <w:tab/>
        <w:t xml:space="preserve">industrial by-products as a functional feed for poultry. </w:t>
      </w:r>
      <w:r w:rsidRPr="00D3011B">
        <w:rPr>
          <w:rFonts w:ascii="Times New Roman" w:hAnsi="Times New Roman" w:cs="Times New Roman"/>
          <w:i/>
          <w:sz w:val="24"/>
          <w:szCs w:val="24"/>
        </w:rPr>
        <w:t>Iranian Journal of Applied</w:t>
      </w:r>
      <w:r w:rsidRPr="00D3011B">
        <w:rPr>
          <w:rFonts w:ascii="Times New Roman" w:hAnsi="Times New Roman" w:cs="Times New Roman"/>
          <w:i/>
          <w:sz w:val="24"/>
          <w:szCs w:val="24"/>
        </w:rPr>
        <w:tab/>
        <w:t>Animal Science</w:t>
      </w:r>
      <w:r w:rsidRPr="00D3011B">
        <w:rPr>
          <w:rFonts w:ascii="Times New Roman" w:hAnsi="Times New Roman" w:cs="Times New Roman"/>
          <w:sz w:val="24"/>
          <w:szCs w:val="24"/>
        </w:rPr>
        <w:t>, 8, 375-385.</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Sumthong, P., Damveld, R.A., Choi, Y.H., Arentshorst, M., Ram, A.F., Vanden, (2006).</w:t>
      </w:r>
      <w:r w:rsidRPr="00D3011B">
        <w:rPr>
          <w:rFonts w:ascii="Times New Roman" w:hAnsi="Times New Roman" w:cs="Times New Roman"/>
          <w:sz w:val="24"/>
          <w:szCs w:val="24"/>
        </w:rPr>
        <w:tab/>
        <w:t>Activity of Quinines From Teak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on Fungal Wall Stess. </w:t>
      </w:r>
      <w:r w:rsidRPr="00D3011B">
        <w:rPr>
          <w:rFonts w:ascii="Times New Roman" w:hAnsi="Times New Roman" w:cs="Times New Roman"/>
          <w:i/>
          <w:sz w:val="24"/>
          <w:szCs w:val="24"/>
        </w:rPr>
        <w:t>Planta</w:t>
      </w:r>
      <w:r w:rsidRPr="00D3011B">
        <w:rPr>
          <w:rFonts w:ascii="Times New Roman" w:hAnsi="Times New Roman" w:cs="Times New Roman"/>
          <w:i/>
          <w:sz w:val="24"/>
          <w:szCs w:val="24"/>
        </w:rPr>
        <w:tab/>
        <w:t>Medica,</w:t>
      </w:r>
      <w:r w:rsidRPr="00D3011B">
        <w:rPr>
          <w:rFonts w:ascii="Times New Roman" w:hAnsi="Times New Roman" w:cs="Times New Roman"/>
          <w:sz w:val="24"/>
          <w:szCs w:val="24"/>
        </w:rPr>
        <w:t xml:space="preserve"> 72(10): 943-944.</w:t>
      </w:r>
    </w:p>
    <w:p w:rsidR="00002149" w:rsidRPr="00D3011B" w:rsidRDefault="00002149" w:rsidP="00002149">
      <w:pPr>
        <w:spacing w:after="0" w:line="240" w:lineRule="auto"/>
        <w:jc w:val="both"/>
        <w:rPr>
          <w:rFonts w:ascii="Times New Roman" w:hAnsi="Times New Roman" w:cs="Times New Roman"/>
          <w:i/>
          <w:iCs/>
          <w:sz w:val="24"/>
          <w:szCs w:val="24"/>
        </w:rPr>
      </w:pPr>
      <w:r w:rsidRPr="00D3011B">
        <w:rPr>
          <w:rFonts w:ascii="Times New Roman" w:hAnsi="Times New Roman" w:cs="Times New Roman"/>
          <w:bCs/>
          <w:sz w:val="24"/>
          <w:szCs w:val="24"/>
        </w:rPr>
        <w:t>Suseela L. and Parimala (2017).</w:t>
      </w:r>
      <w:r w:rsidRPr="00D3011B">
        <w:rPr>
          <w:rFonts w:ascii="Times New Roman" w:hAnsi="Times New Roman" w:cs="Times New Roman"/>
          <w:sz w:val="24"/>
          <w:szCs w:val="24"/>
        </w:rPr>
        <w:t>Antimicrobial Activities of Tectona Grandis Leaf And</w:t>
      </w:r>
      <w:r w:rsidRPr="00D3011B">
        <w:rPr>
          <w:rFonts w:ascii="Times New Roman" w:hAnsi="Times New Roman" w:cs="Times New Roman"/>
          <w:sz w:val="24"/>
          <w:szCs w:val="24"/>
        </w:rPr>
        <w:tab/>
        <w:t xml:space="preserve">Bark Extracts. </w:t>
      </w:r>
      <w:r w:rsidRPr="00D3011B">
        <w:rPr>
          <w:rFonts w:ascii="Times New Roman" w:hAnsi="Times New Roman" w:cs="Times New Roman"/>
          <w:i/>
          <w:sz w:val="24"/>
          <w:szCs w:val="24"/>
        </w:rPr>
        <w:t>European Journal of Pharmaceutical And Medical Research</w:t>
      </w:r>
      <w:r w:rsidRPr="00D3011B">
        <w:rPr>
          <w:rFonts w:ascii="Times New Roman" w:hAnsi="Times New Roman" w:cs="Times New Roman"/>
          <w:sz w:val="24"/>
          <w:szCs w:val="24"/>
        </w:rPr>
        <w:t>.</w:t>
      </w:r>
      <w:r w:rsidRPr="00D3011B">
        <w:rPr>
          <w:rFonts w:ascii="Times New Roman" w:hAnsi="Times New Roman" w:cs="Times New Roman"/>
          <w:i/>
          <w:iCs/>
          <w:sz w:val="24"/>
          <w:szCs w:val="24"/>
        </w:rPr>
        <w:tab/>
        <w:t>2017,4(12),</w:t>
      </w:r>
      <w:r w:rsidRPr="00D3011B">
        <w:rPr>
          <w:rFonts w:ascii="Times New Roman" w:hAnsi="Times New Roman" w:cs="Times New Roman"/>
          <w:i/>
          <w:iCs/>
          <w:sz w:val="24"/>
          <w:szCs w:val="24"/>
        </w:rPr>
        <w:tab/>
        <w:t>245-248.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Va r a d y J., G e s s n e r D.K., M o s t E., E d e r K., R i n g s e i s R. (2012). Dietary moderately oxidized oil activates the Nrf2 signaling pathway in the liver of pigs. Lipids Health Dis., 11: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Wa n g L., Z h a n g J., G a o J., Q i a n Y., L i n g Y. (2016). The effect of fish oil-based lipid emulsion and soybean oil-based lipid emulsion on cholestasis associated with long-term parenteral nutrition in premature infants. Gastroent. Res. Pract., 2016: 1–4.</w:t>
      </w:r>
    </w:p>
    <w:p w:rsidR="00002149" w:rsidRPr="00D3011B" w:rsidRDefault="00002149" w:rsidP="00002149">
      <w:pPr>
        <w:pStyle w:val="Default"/>
        <w:ind w:left="720" w:hanging="720"/>
        <w:jc w:val="both"/>
      </w:pPr>
      <w:r w:rsidRPr="00D3011B">
        <w:lastRenderedPageBreak/>
        <w:t xml:space="preserve">Wu L., Zhang C., Long Y and Chen Q. (2022). Food additives: from functions to analytical methods. </w:t>
      </w:r>
      <w:r w:rsidRPr="00D3011B">
        <w:rPr>
          <w:i/>
        </w:rPr>
        <w:t>Critical review in food science and nutrition</w:t>
      </w:r>
      <w:r w:rsidRPr="00D3011B">
        <w:t>. 62(30), 8497-8517, 2022.</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Y i n H., X u L., P o r t e r N.A. (2011). Free radical lipid peroxidation: mechanisms and analysis. Chem. Rev., 111: 5944–5972.</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Zotte, A.D.; Celia, C. and Szendr˝o, Z. (2016). Herbs and spices inclusion as feedstuff or</w:t>
      </w:r>
      <w:r w:rsidRPr="00D3011B">
        <w:rPr>
          <w:rFonts w:ascii="Times New Roman" w:hAnsi="Times New Roman" w:cs="Times New Roman"/>
          <w:sz w:val="24"/>
          <w:szCs w:val="24"/>
        </w:rPr>
        <w:tab/>
        <w:t>additive</w:t>
      </w:r>
      <w:r w:rsidRPr="00D3011B">
        <w:rPr>
          <w:rFonts w:ascii="Times New Roman" w:hAnsi="Times New Roman" w:cs="Times New Roman"/>
          <w:sz w:val="24"/>
          <w:szCs w:val="24"/>
        </w:rPr>
        <w:tab/>
        <w:t>in growing rabbit diets and as additive in rabbit meat: A review.</w:t>
      </w:r>
      <w:r w:rsidRPr="00D3011B">
        <w:rPr>
          <w:rFonts w:ascii="Times New Roman" w:hAnsi="Times New Roman" w:cs="Times New Roman"/>
          <w:sz w:val="24"/>
          <w:szCs w:val="24"/>
        </w:rPr>
        <w:tab/>
        <w:t>Livest. Sci. 2016, 189,</w:t>
      </w:r>
      <w:r w:rsidRPr="00D3011B">
        <w:rPr>
          <w:rFonts w:ascii="Times New Roman" w:hAnsi="Times New Roman" w:cs="Times New Roman"/>
          <w:sz w:val="24"/>
          <w:szCs w:val="24"/>
        </w:rPr>
        <w:tab/>
        <w:t>82–90.</w:t>
      </w:r>
    </w:p>
    <w:p w:rsidR="00002149" w:rsidRPr="00947124" w:rsidRDefault="00002149" w:rsidP="009A4F5D">
      <w:pPr>
        <w:spacing w:line="360" w:lineRule="auto"/>
        <w:jc w:val="both"/>
        <w:rPr>
          <w:rFonts w:ascii="Times New Roman" w:hAnsi="Times New Roman" w:cs="Times New Roman"/>
          <w:sz w:val="24"/>
          <w:szCs w:val="24"/>
        </w:rPr>
      </w:pPr>
    </w:p>
    <w:sectPr w:rsidR="00002149" w:rsidRPr="00947124" w:rsidSect="00F21868">
      <w:footerReference w:type="default" r:id="rId8"/>
      <w:pgSz w:w="12240" w:h="15840"/>
      <w:pgMar w:top="1440" w:right="1440" w:bottom="1440" w:left="2160" w:header="720"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31D" w:rsidRDefault="00E8531D" w:rsidP="00F21868">
      <w:pPr>
        <w:spacing w:after="0" w:line="240" w:lineRule="auto"/>
      </w:pPr>
      <w:r>
        <w:separator/>
      </w:r>
    </w:p>
  </w:endnote>
  <w:endnote w:type="continuationSeparator" w:id="1">
    <w:p w:rsidR="00E8531D" w:rsidRDefault="00E8531D" w:rsidP="00F21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960794"/>
      <w:docPartObj>
        <w:docPartGallery w:val="Page Numbers (Bottom of Page)"/>
        <w:docPartUnique/>
      </w:docPartObj>
    </w:sdtPr>
    <w:sdtEndPr>
      <w:rPr>
        <w:noProof/>
      </w:rPr>
    </w:sdtEndPr>
    <w:sdtContent>
      <w:p w:rsidR="00822B98" w:rsidRDefault="00D07CD2">
        <w:pPr>
          <w:pStyle w:val="Footer"/>
          <w:jc w:val="center"/>
        </w:pPr>
        <w:r>
          <w:fldChar w:fldCharType="begin"/>
        </w:r>
        <w:r w:rsidR="00822B98">
          <w:instrText xml:space="preserve"> PAGE   \* MERGEFORMAT </w:instrText>
        </w:r>
        <w:r>
          <w:fldChar w:fldCharType="separate"/>
        </w:r>
        <w:r w:rsidR="00F82005">
          <w:rPr>
            <w:noProof/>
          </w:rPr>
          <w:t>40</w:t>
        </w:r>
        <w:r>
          <w:rPr>
            <w:noProof/>
          </w:rPr>
          <w:fldChar w:fldCharType="end"/>
        </w:r>
      </w:p>
    </w:sdtContent>
  </w:sdt>
  <w:p w:rsidR="00822B98" w:rsidRDefault="00822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31D" w:rsidRDefault="00E8531D" w:rsidP="00F21868">
      <w:pPr>
        <w:spacing w:after="0" w:line="240" w:lineRule="auto"/>
      </w:pPr>
      <w:r>
        <w:separator/>
      </w:r>
    </w:p>
  </w:footnote>
  <w:footnote w:type="continuationSeparator" w:id="1">
    <w:p w:rsidR="00E8531D" w:rsidRDefault="00E8531D" w:rsidP="00F218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468E"/>
    <w:multiLevelType w:val="multilevel"/>
    <w:tmpl w:val="CD1066E4"/>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6E86E17"/>
    <w:multiLevelType w:val="hybridMultilevel"/>
    <w:tmpl w:val="BB9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C00EE"/>
    <w:multiLevelType w:val="multilevel"/>
    <w:tmpl w:val="B176AC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9"/>
  </w:num>
  <w:num w:numId="3">
    <w:abstractNumId w:val="0"/>
  </w:num>
  <w:num w:numId="4">
    <w:abstractNumId w:val="5"/>
  </w:num>
  <w:num w:numId="5">
    <w:abstractNumId w:val="6"/>
  </w:num>
  <w:num w:numId="6">
    <w:abstractNumId w:val="3"/>
  </w:num>
  <w:num w:numId="7">
    <w:abstractNumId w:val="8"/>
  </w:num>
  <w:num w:numId="8">
    <w:abstractNumId w:val="1"/>
  </w:num>
  <w:num w:numId="9">
    <w:abstractNumId w:val="2"/>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21868"/>
    <w:rsid w:val="00002149"/>
    <w:rsid w:val="00032CC7"/>
    <w:rsid w:val="000A367C"/>
    <w:rsid w:val="00346325"/>
    <w:rsid w:val="003E0706"/>
    <w:rsid w:val="005B5464"/>
    <w:rsid w:val="00712FC2"/>
    <w:rsid w:val="00822B98"/>
    <w:rsid w:val="00947124"/>
    <w:rsid w:val="009A4F5D"/>
    <w:rsid w:val="00AC6AEA"/>
    <w:rsid w:val="00D07CD2"/>
    <w:rsid w:val="00E54DE8"/>
    <w:rsid w:val="00E8531D"/>
    <w:rsid w:val="00F21868"/>
    <w:rsid w:val="00F82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68"/>
  </w:style>
  <w:style w:type="paragraph" w:styleId="Footer">
    <w:name w:val="footer"/>
    <w:basedOn w:val="Normal"/>
    <w:link w:val="FooterChar"/>
    <w:uiPriority w:val="99"/>
    <w:unhideWhenUsed/>
    <w:rsid w:val="00F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8"/>
  </w:style>
  <w:style w:type="paragraph" w:styleId="ListParagraph">
    <w:name w:val="List Paragraph"/>
    <w:basedOn w:val="Normal"/>
    <w:uiPriority w:val="34"/>
    <w:qFormat/>
    <w:rsid w:val="00F21868"/>
    <w:pPr>
      <w:ind w:left="720"/>
      <w:contextualSpacing/>
    </w:pPr>
  </w:style>
  <w:style w:type="paragraph" w:customStyle="1" w:styleId="Default">
    <w:name w:val="Default"/>
    <w:rsid w:val="009A4F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A4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47124"/>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7124"/>
    <w:rPr>
      <w:rFonts w:ascii="Times New Roman" w:eastAsia="Times New Roman" w:hAnsi="Times New Roman" w:cs="Times New Roman"/>
    </w:rPr>
  </w:style>
  <w:style w:type="character" w:styleId="Hyperlink">
    <w:name w:val="Hyperlink"/>
    <w:basedOn w:val="DefaultParagraphFont"/>
    <w:uiPriority w:val="99"/>
    <w:rsid w:val="00002149"/>
    <w:rPr>
      <w:color w:val="0000FF"/>
      <w:u w:val="single"/>
    </w:rPr>
  </w:style>
  <w:style w:type="character" w:styleId="Strong">
    <w:name w:val="Strong"/>
    <w:basedOn w:val="DefaultParagraphFont"/>
    <w:uiPriority w:val="22"/>
    <w:qFormat/>
    <w:rsid w:val="00E54DE8"/>
    <w:rPr>
      <w:b/>
      <w:bCs/>
    </w:rPr>
  </w:style>
  <w:style w:type="character" w:styleId="Emphasis">
    <w:name w:val="Emphasis"/>
    <w:basedOn w:val="DefaultParagraphFont"/>
    <w:uiPriority w:val="20"/>
    <w:qFormat/>
    <w:rsid w:val="00E54DE8"/>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10197</Words>
  <Characters>58126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2025-06-04T11:45:00Z</dcterms:created>
  <dcterms:modified xsi:type="dcterms:W3CDTF">2025-06-04T11:45:00Z</dcterms:modified>
</cp:coreProperties>
</file>