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CF15F2" w:rsidP="00832B0D">
      <w:pPr>
        <w:jc w:val="center"/>
        <w:rPr>
          <w:rFonts w:ascii="Arial Black" w:hAnsi="Arial Black"/>
          <w:b/>
          <w:sz w:val="44"/>
          <w:szCs w:val="28"/>
        </w:rPr>
      </w:pPr>
      <w:r>
        <w:rPr>
          <w:rFonts w:ascii="Arial Black" w:hAnsi="Arial Black"/>
          <w:b/>
          <w:sz w:val="40"/>
          <w:szCs w:val="28"/>
        </w:rPr>
        <w:t xml:space="preserve">IMPACT </w:t>
      </w:r>
      <w:r w:rsidR="00832B0D" w:rsidRPr="00694655">
        <w:rPr>
          <w:rFonts w:ascii="Arial Black" w:hAnsi="Arial Black"/>
          <w:b/>
          <w:sz w:val="40"/>
          <w:szCs w:val="28"/>
        </w:rPr>
        <w:t xml:space="preserve">OF SOCIAL MEDIA </w:t>
      </w:r>
      <w:r>
        <w:rPr>
          <w:rFonts w:ascii="Arial Black" w:hAnsi="Arial Black"/>
          <w:b/>
          <w:sz w:val="40"/>
          <w:szCs w:val="28"/>
        </w:rPr>
        <w:t>MARKETING ON TELECOMMUNICATION INDUSTRY</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2503BF" w:rsidP="00360AE9">
      <w:pPr>
        <w:jc w:val="center"/>
        <w:rPr>
          <w:rFonts w:ascii="Arial Black" w:hAnsi="Arial Black"/>
          <w:b/>
          <w:szCs w:val="28"/>
        </w:rPr>
      </w:pPr>
      <w:r>
        <w:rPr>
          <w:rFonts w:ascii="Arial Black" w:hAnsi="Arial Black"/>
          <w:b/>
          <w:sz w:val="36"/>
          <w:szCs w:val="28"/>
        </w:rPr>
        <w:t>UTHMAN AISHAT AYOMIDE</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2503BF">
        <w:rPr>
          <w:rFonts w:ascii="Arial Black" w:hAnsi="Arial Black"/>
          <w:b/>
          <w:sz w:val="44"/>
          <w:szCs w:val="28"/>
        </w:rPr>
        <w:t>0083</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905E15"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5C7" w:rsidRDefault="002155C7" w:rsidP="00B7395B">
      <w:pPr>
        <w:spacing w:line="240" w:lineRule="auto"/>
      </w:pPr>
      <w:r>
        <w:separator/>
      </w:r>
    </w:p>
  </w:endnote>
  <w:endnote w:type="continuationSeparator" w:id="1">
    <w:p w:rsidR="002155C7" w:rsidRDefault="002155C7"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905E15">
    <w:pPr>
      <w:pStyle w:val="Footer"/>
      <w:jc w:val="center"/>
    </w:pPr>
    <w:fldSimple w:instr=" PAGE   \* MERGEFORMAT ">
      <w:r w:rsidR="002503BF">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5C7" w:rsidRDefault="002155C7" w:rsidP="00B7395B">
      <w:pPr>
        <w:spacing w:line="240" w:lineRule="auto"/>
      </w:pPr>
      <w:r>
        <w:separator/>
      </w:r>
    </w:p>
  </w:footnote>
  <w:footnote w:type="continuationSeparator" w:id="1">
    <w:p w:rsidR="002155C7" w:rsidRDefault="002155C7"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D6972"/>
    <w:rsid w:val="001F29B0"/>
    <w:rsid w:val="00207683"/>
    <w:rsid w:val="00212D42"/>
    <w:rsid w:val="002155C7"/>
    <w:rsid w:val="00220296"/>
    <w:rsid w:val="002503BF"/>
    <w:rsid w:val="0027208E"/>
    <w:rsid w:val="00292804"/>
    <w:rsid w:val="0032757A"/>
    <w:rsid w:val="003445EB"/>
    <w:rsid w:val="00360AE9"/>
    <w:rsid w:val="00367216"/>
    <w:rsid w:val="0038725C"/>
    <w:rsid w:val="003E108D"/>
    <w:rsid w:val="00420746"/>
    <w:rsid w:val="00422605"/>
    <w:rsid w:val="00433463"/>
    <w:rsid w:val="0044681F"/>
    <w:rsid w:val="0047410B"/>
    <w:rsid w:val="004E080B"/>
    <w:rsid w:val="004F4C59"/>
    <w:rsid w:val="00581D98"/>
    <w:rsid w:val="005877A7"/>
    <w:rsid w:val="0059588E"/>
    <w:rsid w:val="005A0712"/>
    <w:rsid w:val="005D7127"/>
    <w:rsid w:val="006315AA"/>
    <w:rsid w:val="0063313D"/>
    <w:rsid w:val="00652EE9"/>
    <w:rsid w:val="00694655"/>
    <w:rsid w:val="006F6C39"/>
    <w:rsid w:val="00727C99"/>
    <w:rsid w:val="00765B82"/>
    <w:rsid w:val="00813444"/>
    <w:rsid w:val="00831B4C"/>
    <w:rsid w:val="00832B0D"/>
    <w:rsid w:val="00857B65"/>
    <w:rsid w:val="00860325"/>
    <w:rsid w:val="00861D39"/>
    <w:rsid w:val="0087368B"/>
    <w:rsid w:val="008749B5"/>
    <w:rsid w:val="00905E15"/>
    <w:rsid w:val="00917C1A"/>
    <w:rsid w:val="00935915"/>
    <w:rsid w:val="0093766E"/>
    <w:rsid w:val="00943292"/>
    <w:rsid w:val="009543C1"/>
    <w:rsid w:val="0095705B"/>
    <w:rsid w:val="00996868"/>
    <w:rsid w:val="009A5F7E"/>
    <w:rsid w:val="009C0B40"/>
    <w:rsid w:val="009C6921"/>
    <w:rsid w:val="009D7679"/>
    <w:rsid w:val="009E7480"/>
    <w:rsid w:val="009F05AB"/>
    <w:rsid w:val="00A8366C"/>
    <w:rsid w:val="00A937B1"/>
    <w:rsid w:val="00AC1D60"/>
    <w:rsid w:val="00AF35DD"/>
    <w:rsid w:val="00B24AB7"/>
    <w:rsid w:val="00B3113F"/>
    <w:rsid w:val="00B7395B"/>
    <w:rsid w:val="00BB2DC5"/>
    <w:rsid w:val="00BC07D1"/>
    <w:rsid w:val="00BE1FC6"/>
    <w:rsid w:val="00BF01EA"/>
    <w:rsid w:val="00C241C2"/>
    <w:rsid w:val="00C455A5"/>
    <w:rsid w:val="00C72079"/>
    <w:rsid w:val="00CA6274"/>
    <w:rsid w:val="00CB4A26"/>
    <w:rsid w:val="00CE6E6F"/>
    <w:rsid w:val="00CF15F2"/>
    <w:rsid w:val="00D2453A"/>
    <w:rsid w:val="00D41721"/>
    <w:rsid w:val="00D6636F"/>
    <w:rsid w:val="00D75400"/>
    <w:rsid w:val="00DA0536"/>
    <w:rsid w:val="00DB4D5B"/>
    <w:rsid w:val="00DC2CFB"/>
    <w:rsid w:val="00DE2A84"/>
    <w:rsid w:val="00E411CE"/>
    <w:rsid w:val="00E61A60"/>
    <w:rsid w:val="00E766D4"/>
    <w:rsid w:val="00E76CB9"/>
    <w:rsid w:val="00EA5E27"/>
    <w:rsid w:val="00F00DFB"/>
    <w:rsid w:val="00F1122E"/>
    <w:rsid w:val="00F27AC9"/>
    <w:rsid w:val="00F30864"/>
    <w:rsid w:val="00F76A67"/>
    <w:rsid w:val="00FA03E1"/>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54</Pages>
  <Words>9819</Words>
  <Characters>55973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2025-06-02T07:05:00Z</cp:lastPrinted>
  <dcterms:created xsi:type="dcterms:W3CDTF">2018-12-06T13:33:00Z</dcterms:created>
  <dcterms:modified xsi:type="dcterms:W3CDTF">2025-06-03T20:17:00Z</dcterms:modified>
</cp:coreProperties>
</file>